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ED22D1">
        <w:trPr>
          <w:trHeight w:val="720"/>
        </w:trPr>
        <w:tc>
          <w:tcPr>
            <w:tcW w:w="7061" w:type="dxa"/>
            <w:gridSpan w:val="2"/>
            <w:tcBorders>
              <w:bottom w:val="single" w:sz="18" w:space="0" w:color="auto"/>
            </w:tcBorders>
          </w:tcPr>
          <w:p w:rsidR="00441083" w:rsidRPr="00ED22D1"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ED22D1">
              <w:rPr>
                <w:rFonts w:ascii="Univers" w:hAnsi="Univers"/>
                <w:b/>
                <w:sz w:val="28"/>
                <w:szCs w:val="28"/>
                <w:lang w:val="fr-CA"/>
              </w:rPr>
              <w:t>NATIONS</w:t>
            </w:r>
          </w:p>
          <w:p w:rsidR="00441083" w:rsidRPr="00ED22D1"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ED22D1">
              <w:rPr>
                <w:rFonts w:ascii="Univers" w:hAnsi="Univers"/>
                <w:b/>
                <w:sz w:val="28"/>
                <w:szCs w:val="28"/>
                <w:lang w:val="fr-CA"/>
              </w:rPr>
              <w:t xml:space="preserve">UNIES </w:t>
            </w:r>
          </w:p>
        </w:tc>
        <w:tc>
          <w:tcPr>
            <w:tcW w:w="3544" w:type="dxa"/>
            <w:tcBorders>
              <w:bottom w:val="single" w:sz="18" w:space="0" w:color="auto"/>
            </w:tcBorders>
          </w:tcPr>
          <w:p w:rsidR="00441083" w:rsidRPr="00ED22D1" w:rsidRDefault="00E60D9C">
            <w:pPr>
              <w:tabs>
                <w:tab w:val="left" w:pos="3010"/>
              </w:tabs>
              <w:jc w:val="center"/>
              <w:rPr>
                <w:sz w:val="52"/>
                <w:szCs w:val="52"/>
                <w:lang w:val="fr-CA"/>
              </w:rPr>
            </w:pPr>
            <w:r w:rsidRPr="00ED22D1">
              <w:rPr>
                <w:rFonts w:ascii="Univers Bold" w:hAnsi="Univers Bold"/>
                <w:b/>
                <w:sz w:val="72"/>
                <w:lang w:val="fr-CA"/>
              </w:rPr>
              <w:t xml:space="preserve">          EP</w:t>
            </w:r>
          </w:p>
        </w:tc>
      </w:tr>
      <w:tr w:rsidR="00441083" w:rsidRPr="00ED2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Pr="00ED22D1" w:rsidRDefault="00C6443E">
            <w:pPr>
              <w:spacing w:before="120"/>
              <w:rPr>
                <w:lang w:val="fr-CA"/>
              </w:rPr>
            </w:pPr>
            <w:r w:rsidRPr="00ED22D1">
              <w:rPr>
                <w:noProof/>
                <w:lang w:val="en-CA" w:eastAsia="en-CA"/>
              </w:rPr>
              <w:drawing>
                <wp:anchor distT="0" distB="0" distL="114300" distR="114300" simplePos="0" relativeHeight="251660288" behindDoc="0" locked="0" layoutInCell="1" allowOverlap="1">
                  <wp:simplePos x="0" y="0"/>
                  <wp:positionH relativeFrom="column">
                    <wp:posOffset>332105</wp:posOffset>
                  </wp:positionH>
                  <wp:positionV relativeFrom="paragraph">
                    <wp:posOffset>927735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ED22D1">
              <w:rPr>
                <w:noProof/>
                <w:lang w:val="en-CA" w:eastAsia="en-CA"/>
              </w:rPr>
              <w:drawing>
                <wp:anchor distT="0" distB="0" distL="114300" distR="114300" simplePos="0" relativeHeight="251661312" behindDoc="1" locked="0" layoutInCell="0" allowOverlap="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rsidR="00441083" w:rsidRPr="00ED22D1"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Pr="00ED22D1"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ED22D1">
              <w:rPr>
                <w:rFonts w:ascii="Univers" w:hAnsi="Univers"/>
                <w:b/>
                <w:sz w:val="32"/>
                <w:lang w:val="fr-CA"/>
              </w:rPr>
              <w:t>Programme des</w:t>
            </w:r>
          </w:p>
          <w:p w:rsidR="00441083" w:rsidRPr="00ED22D1" w:rsidRDefault="00E60D9C">
            <w:pPr>
              <w:rPr>
                <w:rFonts w:ascii="Univers" w:hAnsi="Univers"/>
                <w:b/>
                <w:sz w:val="32"/>
                <w:lang w:val="fr-CA"/>
              </w:rPr>
            </w:pPr>
            <w:r w:rsidRPr="00ED22D1">
              <w:rPr>
                <w:rFonts w:ascii="Univers" w:hAnsi="Univers"/>
                <w:b/>
                <w:sz w:val="32"/>
                <w:lang w:val="fr-CA"/>
              </w:rPr>
              <w:t>Nations Unies pour</w:t>
            </w:r>
          </w:p>
          <w:p w:rsidR="00441083" w:rsidRPr="00ED22D1" w:rsidRDefault="00E60D9C">
            <w:pPr>
              <w:rPr>
                <w:rFonts w:ascii="Univers" w:hAnsi="Univers"/>
                <w:b/>
                <w:sz w:val="32"/>
                <w:lang w:val="fr-CA"/>
              </w:rPr>
            </w:pPr>
            <w:r w:rsidRPr="00ED22D1">
              <w:rPr>
                <w:rFonts w:ascii="Univers" w:hAnsi="Univers"/>
                <w:b/>
                <w:sz w:val="32"/>
                <w:lang w:val="fr-CA"/>
              </w:rPr>
              <w:t>l’environnement</w:t>
            </w:r>
          </w:p>
          <w:p w:rsidR="00441083" w:rsidRPr="00ED22D1" w:rsidRDefault="00E60D9C">
            <w:pPr>
              <w:spacing w:before="720"/>
              <w:ind w:left="158"/>
              <w:rPr>
                <w:lang w:val="fr-CA"/>
              </w:rPr>
            </w:pPr>
            <w:r w:rsidRPr="00ED22D1">
              <w:rPr>
                <w:lang w:val="fr-CA"/>
              </w:rPr>
              <w:t xml:space="preserve"> </w:t>
            </w:r>
          </w:p>
        </w:tc>
        <w:tc>
          <w:tcPr>
            <w:tcW w:w="3544" w:type="dxa"/>
            <w:tcBorders>
              <w:top w:val="nil"/>
              <w:left w:val="nil"/>
              <w:bottom w:val="single" w:sz="36" w:space="0" w:color="auto"/>
              <w:right w:val="nil"/>
            </w:tcBorders>
          </w:tcPr>
          <w:p w:rsidR="00441083" w:rsidRPr="00ED22D1" w:rsidRDefault="00441083">
            <w:pPr>
              <w:rPr>
                <w:lang w:val="fr-CA"/>
              </w:rPr>
            </w:pPr>
          </w:p>
          <w:p w:rsidR="00441083" w:rsidRPr="00ED22D1" w:rsidRDefault="00E60D9C">
            <w:pPr>
              <w:rPr>
                <w:lang w:val="fr-CA"/>
              </w:rPr>
            </w:pPr>
            <w:r w:rsidRPr="00ED22D1">
              <w:rPr>
                <w:lang w:val="fr-CA"/>
              </w:rPr>
              <w:t>Distr.</w:t>
            </w:r>
          </w:p>
          <w:p w:rsidR="00441083" w:rsidRPr="00ED22D1" w:rsidRDefault="00E60D9C">
            <w:pPr>
              <w:rPr>
                <w:lang w:val="fr-CA"/>
              </w:rPr>
            </w:pPr>
            <w:r w:rsidRPr="00ED22D1">
              <w:rPr>
                <w:lang w:val="fr-CA"/>
              </w:rPr>
              <w:t>G</w:t>
            </w:r>
            <w:r w:rsidR="00EC0327" w:rsidRPr="00ED22D1">
              <w:rPr>
                <w:lang w:val="fr-CA"/>
              </w:rPr>
              <w:t>É</w:t>
            </w:r>
            <w:r w:rsidRPr="00ED22D1">
              <w:rPr>
                <w:lang w:val="fr-CA"/>
              </w:rPr>
              <w:t>N</w:t>
            </w:r>
            <w:r w:rsidR="00EC0327" w:rsidRPr="00ED22D1">
              <w:rPr>
                <w:lang w:val="fr-CA"/>
              </w:rPr>
              <w:t>É</w:t>
            </w:r>
            <w:r w:rsidRPr="00ED22D1">
              <w:rPr>
                <w:lang w:val="fr-CA"/>
              </w:rPr>
              <w:t>RAL</w:t>
            </w:r>
          </w:p>
          <w:p w:rsidR="00441083" w:rsidRPr="00ED22D1" w:rsidRDefault="00441083">
            <w:pPr>
              <w:rPr>
                <w:lang w:val="fr-CA"/>
              </w:rPr>
            </w:pPr>
          </w:p>
          <w:p w:rsidR="006F1CF0" w:rsidRPr="00510E9D" w:rsidRDefault="00485703" w:rsidP="00510E9D">
            <w:pPr>
              <w:jc w:val="left"/>
              <w:rPr>
                <w:caps/>
                <w:lang w:val="en-CA"/>
              </w:rPr>
            </w:pPr>
            <w:r>
              <w:fldChar w:fldCharType="begin"/>
            </w:r>
            <w:r w:rsidRPr="00510E9D">
              <w:rPr>
                <w:lang w:val="en-CA"/>
              </w:rPr>
              <w:instrText xml:space="preserve"> DOCPROPERTY "Document number"  \* MERGEFORMAT </w:instrText>
            </w:r>
            <w:r>
              <w:fldChar w:fldCharType="separate"/>
            </w:r>
            <w:r w:rsidRPr="00510E9D">
              <w:rPr>
                <w:lang w:val="en-CA"/>
              </w:rPr>
              <w:t>UNEP/OzL.Pro/ExCom/83/22</w:t>
            </w:r>
            <w:r>
              <w:rPr>
                <w:lang w:val="fr-CA"/>
              </w:rPr>
              <w:fldChar w:fldCharType="end"/>
            </w:r>
            <w:r w:rsidR="001C722B" w:rsidRPr="00510E9D">
              <w:rPr>
                <w:lang w:val="en-CA"/>
              </w:rPr>
              <w:br/>
            </w:r>
            <w:bookmarkStart w:id="0" w:name="_GoBack"/>
            <w:bookmarkEnd w:id="0"/>
            <w:r w:rsidR="00D535F6" w:rsidRPr="00ED22D1">
              <w:rPr>
                <w:lang w:val="fr-CA"/>
              </w:rPr>
              <w:fldChar w:fldCharType="begin"/>
            </w:r>
            <w:r w:rsidR="001C722B" w:rsidRPr="00510E9D">
              <w:rPr>
                <w:lang w:val="en-CA"/>
              </w:rPr>
              <w:instrText xml:space="preserve"> DOCPROPERTY "Revision date" \@ "d MMMM YYYY"  \* MERGEFORMAT </w:instrText>
            </w:r>
            <w:r w:rsidR="00D535F6" w:rsidRPr="00ED22D1">
              <w:rPr>
                <w:lang w:val="fr-CA"/>
              </w:rPr>
              <w:fldChar w:fldCharType="separate"/>
            </w:r>
            <w:r w:rsidR="001C722B" w:rsidRPr="00510E9D">
              <w:rPr>
                <w:lang w:val="en-CA"/>
              </w:rPr>
              <w:t xml:space="preserve">3 </w:t>
            </w:r>
            <w:r w:rsidR="004A6828" w:rsidRPr="00510E9D">
              <w:rPr>
                <w:lang w:val="en-CA"/>
              </w:rPr>
              <w:t>mai</w:t>
            </w:r>
            <w:r w:rsidR="001C722B" w:rsidRPr="00510E9D">
              <w:rPr>
                <w:lang w:val="en-CA"/>
              </w:rPr>
              <w:t xml:space="preserve"> 2019</w:t>
            </w:r>
            <w:r w:rsidR="00D535F6" w:rsidRPr="00ED22D1">
              <w:rPr>
                <w:lang w:val="fr-CA"/>
              </w:rPr>
              <w:fldChar w:fldCharType="end"/>
            </w:r>
            <w:r w:rsidR="00FC5578" w:rsidRPr="00510E9D">
              <w:rPr>
                <w:caps/>
                <w:lang w:val="en-CA"/>
              </w:rPr>
              <w:br/>
            </w:r>
          </w:p>
          <w:p w:rsidR="00441083" w:rsidRPr="00ED22D1" w:rsidRDefault="00E60D9C" w:rsidP="001C722B">
            <w:pPr>
              <w:jc w:val="left"/>
              <w:rPr>
                <w:caps/>
                <w:lang w:val="fr-CA"/>
              </w:rPr>
            </w:pPr>
            <w:r w:rsidRPr="00ED22D1">
              <w:rPr>
                <w:caps/>
                <w:lang w:val="fr-CA"/>
              </w:rPr>
              <w:t>FRANÇAIS</w:t>
            </w:r>
          </w:p>
          <w:p w:rsidR="00441083" w:rsidRPr="00ED22D1" w:rsidRDefault="00E60D9C" w:rsidP="004A6828">
            <w:pPr>
              <w:rPr>
                <w:lang w:val="fr-CA"/>
              </w:rPr>
            </w:pPr>
            <w:r w:rsidRPr="00ED22D1">
              <w:rPr>
                <w:lang w:val="fr-CA"/>
              </w:rPr>
              <w:t>ORIGINAL</w:t>
            </w:r>
            <w:r w:rsidR="00791BF7" w:rsidRPr="00ED22D1">
              <w:rPr>
                <w:lang w:val="fr-CA"/>
              </w:rPr>
              <w:t> :</w:t>
            </w:r>
            <w:r w:rsidRPr="00ED22D1">
              <w:rPr>
                <w:lang w:val="fr-CA"/>
              </w:rPr>
              <w:t xml:space="preserve"> </w:t>
            </w:r>
            <w:r w:rsidR="0091161A" w:rsidRPr="00ED22D1">
              <w:rPr>
                <w:lang w:val="fr-CA"/>
              </w:rPr>
              <w:t>ANGLAIS</w:t>
            </w:r>
          </w:p>
        </w:tc>
      </w:tr>
    </w:tbl>
    <w:p w:rsidR="00441083" w:rsidRPr="00ED22D1" w:rsidRDefault="00441083">
      <w:pPr>
        <w:jc w:val="left"/>
        <w:rPr>
          <w:lang w:val="fr-CA"/>
        </w:rPr>
      </w:pPr>
    </w:p>
    <w:p w:rsidR="00441083" w:rsidRPr="00ED22D1" w:rsidRDefault="00E60D9C" w:rsidP="004C2C87">
      <w:pPr>
        <w:jc w:val="left"/>
        <w:rPr>
          <w:lang w:val="fr-CA"/>
        </w:rPr>
      </w:pPr>
      <w:r w:rsidRPr="00ED22D1">
        <w:rPr>
          <w:lang w:val="fr-CA"/>
        </w:rPr>
        <w:t>COMITE EX</w:t>
      </w:r>
      <w:r w:rsidR="00EC0327" w:rsidRPr="00ED22D1">
        <w:rPr>
          <w:lang w:val="fr-CA"/>
        </w:rPr>
        <w:t>É</w:t>
      </w:r>
      <w:r w:rsidRPr="00ED22D1">
        <w:rPr>
          <w:lang w:val="fr-CA"/>
        </w:rPr>
        <w:t xml:space="preserve">CUTIF </w:t>
      </w:r>
      <w:r w:rsidRPr="00ED22D1">
        <w:rPr>
          <w:lang w:val="fr-CA"/>
        </w:rPr>
        <w:br/>
        <w:t xml:space="preserve">  DU FONDS MULTILAT</w:t>
      </w:r>
      <w:r w:rsidR="00EC0327" w:rsidRPr="00ED22D1">
        <w:rPr>
          <w:lang w:val="fr-CA"/>
        </w:rPr>
        <w:t>É</w:t>
      </w:r>
      <w:r w:rsidRPr="00ED22D1">
        <w:rPr>
          <w:lang w:val="fr-CA"/>
        </w:rPr>
        <w:t xml:space="preserve">RAL AUX FINS </w:t>
      </w:r>
      <w:r w:rsidRPr="00ED22D1">
        <w:rPr>
          <w:lang w:val="fr-CA"/>
        </w:rPr>
        <w:br/>
        <w:t xml:space="preserve">  D’APPLICATION DU PROTOCOLE DE MONTR</w:t>
      </w:r>
      <w:r w:rsidR="00EC0327" w:rsidRPr="00ED22D1">
        <w:rPr>
          <w:lang w:val="fr-CA"/>
        </w:rPr>
        <w:t>É</w:t>
      </w:r>
      <w:r w:rsidRPr="00ED22D1">
        <w:rPr>
          <w:lang w:val="fr-CA"/>
        </w:rPr>
        <w:t>AL</w:t>
      </w:r>
      <w:r w:rsidRPr="00ED22D1">
        <w:rPr>
          <w:lang w:val="fr-CA"/>
        </w:rPr>
        <w:br/>
      </w:r>
      <w:r w:rsidR="00E54871" w:rsidRPr="00ED22D1">
        <w:rPr>
          <w:lang w:val="fr-CA"/>
        </w:rPr>
        <w:t>Quatre</w:t>
      </w:r>
      <w:r w:rsidRPr="00ED22D1">
        <w:rPr>
          <w:lang w:val="fr-CA"/>
        </w:rPr>
        <w:t>-</w:t>
      </w:r>
      <w:r w:rsidR="00E54871" w:rsidRPr="00ED22D1">
        <w:rPr>
          <w:lang w:val="fr-CA"/>
        </w:rPr>
        <w:t>vingt</w:t>
      </w:r>
      <w:r w:rsidR="00AE63D8" w:rsidRPr="00ED22D1">
        <w:rPr>
          <w:lang w:val="fr-CA"/>
        </w:rPr>
        <w:t>-</w:t>
      </w:r>
      <w:r w:rsidR="004C2C87" w:rsidRPr="00ED22D1">
        <w:rPr>
          <w:lang w:val="fr-CA"/>
        </w:rPr>
        <w:t>troisi</w:t>
      </w:r>
      <w:r w:rsidR="00E54871" w:rsidRPr="00ED22D1">
        <w:rPr>
          <w:lang w:val="fr-CA"/>
        </w:rPr>
        <w:t>ème</w:t>
      </w:r>
      <w:r w:rsidR="00FC5578" w:rsidRPr="00ED22D1">
        <w:rPr>
          <w:lang w:val="fr-CA"/>
        </w:rPr>
        <w:t xml:space="preserve"> </w:t>
      </w:r>
      <w:r w:rsidRPr="00ED22D1">
        <w:rPr>
          <w:lang w:val="fr-CA"/>
        </w:rPr>
        <w:t>réunion</w:t>
      </w:r>
    </w:p>
    <w:p w:rsidR="00441083" w:rsidRPr="00ED22D1" w:rsidRDefault="00E54871" w:rsidP="004C2C87">
      <w:pPr>
        <w:jc w:val="left"/>
        <w:rPr>
          <w:lang w:val="fr-CA"/>
        </w:rPr>
      </w:pPr>
      <w:r w:rsidRPr="00ED22D1">
        <w:rPr>
          <w:lang w:val="fr-CA"/>
        </w:rPr>
        <w:t>Montréal,</w:t>
      </w:r>
      <w:r w:rsidR="00FC5578" w:rsidRPr="00ED22D1">
        <w:rPr>
          <w:lang w:val="fr-CA"/>
        </w:rPr>
        <w:t xml:space="preserve"> </w:t>
      </w:r>
      <w:r w:rsidR="004C2C87" w:rsidRPr="00ED22D1">
        <w:rPr>
          <w:lang w:val="fr-CA"/>
        </w:rPr>
        <w:t>27</w:t>
      </w:r>
      <w:r w:rsidR="00E60D9C" w:rsidRPr="00ED22D1">
        <w:rPr>
          <w:lang w:val="fr-CA"/>
        </w:rPr>
        <w:t xml:space="preserve">– </w:t>
      </w:r>
      <w:r w:rsidR="004C2C87" w:rsidRPr="00ED22D1">
        <w:rPr>
          <w:lang w:val="fr-CA"/>
        </w:rPr>
        <w:t>31</w:t>
      </w:r>
      <w:r w:rsidR="00E60D9C" w:rsidRPr="00ED22D1">
        <w:rPr>
          <w:lang w:val="fr-CA"/>
        </w:rPr>
        <w:t xml:space="preserve"> </w:t>
      </w:r>
      <w:r w:rsidR="004C2C87" w:rsidRPr="00ED22D1">
        <w:rPr>
          <w:lang w:val="fr-CA"/>
        </w:rPr>
        <w:t>mai 2019</w:t>
      </w:r>
    </w:p>
    <w:p w:rsidR="00441083" w:rsidRPr="00ED22D1" w:rsidRDefault="00441083">
      <w:pPr>
        <w:jc w:val="left"/>
        <w:rPr>
          <w:lang w:val="fr-CA"/>
        </w:rPr>
      </w:pPr>
    </w:p>
    <w:p w:rsidR="00441083" w:rsidRPr="00ED22D1" w:rsidRDefault="00441083">
      <w:pPr>
        <w:pStyle w:val="Title1"/>
        <w:rPr>
          <w:lang w:val="fr-CA"/>
        </w:rPr>
      </w:pPr>
    </w:p>
    <w:p w:rsidR="0085675A" w:rsidRPr="00ED22D1" w:rsidRDefault="00D26EF9" w:rsidP="0085675A">
      <w:pPr>
        <w:pStyle w:val="Title1"/>
        <w:rPr>
          <w:lang w:val="fr-CA"/>
        </w:rPr>
      </w:pPr>
      <w:r w:rsidRPr="00ED22D1">
        <w:rPr>
          <w:lang w:val="fr-CA"/>
        </w:rPr>
        <w:t>PROPOSITIONS DE PROJETS</w:t>
      </w:r>
      <w:r w:rsidR="00791BF7" w:rsidRPr="00ED22D1">
        <w:rPr>
          <w:lang w:val="fr-CA"/>
        </w:rPr>
        <w:t> :</w:t>
      </w:r>
      <w:r w:rsidR="0085675A" w:rsidRPr="00ED22D1">
        <w:rPr>
          <w:lang w:val="fr-CA"/>
        </w:rPr>
        <w:t xml:space="preserve"> </w:t>
      </w:r>
      <w:r w:rsidRPr="00ED22D1">
        <w:rPr>
          <w:lang w:val="fr-CA"/>
        </w:rPr>
        <w:t>CHINE</w:t>
      </w:r>
    </w:p>
    <w:p w:rsidR="0085675A" w:rsidRPr="00ED22D1" w:rsidRDefault="0085675A" w:rsidP="0085675A">
      <w:pPr>
        <w:pStyle w:val="Title1"/>
        <w:rPr>
          <w:lang w:val="fr-CA"/>
        </w:rPr>
      </w:pPr>
    </w:p>
    <w:p w:rsidR="0085675A" w:rsidRPr="00ED22D1" w:rsidRDefault="0085675A" w:rsidP="0085675A">
      <w:pPr>
        <w:rPr>
          <w:lang w:val="fr-CA"/>
        </w:rPr>
      </w:pPr>
    </w:p>
    <w:p w:rsidR="0085675A" w:rsidRPr="00ED22D1" w:rsidRDefault="0052712E" w:rsidP="0085675A">
      <w:pPr>
        <w:ind w:firstLine="720"/>
        <w:rPr>
          <w:lang w:val="fr-CA"/>
        </w:rPr>
      </w:pPr>
      <w:r w:rsidRPr="00ED22D1">
        <w:rPr>
          <w:lang w:val="fr-CA"/>
        </w:rPr>
        <w:t>Le présent document comporte les commentaires et les recommandations</w:t>
      </w:r>
      <w:r w:rsidR="0085675A" w:rsidRPr="00ED22D1">
        <w:rPr>
          <w:lang w:val="fr-CA"/>
        </w:rPr>
        <w:t xml:space="preserve"> </w:t>
      </w:r>
      <w:r w:rsidRPr="00ED22D1">
        <w:rPr>
          <w:lang w:val="fr-CA"/>
        </w:rPr>
        <w:t>du Secrétariat du Fonds</w:t>
      </w:r>
      <w:r w:rsidR="0085675A" w:rsidRPr="00ED22D1">
        <w:rPr>
          <w:lang w:val="fr-CA"/>
        </w:rPr>
        <w:t xml:space="preserve"> </w:t>
      </w:r>
      <w:r w:rsidRPr="00ED22D1">
        <w:rPr>
          <w:lang w:val="fr-CA"/>
        </w:rPr>
        <w:t>sur les propositions de projets suivantes</w:t>
      </w:r>
      <w:r w:rsidR="00791BF7" w:rsidRPr="00ED22D1">
        <w:rPr>
          <w:lang w:val="fr-CA"/>
        </w:rPr>
        <w:t> :</w:t>
      </w:r>
    </w:p>
    <w:p w:rsidR="0085675A" w:rsidRPr="00ED22D1" w:rsidRDefault="0085675A" w:rsidP="0085675A">
      <w:pPr>
        <w:rPr>
          <w:lang w:val="fr-CA"/>
        </w:rPr>
      </w:pPr>
    </w:p>
    <w:p w:rsidR="0085675A" w:rsidRPr="00ED22D1" w:rsidRDefault="004A6828" w:rsidP="0085675A">
      <w:pPr>
        <w:rPr>
          <w:u w:val="single"/>
          <w:lang w:val="fr-CA"/>
        </w:rPr>
      </w:pPr>
      <w:r w:rsidRPr="00ED22D1">
        <w:rPr>
          <w:u w:val="single"/>
          <w:lang w:val="fr-CA"/>
        </w:rPr>
        <w:t>Élimination</w:t>
      </w:r>
    </w:p>
    <w:p w:rsidR="0085675A" w:rsidRPr="00ED22D1" w:rsidRDefault="0085675A" w:rsidP="0085675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3791"/>
      </w:tblGrid>
      <w:tr w:rsidR="0085675A" w:rsidRPr="00ED22D1" w:rsidTr="0085675A">
        <w:tc>
          <w:tcPr>
            <w:tcW w:w="5569" w:type="dxa"/>
          </w:tcPr>
          <w:p w:rsidR="0085675A" w:rsidRPr="00ED22D1" w:rsidRDefault="004A6828" w:rsidP="0085675A">
            <w:pPr>
              <w:pStyle w:val="ListParagraph"/>
              <w:numPr>
                <w:ilvl w:val="0"/>
                <w:numId w:val="23"/>
              </w:numPr>
              <w:ind w:hanging="720"/>
              <w:rPr>
                <w:lang w:val="fr-CA"/>
              </w:rPr>
            </w:pPr>
            <w:r w:rsidRPr="00ED22D1">
              <w:rPr>
                <w:lang w:val="fr-CA"/>
              </w:rPr>
              <w:t>Plan d’élimination des HCFC</w:t>
            </w:r>
            <w:r w:rsidR="0085675A" w:rsidRPr="00ED22D1">
              <w:rPr>
                <w:lang w:val="fr-CA"/>
              </w:rPr>
              <w:t xml:space="preserve"> </w:t>
            </w:r>
            <w:r w:rsidRPr="00ED22D1">
              <w:rPr>
                <w:lang w:val="fr-CA"/>
              </w:rPr>
              <w:t>(phase</w:t>
            </w:r>
            <w:r w:rsidR="0085675A" w:rsidRPr="00ED22D1">
              <w:rPr>
                <w:lang w:val="fr-CA"/>
              </w:rPr>
              <w:t> I)</w:t>
            </w:r>
            <w:r w:rsidR="00791BF7" w:rsidRPr="00ED22D1">
              <w:rPr>
                <w:lang w:val="fr-CA"/>
              </w:rPr>
              <w:t> :</w:t>
            </w:r>
          </w:p>
          <w:p w:rsidR="0085675A" w:rsidRPr="00ED22D1" w:rsidRDefault="0085675A" w:rsidP="0085675A">
            <w:pPr>
              <w:rPr>
                <w:lang w:val="fr-CA"/>
              </w:rPr>
            </w:pPr>
          </w:p>
          <w:p w:rsidR="0085675A" w:rsidRPr="00ED22D1" w:rsidRDefault="0085675A" w:rsidP="0085675A">
            <w:pPr>
              <w:rPr>
                <w:lang w:val="fr-CA"/>
              </w:rPr>
            </w:pPr>
          </w:p>
          <w:p w:rsidR="0085675A" w:rsidRPr="00ED22D1" w:rsidRDefault="004A6828" w:rsidP="0085675A">
            <w:pPr>
              <w:ind w:left="720"/>
              <w:rPr>
                <w:lang w:val="fr-CA"/>
              </w:rPr>
            </w:pPr>
            <w:r w:rsidRPr="00ED22D1">
              <w:rPr>
                <w:lang w:val="fr-CA"/>
              </w:rPr>
              <w:t>Fabrication de climatiseurs résidentiels</w:t>
            </w:r>
            <w:r w:rsidR="0085675A" w:rsidRPr="00ED22D1">
              <w:rPr>
                <w:lang w:val="fr-CA"/>
              </w:rPr>
              <w:t xml:space="preserve"> – </w:t>
            </w:r>
            <w:r w:rsidRPr="00ED22D1">
              <w:rPr>
                <w:lang w:val="fr-CA"/>
              </w:rPr>
              <w:t>rapport périodique révisé</w:t>
            </w:r>
          </w:p>
          <w:p w:rsidR="0085675A" w:rsidRPr="00ED22D1" w:rsidRDefault="0085675A" w:rsidP="0085675A">
            <w:pPr>
              <w:ind w:left="720"/>
              <w:rPr>
                <w:lang w:val="fr-CA"/>
              </w:rPr>
            </w:pPr>
          </w:p>
        </w:tc>
        <w:tc>
          <w:tcPr>
            <w:tcW w:w="3791" w:type="dxa"/>
          </w:tcPr>
          <w:p w:rsidR="004A6828" w:rsidRPr="00ED22D1" w:rsidRDefault="001C722B" w:rsidP="0085675A">
            <w:pPr>
              <w:jc w:val="right"/>
              <w:rPr>
                <w:lang w:val="fr-CA"/>
              </w:rPr>
            </w:pPr>
            <w:r w:rsidRPr="00ED22D1">
              <w:rPr>
                <w:lang w:val="fr-CA"/>
              </w:rPr>
              <w:t>PNUD</w:t>
            </w:r>
            <w:r w:rsidR="001F19C1" w:rsidRPr="00ED22D1">
              <w:rPr>
                <w:lang w:val="fr-CA"/>
              </w:rPr>
              <w:t>, PNUE, ONUDI</w:t>
            </w:r>
            <w:r w:rsidR="0085675A" w:rsidRPr="00ED22D1">
              <w:rPr>
                <w:lang w:val="fr-CA"/>
              </w:rPr>
              <w:t xml:space="preserve">, </w:t>
            </w:r>
          </w:p>
          <w:p w:rsidR="0085675A" w:rsidRPr="00ED22D1" w:rsidRDefault="004A6828" w:rsidP="0085675A">
            <w:pPr>
              <w:jc w:val="right"/>
              <w:rPr>
                <w:lang w:val="fr-CA"/>
              </w:rPr>
            </w:pPr>
            <w:r w:rsidRPr="00ED22D1">
              <w:rPr>
                <w:lang w:val="fr-CA"/>
              </w:rPr>
              <w:t>Banque mondiale</w:t>
            </w:r>
            <w:r w:rsidR="0085675A" w:rsidRPr="00ED22D1">
              <w:rPr>
                <w:lang w:val="fr-CA"/>
              </w:rPr>
              <w:t>,</w:t>
            </w:r>
          </w:p>
          <w:p w:rsidR="0085675A" w:rsidRPr="00ED22D1" w:rsidRDefault="004A6828" w:rsidP="0085675A">
            <w:pPr>
              <w:jc w:val="right"/>
              <w:rPr>
                <w:lang w:val="fr-CA"/>
              </w:rPr>
            </w:pPr>
            <w:r w:rsidRPr="00ED22D1">
              <w:rPr>
                <w:lang w:val="fr-CA"/>
              </w:rPr>
              <w:t>Allemagne</w:t>
            </w:r>
            <w:r w:rsidR="0085675A" w:rsidRPr="00ED22D1">
              <w:rPr>
                <w:lang w:val="fr-CA"/>
              </w:rPr>
              <w:t>,</w:t>
            </w:r>
            <w:r w:rsidRPr="00ED22D1">
              <w:rPr>
                <w:lang w:val="fr-CA"/>
              </w:rPr>
              <w:t xml:space="preserve"> et Japon</w:t>
            </w:r>
          </w:p>
          <w:p w:rsidR="0085675A" w:rsidRPr="00ED22D1" w:rsidRDefault="0085675A" w:rsidP="0085675A">
            <w:pPr>
              <w:jc w:val="right"/>
              <w:rPr>
                <w:lang w:val="fr-CA"/>
              </w:rPr>
            </w:pPr>
          </w:p>
          <w:p w:rsidR="0085675A" w:rsidRPr="00ED22D1" w:rsidRDefault="004A6828" w:rsidP="0085675A">
            <w:pPr>
              <w:jc w:val="right"/>
              <w:rPr>
                <w:lang w:val="fr-CA"/>
              </w:rPr>
            </w:pPr>
            <w:r w:rsidRPr="00ED22D1">
              <w:rPr>
                <w:lang w:val="fr-CA"/>
              </w:rPr>
              <w:t>ONUDI</w:t>
            </w:r>
          </w:p>
          <w:p w:rsidR="0085675A" w:rsidRPr="00ED22D1" w:rsidRDefault="0085675A" w:rsidP="0085675A">
            <w:pPr>
              <w:jc w:val="right"/>
              <w:rPr>
                <w:lang w:val="fr-CA"/>
              </w:rPr>
            </w:pPr>
          </w:p>
        </w:tc>
      </w:tr>
      <w:tr w:rsidR="0085675A" w:rsidRPr="00ED22D1" w:rsidTr="0085675A">
        <w:tc>
          <w:tcPr>
            <w:tcW w:w="5569" w:type="dxa"/>
          </w:tcPr>
          <w:p w:rsidR="0085675A" w:rsidRPr="00ED22D1" w:rsidRDefault="0085675A" w:rsidP="0085675A">
            <w:pPr>
              <w:rPr>
                <w:lang w:val="fr-CA"/>
              </w:rPr>
            </w:pPr>
          </w:p>
        </w:tc>
        <w:tc>
          <w:tcPr>
            <w:tcW w:w="3791" w:type="dxa"/>
          </w:tcPr>
          <w:p w:rsidR="0085675A" w:rsidRPr="00ED22D1" w:rsidRDefault="0085675A" w:rsidP="0085675A">
            <w:pPr>
              <w:jc w:val="right"/>
              <w:rPr>
                <w:lang w:val="fr-CA"/>
              </w:rPr>
            </w:pPr>
          </w:p>
        </w:tc>
      </w:tr>
      <w:tr w:rsidR="0085675A" w:rsidRPr="00510E9D" w:rsidTr="0085675A">
        <w:tc>
          <w:tcPr>
            <w:tcW w:w="5569" w:type="dxa"/>
          </w:tcPr>
          <w:p w:rsidR="0085675A" w:rsidRPr="00ED22D1" w:rsidRDefault="004A6828" w:rsidP="0085675A">
            <w:pPr>
              <w:pStyle w:val="ListParagraph"/>
              <w:numPr>
                <w:ilvl w:val="0"/>
                <w:numId w:val="23"/>
              </w:numPr>
              <w:ind w:hanging="720"/>
              <w:rPr>
                <w:lang w:val="fr-CA"/>
              </w:rPr>
            </w:pPr>
            <w:r w:rsidRPr="00ED22D1">
              <w:rPr>
                <w:lang w:val="fr-CA"/>
              </w:rPr>
              <w:t>Plan d’élimination des HCFC</w:t>
            </w:r>
            <w:r w:rsidR="0085675A" w:rsidRPr="00ED22D1">
              <w:rPr>
                <w:lang w:val="fr-CA"/>
              </w:rPr>
              <w:t xml:space="preserve"> </w:t>
            </w:r>
            <w:r w:rsidRPr="00ED22D1">
              <w:rPr>
                <w:lang w:val="fr-CA"/>
              </w:rPr>
              <w:t>(phase</w:t>
            </w:r>
            <w:r w:rsidR="0085675A" w:rsidRPr="00ED22D1">
              <w:rPr>
                <w:lang w:val="fr-CA"/>
              </w:rPr>
              <w:t> II)</w:t>
            </w:r>
            <w:r w:rsidR="00791BF7" w:rsidRPr="00ED22D1">
              <w:rPr>
                <w:lang w:val="fr-CA"/>
              </w:rPr>
              <w:t> :</w:t>
            </w:r>
          </w:p>
          <w:p w:rsidR="0085675A" w:rsidRPr="00ED22D1" w:rsidRDefault="0085675A" w:rsidP="0085675A">
            <w:pPr>
              <w:rPr>
                <w:lang w:val="fr-CA"/>
              </w:rPr>
            </w:pPr>
          </w:p>
          <w:p w:rsidR="0085675A" w:rsidRPr="00ED22D1" w:rsidRDefault="0085675A" w:rsidP="0085675A">
            <w:pPr>
              <w:rPr>
                <w:lang w:val="fr-CA"/>
              </w:rPr>
            </w:pPr>
          </w:p>
          <w:p w:rsidR="0085675A" w:rsidRPr="00ED22D1" w:rsidRDefault="004A6828" w:rsidP="0085675A">
            <w:pPr>
              <w:pStyle w:val="ListParagraph"/>
              <w:rPr>
                <w:lang w:val="fr-CA"/>
              </w:rPr>
            </w:pPr>
            <w:r w:rsidRPr="00ED22D1">
              <w:rPr>
                <w:lang w:val="fr-CA"/>
              </w:rPr>
              <w:t>Plan du secteur des mousses de polystyrène extrudées</w:t>
            </w:r>
            <w:r w:rsidR="0085675A" w:rsidRPr="00ED22D1">
              <w:rPr>
                <w:lang w:val="fr-CA"/>
              </w:rPr>
              <w:t xml:space="preserve"> – </w:t>
            </w:r>
            <w:r w:rsidRPr="00ED22D1">
              <w:rPr>
                <w:lang w:val="fr-CA"/>
              </w:rPr>
              <w:t>troisième</w:t>
            </w:r>
            <w:r w:rsidR="0085675A" w:rsidRPr="00ED22D1">
              <w:rPr>
                <w:lang w:val="fr-CA"/>
              </w:rPr>
              <w:t xml:space="preserve"> tranche</w:t>
            </w:r>
          </w:p>
          <w:p w:rsidR="0085675A" w:rsidRPr="00ED22D1" w:rsidRDefault="0085675A" w:rsidP="0085675A">
            <w:pPr>
              <w:pStyle w:val="ListParagraph"/>
              <w:rPr>
                <w:lang w:val="fr-CA"/>
              </w:rPr>
            </w:pPr>
          </w:p>
          <w:p w:rsidR="0085675A" w:rsidRPr="00ED22D1" w:rsidRDefault="004A6828" w:rsidP="0085675A">
            <w:pPr>
              <w:pStyle w:val="ListParagraph"/>
              <w:rPr>
                <w:lang w:val="fr-CA"/>
              </w:rPr>
            </w:pPr>
            <w:r w:rsidRPr="00ED22D1">
              <w:rPr>
                <w:lang w:val="fr-CA"/>
              </w:rPr>
              <w:t>Plan du secteur de la climatisation et de la réfrigération industrielle et commerciale</w:t>
            </w:r>
            <w:r w:rsidR="0085675A" w:rsidRPr="00ED22D1">
              <w:rPr>
                <w:lang w:val="fr-CA"/>
              </w:rPr>
              <w:t xml:space="preserve"> – </w:t>
            </w:r>
            <w:r w:rsidRPr="00ED22D1">
              <w:rPr>
                <w:lang w:val="fr-CA"/>
              </w:rPr>
              <w:t>troisième</w:t>
            </w:r>
            <w:r w:rsidR="0085675A" w:rsidRPr="00ED22D1">
              <w:rPr>
                <w:lang w:val="fr-CA"/>
              </w:rPr>
              <w:t xml:space="preserve"> tranche</w:t>
            </w:r>
          </w:p>
          <w:p w:rsidR="0085675A" w:rsidRPr="00ED22D1" w:rsidRDefault="0085675A" w:rsidP="0085675A">
            <w:pPr>
              <w:pStyle w:val="ListParagraph"/>
              <w:rPr>
                <w:strike/>
                <w:lang w:val="fr-CA"/>
              </w:rPr>
            </w:pPr>
          </w:p>
          <w:p w:rsidR="0085675A" w:rsidRPr="00ED22D1" w:rsidRDefault="004A6828" w:rsidP="0085675A">
            <w:pPr>
              <w:pStyle w:val="ListParagraph"/>
              <w:rPr>
                <w:strike/>
                <w:lang w:val="fr-CA"/>
              </w:rPr>
            </w:pPr>
            <w:r w:rsidRPr="00ED22D1">
              <w:rPr>
                <w:lang w:val="fr-CA"/>
              </w:rPr>
              <w:t>Plan du secteur de l’entretien en réfrigération et programme national habilitant</w:t>
            </w:r>
            <w:r w:rsidR="0085675A" w:rsidRPr="00ED22D1">
              <w:rPr>
                <w:lang w:val="fr-CA"/>
              </w:rPr>
              <w:t xml:space="preserve"> – </w:t>
            </w:r>
            <w:r w:rsidRPr="00ED22D1">
              <w:rPr>
                <w:lang w:val="fr-CA"/>
              </w:rPr>
              <w:t>troisième</w:t>
            </w:r>
            <w:r w:rsidR="0085675A" w:rsidRPr="00ED22D1">
              <w:rPr>
                <w:lang w:val="fr-CA"/>
              </w:rPr>
              <w:t xml:space="preserve"> tranche</w:t>
            </w:r>
          </w:p>
          <w:p w:rsidR="0085675A" w:rsidRPr="00ED22D1" w:rsidRDefault="0085675A" w:rsidP="0085675A">
            <w:pPr>
              <w:pStyle w:val="ListParagraph"/>
              <w:rPr>
                <w:strike/>
                <w:lang w:val="fr-CA"/>
              </w:rPr>
            </w:pPr>
          </w:p>
          <w:p w:rsidR="0085675A" w:rsidRPr="00ED22D1" w:rsidRDefault="004A6828" w:rsidP="0085675A">
            <w:pPr>
              <w:pStyle w:val="ListParagraph"/>
              <w:rPr>
                <w:lang w:val="fr-CA"/>
              </w:rPr>
            </w:pPr>
            <w:r w:rsidRPr="00ED22D1">
              <w:rPr>
                <w:lang w:val="fr-CA"/>
              </w:rPr>
              <w:t>Plan du secteur des solvants</w:t>
            </w:r>
            <w:r w:rsidR="0085675A" w:rsidRPr="00ED22D1">
              <w:rPr>
                <w:lang w:val="fr-CA"/>
              </w:rPr>
              <w:t xml:space="preserve"> - </w:t>
            </w:r>
            <w:r w:rsidRPr="00ED22D1">
              <w:rPr>
                <w:lang w:val="fr-CA"/>
              </w:rPr>
              <w:t>troisième</w:t>
            </w:r>
            <w:r w:rsidR="0085675A" w:rsidRPr="00ED22D1">
              <w:rPr>
                <w:lang w:val="fr-CA"/>
              </w:rPr>
              <w:t xml:space="preserve"> tranche</w:t>
            </w:r>
          </w:p>
          <w:p w:rsidR="0085675A" w:rsidRPr="00ED22D1" w:rsidRDefault="0085675A" w:rsidP="0085675A">
            <w:pPr>
              <w:pStyle w:val="ListParagraph"/>
              <w:rPr>
                <w:lang w:val="fr-CA"/>
              </w:rPr>
            </w:pPr>
          </w:p>
        </w:tc>
        <w:tc>
          <w:tcPr>
            <w:tcW w:w="3791" w:type="dxa"/>
          </w:tcPr>
          <w:p w:rsidR="004A6828" w:rsidRPr="00ED22D1" w:rsidRDefault="001C722B" w:rsidP="0085675A">
            <w:pPr>
              <w:jc w:val="right"/>
              <w:rPr>
                <w:lang w:val="fr-CA"/>
              </w:rPr>
            </w:pPr>
            <w:r w:rsidRPr="00ED22D1">
              <w:rPr>
                <w:lang w:val="fr-CA"/>
              </w:rPr>
              <w:t>PNUD</w:t>
            </w:r>
            <w:r w:rsidR="001F19C1" w:rsidRPr="00ED22D1">
              <w:rPr>
                <w:lang w:val="fr-CA"/>
              </w:rPr>
              <w:t>, PNUE, ONUDI</w:t>
            </w:r>
            <w:r w:rsidR="0085675A" w:rsidRPr="00ED22D1">
              <w:rPr>
                <w:lang w:val="fr-CA"/>
              </w:rPr>
              <w:t xml:space="preserve">, </w:t>
            </w:r>
          </w:p>
          <w:p w:rsidR="0085675A" w:rsidRPr="00ED22D1" w:rsidRDefault="004A6828" w:rsidP="0085675A">
            <w:pPr>
              <w:jc w:val="right"/>
              <w:rPr>
                <w:lang w:val="fr-CA"/>
              </w:rPr>
            </w:pPr>
            <w:r w:rsidRPr="00ED22D1">
              <w:rPr>
                <w:lang w:val="fr-CA"/>
              </w:rPr>
              <w:t>Banque mondiale</w:t>
            </w:r>
            <w:r w:rsidR="0085675A" w:rsidRPr="00ED22D1">
              <w:rPr>
                <w:lang w:val="fr-CA"/>
              </w:rPr>
              <w:t>,</w:t>
            </w:r>
          </w:p>
          <w:p w:rsidR="0085675A" w:rsidRPr="00ED22D1" w:rsidRDefault="0085675A" w:rsidP="0085675A">
            <w:pPr>
              <w:jc w:val="right"/>
              <w:rPr>
                <w:lang w:val="fr-CA"/>
              </w:rPr>
            </w:pPr>
            <w:r w:rsidRPr="00ED22D1">
              <w:rPr>
                <w:lang w:val="fr-CA"/>
              </w:rPr>
              <w:t xml:space="preserve"> </w:t>
            </w:r>
            <w:r w:rsidR="004A6828" w:rsidRPr="00ED22D1">
              <w:rPr>
                <w:lang w:val="fr-CA"/>
              </w:rPr>
              <w:t>Allemagne</w:t>
            </w:r>
            <w:r w:rsidRPr="00ED22D1">
              <w:rPr>
                <w:lang w:val="fr-CA"/>
              </w:rPr>
              <w:t xml:space="preserve">, </w:t>
            </w:r>
            <w:r w:rsidR="004A6828" w:rsidRPr="00ED22D1">
              <w:rPr>
                <w:lang w:val="fr-CA"/>
              </w:rPr>
              <w:t>Italie et Japon</w:t>
            </w:r>
          </w:p>
          <w:p w:rsidR="0085675A" w:rsidRPr="00ED22D1" w:rsidRDefault="0085675A" w:rsidP="0085675A">
            <w:pPr>
              <w:jc w:val="right"/>
              <w:rPr>
                <w:lang w:val="fr-CA"/>
              </w:rPr>
            </w:pPr>
          </w:p>
          <w:p w:rsidR="0085675A" w:rsidRPr="00ED22D1" w:rsidRDefault="004A6828" w:rsidP="0085675A">
            <w:pPr>
              <w:jc w:val="right"/>
              <w:rPr>
                <w:lang w:val="fr-CA"/>
              </w:rPr>
            </w:pPr>
            <w:r w:rsidRPr="00ED22D1">
              <w:rPr>
                <w:lang w:val="fr-CA"/>
              </w:rPr>
              <w:t>ONUDI et Allemagne</w:t>
            </w:r>
          </w:p>
          <w:p w:rsidR="0085675A" w:rsidRPr="00ED22D1" w:rsidRDefault="0085675A" w:rsidP="0085675A">
            <w:pPr>
              <w:jc w:val="right"/>
              <w:rPr>
                <w:lang w:val="fr-CA"/>
              </w:rPr>
            </w:pPr>
          </w:p>
          <w:p w:rsidR="0085675A" w:rsidRPr="00ED22D1" w:rsidRDefault="0085675A" w:rsidP="0085675A">
            <w:pPr>
              <w:jc w:val="right"/>
              <w:rPr>
                <w:lang w:val="fr-CA"/>
              </w:rPr>
            </w:pPr>
          </w:p>
          <w:p w:rsidR="0085675A" w:rsidRPr="00ED22D1" w:rsidRDefault="001C722B" w:rsidP="0085675A">
            <w:pPr>
              <w:jc w:val="right"/>
              <w:rPr>
                <w:lang w:val="fr-CA"/>
              </w:rPr>
            </w:pPr>
            <w:r w:rsidRPr="00ED22D1">
              <w:rPr>
                <w:lang w:val="fr-CA"/>
              </w:rPr>
              <w:t>PNUD</w:t>
            </w:r>
          </w:p>
          <w:p w:rsidR="0085675A" w:rsidRPr="00ED22D1" w:rsidRDefault="0085675A" w:rsidP="0085675A">
            <w:pPr>
              <w:jc w:val="right"/>
              <w:rPr>
                <w:lang w:val="fr-CA"/>
              </w:rPr>
            </w:pPr>
          </w:p>
          <w:p w:rsidR="0085675A" w:rsidRPr="00ED22D1" w:rsidRDefault="0085675A" w:rsidP="0085675A">
            <w:pPr>
              <w:jc w:val="right"/>
              <w:rPr>
                <w:lang w:val="fr-CA"/>
              </w:rPr>
            </w:pPr>
          </w:p>
          <w:p w:rsidR="0085675A" w:rsidRPr="00ED22D1" w:rsidRDefault="001C722B" w:rsidP="0085675A">
            <w:pPr>
              <w:jc w:val="right"/>
              <w:rPr>
                <w:lang w:val="fr-CA"/>
              </w:rPr>
            </w:pPr>
            <w:r w:rsidRPr="00ED22D1">
              <w:rPr>
                <w:lang w:val="fr-CA"/>
              </w:rPr>
              <w:t>PNUE</w:t>
            </w:r>
            <w:r w:rsidR="0085675A" w:rsidRPr="00ED22D1">
              <w:rPr>
                <w:lang w:val="fr-CA"/>
              </w:rPr>
              <w:t xml:space="preserve">, </w:t>
            </w:r>
            <w:r w:rsidR="004A6828" w:rsidRPr="00ED22D1">
              <w:rPr>
                <w:lang w:val="fr-CA"/>
              </w:rPr>
              <w:t>Allemagne et Japon</w:t>
            </w:r>
          </w:p>
          <w:p w:rsidR="0085675A" w:rsidRPr="00ED22D1" w:rsidRDefault="0085675A" w:rsidP="0085675A">
            <w:pPr>
              <w:jc w:val="right"/>
              <w:rPr>
                <w:lang w:val="fr-CA"/>
              </w:rPr>
            </w:pPr>
          </w:p>
          <w:p w:rsidR="0085675A" w:rsidRPr="00ED22D1" w:rsidRDefault="0085675A" w:rsidP="0085675A">
            <w:pPr>
              <w:jc w:val="right"/>
              <w:rPr>
                <w:lang w:val="fr-CA"/>
              </w:rPr>
            </w:pPr>
          </w:p>
          <w:p w:rsidR="0085675A" w:rsidRPr="00ED22D1" w:rsidRDefault="001C722B" w:rsidP="0085675A">
            <w:pPr>
              <w:jc w:val="right"/>
              <w:rPr>
                <w:lang w:val="fr-CA"/>
              </w:rPr>
            </w:pPr>
            <w:r w:rsidRPr="00ED22D1">
              <w:rPr>
                <w:lang w:val="fr-CA"/>
              </w:rPr>
              <w:t>PNUD</w:t>
            </w:r>
          </w:p>
        </w:tc>
      </w:tr>
    </w:tbl>
    <w:p w:rsidR="0073505F" w:rsidRDefault="0073505F" w:rsidP="0085675A">
      <w:pPr>
        <w:jc w:val="left"/>
        <w:rPr>
          <w:b/>
          <w:lang w:val="fr-CA"/>
        </w:rPr>
      </w:pPr>
      <w:r>
        <w:rPr>
          <w:b/>
          <w:lang w:val="fr-CA"/>
        </w:rPr>
        <w:br w:type="page"/>
      </w:r>
    </w:p>
    <w:p w:rsidR="00AA6E77" w:rsidRPr="00ED22D1" w:rsidRDefault="004A6828" w:rsidP="00C80221">
      <w:pPr>
        <w:jc w:val="center"/>
        <w:rPr>
          <w:b/>
          <w:lang w:val="fr-CA"/>
        </w:rPr>
      </w:pPr>
      <w:r w:rsidRPr="00ED22D1">
        <w:rPr>
          <w:b/>
          <w:lang w:val="fr-CA"/>
        </w:rPr>
        <w:lastRenderedPageBreak/>
        <w:t>PLAN D’ÉLIMINATION DES HCFC</w:t>
      </w:r>
      <w:r w:rsidR="0085675A" w:rsidRPr="00ED22D1">
        <w:rPr>
          <w:b/>
          <w:lang w:val="fr-CA"/>
        </w:rPr>
        <w:t xml:space="preserve"> </w:t>
      </w:r>
      <w:r w:rsidRPr="00ED22D1">
        <w:rPr>
          <w:b/>
          <w:lang w:val="fr-CA"/>
        </w:rPr>
        <w:t>(phase</w:t>
      </w:r>
      <w:r w:rsidR="0085675A" w:rsidRPr="00ED22D1">
        <w:rPr>
          <w:b/>
          <w:lang w:val="fr-CA"/>
        </w:rPr>
        <w:t> I) (</w:t>
      </w:r>
      <w:r w:rsidR="00DD185D" w:rsidRPr="00ED22D1">
        <w:rPr>
          <w:b/>
          <w:lang w:val="fr-CA"/>
        </w:rPr>
        <w:t>RAPPORT PÉRIODIQUE ANNUEL</w:t>
      </w:r>
      <w:r w:rsidR="0085675A" w:rsidRPr="00ED22D1">
        <w:rPr>
          <w:b/>
          <w:lang w:val="fr-CA"/>
        </w:rPr>
        <w:t>)</w:t>
      </w:r>
    </w:p>
    <w:p w:rsidR="0085675A" w:rsidRPr="00ED22D1" w:rsidRDefault="0085675A" w:rsidP="00C80221">
      <w:pPr>
        <w:jc w:val="center"/>
        <w:rPr>
          <w:b/>
          <w:lang w:val="fr-CA"/>
        </w:rPr>
      </w:pPr>
      <w:r w:rsidRPr="00ED22D1">
        <w:rPr>
          <w:b/>
          <w:lang w:val="fr-CA"/>
        </w:rPr>
        <w:t>(</w:t>
      </w:r>
      <w:r w:rsidR="001C722B" w:rsidRPr="00ED22D1">
        <w:rPr>
          <w:b/>
          <w:lang w:val="fr-CA"/>
        </w:rPr>
        <w:t>PNUD</w:t>
      </w:r>
      <w:r w:rsidR="001F19C1" w:rsidRPr="00ED22D1">
        <w:rPr>
          <w:b/>
          <w:lang w:val="fr-CA"/>
        </w:rPr>
        <w:t>, PNUE, ONUDI</w:t>
      </w:r>
      <w:r w:rsidRPr="00ED22D1">
        <w:rPr>
          <w:b/>
          <w:lang w:val="fr-CA"/>
        </w:rPr>
        <w:t xml:space="preserve">, </w:t>
      </w:r>
      <w:r w:rsidR="004A6828" w:rsidRPr="00ED22D1">
        <w:rPr>
          <w:b/>
          <w:lang w:val="fr-CA"/>
        </w:rPr>
        <w:t>Banque mondiale</w:t>
      </w:r>
      <w:r w:rsidRPr="00ED22D1">
        <w:rPr>
          <w:b/>
          <w:lang w:val="fr-CA"/>
        </w:rPr>
        <w:t xml:space="preserve">, </w:t>
      </w:r>
      <w:r w:rsidR="004A6828" w:rsidRPr="00ED22D1">
        <w:rPr>
          <w:b/>
          <w:lang w:val="fr-CA"/>
        </w:rPr>
        <w:t>Allemagne</w:t>
      </w:r>
      <w:r w:rsidRPr="00ED22D1">
        <w:rPr>
          <w:b/>
          <w:lang w:val="fr-CA"/>
        </w:rPr>
        <w:t>,</w:t>
      </w:r>
      <w:r w:rsidR="004A6828" w:rsidRPr="00ED22D1">
        <w:rPr>
          <w:b/>
          <w:lang w:val="fr-CA"/>
        </w:rPr>
        <w:t xml:space="preserve"> et Japon</w:t>
      </w:r>
      <w:r w:rsidRPr="00ED22D1">
        <w:rPr>
          <w:b/>
          <w:lang w:val="fr-CA"/>
        </w:rPr>
        <w:t>)</w:t>
      </w:r>
    </w:p>
    <w:p w:rsidR="0085675A" w:rsidRPr="00ED22D1" w:rsidRDefault="0085675A" w:rsidP="0085675A">
      <w:pPr>
        <w:jc w:val="left"/>
        <w:rPr>
          <w:b/>
          <w:lang w:val="fr-CA"/>
        </w:rPr>
      </w:pPr>
    </w:p>
    <w:p w:rsidR="0085675A" w:rsidRPr="00ED22D1" w:rsidRDefault="0085675A" w:rsidP="0085675A">
      <w:pPr>
        <w:jc w:val="center"/>
        <w:rPr>
          <w:b/>
          <w:lang w:val="fr-CA"/>
        </w:rPr>
      </w:pPr>
      <w:r w:rsidRPr="00ED22D1">
        <w:rPr>
          <w:b/>
          <w:lang w:val="fr-CA"/>
        </w:rPr>
        <w:t xml:space="preserve">Note </w:t>
      </w:r>
      <w:r w:rsidR="00DD185D" w:rsidRPr="00ED22D1">
        <w:rPr>
          <w:b/>
          <w:lang w:val="fr-CA"/>
        </w:rPr>
        <w:t>du</w:t>
      </w:r>
      <w:r w:rsidRPr="00ED22D1">
        <w:rPr>
          <w:b/>
          <w:lang w:val="fr-CA"/>
        </w:rPr>
        <w:t xml:space="preserve"> </w:t>
      </w:r>
      <w:r w:rsidR="00DD185D" w:rsidRPr="00ED22D1">
        <w:rPr>
          <w:b/>
          <w:lang w:val="fr-CA"/>
        </w:rPr>
        <w:t>Secrétariat</w:t>
      </w:r>
    </w:p>
    <w:p w:rsidR="0085675A" w:rsidRPr="00ED22D1" w:rsidRDefault="0085675A" w:rsidP="0085675A">
      <w:pPr>
        <w:jc w:val="left"/>
        <w:rPr>
          <w:lang w:val="fr-CA"/>
        </w:rPr>
      </w:pPr>
    </w:p>
    <w:p w:rsidR="0085675A" w:rsidRPr="00ED22D1" w:rsidRDefault="00AA6E77" w:rsidP="0085675A">
      <w:pPr>
        <w:rPr>
          <w:b/>
          <w:lang w:val="fr-CA"/>
        </w:rPr>
      </w:pPr>
      <w:r w:rsidRPr="00ED22D1">
        <w:rPr>
          <w:b/>
          <w:lang w:val="fr-CA"/>
        </w:rPr>
        <w:t>Contexte</w:t>
      </w:r>
    </w:p>
    <w:p w:rsidR="0085675A" w:rsidRPr="00ED22D1" w:rsidRDefault="0085675A" w:rsidP="0085675A">
      <w:pPr>
        <w:rPr>
          <w:lang w:val="fr-CA"/>
        </w:rPr>
      </w:pPr>
    </w:p>
    <w:p w:rsidR="0085675A" w:rsidRPr="00ED22D1" w:rsidRDefault="00AA6E77" w:rsidP="0085675A">
      <w:pPr>
        <w:pStyle w:val="Heading1"/>
        <w:rPr>
          <w:lang w:val="fr-CA"/>
        </w:rPr>
      </w:pPr>
      <w:r w:rsidRPr="00ED22D1">
        <w:rPr>
          <w:lang w:val="fr-CA"/>
        </w:rPr>
        <w:t>À sa</w:t>
      </w:r>
      <w:r w:rsidR="0085675A" w:rsidRPr="00ED22D1">
        <w:rPr>
          <w:lang w:val="fr-CA"/>
        </w:rPr>
        <w:t xml:space="preserve"> 6</w:t>
      </w:r>
      <w:r w:rsidR="00DD185D" w:rsidRPr="00ED22D1">
        <w:rPr>
          <w:lang w:val="fr-CA"/>
        </w:rPr>
        <w:t>4</w:t>
      </w:r>
      <w:r w:rsidR="00DD185D" w:rsidRPr="00ED22D1">
        <w:rPr>
          <w:vertAlign w:val="superscript"/>
          <w:lang w:val="fr-CA"/>
        </w:rPr>
        <w:t>e</w:t>
      </w:r>
      <w:r w:rsidR="00DD185D" w:rsidRPr="00ED22D1">
        <w:rPr>
          <w:lang w:val="fr-CA"/>
        </w:rPr>
        <w:t xml:space="preserve"> réunion</w:t>
      </w:r>
      <w:r w:rsidR="0085675A" w:rsidRPr="00ED22D1">
        <w:rPr>
          <w:lang w:val="fr-CA"/>
        </w:rPr>
        <w:t xml:space="preserve">, </w:t>
      </w:r>
      <w:r w:rsidR="00DD185D" w:rsidRPr="00ED22D1">
        <w:rPr>
          <w:lang w:val="fr-CA"/>
        </w:rPr>
        <w:t>le Comité exécutif</w:t>
      </w:r>
      <w:r w:rsidR="0085675A" w:rsidRPr="00ED22D1">
        <w:rPr>
          <w:lang w:val="fr-CA"/>
        </w:rPr>
        <w:t xml:space="preserve"> </w:t>
      </w:r>
      <w:r w:rsidRPr="00ED22D1">
        <w:rPr>
          <w:lang w:val="fr-CA"/>
        </w:rPr>
        <w:t>a approuvé</w:t>
      </w:r>
      <w:r w:rsidR="0085675A" w:rsidRPr="00ED22D1">
        <w:rPr>
          <w:lang w:val="fr-CA"/>
        </w:rPr>
        <w:t xml:space="preserve">, </w:t>
      </w:r>
      <w:r w:rsidRPr="00ED22D1">
        <w:rPr>
          <w:lang w:val="fr-CA"/>
        </w:rPr>
        <w:t>en principe</w:t>
      </w:r>
      <w:r w:rsidR="0085675A" w:rsidRPr="00ED22D1">
        <w:rPr>
          <w:lang w:val="fr-CA"/>
        </w:rPr>
        <w:t>,</w:t>
      </w:r>
      <w:r w:rsidR="004A6828" w:rsidRPr="00ED22D1">
        <w:rPr>
          <w:lang w:val="fr-CA"/>
        </w:rPr>
        <w:t xml:space="preserve"> </w:t>
      </w:r>
      <w:r w:rsidR="00AC27D1" w:rsidRPr="00ED22D1">
        <w:rPr>
          <w:lang w:val="fr-CA"/>
        </w:rPr>
        <w:t xml:space="preserve">la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00AC27D1" w:rsidRPr="00ED22D1">
        <w:rPr>
          <w:lang w:val="fr-CA"/>
        </w:rPr>
        <w:t>de la</w:t>
      </w:r>
      <w:r w:rsidR="0085675A" w:rsidRPr="00ED22D1">
        <w:rPr>
          <w:lang w:val="fr-CA"/>
        </w:rPr>
        <w:t xml:space="preserve"> </w:t>
      </w:r>
      <w:r w:rsidR="00D26EF9" w:rsidRPr="00ED22D1">
        <w:rPr>
          <w:lang w:val="fr-CA"/>
        </w:rPr>
        <w:t>Chine</w:t>
      </w:r>
      <w:r w:rsidR="0085675A" w:rsidRPr="00ED22D1">
        <w:rPr>
          <w:lang w:val="fr-CA"/>
        </w:rPr>
        <w:t xml:space="preserve"> </w:t>
      </w:r>
      <w:r w:rsidR="00AC27D1" w:rsidRPr="00ED22D1">
        <w:rPr>
          <w:lang w:val="fr-CA"/>
        </w:rPr>
        <w:t>pour</w:t>
      </w:r>
      <w:r w:rsidR="0085675A" w:rsidRPr="00ED22D1">
        <w:rPr>
          <w:lang w:val="fr-CA"/>
        </w:rPr>
        <w:t xml:space="preserve"> </w:t>
      </w:r>
      <w:r w:rsidR="001F19C1" w:rsidRPr="00ED22D1">
        <w:rPr>
          <w:lang w:val="fr-CA"/>
        </w:rPr>
        <w:t xml:space="preserve">la période </w:t>
      </w:r>
      <w:r w:rsidR="0085675A" w:rsidRPr="00ED22D1">
        <w:rPr>
          <w:lang w:val="fr-CA"/>
        </w:rPr>
        <w:t xml:space="preserve">2011 </w:t>
      </w:r>
      <w:r w:rsidR="00AC27D1" w:rsidRPr="00ED22D1">
        <w:rPr>
          <w:lang w:val="fr-CA"/>
        </w:rPr>
        <w:t>à</w:t>
      </w:r>
      <w:r w:rsidR="0085675A" w:rsidRPr="00ED22D1">
        <w:rPr>
          <w:lang w:val="fr-CA"/>
        </w:rPr>
        <w:t xml:space="preserve"> 2015</w:t>
      </w:r>
      <w:r w:rsidR="00FB46BE" w:rsidRPr="00ED22D1">
        <w:rPr>
          <w:lang w:val="fr-CA"/>
        </w:rPr>
        <w:t>,</w:t>
      </w:r>
      <w:r w:rsidR="0085675A" w:rsidRPr="00ED22D1">
        <w:rPr>
          <w:lang w:val="fr-CA"/>
        </w:rPr>
        <w:t xml:space="preserve"> </w:t>
      </w:r>
      <w:r w:rsidR="00AC27D1" w:rsidRPr="00ED22D1">
        <w:rPr>
          <w:lang w:val="fr-CA"/>
        </w:rPr>
        <w:t xml:space="preserve">pour un montant de </w:t>
      </w:r>
      <w:r w:rsidR="0085675A" w:rsidRPr="00ED22D1">
        <w:rPr>
          <w:lang w:val="fr-CA"/>
        </w:rPr>
        <w:t>265 </w:t>
      </w:r>
      <w:r w:rsidR="00AC27D1" w:rsidRPr="00ED22D1">
        <w:rPr>
          <w:lang w:val="fr-CA"/>
        </w:rPr>
        <w:t>millions $US</w:t>
      </w:r>
      <w:r w:rsidR="0085675A" w:rsidRPr="00ED22D1">
        <w:rPr>
          <w:lang w:val="fr-CA"/>
        </w:rPr>
        <w:t xml:space="preserve"> </w:t>
      </w:r>
      <w:r w:rsidR="00CE7FEC" w:rsidRPr="00ED22D1">
        <w:rPr>
          <w:lang w:val="fr-CA"/>
        </w:rPr>
        <w:t>(sauf les coûts</w:t>
      </w:r>
      <w:r w:rsidR="00DD185D" w:rsidRPr="00ED22D1">
        <w:rPr>
          <w:lang w:val="fr-CA"/>
        </w:rPr>
        <w:t xml:space="preserve"> d’appui d’agence</w:t>
      </w:r>
      <w:r w:rsidR="0085675A" w:rsidRPr="00ED22D1">
        <w:rPr>
          <w:lang w:val="fr-CA"/>
        </w:rPr>
        <w:t xml:space="preserve">), </w:t>
      </w:r>
      <w:r w:rsidR="00FB46BE" w:rsidRPr="00ED22D1">
        <w:rPr>
          <w:lang w:val="fr-CA"/>
        </w:rPr>
        <w:t xml:space="preserve">associée </w:t>
      </w:r>
      <w:r w:rsidR="00CA0808" w:rsidRPr="00ED22D1">
        <w:rPr>
          <w:lang w:val="fr-CA"/>
        </w:rPr>
        <w:t xml:space="preserve">aux plans </w:t>
      </w:r>
      <w:r w:rsidR="004E6D59" w:rsidRPr="00ED22D1">
        <w:rPr>
          <w:lang w:val="fr-CA"/>
        </w:rPr>
        <w:t xml:space="preserve">des secteurs </w:t>
      </w:r>
      <w:r w:rsidR="00CA0808" w:rsidRPr="00ED22D1">
        <w:rPr>
          <w:lang w:val="fr-CA"/>
        </w:rPr>
        <w:t>de</w:t>
      </w:r>
      <w:r w:rsidR="004E6D59" w:rsidRPr="00ED22D1">
        <w:rPr>
          <w:lang w:val="fr-CA"/>
        </w:rPr>
        <w:t>s</w:t>
      </w:r>
      <w:r w:rsidR="00FB46BE" w:rsidRPr="00ED22D1">
        <w:rPr>
          <w:lang w:val="fr-CA"/>
        </w:rPr>
        <w:t xml:space="preserve"> mousse</w:t>
      </w:r>
      <w:r w:rsidR="004E6D59" w:rsidRPr="00ED22D1">
        <w:rPr>
          <w:lang w:val="fr-CA"/>
        </w:rPr>
        <w:t>s</w:t>
      </w:r>
      <w:r w:rsidR="00FB46BE" w:rsidRPr="00ED22D1">
        <w:rPr>
          <w:lang w:val="fr-CA"/>
        </w:rPr>
        <w:t xml:space="preserve"> de polystyrène extrudée</w:t>
      </w:r>
      <w:r w:rsidR="004E6D59" w:rsidRPr="00ED22D1">
        <w:rPr>
          <w:lang w:val="fr-CA"/>
        </w:rPr>
        <w:t>s</w:t>
      </w:r>
      <w:r w:rsidR="0085675A" w:rsidRPr="00ED22D1">
        <w:rPr>
          <w:lang w:val="fr-CA"/>
        </w:rPr>
        <w:t xml:space="preserve">, </w:t>
      </w:r>
      <w:r w:rsidR="00FB46BE" w:rsidRPr="00ED22D1">
        <w:rPr>
          <w:lang w:val="fr-CA"/>
        </w:rPr>
        <w:t>mousse</w:t>
      </w:r>
      <w:r w:rsidR="004E6D59" w:rsidRPr="00ED22D1">
        <w:rPr>
          <w:lang w:val="fr-CA"/>
        </w:rPr>
        <w:t>s</w:t>
      </w:r>
      <w:r w:rsidR="00FB46BE" w:rsidRPr="00ED22D1">
        <w:rPr>
          <w:lang w:val="fr-CA"/>
        </w:rPr>
        <w:t xml:space="preserve"> de </w:t>
      </w:r>
      <w:r w:rsidR="0085675A" w:rsidRPr="00ED22D1">
        <w:rPr>
          <w:lang w:val="fr-CA"/>
        </w:rPr>
        <w:t>polyur</w:t>
      </w:r>
      <w:r w:rsidR="00FB46BE" w:rsidRPr="00ED22D1">
        <w:rPr>
          <w:lang w:val="fr-CA"/>
        </w:rPr>
        <w:t>é</w:t>
      </w:r>
      <w:r w:rsidR="0085675A" w:rsidRPr="00ED22D1">
        <w:rPr>
          <w:lang w:val="fr-CA"/>
        </w:rPr>
        <w:t xml:space="preserve">thane (PU), </w:t>
      </w:r>
      <w:r w:rsidR="00CA0808" w:rsidRPr="00ED22D1">
        <w:rPr>
          <w:lang w:val="fr-CA"/>
        </w:rPr>
        <w:t xml:space="preserve">climatisation et réfrigération industrielle et commerciale </w:t>
      </w:r>
      <w:r w:rsidR="0085675A" w:rsidRPr="00ED22D1">
        <w:rPr>
          <w:lang w:val="fr-CA"/>
        </w:rPr>
        <w:t xml:space="preserve">(ICR), </w:t>
      </w:r>
      <w:r w:rsidR="004A6828" w:rsidRPr="00ED22D1">
        <w:rPr>
          <w:lang w:val="fr-CA"/>
        </w:rPr>
        <w:t>fabrication de climatiseurs résidentiels</w:t>
      </w:r>
      <w:r w:rsidR="0085675A" w:rsidRPr="00ED22D1">
        <w:rPr>
          <w:lang w:val="fr-CA"/>
        </w:rPr>
        <w:t xml:space="preserve"> (RAC)</w:t>
      </w:r>
      <w:r w:rsidR="004A6828" w:rsidRPr="00ED22D1">
        <w:rPr>
          <w:lang w:val="fr-CA"/>
        </w:rPr>
        <w:t xml:space="preserve"> et </w:t>
      </w:r>
      <w:r w:rsidR="00181884" w:rsidRPr="00ED22D1">
        <w:rPr>
          <w:lang w:val="fr-CA"/>
        </w:rPr>
        <w:t>entretien en réfrigération</w:t>
      </w:r>
      <w:r w:rsidR="0085675A" w:rsidRPr="00ED22D1">
        <w:rPr>
          <w:lang w:val="fr-CA"/>
        </w:rPr>
        <w:t xml:space="preserve">, </w:t>
      </w:r>
      <w:r w:rsidR="00CA0808" w:rsidRPr="00ED22D1">
        <w:rPr>
          <w:lang w:val="fr-CA"/>
        </w:rPr>
        <w:t>au</w:t>
      </w:r>
      <w:r w:rsidR="00CE7FEC" w:rsidRPr="00ED22D1">
        <w:rPr>
          <w:lang w:val="fr-CA"/>
        </w:rPr>
        <w:t xml:space="preserve"> programme national d’habilitation</w:t>
      </w:r>
      <w:r w:rsidR="004A6828" w:rsidRPr="00ED22D1">
        <w:rPr>
          <w:lang w:val="fr-CA"/>
        </w:rPr>
        <w:t xml:space="preserve"> et </w:t>
      </w:r>
      <w:r w:rsidR="00CA0808" w:rsidRPr="00ED22D1">
        <w:rPr>
          <w:lang w:val="fr-CA"/>
        </w:rPr>
        <w:t>au</w:t>
      </w:r>
      <w:r w:rsidR="00CE7FEC" w:rsidRPr="00ED22D1">
        <w:rPr>
          <w:lang w:val="fr-CA"/>
        </w:rPr>
        <w:t xml:space="preserve"> plan national de coordination</w:t>
      </w:r>
      <w:r w:rsidR="0031390F" w:rsidRPr="00ED22D1">
        <w:rPr>
          <w:lang w:val="fr-CA"/>
        </w:rPr>
        <w:t>. Le</w:t>
      </w:r>
      <w:r w:rsidRPr="00ED22D1">
        <w:rPr>
          <w:lang w:val="fr-CA"/>
        </w:rPr>
        <w:t xml:space="preserve"> Comité</w:t>
      </w:r>
      <w:r w:rsidR="0085675A" w:rsidRPr="00ED22D1">
        <w:rPr>
          <w:lang w:val="fr-CA"/>
        </w:rPr>
        <w:t xml:space="preserve"> </w:t>
      </w:r>
      <w:r w:rsidRPr="00ED22D1">
        <w:rPr>
          <w:lang w:val="fr-CA"/>
        </w:rPr>
        <w:t>a aussi décidé que le secteur des solvants, à un niveau maximal de financement jusqu’à</w:t>
      </w:r>
      <w:r w:rsidR="00CA0808" w:rsidRPr="00ED22D1">
        <w:rPr>
          <w:lang w:val="fr-CA"/>
        </w:rPr>
        <w:t> </w:t>
      </w:r>
      <w:r w:rsidRPr="00ED22D1">
        <w:rPr>
          <w:lang w:val="fr-CA"/>
        </w:rPr>
        <w:t>5</w:t>
      </w:r>
      <w:r w:rsidR="00AC27D1" w:rsidRPr="00ED22D1">
        <w:rPr>
          <w:lang w:val="fr-CA"/>
        </w:rPr>
        <w:t> 000 000</w:t>
      </w:r>
      <w:r w:rsidRPr="00ED22D1">
        <w:rPr>
          <w:lang w:val="fr-CA"/>
        </w:rPr>
        <w:t> $</w:t>
      </w:r>
      <w:r w:rsidR="00AC27D1" w:rsidRPr="00ED22D1">
        <w:rPr>
          <w:lang w:val="fr-CA"/>
        </w:rPr>
        <w:t>US</w:t>
      </w:r>
      <w:r w:rsidR="0085675A" w:rsidRPr="00ED22D1">
        <w:rPr>
          <w:lang w:val="fr-CA"/>
        </w:rPr>
        <w:t xml:space="preserve"> (</w:t>
      </w:r>
      <w:r w:rsidRPr="00ED22D1">
        <w:rPr>
          <w:lang w:val="fr-CA"/>
        </w:rPr>
        <w:t>sauf les coûts d’appui d’agence</w:t>
      </w:r>
      <w:r w:rsidR="0085675A" w:rsidRPr="00ED22D1">
        <w:rPr>
          <w:lang w:val="fr-CA"/>
        </w:rPr>
        <w:t xml:space="preserve">), </w:t>
      </w:r>
      <w:r w:rsidRPr="00ED22D1">
        <w:rPr>
          <w:lang w:val="fr-CA"/>
        </w:rPr>
        <w:t xml:space="preserve">pourrait être </w:t>
      </w:r>
      <w:r w:rsidR="00CA0808" w:rsidRPr="00ED22D1">
        <w:rPr>
          <w:lang w:val="fr-CA"/>
        </w:rPr>
        <w:t xml:space="preserve">examiné </w:t>
      </w:r>
      <w:r w:rsidRPr="00ED22D1">
        <w:rPr>
          <w:lang w:val="fr-CA"/>
        </w:rPr>
        <w:t xml:space="preserve">à la </w:t>
      </w:r>
      <w:r w:rsidR="0085675A" w:rsidRPr="00ED22D1">
        <w:rPr>
          <w:lang w:val="fr-CA"/>
        </w:rPr>
        <w:t>65</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Pr="00ED22D1">
        <w:rPr>
          <w:lang w:val="fr-CA"/>
        </w:rPr>
        <w:t>décision</w:t>
      </w:r>
      <w:r w:rsidR="0085675A" w:rsidRPr="00ED22D1">
        <w:rPr>
          <w:lang w:val="fr-CA"/>
        </w:rPr>
        <w:t xml:space="preserve"> 64/49). </w:t>
      </w:r>
      <w:r w:rsidR="00CA0808" w:rsidRPr="00ED22D1">
        <w:rPr>
          <w:lang w:val="fr-CA"/>
        </w:rPr>
        <w:t xml:space="preserve">Avec l’approbation du </w:t>
      </w:r>
      <w:r w:rsidR="004A6828" w:rsidRPr="00ED22D1">
        <w:rPr>
          <w:lang w:val="fr-CA"/>
        </w:rPr>
        <w:t>plan du secteur des solvants</w:t>
      </w:r>
      <w:r w:rsidR="0085675A" w:rsidRPr="00ED22D1">
        <w:rPr>
          <w:lang w:val="fr-CA"/>
        </w:rPr>
        <w:t xml:space="preserve"> </w:t>
      </w:r>
      <w:r w:rsidR="00CA0808" w:rsidRPr="00ED22D1">
        <w:rPr>
          <w:lang w:val="fr-CA"/>
        </w:rPr>
        <w:t xml:space="preserve">à la </w:t>
      </w:r>
      <w:r w:rsidR="0085675A" w:rsidRPr="00ED22D1">
        <w:rPr>
          <w:lang w:val="fr-CA"/>
        </w:rPr>
        <w:t>65</w:t>
      </w:r>
      <w:r w:rsidR="00BA42C0" w:rsidRPr="00ED22D1">
        <w:rPr>
          <w:vertAlign w:val="superscript"/>
          <w:lang w:val="fr-CA"/>
        </w:rPr>
        <w:t>e</w:t>
      </w:r>
      <w:r w:rsidR="00BA42C0" w:rsidRPr="00ED22D1">
        <w:rPr>
          <w:lang w:val="fr-CA"/>
        </w:rPr>
        <w:t xml:space="preserve"> </w:t>
      </w:r>
      <w:r w:rsidR="00DD185D" w:rsidRPr="00ED22D1">
        <w:rPr>
          <w:lang w:val="fr-CA"/>
        </w:rPr>
        <w:t>réunion</w:t>
      </w:r>
      <w:r w:rsidR="0085675A" w:rsidRPr="00ED22D1">
        <w:rPr>
          <w:lang w:val="fr-CA"/>
        </w:rPr>
        <w:t xml:space="preserve"> (</w:t>
      </w:r>
      <w:r w:rsidRPr="00ED22D1">
        <w:rPr>
          <w:lang w:val="fr-CA"/>
        </w:rPr>
        <w:t>décision</w:t>
      </w:r>
      <w:r w:rsidR="0085675A" w:rsidRPr="00ED22D1">
        <w:rPr>
          <w:lang w:val="fr-CA"/>
        </w:rPr>
        <w:t xml:space="preserve"> 65/36), </w:t>
      </w:r>
      <w:r w:rsidR="00CA0808" w:rsidRPr="00ED22D1">
        <w:rPr>
          <w:lang w:val="fr-CA"/>
        </w:rPr>
        <w:t>le</w:t>
      </w:r>
      <w:r w:rsidR="004E6D59" w:rsidRPr="00ED22D1">
        <w:rPr>
          <w:lang w:val="fr-CA"/>
        </w:rPr>
        <w:t> </w:t>
      </w:r>
      <w:r w:rsidR="00CA0808" w:rsidRPr="00ED22D1">
        <w:rPr>
          <w:lang w:val="fr-CA"/>
        </w:rPr>
        <w:t xml:space="preserve">financement global pour la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001B31BF" w:rsidRPr="00ED22D1">
        <w:rPr>
          <w:lang w:val="fr-CA"/>
        </w:rPr>
        <w:t>de la Chine</w:t>
      </w:r>
      <w:r w:rsidR="0085675A" w:rsidRPr="00ED22D1">
        <w:rPr>
          <w:lang w:val="fr-CA"/>
        </w:rPr>
        <w:t xml:space="preserve"> </w:t>
      </w:r>
      <w:r w:rsidR="00CA0808" w:rsidRPr="00ED22D1">
        <w:rPr>
          <w:lang w:val="fr-CA"/>
        </w:rPr>
        <w:t xml:space="preserve">totalisait </w:t>
      </w:r>
      <w:r w:rsidR="0085675A" w:rsidRPr="00ED22D1">
        <w:rPr>
          <w:lang w:val="fr-CA"/>
        </w:rPr>
        <w:t>27</w:t>
      </w:r>
      <w:r w:rsidR="004A6828" w:rsidRPr="00ED22D1">
        <w:rPr>
          <w:lang w:val="fr-CA"/>
        </w:rPr>
        <w:t>0 </w:t>
      </w:r>
      <w:r w:rsidR="0085675A" w:rsidRPr="00ED22D1">
        <w:rPr>
          <w:lang w:val="fr-CA"/>
        </w:rPr>
        <w:t>00</w:t>
      </w:r>
      <w:r w:rsidR="004A6828" w:rsidRPr="00ED22D1">
        <w:rPr>
          <w:lang w:val="fr-CA"/>
        </w:rPr>
        <w:t>0</w:t>
      </w:r>
      <w:r w:rsidR="00BA42C0" w:rsidRPr="00ED22D1">
        <w:rPr>
          <w:lang w:val="fr-CA"/>
        </w:rPr>
        <w:t> 000 $US</w:t>
      </w:r>
      <w:r w:rsidRPr="00ED22D1">
        <w:rPr>
          <w:lang w:val="fr-CA"/>
        </w:rPr>
        <w:t>.</w:t>
      </w:r>
      <w:r w:rsidR="0085675A" w:rsidRPr="00ED22D1">
        <w:rPr>
          <w:lang w:val="fr-CA"/>
        </w:rPr>
        <w:t xml:space="preserve"> </w:t>
      </w:r>
    </w:p>
    <w:p w:rsidR="0085675A" w:rsidRPr="00ED22D1" w:rsidRDefault="00CE7FEC" w:rsidP="0085675A">
      <w:pPr>
        <w:pStyle w:val="Heading1"/>
        <w:rPr>
          <w:lang w:val="fr-CA"/>
        </w:rPr>
      </w:pPr>
      <w:r w:rsidRPr="00ED22D1">
        <w:rPr>
          <w:lang w:val="fr-CA"/>
        </w:rPr>
        <w:t>L’accord</w:t>
      </w:r>
      <w:r w:rsidR="0085675A" w:rsidRPr="00ED22D1">
        <w:rPr>
          <w:lang w:val="fr-CA"/>
        </w:rPr>
        <w:t xml:space="preserve"> </w:t>
      </w:r>
      <w:r w:rsidR="004A6828" w:rsidRPr="00ED22D1">
        <w:rPr>
          <w:lang w:val="fr-CA"/>
        </w:rPr>
        <w:t>entre</w:t>
      </w:r>
      <w:r w:rsidR="0085675A"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 Comité exécutif</w:t>
      </w:r>
      <w:r w:rsidR="0085675A" w:rsidRPr="00ED22D1">
        <w:rPr>
          <w:lang w:val="fr-CA"/>
        </w:rPr>
        <w:t xml:space="preserve"> </w:t>
      </w:r>
      <w:r w:rsidR="00CA0808" w:rsidRPr="00ED22D1">
        <w:rPr>
          <w:lang w:val="fr-CA"/>
        </w:rPr>
        <w:t>a été</w:t>
      </w:r>
      <w:r w:rsidR="0085675A" w:rsidRPr="00ED22D1">
        <w:rPr>
          <w:lang w:val="fr-CA"/>
        </w:rPr>
        <w:t xml:space="preserve"> </w:t>
      </w:r>
      <w:r w:rsidR="00CA0808" w:rsidRPr="00ED22D1">
        <w:rPr>
          <w:lang w:val="fr-CA"/>
        </w:rPr>
        <w:t>mis à jour</w:t>
      </w:r>
      <w:r w:rsidR="0085675A" w:rsidRPr="00ED22D1">
        <w:rPr>
          <w:lang w:val="fr-CA"/>
        </w:rPr>
        <w:t xml:space="preserve"> </w:t>
      </w:r>
      <w:r w:rsidR="00CA0808" w:rsidRPr="00ED22D1">
        <w:rPr>
          <w:lang w:val="fr-CA"/>
        </w:rPr>
        <w:t xml:space="preserve">plusieurs fois et finalisé à la </w:t>
      </w:r>
      <w:r w:rsidRPr="00ED22D1">
        <w:rPr>
          <w:lang w:val="fr-CA"/>
        </w:rPr>
        <w:t>6</w:t>
      </w:r>
      <w:r w:rsidR="0085675A" w:rsidRPr="00ED22D1">
        <w:rPr>
          <w:lang w:val="fr-CA"/>
        </w:rPr>
        <w:t>7</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00CA0808" w:rsidRPr="00ED22D1">
        <w:rPr>
          <w:lang w:val="fr-CA"/>
        </w:rPr>
        <w:t xml:space="preserve">afin de refléter la référence aux HCFC nouvellement établie pour la </w:t>
      </w:r>
      <w:r w:rsidRPr="00ED22D1">
        <w:rPr>
          <w:lang w:val="fr-CA"/>
        </w:rPr>
        <w:t>conformité</w:t>
      </w:r>
      <w:r w:rsidR="0085675A" w:rsidRPr="00ED22D1">
        <w:rPr>
          <w:lang w:val="fr-CA"/>
        </w:rPr>
        <w:t xml:space="preserve"> </w:t>
      </w:r>
      <w:r w:rsidR="00CA0808" w:rsidRPr="00ED22D1">
        <w:rPr>
          <w:lang w:val="fr-CA"/>
        </w:rPr>
        <w:t>de la</w:t>
      </w:r>
      <w:r w:rsidR="00181884" w:rsidRPr="00ED22D1">
        <w:rPr>
          <w:lang w:val="fr-CA"/>
        </w:rPr>
        <w:t xml:space="preserve"> Chine</w:t>
      </w:r>
      <w:r w:rsidR="0085675A" w:rsidRPr="00ED22D1">
        <w:rPr>
          <w:lang w:val="fr-CA"/>
        </w:rPr>
        <w:t xml:space="preserve">, </w:t>
      </w:r>
      <w:r w:rsidR="00CA0808" w:rsidRPr="00ED22D1">
        <w:rPr>
          <w:lang w:val="fr-CA"/>
        </w:rPr>
        <w:t xml:space="preserve">le changement de responsabilité des </w:t>
      </w:r>
      <w:r w:rsidRPr="00ED22D1">
        <w:rPr>
          <w:lang w:val="fr-CA"/>
        </w:rPr>
        <w:t>agences coopérantes</w:t>
      </w:r>
      <w:r w:rsidR="0085675A" w:rsidRPr="00ED22D1">
        <w:rPr>
          <w:lang w:val="fr-CA"/>
        </w:rPr>
        <w:t>,</w:t>
      </w:r>
      <w:r w:rsidR="004A6828" w:rsidRPr="00ED22D1">
        <w:rPr>
          <w:lang w:val="fr-CA"/>
        </w:rPr>
        <w:t xml:space="preserve"> et </w:t>
      </w:r>
      <w:r w:rsidR="00CA0808" w:rsidRPr="00ED22D1">
        <w:rPr>
          <w:lang w:val="fr-CA"/>
        </w:rPr>
        <w:t xml:space="preserve">les </w:t>
      </w:r>
      <w:r w:rsidR="00DD185D" w:rsidRPr="00ED22D1">
        <w:rPr>
          <w:lang w:val="fr-CA"/>
        </w:rPr>
        <w:t>coûts d’appui d’agence</w:t>
      </w:r>
      <w:r w:rsidR="00CA0808" w:rsidRPr="00ED22D1">
        <w:rPr>
          <w:lang w:val="fr-CA"/>
        </w:rPr>
        <w:t xml:space="preserve"> établis</w:t>
      </w:r>
      <w:r w:rsidR="0085675A" w:rsidRPr="00ED22D1">
        <w:rPr>
          <w:lang w:val="fr-CA"/>
        </w:rPr>
        <w:t xml:space="preserve"> (</w:t>
      </w:r>
      <w:r w:rsidR="00AA6E77" w:rsidRPr="00ED22D1">
        <w:rPr>
          <w:lang w:val="fr-CA"/>
        </w:rPr>
        <w:t>décision</w:t>
      </w:r>
      <w:r w:rsidR="0085675A" w:rsidRPr="00ED22D1">
        <w:rPr>
          <w:lang w:val="fr-CA"/>
        </w:rPr>
        <w:t> 67/20).</w:t>
      </w:r>
    </w:p>
    <w:p w:rsidR="0085675A" w:rsidRPr="00ED22D1" w:rsidRDefault="00CA0808" w:rsidP="0085675A">
      <w:pPr>
        <w:pStyle w:val="Heading1"/>
        <w:rPr>
          <w:lang w:val="fr-CA"/>
        </w:rPr>
      </w:pPr>
      <w:r w:rsidRPr="00ED22D1">
        <w:rPr>
          <w:lang w:val="fr-CA"/>
        </w:rPr>
        <w:t xml:space="preserve">Afin de s’assurer de la conformité de la Chine au </w:t>
      </w:r>
      <w:r w:rsidR="001B45EC" w:rsidRPr="00ED22D1">
        <w:rPr>
          <w:lang w:val="fr-CA"/>
        </w:rPr>
        <w:t>Protocole de Montréal</w:t>
      </w:r>
      <w:r w:rsidR="0085675A" w:rsidRPr="00ED22D1">
        <w:rPr>
          <w:lang w:val="fr-CA"/>
        </w:rPr>
        <w:t xml:space="preserve">, </w:t>
      </w:r>
      <w:r w:rsidRPr="00ED22D1">
        <w:rPr>
          <w:lang w:val="fr-CA"/>
        </w:rPr>
        <w:t>les objectifs de</w:t>
      </w:r>
      <w:r w:rsidR="004E6D59" w:rsidRPr="00ED22D1">
        <w:rPr>
          <w:lang w:val="fr-CA"/>
        </w:rPr>
        <w:t> </w:t>
      </w:r>
      <w:r w:rsidRPr="00ED22D1">
        <w:rPr>
          <w:lang w:val="fr-CA"/>
        </w:rPr>
        <w:t xml:space="preserve">réglementation de la consommation de HCFC en </w:t>
      </w:r>
      <w:r w:rsidR="0085675A" w:rsidRPr="00ED22D1">
        <w:rPr>
          <w:lang w:val="fr-CA"/>
        </w:rPr>
        <w:t>2013</w:t>
      </w:r>
      <w:r w:rsidR="004A6828" w:rsidRPr="00ED22D1">
        <w:rPr>
          <w:lang w:val="fr-CA"/>
        </w:rPr>
        <w:t xml:space="preserve"> et </w:t>
      </w:r>
      <w:r w:rsidR="0085675A" w:rsidRPr="00ED22D1">
        <w:rPr>
          <w:lang w:val="fr-CA"/>
        </w:rPr>
        <w:t>2015</w:t>
      </w:r>
      <w:r w:rsidR="00921BDE" w:rsidRPr="00ED22D1">
        <w:rPr>
          <w:lang w:val="fr-CA"/>
        </w:rPr>
        <w:t xml:space="preserve"> </w:t>
      </w:r>
      <w:r w:rsidRPr="00ED22D1">
        <w:rPr>
          <w:lang w:val="fr-CA"/>
        </w:rPr>
        <w:t xml:space="preserve">des plans des six secteurs sont montrés au </w:t>
      </w:r>
      <w:r w:rsidR="00CE7FEC" w:rsidRPr="00ED22D1">
        <w:rPr>
          <w:lang w:val="fr-CA"/>
        </w:rPr>
        <w:t xml:space="preserve">tableau </w:t>
      </w:r>
      <w:r w:rsidR="004A6828" w:rsidRPr="00ED22D1">
        <w:rPr>
          <w:lang w:val="fr-CA"/>
        </w:rPr>
        <w:t>1</w:t>
      </w:r>
      <w:r w:rsidR="00CE7FEC" w:rsidRPr="00ED22D1">
        <w:rPr>
          <w:lang w:val="fr-CA"/>
        </w:rPr>
        <w:t>.</w:t>
      </w:r>
    </w:p>
    <w:p w:rsidR="0085675A" w:rsidRPr="00ED22D1" w:rsidRDefault="00CE7FEC" w:rsidP="00510789">
      <w:pPr>
        <w:ind w:left="-142"/>
        <w:rPr>
          <w:b/>
          <w:lang w:val="fr-CA"/>
        </w:rPr>
      </w:pPr>
      <w:r w:rsidRPr="00ED22D1">
        <w:rPr>
          <w:b/>
          <w:lang w:val="fr-CA"/>
        </w:rPr>
        <w:t xml:space="preserve">Tableau </w:t>
      </w:r>
      <w:r w:rsidR="004A6828" w:rsidRPr="00ED22D1">
        <w:rPr>
          <w:b/>
          <w:lang w:val="fr-CA"/>
        </w:rPr>
        <w:t>1</w:t>
      </w:r>
      <w:r w:rsidR="0052712E" w:rsidRPr="00ED22D1">
        <w:rPr>
          <w:b/>
          <w:lang w:val="fr-CA"/>
        </w:rPr>
        <w:t>.</w:t>
      </w:r>
      <w:r w:rsidR="00921BDE" w:rsidRPr="00ED22D1">
        <w:rPr>
          <w:b/>
          <w:lang w:val="fr-CA"/>
        </w:rPr>
        <w:t xml:space="preserve"> </w:t>
      </w:r>
      <w:r w:rsidR="00CA0808" w:rsidRPr="00ED22D1">
        <w:rPr>
          <w:b/>
          <w:lang w:val="fr-CA"/>
        </w:rPr>
        <w:t>Limites de la c</w:t>
      </w:r>
      <w:r w:rsidR="00921BDE" w:rsidRPr="00ED22D1">
        <w:rPr>
          <w:b/>
          <w:lang w:val="fr-CA"/>
        </w:rPr>
        <w:t>onsommation de HCFC</w:t>
      </w:r>
      <w:r w:rsidR="0085675A" w:rsidRPr="00ED22D1">
        <w:rPr>
          <w:b/>
          <w:lang w:val="fr-CA"/>
        </w:rPr>
        <w:t xml:space="preserve"> </w:t>
      </w:r>
      <w:r w:rsidR="00CA0808" w:rsidRPr="00ED22D1">
        <w:rPr>
          <w:b/>
          <w:lang w:val="fr-CA"/>
        </w:rPr>
        <w:t>et montant visé pour l’</w:t>
      </w:r>
      <w:r w:rsidR="00DC23B2" w:rsidRPr="00ED22D1">
        <w:rPr>
          <w:b/>
          <w:lang w:val="fr-CA"/>
        </w:rPr>
        <w:t>élimination</w:t>
      </w:r>
      <w:r w:rsidR="00CA0808" w:rsidRPr="00ED22D1">
        <w:rPr>
          <w:b/>
          <w:lang w:val="fr-CA"/>
        </w:rPr>
        <w:t xml:space="preserve"> dans les secteurs de </w:t>
      </w:r>
      <w:r w:rsidR="00181884" w:rsidRPr="00ED22D1">
        <w:rPr>
          <w:b/>
          <w:lang w:val="fr-CA"/>
        </w:rPr>
        <w:t>consommation</w:t>
      </w:r>
      <w:r w:rsidR="0085675A" w:rsidRPr="00ED22D1">
        <w:rPr>
          <w:b/>
          <w:lang w:val="fr-CA"/>
        </w:rPr>
        <w:t xml:space="preserve"> </w:t>
      </w:r>
      <w:r w:rsidR="004E6D59" w:rsidRPr="00ED22D1">
        <w:rPr>
          <w:b/>
          <w:lang w:val="fr-CA"/>
        </w:rPr>
        <w:t>de</w:t>
      </w:r>
      <w:r w:rsidR="00CA0808" w:rsidRPr="00ED22D1">
        <w:rPr>
          <w:b/>
          <w:lang w:val="fr-CA"/>
        </w:rPr>
        <w:t xml:space="preserve"> la</w:t>
      </w:r>
      <w:r w:rsidR="004A6828" w:rsidRPr="00ED22D1">
        <w:rPr>
          <w:b/>
          <w:lang w:val="fr-CA"/>
        </w:rPr>
        <w:t xml:space="preserve"> phase </w:t>
      </w:r>
      <w:r w:rsidR="0085675A" w:rsidRPr="00ED22D1">
        <w:rPr>
          <w:b/>
          <w:lang w:val="fr-CA"/>
        </w:rPr>
        <w:t xml:space="preserve">I </w:t>
      </w:r>
      <w:r w:rsidR="001F19C1" w:rsidRPr="00ED22D1">
        <w:rPr>
          <w:b/>
          <w:lang w:val="fr-CA"/>
        </w:rPr>
        <w:t>du PGEH</w:t>
      </w:r>
      <w:r w:rsidR="0085675A" w:rsidRPr="00ED22D1">
        <w:rPr>
          <w:b/>
          <w:lang w:val="fr-CA"/>
        </w:rPr>
        <w:t xml:space="preserve"> </w:t>
      </w:r>
      <w:r w:rsidR="001B31BF" w:rsidRPr="00ED22D1">
        <w:rPr>
          <w:b/>
          <w:lang w:val="fr-CA"/>
        </w:rPr>
        <w:t>de la Chine</w:t>
      </w:r>
    </w:p>
    <w:tbl>
      <w:tblPr>
        <w:tblStyle w:val="TableGrid"/>
        <w:tblW w:w="0" w:type="auto"/>
        <w:tblInd w:w="-5" w:type="dxa"/>
        <w:tblLook w:val="04A0" w:firstRow="1" w:lastRow="0" w:firstColumn="1" w:lastColumn="0" w:noHBand="0" w:noVBand="1"/>
      </w:tblPr>
      <w:tblGrid>
        <w:gridCol w:w="3068"/>
        <w:gridCol w:w="1754"/>
        <w:gridCol w:w="1506"/>
        <w:gridCol w:w="1723"/>
        <w:gridCol w:w="1304"/>
      </w:tblGrid>
      <w:tr w:rsidR="0085675A" w:rsidRPr="00ED22D1" w:rsidTr="0085675A">
        <w:tc>
          <w:tcPr>
            <w:tcW w:w="3068" w:type="dxa"/>
            <w:vMerge w:val="restart"/>
          </w:tcPr>
          <w:p w:rsidR="00CA0808" w:rsidRPr="00ED22D1" w:rsidRDefault="00CA0808" w:rsidP="00CA0808">
            <w:pPr>
              <w:rPr>
                <w:b/>
                <w:sz w:val="20"/>
                <w:szCs w:val="20"/>
                <w:lang w:val="fr-CA"/>
              </w:rPr>
            </w:pPr>
          </w:p>
          <w:p w:rsidR="0085675A" w:rsidRPr="00ED22D1" w:rsidRDefault="00CA0808" w:rsidP="00CA0808">
            <w:pPr>
              <w:rPr>
                <w:b/>
                <w:sz w:val="20"/>
                <w:szCs w:val="20"/>
                <w:lang w:val="fr-CA"/>
              </w:rPr>
            </w:pPr>
            <w:r w:rsidRPr="00ED22D1">
              <w:rPr>
                <w:b/>
                <w:sz w:val="20"/>
                <w:szCs w:val="20"/>
                <w:lang w:val="fr-CA"/>
              </w:rPr>
              <w:t>Niveau national/sectoriel</w:t>
            </w:r>
          </w:p>
        </w:tc>
        <w:tc>
          <w:tcPr>
            <w:tcW w:w="3260" w:type="dxa"/>
            <w:gridSpan w:val="2"/>
          </w:tcPr>
          <w:p w:rsidR="0085675A" w:rsidRPr="00ED22D1" w:rsidRDefault="0085675A" w:rsidP="0085675A">
            <w:pPr>
              <w:jc w:val="center"/>
              <w:rPr>
                <w:b/>
                <w:sz w:val="20"/>
                <w:szCs w:val="20"/>
                <w:lang w:val="fr-CA"/>
              </w:rPr>
            </w:pPr>
            <w:r w:rsidRPr="00ED22D1">
              <w:rPr>
                <w:b/>
                <w:sz w:val="20"/>
                <w:szCs w:val="20"/>
                <w:lang w:val="fr-CA"/>
              </w:rPr>
              <w:t xml:space="preserve">2013 </w:t>
            </w:r>
            <w:r w:rsidR="0052712E" w:rsidRPr="00ED22D1">
              <w:rPr>
                <w:b/>
                <w:sz w:val="20"/>
                <w:szCs w:val="20"/>
                <w:lang w:val="fr-CA"/>
              </w:rPr>
              <w:t>(tonnes PAO)</w:t>
            </w:r>
          </w:p>
        </w:tc>
        <w:tc>
          <w:tcPr>
            <w:tcW w:w="3027" w:type="dxa"/>
            <w:gridSpan w:val="2"/>
          </w:tcPr>
          <w:p w:rsidR="0085675A" w:rsidRPr="00ED22D1" w:rsidRDefault="0085675A" w:rsidP="0085675A">
            <w:pPr>
              <w:jc w:val="center"/>
              <w:rPr>
                <w:b/>
                <w:sz w:val="20"/>
                <w:szCs w:val="20"/>
                <w:lang w:val="fr-CA"/>
              </w:rPr>
            </w:pPr>
            <w:r w:rsidRPr="00ED22D1">
              <w:rPr>
                <w:b/>
                <w:sz w:val="20"/>
                <w:szCs w:val="20"/>
                <w:lang w:val="fr-CA"/>
              </w:rPr>
              <w:t xml:space="preserve">2015 </w:t>
            </w:r>
            <w:r w:rsidR="0052712E" w:rsidRPr="00ED22D1">
              <w:rPr>
                <w:b/>
                <w:sz w:val="20"/>
                <w:szCs w:val="20"/>
                <w:lang w:val="fr-CA"/>
              </w:rPr>
              <w:t>(tonnes PAO)</w:t>
            </w:r>
          </w:p>
        </w:tc>
      </w:tr>
      <w:tr w:rsidR="00CA0808" w:rsidRPr="00ED22D1" w:rsidTr="0085675A">
        <w:tc>
          <w:tcPr>
            <w:tcW w:w="3068" w:type="dxa"/>
            <w:vMerge/>
          </w:tcPr>
          <w:p w:rsidR="00CA0808" w:rsidRPr="00ED22D1" w:rsidRDefault="00CA0808" w:rsidP="0085675A">
            <w:pPr>
              <w:rPr>
                <w:sz w:val="20"/>
                <w:szCs w:val="20"/>
                <w:lang w:val="fr-CA"/>
              </w:rPr>
            </w:pPr>
          </w:p>
        </w:tc>
        <w:tc>
          <w:tcPr>
            <w:tcW w:w="1754" w:type="dxa"/>
          </w:tcPr>
          <w:p w:rsidR="00CA0808" w:rsidRPr="00ED22D1" w:rsidRDefault="00CA0808" w:rsidP="00CA0808">
            <w:pPr>
              <w:jc w:val="center"/>
              <w:rPr>
                <w:sz w:val="20"/>
                <w:szCs w:val="20"/>
                <w:lang w:val="fr-CA"/>
              </w:rPr>
            </w:pPr>
            <w:r w:rsidRPr="00ED22D1">
              <w:rPr>
                <w:sz w:val="20"/>
                <w:szCs w:val="20"/>
                <w:lang w:val="fr-CA"/>
              </w:rPr>
              <w:t>Consommation maximale admissible</w:t>
            </w:r>
          </w:p>
        </w:tc>
        <w:tc>
          <w:tcPr>
            <w:tcW w:w="1506" w:type="dxa"/>
          </w:tcPr>
          <w:p w:rsidR="00CA0808" w:rsidRPr="00ED22D1" w:rsidRDefault="00CA0808" w:rsidP="00CA0808">
            <w:pPr>
              <w:jc w:val="center"/>
              <w:rPr>
                <w:sz w:val="20"/>
                <w:szCs w:val="20"/>
                <w:lang w:val="fr-CA"/>
              </w:rPr>
            </w:pPr>
            <w:r w:rsidRPr="00ED22D1">
              <w:rPr>
                <w:sz w:val="20"/>
                <w:szCs w:val="20"/>
                <w:lang w:val="fr-CA"/>
              </w:rPr>
              <w:t>Quantité éliminée</w:t>
            </w:r>
          </w:p>
        </w:tc>
        <w:tc>
          <w:tcPr>
            <w:tcW w:w="1723" w:type="dxa"/>
          </w:tcPr>
          <w:p w:rsidR="00CA0808" w:rsidRPr="00ED22D1" w:rsidRDefault="00CA0808" w:rsidP="00FB1DC4">
            <w:pPr>
              <w:jc w:val="center"/>
              <w:rPr>
                <w:sz w:val="20"/>
                <w:szCs w:val="20"/>
                <w:lang w:val="fr-CA"/>
              </w:rPr>
            </w:pPr>
            <w:r w:rsidRPr="00ED22D1">
              <w:rPr>
                <w:sz w:val="20"/>
                <w:szCs w:val="20"/>
                <w:lang w:val="fr-CA"/>
              </w:rPr>
              <w:t>Consommation maximale admissible</w:t>
            </w:r>
          </w:p>
        </w:tc>
        <w:tc>
          <w:tcPr>
            <w:tcW w:w="1304" w:type="dxa"/>
          </w:tcPr>
          <w:p w:rsidR="00CA0808" w:rsidRPr="00ED22D1" w:rsidRDefault="00CA0808" w:rsidP="00FB1DC4">
            <w:pPr>
              <w:jc w:val="center"/>
              <w:rPr>
                <w:sz w:val="20"/>
                <w:szCs w:val="20"/>
                <w:lang w:val="fr-CA"/>
              </w:rPr>
            </w:pPr>
            <w:r w:rsidRPr="00ED22D1">
              <w:rPr>
                <w:sz w:val="20"/>
                <w:szCs w:val="20"/>
                <w:lang w:val="fr-CA"/>
              </w:rPr>
              <w:t>Quantité éliminée</w:t>
            </w:r>
          </w:p>
        </w:tc>
      </w:tr>
      <w:tr w:rsidR="0085675A" w:rsidRPr="00ED22D1" w:rsidTr="0085675A">
        <w:tc>
          <w:tcPr>
            <w:tcW w:w="3068" w:type="dxa"/>
          </w:tcPr>
          <w:p w:rsidR="0085675A" w:rsidRPr="00ED22D1" w:rsidRDefault="0085675A" w:rsidP="0085675A">
            <w:pPr>
              <w:rPr>
                <w:b/>
                <w:sz w:val="20"/>
                <w:szCs w:val="20"/>
                <w:lang w:val="fr-CA"/>
              </w:rPr>
            </w:pPr>
            <w:r w:rsidRPr="00ED22D1">
              <w:rPr>
                <w:b/>
                <w:sz w:val="20"/>
                <w:szCs w:val="20"/>
                <w:lang w:val="fr-CA"/>
              </w:rPr>
              <w:t>National</w:t>
            </w:r>
          </w:p>
        </w:tc>
        <w:tc>
          <w:tcPr>
            <w:tcW w:w="1754" w:type="dxa"/>
          </w:tcPr>
          <w:p w:rsidR="0085675A" w:rsidRPr="00ED22D1" w:rsidRDefault="0085675A" w:rsidP="0085675A">
            <w:pPr>
              <w:jc w:val="right"/>
              <w:rPr>
                <w:sz w:val="20"/>
                <w:szCs w:val="20"/>
                <w:lang w:val="fr-CA"/>
              </w:rPr>
            </w:pPr>
            <w:r w:rsidRPr="00ED22D1">
              <w:rPr>
                <w:sz w:val="20"/>
                <w:szCs w:val="20"/>
                <w:lang w:val="fr-CA"/>
              </w:rPr>
              <w:t>1</w:t>
            </w:r>
            <w:r w:rsidR="004A6828" w:rsidRPr="00ED22D1">
              <w:rPr>
                <w:sz w:val="20"/>
                <w:szCs w:val="20"/>
                <w:lang w:val="fr-CA"/>
              </w:rPr>
              <w:t>8 </w:t>
            </w:r>
            <w:r w:rsidRPr="00ED22D1">
              <w:rPr>
                <w:sz w:val="20"/>
                <w:szCs w:val="20"/>
                <w:lang w:val="fr-CA"/>
              </w:rPr>
              <w:t>865</w:t>
            </w:r>
          </w:p>
        </w:tc>
        <w:tc>
          <w:tcPr>
            <w:tcW w:w="1506" w:type="dxa"/>
          </w:tcPr>
          <w:p w:rsidR="0085675A" w:rsidRPr="00ED22D1" w:rsidRDefault="00F12D89" w:rsidP="0085675A">
            <w:pPr>
              <w:jc w:val="right"/>
              <w:rPr>
                <w:sz w:val="20"/>
                <w:szCs w:val="20"/>
                <w:lang w:val="fr-CA"/>
              </w:rPr>
            </w:pPr>
            <w:r w:rsidRPr="00ED22D1">
              <w:rPr>
                <w:sz w:val="20"/>
                <w:szCs w:val="20"/>
                <w:lang w:val="fr-CA"/>
              </w:rPr>
              <w:t>s.o.</w:t>
            </w:r>
          </w:p>
        </w:tc>
        <w:tc>
          <w:tcPr>
            <w:tcW w:w="1723" w:type="dxa"/>
          </w:tcPr>
          <w:p w:rsidR="0085675A" w:rsidRPr="00ED22D1" w:rsidRDefault="0085675A" w:rsidP="0085675A">
            <w:pPr>
              <w:jc w:val="right"/>
              <w:rPr>
                <w:sz w:val="20"/>
                <w:szCs w:val="20"/>
                <w:lang w:val="fr-CA"/>
              </w:rPr>
            </w:pPr>
            <w:r w:rsidRPr="00ED22D1">
              <w:rPr>
                <w:sz w:val="20"/>
                <w:szCs w:val="20"/>
                <w:lang w:val="fr-CA"/>
              </w:rPr>
              <w:t>1</w:t>
            </w:r>
            <w:r w:rsidR="004A6828" w:rsidRPr="00ED22D1">
              <w:rPr>
                <w:sz w:val="20"/>
                <w:szCs w:val="20"/>
                <w:lang w:val="fr-CA"/>
              </w:rPr>
              <w:t>6 </w:t>
            </w:r>
            <w:r w:rsidRPr="00ED22D1">
              <w:rPr>
                <w:sz w:val="20"/>
                <w:szCs w:val="20"/>
                <w:lang w:val="fr-CA"/>
              </w:rPr>
              <w:t>979</w:t>
            </w:r>
          </w:p>
        </w:tc>
        <w:tc>
          <w:tcPr>
            <w:tcW w:w="1304" w:type="dxa"/>
          </w:tcPr>
          <w:p w:rsidR="0085675A" w:rsidRPr="00ED22D1" w:rsidRDefault="00F12D89" w:rsidP="0085675A">
            <w:pPr>
              <w:jc w:val="right"/>
              <w:rPr>
                <w:sz w:val="20"/>
                <w:szCs w:val="20"/>
                <w:lang w:val="fr-CA"/>
              </w:rPr>
            </w:pPr>
            <w:r w:rsidRPr="00ED22D1">
              <w:rPr>
                <w:sz w:val="20"/>
                <w:szCs w:val="20"/>
                <w:lang w:val="fr-CA"/>
              </w:rPr>
              <w:t>s.o.</w:t>
            </w:r>
          </w:p>
        </w:tc>
      </w:tr>
      <w:tr w:rsidR="0085675A" w:rsidRPr="00ED22D1" w:rsidTr="0085675A">
        <w:tc>
          <w:tcPr>
            <w:tcW w:w="9355" w:type="dxa"/>
            <w:gridSpan w:val="5"/>
          </w:tcPr>
          <w:p w:rsidR="0085675A" w:rsidRPr="00ED22D1" w:rsidRDefault="00CA0808" w:rsidP="00CA0808">
            <w:pPr>
              <w:jc w:val="left"/>
              <w:rPr>
                <w:b/>
                <w:sz w:val="20"/>
                <w:szCs w:val="20"/>
                <w:lang w:val="fr-CA"/>
              </w:rPr>
            </w:pPr>
            <w:r w:rsidRPr="00ED22D1">
              <w:rPr>
                <w:b/>
                <w:sz w:val="20"/>
                <w:szCs w:val="20"/>
                <w:lang w:val="fr-CA"/>
              </w:rPr>
              <w:t>Plans sectoriels</w:t>
            </w:r>
          </w:p>
        </w:tc>
      </w:tr>
      <w:tr w:rsidR="0085675A" w:rsidRPr="00ED22D1" w:rsidTr="0085675A">
        <w:tc>
          <w:tcPr>
            <w:tcW w:w="3068" w:type="dxa"/>
          </w:tcPr>
          <w:p w:rsidR="0085675A" w:rsidRPr="00ED22D1" w:rsidRDefault="0085675A" w:rsidP="0085675A">
            <w:pPr>
              <w:rPr>
                <w:sz w:val="20"/>
                <w:szCs w:val="20"/>
                <w:lang w:val="fr-CA"/>
              </w:rPr>
            </w:pPr>
            <w:r w:rsidRPr="00ED22D1">
              <w:rPr>
                <w:sz w:val="20"/>
                <w:szCs w:val="20"/>
                <w:lang w:val="fr-CA"/>
              </w:rPr>
              <w:t>XPS</w:t>
            </w:r>
          </w:p>
        </w:tc>
        <w:tc>
          <w:tcPr>
            <w:tcW w:w="1754" w:type="dxa"/>
          </w:tcPr>
          <w:p w:rsidR="0085675A" w:rsidRPr="00ED22D1" w:rsidRDefault="004A6828" w:rsidP="0085675A">
            <w:pPr>
              <w:jc w:val="right"/>
              <w:rPr>
                <w:sz w:val="20"/>
                <w:szCs w:val="20"/>
                <w:lang w:val="fr-CA"/>
              </w:rPr>
            </w:pPr>
            <w:r w:rsidRPr="00ED22D1">
              <w:rPr>
                <w:sz w:val="20"/>
                <w:szCs w:val="20"/>
                <w:lang w:val="fr-CA"/>
              </w:rPr>
              <w:t>2 </w:t>
            </w:r>
            <w:r w:rsidR="0085675A" w:rsidRPr="00ED22D1">
              <w:rPr>
                <w:sz w:val="20"/>
                <w:szCs w:val="20"/>
                <w:lang w:val="fr-CA"/>
              </w:rPr>
              <w:t>540</w:t>
            </w:r>
          </w:p>
        </w:tc>
        <w:tc>
          <w:tcPr>
            <w:tcW w:w="1506" w:type="dxa"/>
          </w:tcPr>
          <w:p w:rsidR="0085675A" w:rsidRPr="00ED22D1" w:rsidRDefault="0085675A" w:rsidP="0085675A">
            <w:pPr>
              <w:jc w:val="right"/>
              <w:rPr>
                <w:sz w:val="20"/>
                <w:szCs w:val="20"/>
                <w:lang w:val="fr-CA"/>
              </w:rPr>
            </w:pPr>
            <w:r w:rsidRPr="00ED22D1">
              <w:rPr>
                <w:sz w:val="20"/>
                <w:szCs w:val="20"/>
                <w:lang w:val="fr-CA"/>
              </w:rPr>
              <w:t>338</w:t>
            </w:r>
          </w:p>
        </w:tc>
        <w:tc>
          <w:tcPr>
            <w:tcW w:w="1723" w:type="dxa"/>
          </w:tcPr>
          <w:p w:rsidR="0085675A" w:rsidRPr="00ED22D1" w:rsidRDefault="004A6828" w:rsidP="0085675A">
            <w:pPr>
              <w:jc w:val="right"/>
              <w:rPr>
                <w:sz w:val="20"/>
                <w:szCs w:val="20"/>
                <w:lang w:val="fr-CA"/>
              </w:rPr>
            </w:pPr>
            <w:r w:rsidRPr="00ED22D1">
              <w:rPr>
                <w:sz w:val="20"/>
                <w:szCs w:val="20"/>
                <w:lang w:val="fr-CA"/>
              </w:rPr>
              <w:t>2 </w:t>
            </w:r>
            <w:r w:rsidR="0085675A" w:rsidRPr="00ED22D1">
              <w:rPr>
                <w:sz w:val="20"/>
                <w:szCs w:val="20"/>
                <w:lang w:val="fr-CA"/>
              </w:rPr>
              <w:t>286</w:t>
            </w:r>
          </w:p>
        </w:tc>
        <w:tc>
          <w:tcPr>
            <w:tcW w:w="1304" w:type="dxa"/>
          </w:tcPr>
          <w:p w:rsidR="0085675A" w:rsidRPr="00ED22D1" w:rsidRDefault="0085675A" w:rsidP="0085675A">
            <w:pPr>
              <w:jc w:val="right"/>
              <w:rPr>
                <w:sz w:val="20"/>
                <w:szCs w:val="20"/>
                <w:lang w:val="fr-CA"/>
              </w:rPr>
            </w:pPr>
            <w:r w:rsidRPr="00ED22D1">
              <w:rPr>
                <w:sz w:val="20"/>
                <w:szCs w:val="20"/>
                <w:lang w:val="fr-CA"/>
              </w:rPr>
              <w:t>254</w:t>
            </w:r>
          </w:p>
        </w:tc>
      </w:tr>
      <w:tr w:rsidR="0085675A" w:rsidRPr="00ED22D1" w:rsidTr="0085675A">
        <w:tc>
          <w:tcPr>
            <w:tcW w:w="3068" w:type="dxa"/>
          </w:tcPr>
          <w:p w:rsidR="0085675A" w:rsidRPr="00ED22D1" w:rsidRDefault="0085675A" w:rsidP="0085675A">
            <w:pPr>
              <w:rPr>
                <w:sz w:val="20"/>
                <w:szCs w:val="20"/>
                <w:lang w:val="fr-CA"/>
              </w:rPr>
            </w:pPr>
            <w:r w:rsidRPr="00ED22D1">
              <w:rPr>
                <w:sz w:val="20"/>
                <w:szCs w:val="20"/>
                <w:lang w:val="fr-CA"/>
              </w:rPr>
              <w:t>PU</w:t>
            </w:r>
          </w:p>
        </w:tc>
        <w:tc>
          <w:tcPr>
            <w:tcW w:w="1754" w:type="dxa"/>
          </w:tcPr>
          <w:p w:rsidR="0085675A" w:rsidRPr="00ED22D1" w:rsidRDefault="004A6828" w:rsidP="0085675A">
            <w:pPr>
              <w:jc w:val="right"/>
              <w:rPr>
                <w:sz w:val="20"/>
                <w:szCs w:val="20"/>
                <w:lang w:val="fr-CA"/>
              </w:rPr>
            </w:pPr>
            <w:r w:rsidRPr="00ED22D1">
              <w:rPr>
                <w:sz w:val="20"/>
                <w:szCs w:val="20"/>
                <w:lang w:val="fr-CA"/>
              </w:rPr>
              <w:t>5 </w:t>
            </w:r>
            <w:r w:rsidR="0085675A" w:rsidRPr="00ED22D1">
              <w:rPr>
                <w:sz w:val="20"/>
                <w:szCs w:val="20"/>
                <w:lang w:val="fr-CA"/>
              </w:rPr>
              <w:t>392</w:t>
            </w:r>
          </w:p>
        </w:tc>
        <w:tc>
          <w:tcPr>
            <w:tcW w:w="1506" w:type="dxa"/>
          </w:tcPr>
          <w:p w:rsidR="0085675A" w:rsidRPr="00ED22D1" w:rsidRDefault="0085675A" w:rsidP="0085675A">
            <w:pPr>
              <w:jc w:val="right"/>
              <w:rPr>
                <w:color w:val="000000" w:themeColor="text1"/>
                <w:sz w:val="20"/>
                <w:szCs w:val="20"/>
                <w:lang w:val="fr-CA"/>
              </w:rPr>
            </w:pPr>
            <w:r w:rsidRPr="00ED22D1">
              <w:rPr>
                <w:color w:val="000000" w:themeColor="text1"/>
                <w:sz w:val="20"/>
                <w:szCs w:val="20"/>
                <w:lang w:val="fr-CA"/>
              </w:rPr>
              <w:t>673</w:t>
            </w:r>
          </w:p>
        </w:tc>
        <w:tc>
          <w:tcPr>
            <w:tcW w:w="1723" w:type="dxa"/>
          </w:tcPr>
          <w:p w:rsidR="0085675A" w:rsidRPr="00ED22D1" w:rsidRDefault="004A6828" w:rsidP="0085675A">
            <w:pPr>
              <w:jc w:val="right"/>
              <w:rPr>
                <w:color w:val="000000" w:themeColor="text1"/>
                <w:sz w:val="20"/>
                <w:szCs w:val="20"/>
                <w:lang w:val="fr-CA"/>
              </w:rPr>
            </w:pPr>
            <w:r w:rsidRPr="00ED22D1">
              <w:rPr>
                <w:color w:val="000000" w:themeColor="text1"/>
                <w:sz w:val="20"/>
                <w:szCs w:val="20"/>
                <w:lang w:val="fr-CA"/>
              </w:rPr>
              <w:t>4 </w:t>
            </w:r>
            <w:r w:rsidR="0085675A" w:rsidRPr="00ED22D1">
              <w:rPr>
                <w:color w:val="000000" w:themeColor="text1"/>
                <w:sz w:val="20"/>
                <w:szCs w:val="20"/>
                <w:lang w:val="fr-CA"/>
              </w:rPr>
              <w:t>450</w:t>
            </w:r>
          </w:p>
        </w:tc>
        <w:tc>
          <w:tcPr>
            <w:tcW w:w="1304" w:type="dxa"/>
          </w:tcPr>
          <w:p w:rsidR="0085675A" w:rsidRPr="00ED22D1" w:rsidRDefault="0085675A" w:rsidP="0085675A">
            <w:pPr>
              <w:jc w:val="right"/>
              <w:rPr>
                <w:color w:val="000000" w:themeColor="text1"/>
                <w:sz w:val="20"/>
                <w:szCs w:val="20"/>
                <w:lang w:val="fr-CA"/>
              </w:rPr>
            </w:pPr>
            <w:r w:rsidRPr="00ED22D1">
              <w:rPr>
                <w:color w:val="000000" w:themeColor="text1"/>
                <w:sz w:val="20"/>
                <w:szCs w:val="20"/>
                <w:lang w:val="fr-CA"/>
              </w:rPr>
              <w:t>942</w:t>
            </w:r>
          </w:p>
        </w:tc>
      </w:tr>
      <w:tr w:rsidR="0085675A" w:rsidRPr="00ED22D1" w:rsidTr="0085675A">
        <w:tc>
          <w:tcPr>
            <w:tcW w:w="3068" w:type="dxa"/>
          </w:tcPr>
          <w:p w:rsidR="0085675A" w:rsidRPr="00ED22D1" w:rsidRDefault="0085675A" w:rsidP="0085675A">
            <w:pPr>
              <w:rPr>
                <w:sz w:val="20"/>
                <w:szCs w:val="20"/>
                <w:lang w:val="fr-CA"/>
              </w:rPr>
            </w:pPr>
            <w:r w:rsidRPr="00ED22D1">
              <w:rPr>
                <w:sz w:val="20"/>
                <w:szCs w:val="20"/>
                <w:lang w:val="fr-CA"/>
              </w:rPr>
              <w:t>ICR</w:t>
            </w:r>
          </w:p>
        </w:tc>
        <w:tc>
          <w:tcPr>
            <w:tcW w:w="1754" w:type="dxa"/>
          </w:tcPr>
          <w:p w:rsidR="0085675A" w:rsidRPr="00ED22D1" w:rsidRDefault="004A6828" w:rsidP="0085675A">
            <w:pPr>
              <w:jc w:val="right"/>
              <w:rPr>
                <w:sz w:val="20"/>
                <w:szCs w:val="20"/>
                <w:lang w:val="fr-CA"/>
              </w:rPr>
            </w:pPr>
            <w:r w:rsidRPr="00ED22D1">
              <w:rPr>
                <w:sz w:val="20"/>
                <w:szCs w:val="20"/>
                <w:lang w:val="fr-CA"/>
              </w:rPr>
              <w:t>2 </w:t>
            </w:r>
            <w:r w:rsidR="0085675A" w:rsidRPr="00ED22D1">
              <w:rPr>
                <w:sz w:val="20"/>
                <w:szCs w:val="20"/>
                <w:lang w:val="fr-CA"/>
              </w:rPr>
              <w:t>403</w:t>
            </w:r>
          </w:p>
        </w:tc>
        <w:tc>
          <w:tcPr>
            <w:tcW w:w="1506" w:type="dxa"/>
          </w:tcPr>
          <w:p w:rsidR="0085675A" w:rsidRPr="00ED22D1" w:rsidRDefault="0085675A" w:rsidP="0085675A">
            <w:pPr>
              <w:jc w:val="right"/>
              <w:rPr>
                <w:color w:val="000000" w:themeColor="text1"/>
                <w:sz w:val="20"/>
                <w:szCs w:val="20"/>
                <w:lang w:val="fr-CA"/>
              </w:rPr>
            </w:pPr>
            <w:r w:rsidRPr="00ED22D1">
              <w:rPr>
                <w:color w:val="000000" w:themeColor="text1"/>
                <w:sz w:val="20"/>
                <w:szCs w:val="20"/>
                <w:lang w:val="fr-CA"/>
              </w:rPr>
              <w:t>224</w:t>
            </w:r>
          </w:p>
        </w:tc>
        <w:tc>
          <w:tcPr>
            <w:tcW w:w="1723" w:type="dxa"/>
          </w:tcPr>
          <w:p w:rsidR="0085675A" w:rsidRPr="00ED22D1" w:rsidRDefault="004A6828" w:rsidP="0085675A">
            <w:pPr>
              <w:jc w:val="right"/>
              <w:rPr>
                <w:color w:val="000000" w:themeColor="text1"/>
                <w:sz w:val="20"/>
                <w:szCs w:val="20"/>
                <w:lang w:val="fr-CA"/>
              </w:rPr>
            </w:pPr>
            <w:r w:rsidRPr="00ED22D1">
              <w:rPr>
                <w:color w:val="000000" w:themeColor="text1"/>
                <w:sz w:val="20"/>
                <w:szCs w:val="20"/>
                <w:lang w:val="fr-CA"/>
              </w:rPr>
              <w:t>2 </w:t>
            </w:r>
            <w:r w:rsidR="0085675A" w:rsidRPr="00ED22D1">
              <w:rPr>
                <w:color w:val="000000" w:themeColor="text1"/>
                <w:sz w:val="20"/>
                <w:szCs w:val="20"/>
                <w:lang w:val="fr-CA"/>
              </w:rPr>
              <w:t>163</w:t>
            </w:r>
          </w:p>
        </w:tc>
        <w:tc>
          <w:tcPr>
            <w:tcW w:w="1304" w:type="dxa"/>
          </w:tcPr>
          <w:p w:rsidR="0085675A" w:rsidRPr="00ED22D1" w:rsidRDefault="0085675A" w:rsidP="0085675A">
            <w:pPr>
              <w:jc w:val="right"/>
              <w:rPr>
                <w:color w:val="000000" w:themeColor="text1"/>
                <w:sz w:val="20"/>
                <w:szCs w:val="20"/>
                <w:lang w:val="fr-CA"/>
              </w:rPr>
            </w:pPr>
            <w:r w:rsidRPr="00ED22D1">
              <w:rPr>
                <w:color w:val="000000" w:themeColor="text1"/>
                <w:sz w:val="20"/>
                <w:szCs w:val="20"/>
                <w:lang w:val="fr-CA"/>
              </w:rPr>
              <w:t>240</w:t>
            </w:r>
          </w:p>
        </w:tc>
      </w:tr>
      <w:tr w:rsidR="0085675A" w:rsidRPr="00ED22D1" w:rsidTr="0085675A">
        <w:tc>
          <w:tcPr>
            <w:tcW w:w="3068" w:type="dxa"/>
          </w:tcPr>
          <w:p w:rsidR="0085675A" w:rsidRPr="00ED22D1" w:rsidRDefault="0085675A" w:rsidP="0085675A">
            <w:pPr>
              <w:rPr>
                <w:sz w:val="20"/>
                <w:szCs w:val="20"/>
                <w:lang w:val="fr-CA"/>
              </w:rPr>
            </w:pPr>
            <w:r w:rsidRPr="00ED22D1">
              <w:rPr>
                <w:sz w:val="20"/>
                <w:szCs w:val="20"/>
                <w:lang w:val="fr-CA"/>
              </w:rPr>
              <w:t>RAC</w:t>
            </w:r>
          </w:p>
        </w:tc>
        <w:tc>
          <w:tcPr>
            <w:tcW w:w="1754" w:type="dxa"/>
          </w:tcPr>
          <w:p w:rsidR="0085675A" w:rsidRPr="00ED22D1" w:rsidRDefault="004A6828" w:rsidP="0085675A">
            <w:pPr>
              <w:jc w:val="right"/>
              <w:rPr>
                <w:sz w:val="20"/>
                <w:szCs w:val="20"/>
                <w:lang w:val="fr-CA"/>
              </w:rPr>
            </w:pPr>
            <w:r w:rsidRPr="00ED22D1">
              <w:rPr>
                <w:sz w:val="20"/>
                <w:szCs w:val="20"/>
                <w:lang w:val="fr-CA"/>
              </w:rPr>
              <w:t>4 </w:t>
            </w:r>
            <w:r w:rsidR="0085675A" w:rsidRPr="00ED22D1">
              <w:rPr>
                <w:sz w:val="20"/>
                <w:szCs w:val="20"/>
                <w:lang w:val="fr-CA"/>
              </w:rPr>
              <w:t>109</w:t>
            </w:r>
          </w:p>
        </w:tc>
        <w:tc>
          <w:tcPr>
            <w:tcW w:w="1506" w:type="dxa"/>
          </w:tcPr>
          <w:p w:rsidR="0085675A" w:rsidRPr="00ED22D1" w:rsidRDefault="0085675A" w:rsidP="0085675A">
            <w:pPr>
              <w:jc w:val="right"/>
              <w:rPr>
                <w:sz w:val="20"/>
                <w:szCs w:val="20"/>
                <w:lang w:val="fr-CA"/>
              </w:rPr>
            </w:pPr>
            <w:r w:rsidRPr="00ED22D1">
              <w:rPr>
                <w:sz w:val="20"/>
                <w:szCs w:val="20"/>
                <w:lang w:val="fr-CA"/>
              </w:rPr>
              <w:t>176</w:t>
            </w:r>
          </w:p>
        </w:tc>
        <w:tc>
          <w:tcPr>
            <w:tcW w:w="1723" w:type="dxa"/>
          </w:tcPr>
          <w:p w:rsidR="0085675A" w:rsidRPr="00ED22D1" w:rsidRDefault="004A6828" w:rsidP="0085675A">
            <w:pPr>
              <w:jc w:val="right"/>
              <w:rPr>
                <w:sz w:val="20"/>
                <w:szCs w:val="20"/>
                <w:lang w:val="fr-CA"/>
              </w:rPr>
            </w:pPr>
            <w:r w:rsidRPr="00ED22D1">
              <w:rPr>
                <w:sz w:val="20"/>
                <w:szCs w:val="20"/>
                <w:lang w:val="fr-CA"/>
              </w:rPr>
              <w:t>3 </w:t>
            </w:r>
            <w:r w:rsidR="0085675A" w:rsidRPr="00ED22D1">
              <w:rPr>
                <w:sz w:val="20"/>
                <w:szCs w:val="20"/>
                <w:lang w:val="fr-CA"/>
              </w:rPr>
              <w:t>698</w:t>
            </w:r>
          </w:p>
        </w:tc>
        <w:tc>
          <w:tcPr>
            <w:tcW w:w="1304" w:type="dxa"/>
          </w:tcPr>
          <w:p w:rsidR="0085675A" w:rsidRPr="00ED22D1" w:rsidRDefault="0085675A" w:rsidP="0085675A">
            <w:pPr>
              <w:jc w:val="right"/>
              <w:rPr>
                <w:sz w:val="20"/>
                <w:szCs w:val="20"/>
                <w:lang w:val="fr-CA"/>
              </w:rPr>
            </w:pPr>
            <w:r w:rsidRPr="00ED22D1">
              <w:rPr>
                <w:sz w:val="20"/>
                <w:szCs w:val="20"/>
                <w:lang w:val="fr-CA"/>
              </w:rPr>
              <w:t>411</w:t>
            </w:r>
          </w:p>
        </w:tc>
      </w:tr>
      <w:tr w:rsidR="0085675A" w:rsidRPr="00ED22D1" w:rsidTr="0085675A">
        <w:tc>
          <w:tcPr>
            <w:tcW w:w="3068" w:type="dxa"/>
          </w:tcPr>
          <w:p w:rsidR="0085675A" w:rsidRPr="00ED22D1" w:rsidRDefault="0052712E" w:rsidP="0085675A">
            <w:pPr>
              <w:rPr>
                <w:sz w:val="20"/>
                <w:szCs w:val="20"/>
                <w:lang w:val="fr-CA"/>
              </w:rPr>
            </w:pPr>
            <w:r w:rsidRPr="00ED22D1">
              <w:rPr>
                <w:sz w:val="20"/>
                <w:szCs w:val="20"/>
                <w:lang w:val="fr-CA"/>
              </w:rPr>
              <w:t>Solvant</w:t>
            </w:r>
            <w:r w:rsidR="00CA0808" w:rsidRPr="00ED22D1">
              <w:rPr>
                <w:sz w:val="20"/>
                <w:szCs w:val="20"/>
                <w:lang w:val="fr-CA"/>
              </w:rPr>
              <w:t>s</w:t>
            </w:r>
          </w:p>
        </w:tc>
        <w:tc>
          <w:tcPr>
            <w:tcW w:w="1754" w:type="dxa"/>
          </w:tcPr>
          <w:p w:rsidR="0085675A" w:rsidRPr="00ED22D1" w:rsidRDefault="0085675A" w:rsidP="0085675A">
            <w:pPr>
              <w:jc w:val="right"/>
              <w:rPr>
                <w:sz w:val="20"/>
                <w:szCs w:val="20"/>
                <w:lang w:val="fr-CA"/>
              </w:rPr>
            </w:pPr>
            <w:r w:rsidRPr="00ED22D1">
              <w:rPr>
                <w:sz w:val="20"/>
                <w:szCs w:val="20"/>
                <w:lang w:val="fr-CA"/>
              </w:rPr>
              <w:t>494</w:t>
            </w:r>
          </w:p>
        </w:tc>
        <w:tc>
          <w:tcPr>
            <w:tcW w:w="1506" w:type="dxa"/>
          </w:tcPr>
          <w:p w:rsidR="0085675A" w:rsidRPr="00ED22D1" w:rsidRDefault="0085675A" w:rsidP="0085675A">
            <w:pPr>
              <w:jc w:val="right"/>
              <w:rPr>
                <w:color w:val="000000" w:themeColor="text1"/>
                <w:sz w:val="20"/>
                <w:szCs w:val="20"/>
                <w:lang w:val="fr-CA"/>
              </w:rPr>
            </w:pPr>
            <w:r w:rsidRPr="00ED22D1">
              <w:rPr>
                <w:color w:val="000000" w:themeColor="text1"/>
                <w:sz w:val="20"/>
                <w:szCs w:val="20"/>
                <w:lang w:val="fr-CA"/>
              </w:rPr>
              <w:t>30</w:t>
            </w:r>
          </w:p>
        </w:tc>
        <w:tc>
          <w:tcPr>
            <w:tcW w:w="1723" w:type="dxa"/>
          </w:tcPr>
          <w:p w:rsidR="0085675A" w:rsidRPr="00ED22D1" w:rsidRDefault="0085675A" w:rsidP="0085675A">
            <w:pPr>
              <w:jc w:val="right"/>
              <w:rPr>
                <w:color w:val="000000" w:themeColor="text1"/>
                <w:sz w:val="20"/>
                <w:szCs w:val="20"/>
                <w:lang w:val="fr-CA"/>
              </w:rPr>
            </w:pPr>
            <w:r w:rsidRPr="00ED22D1">
              <w:rPr>
                <w:color w:val="000000" w:themeColor="text1"/>
                <w:sz w:val="20"/>
                <w:szCs w:val="20"/>
                <w:lang w:val="fr-CA"/>
              </w:rPr>
              <w:t>455</w:t>
            </w:r>
          </w:p>
        </w:tc>
        <w:tc>
          <w:tcPr>
            <w:tcW w:w="1304" w:type="dxa"/>
          </w:tcPr>
          <w:p w:rsidR="0085675A" w:rsidRPr="00ED22D1" w:rsidRDefault="0085675A" w:rsidP="0085675A">
            <w:pPr>
              <w:jc w:val="right"/>
              <w:rPr>
                <w:sz w:val="20"/>
                <w:szCs w:val="20"/>
                <w:lang w:val="fr-CA"/>
              </w:rPr>
            </w:pPr>
            <w:r w:rsidRPr="00ED22D1">
              <w:rPr>
                <w:sz w:val="20"/>
                <w:szCs w:val="20"/>
                <w:lang w:val="fr-CA"/>
              </w:rPr>
              <w:t>39</w:t>
            </w:r>
          </w:p>
        </w:tc>
      </w:tr>
      <w:tr w:rsidR="0085675A" w:rsidRPr="00ED22D1" w:rsidTr="0085675A">
        <w:tc>
          <w:tcPr>
            <w:tcW w:w="3068" w:type="dxa"/>
          </w:tcPr>
          <w:p w:rsidR="0085675A" w:rsidRPr="00ED22D1" w:rsidRDefault="001B31BF" w:rsidP="0085675A">
            <w:pPr>
              <w:rPr>
                <w:sz w:val="20"/>
                <w:szCs w:val="20"/>
                <w:lang w:val="fr-CA"/>
              </w:rPr>
            </w:pPr>
            <w:r w:rsidRPr="00ED22D1">
              <w:rPr>
                <w:sz w:val="20"/>
                <w:szCs w:val="20"/>
                <w:lang w:val="fr-CA"/>
              </w:rPr>
              <w:t>Entretien</w:t>
            </w:r>
          </w:p>
        </w:tc>
        <w:tc>
          <w:tcPr>
            <w:tcW w:w="1754" w:type="dxa"/>
          </w:tcPr>
          <w:p w:rsidR="0085675A" w:rsidRPr="00ED22D1" w:rsidRDefault="00F12D89" w:rsidP="0085675A">
            <w:pPr>
              <w:jc w:val="right"/>
              <w:rPr>
                <w:sz w:val="20"/>
                <w:szCs w:val="20"/>
                <w:lang w:val="fr-CA"/>
              </w:rPr>
            </w:pPr>
            <w:r w:rsidRPr="00ED22D1">
              <w:rPr>
                <w:sz w:val="20"/>
                <w:szCs w:val="20"/>
                <w:lang w:val="fr-CA"/>
              </w:rPr>
              <w:t>s.o.</w:t>
            </w:r>
          </w:p>
        </w:tc>
        <w:tc>
          <w:tcPr>
            <w:tcW w:w="1506" w:type="dxa"/>
          </w:tcPr>
          <w:p w:rsidR="0085675A" w:rsidRPr="00ED22D1" w:rsidRDefault="0085675A" w:rsidP="0085675A">
            <w:pPr>
              <w:jc w:val="right"/>
              <w:rPr>
                <w:sz w:val="20"/>
                <w:szCs w:val="20"/>
                <w:lang w:val="fr-CA"/>
              </w:rPr>
            </w:pPr>
            <w:r w:rsidRPr="00ED22D1">
              <w:rPr>
                <w:sz w:val="20"/>
                <w:szCs w:val="20"/>
                <w:lang w:val="fr-CA"/>
              </w:rPr>
              <w:t>61</w:t>
            </w:r>
          </w:p>
        </w:tc>
        <w:tc>
          <w:tcPr>
            <w:tcW w:w="1723" w:type="dxa"/>
          </w:tcPr>
          <w:p w:rsidR="0085675A" w:rsidRPr="00ED22D1" w:rsidRDefault="00F12D89" w:rsidP="0085675A">
            <w:pPr>
              <w:jc w:val="right"/>
              <w:rPr>
                <w:sz w:val="20"/>
                <w:szCs w:val="20"/>
                <w:lang w:val="fr-CA"/>
              </w:rPr>
            </w:pPr>
            <w:r w:rsidRPr="00ED22D1">
              <w:rPr>
                <w:sz w:val="20"/>
                <w:szCs w:val="20"/>
                <w:lang w:val="fr-CA"/>
              </w:rPr>
              <w:t>s.o.</w:t>
            </w:r>
          </w:p>
        </w:tc>
        <w:tc>
          <w:tcPr>
            <w:tcW w:w="1304" w:type="dxa"/>
          </w:tcPr>
          <w:p w:rsidR="0085675A" w:rsidRPr="00ED22D1" w:rsidRDefault="0085675A" w:rsidP="0085675A">
            <w:pPr>
              <w:jc w:val="right"/>
              <w:rPr>
                <w:sz w:val="20"/>
                <w:szCs w:val="20"/>
                <w:lang w:val="fr-CA"/>
              </w:rPr>
            </w:pPr>
            <w:r w:rsidRPr="00ED22D1">
              <w:rPr>
                <w:sz w:val="20"/>
                <w:szCs w:val="20"/>
                <w:lang w:val="fr-CA"/>
              </w:rPr>
              <w:t>0</w:t>
            </w:r>
          </w:p>
        </w:tc>
      </w:tr>
      <w:tr w:rsidR="0085675A" w:rsidRPr="00ED22D1" w:rsidTr="0085675A">
        <w:tc>
          <w:tcPr>
            <w:tcW w:w="3068" w:type="dxa"/>
          </w:tcPr>
          <w:p w:rsidR="0085675A" w:rsidRPr="00ED22D1" w:rsidRDefault="0085675A" w:rsidP="0085675A">
            <w:pPr>
              <w:rPr>
                <w:b/>
                <w:sz w:val="20"/>
                <w:szCs w:val="20"/>
                <w:lang w:val="fr-CA"/>
              </w:rPr>
            </w:pPr>
            <w:r w:rsidRPr="00ED22D1">
              <w:rPr>
                <w:b/>
                <w:sz w:val="20"/>
                <w:szCs w:val="20"/>
                <w:lang w:val="fr-CA"/>
              </w:rPr>
              <w:t>Total</w:t>
            </w:r>
          </w:p>
        </w:tc>
        <w:tc>
          <w:tcPr>
            <w:tcW w:w="1754" w:type="dxa"/>
          </w:tcPr>
          <w:p w:rsidR="0085675A" w:rsidRPr="00ED22D1" w:rsidRDefault="00F12D89" w:rsidP="0085675A">
            <w:pPr>
              <w:jc w:val="right"/>
              <w:rPr>
                <w:b/>
                <w:sz w:val="20"/>
                <w:szCs w:val="20"/>
                <w:lang w:val="fr-CA"/>
              </w:rPr>
            </w:pPr>
            <w:r w:rsidRPr="00ED22D1">
              <w:rPr>
                <w:b/>
                <w:sz w:val="20"/>
                <w:szCs w:val="20"/>
                <w:lang w:val="fr-CA"/>
              </w:rPr>
              <w:t>s.o.</w:t>
            </w:r>
          </w:p>
        </w:tc>
        <w:tc>
          <w:tcPr>
            <w:tcW w:w="1506" w:type="dxa"/>
          </w:tcPr>
          <w:p w:rsidR="0085675A" w:rsidRPr="00ED22D1" w:rsidRDefault="004A6828" w:rsidP="0085675A">
            <w:pPr>
              <w:jc w:val="right"/>
              <w:rPr>
                <w:b/>
                <w:sz w:val="20"/>
                <w:szCs w:val="20"/>
                <w:lang w:val="fr-CA"/>
              </w:rPr>
            </w:pPr>
            <w:r w:rsidRPr="00ED22D1">
              <w:rPr>
                <w:b/>
                <w:sz w:val="20"/>
                <w:szCs w:val="20"/>
                <w:lang w:val="fr-CA"/>
              </w:rPr>
              <w:t>1 </w:t>
            </w:r>
            <w:r w:rsidR="0085675A" w:rsidRPr="00ED22D1">
              <w:rPr>
                <w:b/>
                <w:sz w:val="20"/>
                <w:szCs w:val="20"/>
                <w:lang w:val="fr-CA"/>
              </w:rPr>
              <w:t>502</w:t>
            </w:r>
          </w:p>
        </w:tc>
        <w:tc>
          <w:tcPr>
            <w:tcW w:w="1723" w:type="dxa"/>
          </w:tcPr>
          <w:p w:rsidR="0085675A" w:rsidRPr="00ED22D1" w:rsidRDefault="00F12D89" w:rsidP="0085675A">
            <w:pPr>
              <w:jc w:val="right"/>
              <w:rPr>
                <w:b/>
                <w:sz w:val="20"/>
                <w:szCs w:val="20"/>
                <w:lang w:val="fr-CA"/>
              </w:rPr>
            </w:pPr>
            <w:r w:rsidRPr="00ED22D1">
              <w:rPr>
                <w:b/>
                <w:sz w:val="20"/>
                <w:szCs w:val="20"/>
                <w:lang w:val="fr-CA"/>
              </w:rPr>
              <w:t>s.o.</w:t>
            </w:r>
          </w:p>
        </w:tc>
        <w:tc>
          <w:tcPr>
            <w:tcW w:w="1304" w:type="dxa"/>
          </w:tcPr>
          <w:p w:rsidR="0085675A" w:rsidRPr="00ED22D1" w:rsidRDefault="004A6828" w:rsidP="0085675A">
            <w:pPr>
              <w:jc w:val="right"/>
              <w:rPr>
                <w:b/>
                <w:sz w:val="20"/>
                <w:szCs w:val="20"/>
                <w:lang w:val="fr-CA"/>
              </w:rPr>
            </w:pPr>
            <w:r w:rsidRPr="00ED22D1">
              <w:rPr>
                <w:b/>
                <w:sz w:val="20"/>
                <w:szCs w:val="20"/>
                <w:lang w:val="fr-CA"/>
              </w:rPr>
              <w:t>1 </w:t>
            </w:r>
            <w:r w:rsidR="0085675A" w:rsidRPr="00ED22D1">
              <w:rPr>
                <w:b/>
                <w:sz w:val="20"/>
                <w:szCs w:val="20"/>
                <w:lang w:val="fr-CA"/>
              </w:rPr>
              <w:t>886</w:t>
            </w:r>
          </w:p>
        </w:tc>
      </w:tr>
    </w:tbl>
    <w:p w:rsidR="0085675A" w:rsidRPr="00ED22D1" w:rsidRDefault="0085675A" w:rsidP="0085675A">
      <w:pPr>
        <w:rPr>
          <w:lang w:val="fr-CA"/>
        </w:rPr>
      </w:pPr>
    </w:p>
    <w:p w:rsidR="0085675A" w:rsidRPr="00ED22D1" w:rsidRDefault="00CA0808" w:rsidP="0085675A">
      <w:pPr>
        <w:pStyle w:val="Heading1"/>
        <w:rPr>
          <w:lang w:val="fr-CA"/>
        </w:rPr>
      </w:pPr>
      <w:r w:rsidRPr="00ED22D1">
        <w:rPr>
          <w:lang w:val="fr-CA"/>
        </w:rPr>
        <w:t>Toutes les</w:t>
      </w:r>
      <w:r w:rsidR="0085675A" w:rsidRPr="00ED22D1">
        <w:rPr>
          <w:lang w:val="fr-CA"/>
        </w:rPr>
        <w:t xml:space="preserve"> tranches associ</w:t>
      </w:r>
      <w:r w:rsidRPr="00ED22D1">
        <w:rPr>
          <w:lang w:val="fr-CA"/>
        </w:rPr>
        <w:t xml:space="preserve">ées aux plans sectoriels ont été </w:t>
      </w:r>
      <w:r w:rsidR="00AA6E77" w:rsidRPr="00ED22D1">
        <w:rPr>
          <w:lang w:val="fr-CA"/>
        </w:rPr>
        <w:t>approuvé</w:t>
      </w:r>
      <w:r w:rsidRPr="00ED22D1">
        <w:rPr>
          <w:lang w:val="fr-CA"/>
        </w:rPr>
        <w:t>es (T</w:t>
      </w:r>
      <w:r w:rsidR="00CE7FEC" w:rsidRPr="00ED22D1">
        <w:rPr>
          <w:lang w:val="fr-CA"/>
        </w:rPr>
        <w:t xml:space="preserve">ableau </w:t>
      </w:r>
      <w:r w:rsidR="004A6828" w:rsidRPr="00ED22D1">
        <w:rPr>
          <w:lang w:val="fr-CA"/>
        </w:rPr>
        <w:t>2</w:t>
      </w:r>
      <w:r w:rsidRPr="00ED22D1">
        <w:rPr>
          <w:lang w:val="fr-CA"/>
        </w:rPr>
        <w:t>).</w:t>
      </w:r>
    </w:p>
    <w:p w:rsidR="0085675A" w:rsidRPr="00ED22D1" w:rsidRDefault="00CE7FEC" w:rsidP="00510789">
      <w:pPr>
        <w:ind w:left="-142"/>
        <w:rPr>
          <w:b/>
          <w:lang w:val="fr-CA"/>
        </w:rPr>
      </w:pPr>
      <w:r w:rsidRPr="00ED22D1">
        <w:rPr>
          <w:b/>
          <w:lang w:val="fr-CA"/>
        </w:rPr>
        <w:t xml:space="preserve">Tableau </w:t>
      </w:r>
      <w:r w:rsidR="004A6828" w:rsidRPr="00ED22D1">
        <w:rPr>
          <w:b/>
          <w:lang w:val="fr-CA"/>
        </w:rPr>
        <w:t>2</w:t>
      </w:r>
      <w:r w:rsidR="00FB46BE" w:rsidRPr="00ED22D1">
        <w:rPr>
          <w:b/>
          <w:lang w:val="fr-CA"/>
        </w:rPr>
        <w:t>.</w:t>
      </w:r>
      <w:r w:rsidR="0085675A" w:rsidRPr="00ED22D1">
        <w:rPr>
          <w:b/>
          <w:lang w:val="fr-CA"/>
        </w:rPr>
        <w:t xml:space="preserve"> Dates </w:t>
      </w:r>
      <w:r w:rsidR="00FB46BE" w:rsidRPr="00ED22D1">
        <w:rPr>
          <w:b/>
          <w:lang w:val="fr-CA"/>
        </w:rPr>
        <w:t xml:space="preserve">des approbations des plans sectoriels du </w:t>
      </w:r>
      <w:r w:rsidR="001F19C1" w:rsidRPr="00ED22D1">
        <w:rPr>
          <w:b/>
          <w:lang w:val="fr-CA"/>
        </w:rPr>
        <w:t>PGEH</w:t>
      </w:r>
      <w:r w:rsidR="0085675A" w:rsidRPr="00ED22D1">
        <w:rPr>
          <w:b/>
          <w:lang w:val="fr-CA"/>
        </w:rPr>
        <w:t xml:space="preserve"> </w:t>
      </w:r>
      <w:r w:rsidR="001B31BF" w:rsidRPr="00ED22D1">
        <w:rPr>
          <w:b/>
          <w:lang w:val="fr-CA"/>
        </w:rPr>
        <w:t>de la Chine</w:t>
      </w:r>
    </w:p>
    <w:tbl>
      <w:tblPr>
        <w:tblW w:w="5477" w:type="pct"/>
        <w:tblInd w:w="-34" w:type="dxa"/>
        <w:tblLayout w:type="fixed"/>
        <w:tblLook w:val="04A0" w:firstRow="1" w:lastRow="0" w:firstColumn="1" w:lastColumn="0" w:noHBand="0" w:noVBand="1"/>
      </w:tblPr>
      <w:tblGrid>
        <w:gridCol w:w="993"/>
        <w:gridCol w:w="995"/>
        <w:gridCol w:w="994"/>
        <w:gridCol w:w="994"/>
        <w:gridCol w:w="1135"/>
        <w:gridCol w:w="1255"/>
        <w:gridCol w:w="1013"/>
        <w:gridCol w:w="992"/>
        <w:gridCol w:w="994"/>
        <w:gridCol w:w="1125"/>
      </w:tblGrid>
      <w:tr w:rsidR="0085675A" w:rsidRPr="00ED22D1" w:rsidTr="00510789">
        <w:trPr>
          <w:trHeight w:val="170"/>
        </w:trPr>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5675A" w:rsidRPr="00ED22D1" w:rsidRDefault="00FB46BE" w:rsidP="00FB46BE">
            <w:pPr>
              <w:jc w:val="left"/>
              <w:rPr>
                <w:b/>
                <w:bCs/>
                <w:color w:val="000000"/>
                <w:sz w:val="20"/>
                <w:szCs w:val="20"/>
                <w:lang w:val="fr-CA"/>
              </w:rPr>
            </w:pPr>
            <w:r w:rsidRPr="00ED22D1">
              <w:rPr>
                <w:b/>
                <w:bCs/>
                <w:color w:val="000000"/>
                <w:sz w:val="20"/>
                <w:szCs w:val="20"/>
                <w:lang w:val="fr-CA"/>
              </w:rPr>
              <w:t>Plan sectoriel</w:t>
            </w:r>
          </w:p>
        </w:tc>
        <w:tc>
          <w:tcPr>
            <w:tcW w:w="4527" w:type="pct"/>
            <w:gridSpan w:val="9"/>
            <w:tcBorders>
              <w:top w:val="single" w:sz="4" w:space="0" w:color="auto"/>
              <w:left w:val="nil"/>
              <w:bottom w:val="single" w:sz="4" w:space="0" w:color="auto"/>
              <w:right w:val="single" w:sz="4" w:space="0" w:color="auto"/>
            </w:tcBorders>
            <w:shd w:val="clear" w:color="auto" w:fill="auto"/>
            <w:noWrap/>
            <w:hideMark/>
          </w:tcPr>
          <w:p w:rsidR="0085675A" w:rsidRPr="00ED22D1" w:rsidRDefault="00F96C70" w:rsidP="0085675A">
            <w:pPr>
              <w:jc w:val="center"/>
              <w:rPr>
                <w:b/>
                <w:bCs/>
                <w:color w:val="000000"/>
                <w:sz w:val="20"/>
                <w:szCs w:val="20"/>
                <w:lang w:val="fr-CA"/>
              </w:rPr>
            </w:pPr>
            <w:r w:rsidRPr="00ED22D1">
              <w:rPr>
                <w:b/>
                <w:bCs/>
                <w:color w:val="000000"/>
                <w:sz w:val="20"/>
                <w:szCs w:val="20"/>
                <w:lang w:val="fr-CA"/>
              </w:rPr>
              <w:t>Réunion</w:t>
            </w:r>
            <w:r w:rsidR="0085675A" w:rsidRPr="00ED22D1">
              <w:rPr>
                <w:b/>
                <w:bCs/>
                <w:color w:val="000000"/>
                <w:sz w:val="20"/>
                <w:szCs w:val="20"/>
                <w:lang w:val="fr-CA"/>
              </w:rPr>
              <w:t xml:space="preserve"> </w:t>
            </w:r>
            <w:r w:rsidR="00921BDE" w:rsidRPr="00ED22D1">
              <w:rPr>
                <w:b/>
                <w:bCs/>
                <w:color w:val="000000"/>
                <w:sz w:val="20"/>
                <w:szCs w:val="20"/>
                <w:lang w:val="fr-CA"/>
              </w:rPr>
              <w:t xml:space="preserve">du </w:t>
            </w:r>
            <w:r w:rsidR="00DD185D" w:rsidRPr="00ED22D1">
              <w:rPr>
                <w:b/>
                <w:bCs/>
                <w:color w:val="000000"/>
                <w:sz w:val="20"/>
                <w:szCs w:val="20"/>
                <w:lang w:val="fr-CA"/>
              </w:rPr>
              <w:t>Comité exécutif</w:t>
            </w:r>
          </w:p>
        </w:tc>
      </w:tr>
      <w:tr w:rsidR="00510789" w:rsidRPr="00ED22D1" w:rsidTr="00510789">
        <w:trPr>
          <w:trHeight w:val="50"/>
        </w:trPr>
        <w:tc>
          <w:tcPr>
            <w:tcW w:w="473" w:type="pct"/>
            <w:vMerge/>
            <w:tcBorders>
              <w:top w:val="single" w:sz="4" w:space="0" w:color="auto"/>
              <w:left w:val="single" w:sz="4" w:space="0" w:color="auto"/>
              <w:bottom w:val="single" w:sz="4" w:space="0" w:color="auto"/>
              <w:right w:val="single" w:sz="4" w:space="0" w:color="auto"/>
            </w:tcBorders>
            <w:hideMark/>
          </w:tcPr>
          <w:p w:rsidR="0085675A" w:rsidRPr="00ED22D1" w:rsidRDefault="0085675A" w:rsidP="0085675A">
            <w:pPr>
              <w:jc w:val="left"/>
              <w:rPr>
                <w:b/>
                <w:bCs/>
                <w:color w:val="000000"/>
                <w:sz w:val="20"/>
                <w:szCs w:val="20"/>
                <w:lang w:val="fr-CA"/>
              </w:rPr>
            </w:pP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FB46BE" w:rsidP="00FB46BE">
            <w:pPr>
              <w:jc w:val="center"/>
              <w:rPr>
                <w:b/>
                <w:bCs/>
                <w:color w:val="000000"/>
                <w:sz w:val="20"/>
                <w:szCs w:val="20"/>
                <w:lang w:val="fr-CA"/>
              </w:rPr>
            </w:pPr>
            <w:r w:rsidRPr="00ED22D1">
              <w:rPr>
                <w:b/>
                <w:bCs/>
                <w:color w:val="000000"/>
                <w:sz w:val="20"/>
                <w:szCs w:val="20"/>
                <w:lang w:val="fr-CA"/>
              </w:rPr>
              <w:t>6</w:t>
            </w:r>
            <w:r w:rsidR="0085675A" w:rsidRPr="00ED22D1">
              <w:rPr>
                <w:b/>
                <w:bCs/>
                <w:color w:val="000000"/>
                <w:sz w:val="20"/>
                <w:szCs w:val="20"/>
                <w:lang w:val="fr-CA"/>
              </w:rPr>
              <w:t>4</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FB46BE" w:rsidP="00FB46BE">
            <w:pPr>
              <w:jc w:val="center"/>
              <w:rPr>
                <w:b/>
                <w:bCs/>
                <w:color w:val="000000"/>
                <w:sz w:val="20"/>
                <w:szCs w:val="20"/>
                <w:lang w:val="fr-CA"/>
              </w:rPr>
            </w:pPr>
            <w:r w:rsidRPr="00ED22D1">
              <w:rPr>
                <w:b/>
                <w:bCs/>
                <w:color w:val="000000"/>
                <w:sz w:val="20"/>
                <w:szCs w:val="20"/>
                <w:lang w:val="fr-CA"/>
              </w:rPr>
              <w:t>6</w:t>
            </w:r>
            <w:r w:rsidR="0085675A" w:rsidRPr="00ED22D1">
              <w:rPr>
                <w:b/>
                <w:bCs/>
                <w:color w:val="000000"/>
                <w:sz w:val="20"/>
                <w:szCs w:val="20"/>
                <w:lang w:val="fr-CA"/>
              </w:rPr>
              <w:t>5</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FB46BE" w:rsidP="00FB46BE">
            <w:pPr>
              <w:jc w:val="center"/>
              <w:rPr>
                <w:b/>
                <w:bCs/>
                <w:color w:val="000000"/>
                <w:sz w:val="20"/>
                <w:szCs w:val="20"/>
                <w:lang w:val="fr-CA"/>
              </w:rPr>
            </w:pPr>
            <w:r w:rsidRPr="00ED22D1">
              <w:rPr>
                <w:b/>
                <w:bCs/>
                <w:color w:val="000000"/>
                <w:sz w:val="20"/>
                <w:szCs w:val="20"/>
                <w:lang w:val="fr-CA"/>
              </w:rPr>
              <w:t>6</w:t>
            </w:r>
            <w:r w:rsidR="0085675A" w:rsidRPr="00ED22D1">
              <w:rPr>
                <w:b/>
                <w:bCs/>
                <w:color w:val="000000"/>
                <w:sz w:val="20"/>
                <w:szCs w:val="20"/>
                <w:lang w:val="fr-CA"/>
              </w:rPr>
              <w:t>8</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541" w:type="pct"/>
            <w:tcBorders>
              <w:top w:val="nil"/>
              <w:left w:val="nil"/>
              <w:bottom w:val="single" w:sz="4" w:space="0" w:color="auto"/>
              <w:right w:val="single" w:sz="4" w:space="0" w:color="auto"/>
            </w:tcBorders>
            <w:shd w:val="clear" w:color="auto" w:fill="auto"/>
            <w:noWrap/>
            <w:hideMark/>
          </w:tcPr>
          <w:p w:rsidR="0085675A" w:rsidRPr="00ED22D1" w:rsidRDefault="00FB46BE" w:rsidP="00FB46BE">
            <w:pPr>
              <w:jc w:val="center"/>
              <w:rPr>
                <w:b/>
                <w:bCs/>
                <w:color w:val="000000"/>
                <w:sz w:val="20"/>
                <w:szCs w:val="20"/>
                <w:lang w:val="fr-CA"/>
              </w:rPr>
            </w:pPr>
            <w:r w:rsidRPr="00ED22D1">
              <w:rPr>
                <w:b/>
                <w:bCs/>
                <w:color w:val="000000"/>
                <w:sz w:val="20"/>
                <w:szCs w:val="20"/>
                <w:lang w:val="fr-CA"/>
              </w:rPr>
              <w:t>6</w:t>
            </w:r>
            <w:r w:rsidR="0085675A" w:rsidRPr="00ED22D1">
              <w:rPr>
                <w:b/>
                <w:bCs/>
                <w:color w:val="000000"/>
                <w:sz w:val="20"/>
                <w:szCs w:val="20"/>
                <w:lang w:val="fr-CA"/>
              </w:rPr>
              <w:t>9</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598" w:type="pct"/>
            <w:tcBorders>
              <w:top w:val="nil"/>
              <w:left w:val="nil"/>
              <w:bottom w:val="single" w:sz="4" w:space="0" w:color="auto"/>
              <w:right w:val="single" w:sz="4" w:space="0" w:color="auto"/>
            </w:tcBorders>
            <w:shd w:val="clear" w:color="auto" w:fill="auto"/>
            <w:noWrap/>
            <w:hideMark/>
          </w:tcPr>
          <w:p w:rsidR="0085675A" w:rsidRPr="00ED22D1" w:rsidRDefault="00FB46BE" w:rsidP="00FB46BE">
            <w:pPr>
              <w:jc w:val="center"/>
              <w:rPr>
                <w:b/>
                <w:bCs/>
                <w:color w:val="000000"/>
                <w:sz w:val="20"/>
                <w:szCs w:val="20"/>
                <w:lang w:val="fr-CA"/>
              </w:rPr>
            </w:pPr>
            <w:r w:rsidRPr="00ED22D1">
              <w:rPr>
                <w:b/>
                <w:bCs/>
                <w:color w:val="000000"/>
                <w:sz w:val="20"/>
                <w:szCs w:val="20"/>
                <w:lang w:val="fr-CA"/>
              </w:rPr>
              <w:t>7</w:t>
            </w:r>
            <w:r w:rsidR="0085675A" w:rsidRPr="00ED22D1">
              <w:rPr>
                <w:b/>
                <w:bCs/>
                <w:color w:val="000000"/>
                <w:sz w:val="20"/>
                <w:szCs w:val="20"/>
                <w:lang w:val="fr-CA"/>
              </w:rPr>
              <w:t>1</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483" w:type="pct"/>
            <w:tcBorders>
              <w:top w:val="nil"/>
              <w:left w:val="nil"/>
              <w:bottom w:val="single" w:sz="4" w:space="0" w:color="auto"/>
              <w:right w:val="single" w:sz="4" w:space="0" w:color="auto"/>
            </w:tcBorders>
            <w:shd w:val="clear" w:color="auto" w:fill="auto"/>
            <w:noWrap/>
            <w:hideMark/>
          </w:tcPr>
          <w:p w:rsidR="0085675A" w:rsidRPr="00ED22D1" w:rsidRDefault="00FB46BE" w:rsidP="00FB46BE">
            <w:pPr>
              <w:jc w:val="center"/>
              <w:rPr>
                <w:b/>
                <w:bCs/>
                <w:color w:val="000000"/>
                <w:sz w:val="20"/>
                <w:szCs w:val="20"/>
                <w:lang w:val="fr-CA"/>
              </w:rPr>
            </w:pPr>
            <w:r w:rsidRPr="00ED22D1">
              <w:rPr>
                <w:b/>
                <w:bCs/>
                <w:color w:val="000000"/>
                <w:sz w:val="20"/>
                <w:szCs w:val="20"/>
                <w:lang w:val="fr-CA"/>
              </w:rPr>
              <w:t>7</w:t>
            </w:r>
            <w:r w:rsidR="0085675A" w:rsidRPr="00ED22D1">
              <w:rPr>
                <w:b/>
                <w:bCs/>
                <w:color w:val="000000"/>
                <w:sz w:val="20"/>
                <w:szCs w:val="20"/>
                <w:lang w:val="fr-CA"/>
              </w:rPr>
              <w:t>2</w:t>
            </w:r>
            <w:r w:rsidRPr="00ED22D1">
              <w:rPr>
                <w:b/>
                <w:bCs/>
                <w:color w:val="000000"/>
                <w:sz w:val="20"/>
                <w:szCs w:val="20"/>
                <w:vertAlign w:val="superscript"/>
                <w:lang w:val="fr-CA"/>
              </w:rPr>
              <w:t>e</w:t>
            </w:r>
          </w:p>
        </w:tc>
        <w:tc>
          <w:tcPr>
            <w:tcW w:w="473" w:type="pct"/>
            <w:tcBorders>
              <w:top w:val="nil"/>
              <w:left w:val="nil"/>
              <w:bottom w:val="single" w:sz="4" w:space="0" w:color="auto"/>
              <w:right w:val="single" w:sz="4" w:space="0" w:color="auto"/>
            </w:tcBorders>
          </w:tcPr>
          <w:p w:rsidR="0085675A" w:rsidRPr="00ED22D1" w:rsidRDefault="00FB46BE" w:rsidP="00FB46BE">
            <w:pPr>
              <w:jc w:val="center"/>
              <w:rPr>
                <w:b/>
                <w:bCs/>
                <w:color w:val="000000"/>
                <w:sz w:val="20"/>
                <w:szCs w:val="20"/>
                <w:lang w:val="fr-CA"/>
              </w:rPr>
            </w:pPr>
            <w:r w:rsidRPr="00ED22D1">
              <w:rPr>
                <w:b/>
                <w:bCs/>
                <w:color w:val="000000"/>
                <w:sz w:val="20"/>
                <w:szCs w:val="20"/>
                <w:lang w:val="fr-CA"/>
              </w:rPr>
              <w:t>7</w:t>
            </w:r>
            <w:r w:rsidR="0085675A" w:rsidRPr="00ED22D1">
              <w:rPr>
                <w:b/>
                <w:bCs/>
                <w:color w:val="000000"/>
                <w:sz w:val="20"/>
                <w:szCs w:val="20"/>
                <w:lang w:val="fr-CA"/>
              </w:rPr>
              <w:t>3</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474" w:type="pct"/>
            <w:tcBorders>
              <w:top w:val="nil"/>
              <w:left w:val="nil"/>
              <w:bottom w:val="single" w:sz="4" w:space="0" w:color="auto"/>
              <w:right w:val="single" w:sz="4" w:space="0" w:color="auto"/>
            </w:tcBorders>
          </w:tcPr>
          <w:p w:rsidR="0085675A" w:rsidRPr="00ED22D1" w:rsidRDefault="00FB46BE" w:rsidP="00FB46BE">
            <w:pPr>
              <w:jc w:val="center"/>
              <w:rPr>
                <w:b/>
                <w:bCs/>
                <w:color w:val="000000"/>
                <w:sz w:val="20"/>
                <w:szCs w:val="20"/>
                <w:lang w:val="fr-CA"/>
              </w:rPr>
            </w:pPr>
            <w:r w:rsidRPr="00ED22D1">
              <w:rPr>
                <w:b/>
                <w:bCs/>
                <w:color w:val="000000"/>
                <w:sz w:val="20"/>
                <w:szCs w:val="20"/>
                <w:lang w:val="fr-CA"/>
              </w:rPr>
              <w:t>7</w:t>
            </w:r>
            <w:r w:rsidR="0085675A" w:rsidRPr="00ED22D1">
              <w:rPr>
                <w:b/>
                <w:bCs/>
                <w:color w:val="000000"/>
                <w:sz w:val="20"/>
                <w:szCs w:val="20"/>
                <w:lang w:val="fr-CA"/>
              </w:rPr>
              <w:t>4</w:t>
            </w:r>
            <w:r w:rsidRPr="00ED22D1">
              <w:rPr>
                <w:b/>
                <w:bCs/>
                <w:color w:val="000000"/>
                <w:sz w:val="20"/>
                <w:szCs w:val="20"/>
                <w:vertAlign w:val="superscript"/>
                <w:lang w:val="fr-CA"/>
              </w:rPr>
              <w:t>e</w:t>
            </w:r>
            <w:r w:rsidRPr="00ED22D1">
              <w:rPr>
                <w:b/>
                <w:bCs/>
                <w:color w:val="000000"/>
                <w:sz w:val="20"/>
                <w:szCs w:val="20"/>
                <w:lang w:val="fr-CA"/>
              </w:rPr>
              <w:t xml:space="preserve"> </w:t>
            </w:r>
          </w:p>
        </w:tc>
        <w:tc>
          <w:tcPr>
            <w:tcW w:w="536" w:type="pct"/>
            <w:tcBorders>
              <w:top w:val="nil"/>
              <w:left w:val="nil"/>
              <w:bottom w:val="single" w:sz="4" w:space="0" w:color="auto"/>
              <w:right w:val="single" w:sz="4" w:space="0" w:color="auto"/>
            </w:tcBorders>
          </w:tcPr>
          <w:p w:rsidR="0085675A" w:rsidRPr="00ED22D1" w:rsidRDefault="00FB46BE" w:rsidP="00FB46BE">
            <w:pPr>
              <w:jc w:val="center"/>
              <w:rPr>
                <w:b/>
                <w:bCs/>
                <w:color w:val="000000"/>
                <w:sz w:val="20"/>
                <w:szCs w:val="20"/>
                <w:lang w:val="fr-CA"/>
              </w:rPr>
            </w:pPr>
            <w:r w:rsidRPr="00ED22D1">
              <w:rPr>
                <w:b/>
                <w:bCs/>
                <w:color w:val="000000"/>
                <w:sz w:val="20"/>
                <w:szCs w:val="20"/>
                <w:lang w:val="fr-CA"/>
              </w:rPr>
              <w:t>7</w:t>
            </w:r>
            <w:r w:rsidR="0085675A" w:rsidRPr="00ED22D1">
              <w:rPr>
                <w:b/>
                <w:bCs/>
                <w:color w:val="000000"/>
                <w:sz w:val="20"/>
                <w:szCs w:val="20"/>
                <w:lang w:val="fr-CA"/>
              </w:rPr>
              <w:t>5</w:t>
            </w:r>
            <w:r w:rsidRPr="00ED22D1">
              <w:rPr>
                <w:b/>
                <w:bCs/>
                <w:color w:val="000000"/>
                <w:sz w:val="20"/>
                <w:szCs w:val="20"/>
                <w:vertAlign w:val="superscript"/>
                <w:lang w:val="fr-CA"/>
              </w:rPr>
              <w:t>e</w:t>
            </w:r>
            <w:r w:rsidRPr="00ED22D1">
              <w:rPr>
                <w:b/>
                <w:bCs/>
                <w:color w:val="000000"/>
                <w:sz w:val="20"/>
                <w:szCs w:val="20"/>
                <w:lang w:val="fr-CA"/>
              </w:rPr>
              <w:t xml:space="preserve"> </w:t>
            </w:r>
          </w:p>
        </w:tc>
      </w:tr>
      <w:tr w:rsidR="00510789" w:rsidRPr="00ED22D1" w:rsidTr="00510789">
        <w:trPr>
          <w:trHeight w:val="50"/>
        </w:trPr>
        <w:tc>
          <w:tcPr>
            <w:tcW w:w="473" w:type="pct"/>
            <w:tcBorders>
              <w:top w:val="nil"/>
              <w:left w:val="single" w:sz="4" w:space="0" w:color="auto"/>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r w:rsidRPr="00ED22D1">
              <w:rPr>
                <w:color w:val="000000"/>
                <w:sz w:val="18"/>
                <w:szCs w:val="18"/>
                <w:lang w:val="fr-CA"/>
              </w:rPr>
              <w:t>XPS</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181884" w:rsidP="0085675A">
            <w:pPr>
              <w:jc w:val="left"/>
              <w:rPr>
                <w:color w:val="000000"/>
                <w:sz w:val="18"/>
                <w:szCs w:val="18"/>
                <w:lang w:val="fr-CA"/>
              </w:rPr>
            </w:pPr>
            <w:r w:rsidRPr="00ED22D1">
              <w:rPr>
                <w:color w:val="000000"/>
                <w:sz w:val="18"/>
                <w:szCs w:val="18"/>
                <w:lang w:val="fr-CA"/>
              </w:rPr>
              <w:t>Première</w:t>
            </w:r>
            <w:r w:rsidR="0085675A" w:rsidRPr="00ED22D1">
              <w:rPr>
                <w:color w:val="000000"/>
                <w:sz w:val="18"/>
                <w:szCs w:val="18"/>
                <w:lang w:val="fr-CA"/>
              </w:rPr>
              <w:t xml:space="preserve"> </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rsidR="0085675A" w:rsidRPr="00ED22D1" w:rsidRDefault="00921BDE" w:rsidP="0085675A">
            <w:pPr>
              <w:jc w:val="left"/>
              <w:rPr>
                <w:color w:val="000000"/>
                <w:sz w:val="18"/>
                <w:szCs w:val="18"/>
                <w:lang w:val="fr-CA"/>
              </w:rPr>
            </w:pPr>
            <w:r w:rsidRPr="00ED22D1">
              <w:rPr>
                <w:color w:val="000000"/>
                <w:sz w:val="18"/>
                <w:szCs w:val="18"/>
                <w:lang w:val="fr-CA"/>
              </w:rPr>
              <w:t>Deuxième</w:t>
            </w:r>
            <w:r w:rsidR="0085675A" w:rsidRPr="00ED22D1">
              <w:rPr>
                <w:color w:val="000000"/>
                <w:sz w:val="18"/>
                <w:szCs w:val="18"/>
                <w:lang w:val="fr-CA"/>
              </w:rPr>
              <w:t xml:space="preserve"> </w:t>
            </w:r>
          </w:p>
        </w:tc>
        <w:tc>
          <w:tcPr>
            <w:tcW w:w="59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left"/>
              <w:rPr>
                <w:color w:val="000000"/>
                <w:sz w:val="18"/>
                <w:szCs w:val="18"/>
                <w:lang w:val="fr-CA"/>
              </w:rPr>
            </w:pPr>
            <w:r w:rsidRPr="00ED22D1">
              <w:rPr>
                <w:color w:val="000000"/>
                <w:sz w:val="18"/>
                <w:szCs w:val="18"/>
                <w:lang w:val="fr-CA"/>
              </w:rPr>
              <w:t>Troisième</w:t>
            </w:r>
            <w:r w:rsidR="0085675A" w:rsidRPr="00ED22D1">
              <w:rPr>
                <w:color w:val="000000"/>
                <w:sz w:val="18"/>
                <w:szCs w:val="18"/>
                <w:lang w:val="fr-CA"/>
              </w:rPr>
              <w:t xml:space="preserve"> </w:t>
            </w:r>
          </w:p>
        </w:tc>
        <w:tc>
          <w:tcPr>
            <w:tcW w:w="483"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473" w:type="pct"/>
            <w:tcBorders>
              <w:top w:val="nil"/>
              <w:left w:val="nil"/>
              <w:bottom w:val="single" w:sz="4" w:space="0" w:color="auto"/>
              <w:right w:val="single" w:sz="4" w:space="0" w:color="auto"/>
            </w:tcBorders>
          </w:tcPr>
          <w:p w:rsidR="0085675A" w:rsidRPr="00ED22D1" w:rsidRDefault="00FB46BE" w:rsidP="0085675A">
            <w:pPr>
              <w:jc w:val="left"/>
              <w:rPr>
                <w:color w:val="000000"/>
                <w:sz w:val="18"/>
                <w:szCs w:val="18"/>
                <w:lang w:val="fr-CA"/>
              </w:rPr>
            </w:pPr>
            <w:r w:rsidRPr="00ED22D1">
              <w:rPr>
                <w:color w:val="000000"/>
                <w:sz w:val="18"/>
                <w:szCs w:val="18"/>
                <w:lang w:val="fr-CA"/>
              </w:rPr>
              <w:t>Quatrième</w:t>
            </w:r>
          </w:p>
        </w:tc>
        <w:tc>
          <w:tcPr>
            <w:tcW w:w="474" w:type="pct"/>
            <w:tcBorders>
              <w:top w:val="nil"/>
              <w:left w:val="nil"/>
              <w:bottom w:val="single" w:sz="4" w:space="0" w:color="auto"/>
              <w:right w:val="single" w:sz="4" w:space="0" w:color="auto"/>
            </w:tcBorders>
          </w:tcPr>
          <w:p w:rsidR="0085675A" w:rsidRPr="00ED22D1" w:rsidRDefault="0085675A" w:rsidP="0085675A">
            <w:pPr>
              <w:jc w:val="left"/>
              <w:rPr>
                <w:color w:val="000000"/>
                <w:sz w:val="18"/>
                <w:szCs w:val="18"/>
                <w:lang w:val="fr-CA"/>
              </w:rPr>
            </w:pPr>
          </w:p>
        </w:tc>
        <w:tc>
          <w:tcPr>
            <w:tcW w:w="536" w:type="pct"/>
            <w:tcBorders>
              <w:top w:val="nil"/>
              <w:left w:val="nil"/>
              <w:bottom w:val="single" w:sz="4" w:space="0" w:color="auto"/>
              <w:right w:val="single" w:sz="4" w:space="0" w:color="auto"/>
            </w:tcBorders>
          </w:tcPr>
          <w:p w:rsidR="0085675A" w:rsidRPr="00ED22D1" w:rsidRDefault="00FB46BE" w:rsidP="0085675A">
            <w:pPr>
              <w:jc w:val="left"/>
              <w:rPr>
                <w:color w:val="000000"/>
                <w:sz w:val="18"/>
                <w:szCs w:val="18"/>
                <w:lang w:val="fr-CA"/>
              </w:rPr>
            </w:pPr>
            <w:r w:rsidRPr="00ED22D1">
              <w:rPr>
                <w:color w:val="000000"/>
                <w:sz w:val="18"/>
                <w:szCs w:val="18"/>
                <w:lang w:val="fr-CA"/>
              </w:rPr>
              <w:t>Cinquième</w:t>
            </w:r>
          </w:p>
        </w:tc>
      </w:tr>
      <w:tr w:rsidR="00510789" w:rsidRPr="00ED22D1" w:rsidTr="00510789">
        <w:trPr>
          <w:trHeight w:val="89"/>
        </w:trPr>
        <w:tc>
          <w:tcPr>
            <w:tcW w:w="473" w:type="pct"/>
            <w:tcBorders>
              <w:top w:val="nil"/>
              <w:left w:val="single" w:sz="4" w:space="0" w:color="auto"/>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r w:rsidRPr="00ED22D1">
              <w:rPr>
                <w:color w:val="000000"/>
                <w:sz w:val="18"/>
                <w:szCs w:val="18"/>
                <w:lang w:val="fr-CA"/>
              </w:rPr>
              <w:t>PU</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181884" w:rsidP="0085675A">
            <w:pPr>
              <w:jc w:val="left"/>
              <w:rPr>
                <w:color w:val="000000"/>
                <w:sz w:val="18"/>
                <w:szCs w:val="18"/>
                <w:lang w:val="fr-CA"/>
              </w:rPr>
            </w:pPr>
            <w:r w:rsidRPr="00ED22D1">
              <w:rPr>
                <w:color w:val="000000"/>
                <w:sz w:val="18"/>
                <w:szCs w:val="18"/>
                <w:lang w:val="fr-CA"/>
              </w:rPr>
              <w:t>Première</w:t>
            </w:r>
            <w:r w:rsidR="0085675A" w:rsidRPr="00ED22D1">
              <w:rPr>
                <w:color w:val="000000"/>
                <w:sz w:val="18"/>
                <w:szCs w:val="18"/>
                <w:lang w:val="fr-CA"/>
              </w:rPr>
              <w:t xml:space="preserve"> </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921BDE" w:rsidP="0085675A">
            <w:pPr>
              <w:jc w:val="left"/>
              <w:rPr>
                <w:color w:val="000000"/>
                <w:sz w:val="18"/>
                <w:szCs w:val="18"/>
                <w:lang w:val="fr-CA"/>
              </w:rPr>
            </w:pPr>
            <w:r w:rsidRPr="00ED22D1">
              <w:rPr>
                <w:color w:val="000000"/>
                <w:sz w:val="18"/>
                <w:szCs w:val="18"/>
                <w:lang w:val="fr-CA"/>
              </w:rPr>
              <w:t>Deuxième</w:t>
            </w:r>
            <w:r w:rsidR="0085675A" w:rsidRPr="00ED22D1">
              <w:rPr>
                <w:color w:val="000000"/>
                <w:sz w:val="18"/>
                <w:szCs w:val="18"/>
                <w:lang w:val="fr-CA"/>
              </w:rPr>
              <w:t xml:space="preserve"> </w:t>
            </w:r>
          </w:p>
        </w:tc>
        <w:tc>
          <w:tcPr>
            <w:tcW w:w="541"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59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left"/>
              <w:rPr>
                <w:color w:val="000000"/>
                <w:sz w:val="18"/>
                <w:szCs w:val="18"/>
                <w:lang w:val="fr-CA"/>
              </w:rPr>
            </w:pPr>
            <w:r w:rsidRPr="00ED22D1">
              <w:rPr>
                <w:color w:val="000000"/>
                <w:sz w:val="18"/>
                <w:szCs w:val="18"/>
                <w:lang w:val="fr-CA"/>
              </w:rPr>
              <w:t>Troisième</w:t>
            </w:r>
            <w:r w:rsidR="0085675A" w:rsidRPr="00ED22D1">
              <w:rPr>
                <w:color w:val="000000"/>
                <w:sz w:val="18"/>
                <w:szCs w:val="18"/>
                <w:lang w:val="fr-CA"/>
              </w:rPr>
              <w:t>*</w:t>
            </w:r>
          </w:p>
        </w:tc>
        <w:tc>
          <w:tcPr>
            <w:tcW w:w="483"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473" w:type="pct"/>
            <w:tcBorders>
              <w:top w:val="nil"/>
              <w:left w:val="nil"/>
              <w:bottom w:val="single" w:sz="4" w:space="0" w:color="auto"/>
              <w:right w:val="single" w:sz="4" w:space="0" w:color="auto"/>
            </w:tcBorders>
          </w:tcPr>
          <w:p w:rsidR="0085675A" w:rsidRPr="00ED22D1" w:rsidRDefault="00FB46BE" w:rsidP="0085675A">
            <w:pPr>
              <w:jc w:val="left"/>
              <w:rPr>
                <w:color w:val="000000"/>
                <w:sz w:val="18"/>
                <w:szCs w:val="18"/>
                <w:lang w:val="fr-CA"/>
              </w:rPr>
            </w:pPr>
            <w:r w:rsidRPr="00ED22D1">
              <w:rPr>
                <w:color w:val="000000"/>
                <w:sz w:val="18"/>
                <w:szCs w:val="18"/>
                <w:lang w:val="fr-CA"/>
              </w:rPr>
              <w:t>Quatrième</w:t>
            </w:r>
          </w:p>
        </w:tc>
        <w:tc>
          <w:tcPr>
            <w:tcW w:w="474" w:type="pct"/>
            <w:tcBorders>
              <w:top w:val="nil"/>
              <w:left w:val="nil"/>
              <w:bottom w:val="single" w:sz="4" w:space="0" w:color="auto"/>
              <w:right w:val="single" w:sz="4" w:space="0" w:color="auto"/>
            </w:tcBorders>
          </w:tcPr>
          <w:p w:rsidR="0085675A" w:rsidRPr="00ED22D1" w:rsidRDefault="0085675A" w:rsidP="0085675A">
            <w:pPr>
              <w:jc w:val="left"/>
              <w:rPr>
                <w:color w:val="000000"/>
                <w:sz w:val="18"/>
                <w:szCs w:val="18"/>
                <w:lang w:val="fr-CA"/>
              </w:rPr>
            </w:pPr>
          </w:p>
        </w:tc>
        <w:tc>
          <w:tcPr>
            <w:tcW w:w="536" w:type="pct"/>
            <w:tcBorders>
              <w:top w:val="nil"/>
              <w:left w:val="nil"/>
              <w:bottom w:val="single" w:sz="4" w:space="0" w:color="auto"/>
              <w:right w:val="single" w:sz="4" w:space="0" w:color="auto"/>
            </w:tcBorders>
          </w:tcPr>
          <w:p w:rsidR="0085675A" w:rsidRPr="00ED22D1" w:rsidRDefault="00FB46BE" w:rsidP="0085675A">
            <w:pPr>
              <w:jc w:val="left"/>
              <w:rPr>
                <w:color w:val="000000"/>
                <w:sz w:val="18"/>
                <w:szCs w:val="18"/>
                <w:lang w:val="fr-CA"/>
              </w:rPr>
            </w:pPr>
            <w:r w:rsidRPr="00ED22D1">
              <w:rPr>
                <w:color w:val="000000"/>
                <w:sz w:val="18"/>
                <w:szCs w:val="18"/>
                <w:lang w:val="fr-CA"/>
              </w:rPr>
              <w:t>Cinquième</w:t>
            </w:r>
          </w:p>
        </w:tc>
      </w:tr>
      <w:tr w:rsidR="00510789" w:rsidRPr="00ED22D1" w:rsidTr="00510789">
        <w:trPr>
          <w:trHeight w:val="116"/>
        </w:trPr>
        <w:tc>
          <w:tcPr>
            <w:tcW w:w="473" w:type="pct"/>
            <w:tcBorders>
              <w:top w:val="nil"/>
              <w:left w:val="single" w:sz="4" w:space="0" w:color="auto"/>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r w:rsidRPr="00ED22D1">
              <w:rPr>
                <w:color w:val="000000"/>
                <w:sz w:val="18"/>
                <w:szCs w:val="18"/>
                <w:lang w:val="fr-CA"/>
              </w:rPr>
              <w:t>ICR</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181884" w:rsidP="0085675A">
            <w:pPr>
              <w:jc w:val="left"/>
              <w:rPr>
                <w:color w:val="000000"/>
                <w:sz w:val="18"/>
                <w:szCs w:val="18"/>
                <w:lang w:val="fr-CA"/>
              </w:rPr>
            </w:pPr>
            <w:r w:rsidRPr="00ED22D1">
              <w:rPr>
                <w:color w:val="000000"/>
                <w:sz w:val="18"/>
                <w:szCs w:val="18"/>
                <w:lang w:val="fr-CA"/>
              </w:rPr>
              <w:t>Première</w:t>
            </w:r>
            <w:r w:rsidR="0085675A" w:rsidRPr="00ED22D1">
              <w:rPr>
                <w:color w:val="000000"/>
                <w:sz w:val="18"/>
                <w:szCs w:val="18"/>
                <w:lang w:val="fr-CA"/>
              </w:rPr>
              <w:t xml:space="preserve"> </w:t>
            </w: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474" w:type="pct"/>
            <w:tcBorders>
              <w:top w:val="nil"/>
              <w:left w:val="nil"/>
              <w:bottom w:val="single" w:sz="4" w:space="0" w:color="auto"/>
              <w:right w:val="single" w:sz="4" w:space="0" w:color="auto"/>
            </w:tcBorders>
            <w:shd w:val="clear" w:color="auto" w:fill="auto"/>
            <w:noWrap/>
            <w:hideMark/>
          </w:tcPr>
          <w:p w:rsidR="0085675A" w:rsidRPr="00ED22D1" w:rsidRDefault="00921BDE" w:rsidP="0085675A">
            <w:pPr>
              <w:jc w:val="left"/>
              <w:rPr>
                <w:color w:val="000000"/>
                <w:sz w:val="18"/>
                <w:szCs w:val="18"/>
                <w:lang w:val="fr-CA"/>
              </w:rPr>
            </w:pPr>
            <w:r w:rsidRPr="00ED22D1">
              <w:rPr>
                <w:color w:val="000000"/>
                <w:sz w:val="18"/>
                <w:szCs w:val="18"/>
                <w:lang w:val="fr-CA"/>
              </w:rPr>
              <w:t>Deuxième</w:t>
            </w:r>
            <w:r w:rsidR="0085675A" w:rsidRPr="00ED22D1">
              <w:rPr>
                <w:color w:val="000000"/>
                <w:sz w:val="18"/>
                <w:szCs w:val="18"/>
                <w:lang w:val="fr-CA"/>
              </w:rPr>
              <w:t xml:space="preserve"> </w:t>
            </w:r>
          </w:p>
        </w:tc>
        <w:tc>
          <w:tcPr>
            <w:tcW w:w="541"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59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left"/>
              <w:rPr>
                <w:color w:val="000000"/>
                <w:sz w:val="18"/>
                <w:szCs w:val="18"/>
                <w:lang w:val="fr-CA"/>
              </w:rPr>
            </w:pPr>
            <w:r w:rsidRPr="00ED22D1">
              <w:rPr>
                <w:color w:val="000000"/>
                <w:sz w:val="18"/>
                <w:szCs w:val="18"/>
                <w:lang w:val="fr-CA"/>
              </w:rPr>
              <w:t>Troisième</w:t>
            </w:r>
            <w:r w:rsidR="0085675A" w:rsidRPr="00ED22D1">
              <w:rPr>
                <w:color w:val="000000"/>
                <w:sz w:val="18"/>
                <w:szCs w:val="18"/>
                <w:lang w:val="fr-CA"/>
              </w:rPr>
              <w:t xml:space="preserve"> </w:t>
            </w:r>
          </w:p>
        </w:tc>
        <w:tc>
          <w:tcPr>
            <w:tcW w:w="483"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left"/>
              <w:rPr>
                <w:color w:val="000000"/>
                <w:sz w:val="18"/>
                <w:szCs w:val="18"/>
                <w:lang w:val="fr-CA"/>
              </w:rPr>
            </w:pPr>
          </w:p>
        </w:tc>
        <w:tc>
          <w:tcPr>
            <w:tcW w:w="473" w:type="pct"/>
            <w:tcBorders>
              <w:top w:val="nil"/>
              <w:left w:val="nil"/>
              <w:bottom w:val="single" w:sz="4" w:space="0" w:color="auto"/>
              <w:right w:val="single" w:sz="4" w:space="0" w:color="auto"/>
            </w:tcBorders>
          </w:tcPr>
          <w:p w:rsidR="0085675A" w:rsidRPr="00ED22D1" w:rsidRDefault="00FB46BE" w:rsidP="0085675A">
            <w:pPr>
              <w:jc w:val="left"/>
              <w:rPr>
                <w:color w:val="000000"/>
                <w:sz w:val="18"/>
                <w:szCs w:val="18"/>
                <w:lang w:val="fr-CA"/>
              </w:rPr>
            </w:pPr>
            <w:r w:rsidRPr="00ED22D1">
              <w:rPr>
                <w:color w:val="000000"/>
                <w:sz w:val="18"/>
                <w:szCs w:val="18"/>
                <w:lang w:val="fr-CA"/>
              </w:rPr>
              <w:t>Quatrième</w:t>
            </w:r>
          </w:p>
        </w:tc>
        <w:tc>
          <w:tcPr>
            <w:tcW w:w="474" w:type="pct"/>
            <w:tcBorders>
              <w:top w:val="nil"/>
              <w:left w:val="nil"/>
              <w:bottom w:val="single" w:sz="4" w:space="0" w:color="auto"/>
              <w:right w:val="single" w:sz="4" w:space="0" w:color="auto"/>
            </w:tcBorders>
          </w:tcPr>
          <w:p w:rsidR="0085675A" w:rsidRPr="00ED22D1" w:rsidRDefault="0085675A" w:rsidP="0085675A">
            <w:pPr>
              <w:jc w:val="left"/>
              <w:rPr>
                <w:color w:val="000000"/>
                <w:sz w:val="18"/>
                <w:szCs w:val="18"/>
                <w:lang w:val="fr-CA"/>
              </w:rPr>
            </w:pPr>
          </w:p>
        </w:tc>
        <w:tc>
          <w:tcPr>
            <w:tcW w:w="536" w:type="pct"/>
            <w:tcBorders>
              <w:top w:val="nil"/>
              <w:left w:val="nil"/>
              <w:bottom w:val="single" w:sz="4" w:space="0" w:color="auto"/>
              <w:right w:val="single" w:sz="4" w:space="0" w:color="auto"/>
            </w:tcBorders>
          </w:tcPr>
          <w:p w:rsidR="0085675A" w:rsidRPr="00ED22D1" w:rsidRDefault="00FB46BE" w:rsidP="0085675A">
            <w:pPr>
              <w:jc w:val="left"/>
              <w:rPr>
                <w:color w:val="000000"/>
                <w:sz w:val="18"/>
                <w:szCs w:val="18"/>
                <w:lang w:val="fr-CA"/>
              </w:rPr>
            </w:pPr>
            <w:r w:rsidRPr="00ED22D1">
              <w:rPr>
                <w:color w:val="000000"/>
                <w:sz w:val="18"/>
                <w:szCs w:val="18"/>
                <w:lang w:val="fr-CA"/>
              </w:rPr>
              <w:t>Cinquième</w:t>
            </w:r>
          </w:p>
        </w:tc>
      </w:tr>
      <w:tr w:rsidR="00510789" w:rsidRPr="00ED22D1" w:rsidTr="00510789">
        <w:trPr>
          <w:trHeight w:val="56"/>
        </w:trPr>
        <w:tc>
          <w:tcPr>
            <w:tcW w:w="473" w:type="pct"/>
            <w:tcBorders>
              <w:top w:val="nil"/>
              <w:left w:val="single" w:sz="4" w:space="0" w:color="auto"/>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RAC</w:t>
            </w:r>
          </w:p>
        </w:tc>
        <w:tc>
          <w:tcPr>
            <w:tcW w:w="474"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 xml:space="preserve">Première </w:t>
            </w:r>
          </w:p>
        </w:tc>
        <w:tc>
          <w:tcPr>
            <w:tcW w:w="474"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474"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Deuxième</w:t>
            </w:r>
          </w:p>
        </w:tc>
        <w:tc>
          <w:tcPr>
            <w:tcW w:w="541"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598" w:type="pct"/>
            <w:tcBorders>
              <w:top w:val="nil"/>
              <w:left w:val="nil"/>
              <w:bottom w:val="single" w:sz="4" w:space="0" w:color="auto"/>
              <w:right w:val="single" w:sz="4" w:space="0" w:color="auto"/>
            </w:tcBorders>
            <w:shd w:val="clear" w:color="auto" w:fill="auto"/>
            <w:noWrap/>
            <w:hideMark/>
          </w:tcPr>
          <w:p w:rsidR="00394074" w:rsidRPr="00ED22D1" w:rsidRDefault="00394074" w:rsidP="00394074">
            <w:pPr>
              <w:jc w:val="left"/>
              <w:rPr>
                <w:color w:val="000000"/>
                <w:sz w:val="18"/>
                <w:szCs w:val="18"/>
                <w:lang w:val="fr-CA"/>
              </w:rPr>
            </w:pPr>
            <w:r w:rsidRPr="00ED22D1">
              <w:rPr>
                <w:color w:val="000000"/>
                <w:sz w:val="18"/>
                <w:szCs w:val="18"/>
                <w:lang w:val="fr-CA"/>
              </w:rPr>
              <w:t>Troisième</w:t>
            </w:r>
          </w:p>
        </w:tc>
        <w:tc>
          <w:tcPr>
            <w:tcW w:w="483"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473" w:type="pct"/>
            <w:tcBorders>
              <w:top w:val="nil"/>
              <w:left w:val="nil"/>
              <w:bottom w:val="single" w:sz="4" w:space="0" w:color="auto"/>
              <w:right w:val="single" w:sz="4" w:space="0" w:color="auto"/>
            </w:tcBorders>
          </w:tcPr>
          <w:p w:rsidR="00394074" w:rsidRPr="00ED22D1" w:rsidRDefault="00394074" w:rsidP="00394074">
            <w:pPr>
              <w:jc w:val="left"/>
              <w:rPr>
                <w:color w:val="000000"/>
                <w:sz w:val="18"/>
                <w:szCs w:val="18"/>
                <w:lang w:val="fr-CA"/>
              </w:rPr>
            </w:pPr>
            <w:r w:rsidRPr="00ED22D1">
              <w:rPr>
                <w:color w:val="000000"/>
                <w:sz w:val="18"/>
                <w:szCs w:val="18"/>
                <w:lang w:val="fr-CA"/>
              </w:rPr>
              <w:t>Quatrième</w:t>
            </w:r>
          </w:p>
        </w:tc>
        <w:tc>
          <w:tcPr>
            <w:tcW w:w="474" w:type="pct"/>
            <w:tcBorders>
              <w:top w:val="nil"/>
              <w:left w:val="nil"/>
              <w:bottom w:val="single" w:sz="4" w:space="0" w:color="auto"/>
              <w:right w:val="single" w:sz="4" w:space="0" w:color="auto"/>
            </w:tcBorders>
          </w:tcPr>
          <w:p w:rsidR="00394074" w:rsidRPr="00ED22D1" w:rsidRDefault="00394074" w:rsidP="00FB1DC4">
            <w:pPr>
              <w:jc w:val="left"/>
              <w:rPr>
                <w:color w:val="000000"/>
                <w:sz w:val="18"/>
                <w:szCs w:val="18"/>
                <w:lang w:val="fr-CA"/>
              </w:rPr>
            </w:pPr>
          </w:p>
        </w:tc>
        <w:tc>
          <w:tcPr>
            <w:tcW w:w="536" w:type="pct"/>
            <w:tcBorders>
              <w:top w:val="nil"/>
              <w:left w:val="nil"/>
              <w:bottom w:val="single" w:sz="4" w:space="0" w:color="auto"/>
              <w:right w:val="single" w:sz="4" w:space="0" w:color="auto"/>
            </w:tcBorders>
          </w:tcPr>
          <w:p w:rsidR="00394074" w:rsidRPr="00ED22D1" w:rsidRDefault="00394074" w:rsidP="0085675A">
            <w:pPr>
              <w:jc w:val="left"/>
              <w:rPr>
                <w:color w:val="000000"/>
                <w:sz w:val="18"/>
                <w:szCs w:val="18"/>
                <w:lang w:val="fr-CA"/>
              </w:rPr>
            </w:pPr>
            <w:r w:rsidRPr="00ED22D1">
              <w:rPr>
                <w:color w:val="000000"/>
                <w:sz w:val="18"/>
                <w:szCs w:val="18"/>
                <w:lang w:val="fr-CA"/>
              </w:rPr>
              <w:t>Cinquième</w:t>
            </w:r>
          </w:p>
        </w:tc>
      </w:tr>
      <w:tr w:rsidR="00510789" w:rsidRPr="00ED22D1" w:rsidTr="00510789">
        <w:trPr>
          <w:trHeight w:val="80"/>
        </w:trPr>
        <w:tc>
          <w:tcPr>
            <w:tcW w:w="473" w:type="pct"/>
            <w:tcBorders>
              <w:top w:val="nil"/>
              <w:left w:val="single" w:sz="4" w:space="0" w:color="auto"/>
              <w:bottom w:val="single" w:sz="4" w:space="0" w:color="auto"/>
              <w:right w:val="single" w:sz="4" w:space="0" w:color="auto"/>
            </w:tcBorders>
            <w:shd w:val="clear" w:color="auto" w:fill="auto"/>
            <w:noWrap/>
            <w:hideMark/>
          </w:tcPr>
          <w:p w:rsidR="00394074" w:rsidRPr="00ED22D1" w:rsidRDefault="00394074" w:rsidP="00394074">
            <w:pPr>
              <w:jc w:val="left"/>
              <w:rPr>
                <w:color w:val="000000"/>
                <w:sz w:val="18"/>
                <w:szCs w:val="18"/>
                <w:lang w:val="fr-CA"/>
              </w:rPr>
            </w:pPr>
            <w:r w:rsidRPr="00ED22D1">
              <w:rPr>
                <w:color w:val="000000"/>
                <w:sz w:val="18"/>
                <w:szCs w:val="18"/>
                <w:lang w:val="fr-CA"/>
              </w:rPr>
              <w:t>Solvants</w:t>
            </w:r>
          </w:p>
        </w:tc>
        <w:tc>
          <w:tcPr>
            <w:tcW w:w="474"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474" w:type="pct"/>
            <w:tcBorders>
              <w:top w:val="nil"/>
              <w:left w:val="nil"/>
              <w:bottom w:val="single" w:sz="4" w:space="0" w:color="auto"/>
              <w:right w:val="single" w:sz="4" w:space="0" w:color="auto"/>
            </w:tcBorders>
            <w:shd w:val="clear" w:color="auto" w:fill="auto"/>
            <w:noWrap/>
            <w:hideMark/>
          </w:tcPr>
          <w:p w:rsidR="00394074" w:rsidRPr="00ED22D1" w:rsidRDefault="00394074" w:rsidP="00394074">
            <w:pPr>
              <w:jc w:val="left"/>
              <w:rPr>
                <w:color w:val="000000"/>
                <w:sz w:val="18"/>
                <w:szCs w:val="18"/>
                <w:lang w:val="fr-CA"/>
              </w:rPr>
            </w:pPr>
            <w:r w:rsidRPr="00ED22D1">
              <w:rPr>
                <w:color w:val="000000"/>
                <w:sz w:val="18"/>
                <w:szCs w:val="18"/>
                <w:lang w:val="fr-CA"/>
              </w:rPr>
              <w:t xml:space="preserve">Première </w:t>
            </w:r>
          </w:p>
        </w:tc>
        <w:tc>
          <w:tcPr>
            <w:tcW w:w="474"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598"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 xml:space="preserve">Deuxième </w:t>
            </w:r>
          </w:p>
        </w:tc>
        <w:tc>
          <w:tcPr>
            <w:tcW w:w="483" w:type="pct"/>
            <w:tcBorders>
              <w:top w:val="nil"/>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473" w:type="pct"/>
            <w:tcBorders>
              <w:top w:val="nil"/>
              <w:left w:val="nil"/>
              <w:bottom w:val="single" w:sz="4" w:space="0" w:color="auto"/>
              <w:right w:val="single" w:sz="4" w:space="0" w:color="auto"/>
            </w:tcBorders>
          </w:tcPr>
          <w:p w:rsidR="00394074" w:rsidRPr="00ED22D1" w:rsidRDefault="00394074" w:rsidP="00FB1DC4">
            <w:pPr>
              <w:jc w:val="left"/>
              <w:rPr>
                <w:color w:val="000000"/>
                <w:sz w:val="18"/>
                <w:szCs w:val="18"/>
                <w:lang w:val="fr-CA"/>
              </w:rPr>
            </w:pPr>
          </w:p>
        </w:tc>
        <w:tc>
          <w:tcPr>
            <w:tcW w:w="474" w:type="pct"/>
            <w:tcBorders>
              <w:top w:val="nil"/>
              <w:left w:val="nil"/>
              <w:bottom w:val="single" w:sz="4" w:space="0" w:color="auto"/>
              <w:right w:val="single" w:sz="4" w:space="0" w:color="auto"/>
            </w:tcBorders>
          </w:tcPr>
          <w:p w:rsidR="00394074" w:rsidRPr="00ED22D1" w:rsidRDefault="00394074" w:rsidP="00FB1DC4">
            <w:pPr>
              <w:jc w:val="left"/>
              <w:rPr>
                <w:color w:val="000000"/>
                <w:sz w:val="18"/>
                <w:szCs w:val="18"/>
                <w:lang w:val="fr-CA"/>
              </w:rPr>
            </w:pPr>
          </w:p>
        </w:tc>
        <w:tc>
          <w:tcPr>
            <w:tcW w:w="536" w:type="pct"/>
            <w:tcBorders>
              <w:top w:val="nil"/>
              <w:left w:val="nil"/>
              <w:bottom w:val="single" w:sz="4" w:space="0" w:color="auto"/>
              <w:right w:val="single" w:sz="4" w:space="0" w:color="auto"/>
            </w:tcBorders>
          </w:tcPr>
          <w:p w:rsidR="00394074" w:rsidRPr="00ED22D1" w:rsidRDefault="00394074" w:rsidP="0085675A">
            <w:pPr>
              <w:jc w:val="left"/>
              <w:rPr>
                <w:color w:val="000000"/>
                <w:sz w:val="18"/>
                <w:szCs w:val="18"/>
                <w:lang w:val="fr-CA"/>
              </w:rPr>
            </w:pPr>
            <w:r w:rsidRPr="00ED22D1">
              <w:rPr>
                <w:color w:val="000000"/>
                <w:sz w:val="18"/>
                <w:szCs w:val="18"/>
                <w:lang w:val="fr-CA"/>
              </w:rPr>
              <w:t>Troisième</w:t>
            </w:r>
          </w:p>
        </w:tc>
      </w:tr>
      <w:tr w:rsidR="00510789" w:rsidRPr="00ED22D1" w:rsidTr="00510789">
        <w:trPr>
          <w:trHeight w:val="50"/>
        </w:trPr>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Entretien</w:t>
            </w:r>
          </w:p>
        </w:tc>
        <w:tc>
          <w:tcPr>
            <w:tcW w:w="474" w:type="pct"/>
            <w:tcBorders>
              <w:top w:val="single" w:sz="4" w:space="0" w:color="auto"/>
              <w:left w:val="nil"/>
              <w:bottom w:val="single" w:sz="4" w:space="0" w:color="auto"/>
              <w:right w:val="single" w:sz="4" w:space="0" w:color="auto"/>
            </w:tcBorders>
            <w:shd w:val="clear" w:color="auto" w:fill="auto"/>
            <w:noWrap/>
            <w:hideMark/>
          </w:tcPr>
          <w:p w:rsidR="00394074" w:rsidRPr="00ED22D1" w:rsidRDefault="00394074" w:rsidP="00394074">
            <w:pPr>
              <w:jc w:val="left"/>
              <w:rPr>
                <w:color w:val="000000"/>
                <w:sz w:val="18"/>
                <w:szCs w:val="18"/>
                <w:lang w:val="fr-CA"/>
              </w:rPr>
            </w:pPr>
            <w:r w:rsidRPr="00ED22D1">
              <w:rPr>
                <w:color w:val="000000"/>
                <w:sz w:val="18"/>
                <w:szCs w:val="18"/>
                <w:lang w:val="fr-CA"/>
              </w:rPr>
              <w:t xml:space="preserve">Première </w:t>
            </w:r>
          </w:p>
        </w:tc>
        <w:tc>
          <w:tcPr>
            <w:tcW w:w="474" w:type="pct"/>
            <w:tcBorders>
              <w:top w:val="single" w:sz="4" w:space="0" w:color="auto"/>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474" w:type="pct"/>
            <w:tcBorders>
              <w:top w:val="single" w:sz="4" w:space="0" w:color="auto"/>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 xml:space="preserve">Deuxième </w:t>
            </w:r>
          </w:p>
        </w:tc>
        <w:tc>
          <w:tcPr>
            <w:tcW w:w="541" w:type="pct"/>
            <w:tcBorders>
              <w:top w:val="single" w:sz="4" w:space="0" w:color="auto"/>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598" w:type="pct"/>
            <w:tcBorders>
              <w:top w:val="single" w:sz="4" w:space="0" w:color="auto"/>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p>
        </w:tc>
        <w:tc>
          <w:tcPr>
            <w:tcW w:w="483" w:type="pct"/>
            <w:tcBorders>
              <w:top w:val="single" w:sz="4" w:space="0" w:color="auto"/>
              <w:left w:val="nil"/>
              <w:bottom w:val="single" w:sz="4" w:space="0" w:color="auto"/>
              <w:right w:val="single" w:sz="4" w:space="0" w:color="auto"/>
            </w:tcBorders>
            <w:shd w:val="clear" w:color="auto" w:fill="auto"/>
            <w:noWrap/>
            <w:hideMark/>
          </w:tcPr>
          <w:p w:rsidR="00394074" w:rsidRPr="00ED22D1" w:rsidRDefault="00394074" w:rsidP="00FB1DC4">
            <w:pPr>
              <w:jc w:val="left"/>
              <w:rPr>
                <w:color w:val="000000"/>
                <w:sz w:val="18"/>
                <w:szCs w:val="18"/>
                <w:lang w:val="fr-CA"/>
              </w:rPr>
            </w:pPr>
            <w:r w:rsidRPr="00ED22D1">
              <w:rPr>
                <w:color w:val="000000"/>
                <w:sz w:val="18"/>
                <w:szCs w:val="18"/>
                <w:lang w:val="fr-CA"/>
              </w:rPr>
              <w:t>Troisième</w:t>
            </w:r>
          </w:p>
        </w:tc>
        <w:tc>
          <w:tcPr>
            <w:tcW w:w="473" w:type="pct"/>
            <w:tcBorders>
              <w:top w:val="single" w:sz="4" w:space="0" w:color="auto"/>
              <w:left w:val="nil"/>
              <w:bottom w:val="single" w:sz="4" w:space="0" w:color="auto"/>
              <w:right w:val="single" w:sz="4" w:space="0" w:color="auto"/>
            </w:tcBorders>
          </w:tcPr>
          <w:p w:rsidR="00394074" w:rsidRPr="00ED22D1" w:rsidRDefault="00394074" w:rsidP="00FB1DC4">
            <w:pPr>
              <w:jc w:val="left"/>
              <w:rPr>
                <w:color w:val="000000"/>
                <w:sz w:val="18"/>
                <w:szCs w:val="18"/>
                <w:lang w:val="fr-CA"/>
              </w:rPr>
            </w:pPr>
          </w:p>
        </w:tc>
        <w:tc>
          <w:tcPr>
            <w:tcW w:w="474" w:type="pct"/>
            <w:tcBorders>
              <w:top w:val="single" w:sz="4" w:space="0" w:color="auto"/>
              <w:left w:val="nil"/>
              <w:bottom w:val="single" w:sz="4" w:space="0" w:color="auto"/>
              <w:right w:val="single" w:sz="4" w:space="0" w:color="auto"/>
            </w:tcBorders>
          </w:tcPr>
          <w:p w:rsidR="00394074" w:rsidRPr="00ED22D1" w:rsidRDefault="00394074" w:rsidP="00394074">
            <w:pPr>
              <w:jc w:val="left"/>
              <w:rPr>
                <w:color w:val="000000"/>
                <w:sz w:val="18"/>
                <w:szCs w:val="18"/>
                <w:lang w:val="fr-CA"/>
              </w:rPr>
            </w:pPr>
            <w:r w:rsidRPr="00ED22D1">
              <w:rPr>
                <w:color w:val="000000"/>
                <w:sz w:val="18"/>
                <w:szCs w:val="18"/>
                <w:lang w:val="fr-CA"/>
              </w:rPr>
              <w:t>Quatrième</w:t>
            </w:r>
          </w:p>
        </w:tc>
        <w:tc>
          <w:tcPr>
            <w:tcW w:w="536" w:type="pct"/>
            <w:tcBorders>
              <w:top w:val="single" w:sz="4" w:space="0" w:color="auto"/>
              <w:left w:val="nil"/>
              <w:bottom w:val="single" w:sz="4" w:space="0" w:color="auto"/>
              <w:right w:val="single" w:sz="4" w:space="0" w:color="auto"/>
            </w:tcBorders>
          </w:tcPr>
          <w:p w:rsidR="00394074" w:rsidRPr="00ED22D1" w:rsidRDefault="00394074" w:rsidP="0085675A">
            <w:pPr>
              <w:jc w:val="left"/>
              <w:rPr>
                <w:color w:val="000000"/>
                <w:sz w:val="18"/>
                <w:szCs w:val="18"/>
                <w:lang w:val="fr-CA"/>
              </w:rPr>
            </w:pPr>
            <w:r w:rsidRPr="00ED22D1">
              <w:rPr>
                <w:color w:val="000000"/>
                <w:sz w:val="18"/>
                <w:szCs w:val="18"/>
                <w:lang w:val="fr-CA"/>
              </w:rPr>
              <w:t>Cinquième</w:t>
            </w:r>
          </w:p>
        </w:tc>
      </w:tr>
      <w:tr w:rsidR="0085675A" w:rsidRPr="00510E9D" w:rsidTr="00510789">
        <w:trPr>
          <w:trHeight w:val="50"/>
        </w:trPr>
        <w:tc>
          <w:tcPr>
            <w:tcW w:w="5000" w:type="pct"/>
            <w:gridSpan w:val="10"/>
            <w:tcBorders>
              <w:top w:val="single" w:sz="4" w:space="0" w:color="auto"/>
            </w:tcBorders>
            <w:shd w:val="clear" w:color="auto" w:fill="auto"/>
            <w:noWrap/>
          </w:tcPr>
          <w:p w:rsidR="0085675A" w:rsidRPr="00ED22D1" w:rsidRDefault="0085675A" w:rsidP="004E6D59">
            <w:pPr>
              <w:rPr>
                <w:color w:val="000000"/>
                <w:sz w:val="16"/>
                <w:szCs w:val="16"/>
                <w:lang w:val="fr-CA"/>
              </w:rPr>
            </w:pPr>
            <w:r w:rsidRPr="00ED22D1">
              <w:rPr>
                <w:sz w:val="16"/>
                <w:szCs w:val="16"/>
                <w:lang w:val="fr-CA"/>
              </w:rPr>
              <w:t xml:space="preserve">* </w:t>
            </w:r>
            <w:r w:rsidR="00AA6E77" w:rsidRPr="00ED22D1">
              <w:rPr>
                <w:sz w:val="16"/>
                <w:szCs w:val="16"/>
                <w:lang w:val="fr-CA"/>
              </w:rPr>
              <w:t>Approuvé</w:t>
            </w:r>
            <w:r w:rsidRPr="00ED22D1">
              <w:rPr>
                <w:sz w:val="16"/>
                <w:szCs w:val="16"/>
                <w:lang w:val="fr-CA"/>
              </w:rPr>
              <w:t xml:space="preserve"> </w:t>
            </w:r>
            <w:r w:rsidR="00394074" w:rsidRPr="00ED22D1">
              <w:rPr>
                <w:sz w:val="16"/>
                <w:szCs w:val="16"/>
                <w:lang w:val="fr-CA"/>
              </w:rPr>
              <w:t xml:space="preserve">sur une base exceptionnelle en étant entendu que le </w:t>
            </w:r>
            <w:r w:rsidR="00D15079" w:rsidRPr="00ED22D1">
              <w:rPr>
                <w:sz w:val="16"/>
                <w:szCs w:val="16"/>
                <w:lang w:val="fr-CA"/>
              </w:rPr>
              <w:t>financement</w:t>
            </w:r>
            <w:r w:rsidRPr="00ED22D1">
              <w:rPr>
                <w:sz w:val="16"/>
                <w:szCs w:val="16"/>
                <w:lang w:val="fr-CA"/>
              </w:rPr>
              <w:t xml:space="preserve"> </w:t>
            </w:r>
            <w:r w:rsidR="00394074" w:rsidRPr="00ED22D1">
              <w:rPr>
                <w:sz w:val="16"/>
                <w:szCs w:val="16"/>
                <w:lang w:val="fr-CA"/>
              </w:rPr>
              <w:t xml:space="preserve">serait décaissé par le trésorier à la </w:t>
            </w:r>
            <w:r w:rsidR="001F19C1" w:rsidRPr="00ED22D1">
              <w:rPr>
                <w:sz w:val="16"/>
                <w:szCs w:val="16"/>
                <w:lang w:val="fr-CA"/>
              </w:rPr>
              <w:t>Banque mondiale</w:t>
            </w:r>
            <w:r w:rsidRPr="00ED22D1">
              <w:rPr>
                <w:sz w:val="16"/>
                <w:szCs w:val="16"/>
                <w:lang w:val="fr-CA"/>
              </w:rPr>
              <w:t xml:space="preserve"> </w:t>
            </w:r>
            <w:r w:rsidR="00394074" w:rsidRPr="00ED22D1">
              <w:rPr>
                <w:sz w:val="16"/>
                <w:szCs w:val="16"/>
                <w:lang w:val="fr-CA"/>
              </w:rPr>
              <w:t xml:space="preserve">seulement après que </w:t>
            </w:r>
            <w:r w:rsidR="00DD185D" w:rsidRPr="00ED22D1">
              <w:rPr>
                <w:sz w:val="16"/>
                <w:szCs w:val="16"/>
                <w:lang w:val="fr-CA"/>
              </w:rPr>
              <w:t>le Secrétariat</w:t>
            </w:r>
            <w:r w:rsidRPr="00ED22D1">
              <w:rPr>
                <w:sz w:val="16"/>
                <w:szCs w:val="16"/>
                <w:lang w:val="fr-CA"/>
              </w:rPr>
              <w:t xml:space="preserve"> </w:t>
            </w:r>
            <w:r w:rsidR="004E6D59" w:rsidRPr="00ED22D1">
              <w:rPr>
                <w:sz w:val="16"/>
                <w:szCs w:val="16"/>
                <w:lang w:val="fr-CA"/>
              </w:rPr>
              <w:t>ait</w:t>
            </w:r>
            <w:r w:rsidR="00394074" w:rsidRPr="00ED22D1">
              <w:rPr>
                <w:sz w:val="16"/>
                <w:szCs w:val="16"/>
                <w:lang w:val="fr-CA"/>
              </w:rPr>
              <w:t xml:space="preserve"> </w:t>
            </w:r>
            <w:r w:rsidR="004E6D59" w:rsidRPr="00ED22D1">
              <w:rPr>
                <w:sz w:val="16"/>
                <w:szCs w:val="16"/>
                <w:lang w:val="fr-CA"/>
              </w:rPr>
              <w:t>jugé</w:t>
            </w:r>
            <w:r w:rsidR="00394074" w:rsidRPr="00ED22D1">
              <w:rPr>
                <w:sz w:val="16"/>
                <w:szCs w:val="16"/>
                <w:lang w:val="fr-CA"/>
              </w:rPr>
              <w:t xml:space="preserve"> suffisants les renseignements fournis par </w:t>
            </w:r>
            <w:r w:rsidR="001F19C1" w:rsidRPr="00ED22D1">
              <w:rPr>
                <w:sz w:val="16"/>
                <w:szCs w:val="16"/>
                <w:lang w:val="fr-CA"/>
              </w:rPr>
              <w:t>la Banque mondiale</w:t>
            </w:r>
            <w:r w:rsidRPr="00ED22D1">
              <w:rPr>
                <w:sz w:val="16"/>
                <w:szCs w:val="16"/>
                <w:lang w:val="fr-CA"/>
              </w:rPr>
              <w:t xml:space="preserve"> </w:t>
            </w:r>
            <w:r w:rsidR="00394074" w:rsidRPr="00ED22D1">
              <w:rPr>
                <w:sz w:val="16"/>
                <w:szCs w:val="16"/>
                <w:lang w:val="fr-CA"/>
              </w:rPr>
              <w:t xml:space="preserve">que le </w:t>
            </w:r>
            <w:r w:rsidR="00181884" w:rsidRPr="00ED22D1">
              <w:rPr>
                <w:sz w:val="16"/>
                <w:szCs w:val="16"/>
                <w:lang w:val="fr-CA"/>
              </w:rPr>
              <w:t>décaissement</w:t>
            </w:r>
            <w:r w:rsidRPr="00ED22D1">
              <w:rPr>
                <w:sz w:val="16"/>
                <w:szCs w:val="16"/>
                <w:lang w:val="fr-CA"/>
              </w:rPr>
              <w:t xml:space="preserve"> </w:t>
            </w:r>
            <w:r w:rsidR="00394074" w:rsidRPr="00ED22D1">
              <w:rPr>
                <w:sz w:val="16"/>
                <w:szCs w:val="16"/>
                <w:lang w:val="fr-CA"/>
              </w:rPr>
              <w:t>de</w:t>
            </w:r>
            <w:r w:rsidRPr="00ED22D1">
              <w:rPr>
                <w:sz w:val="16"/>
                <w:szCs w:val="16"/>
                <w:lang w:val="fr-CA"/>
              </w:rPr>
              <w:t xml:space="preserve"> 20 </w:t>
            </w:r>
            <w:r w:rsidR="001B31BF" w:rsidRPr="00ED22D1">
              <w:rPr>
                <w:sz w:val="16"/>
                <w:szCs w:val="16"/>
                <w:lang w:val="fr-CA"/>
              </w:rPr>
              <w:t>pour cent</w:t>
            </w:r>
            <w:r w:rsidR="004A6828" w:rsidRPr="00ED22D1">
              <w:rPr>
                <w:sz w:val="16"/>
                <w:szCs w:val="16"/>
                <w:lang w:val="fr-CA"/>
              </w:rPr>
              <w:t xml:space="preserve"> ou </w:t>
            </w:r>
            <w:r w:rsidR="00394074" w:rsidRPr="00ED22D1">
              <w:rPr>
                <w:sz w:val="16"/>
                <w:szCs w:val="16"/>
                <w:lang w:val="fr-CA"/>
              </w:rPr>
              <w:t>pl</w:t>
            </w:r>
            <w:r w:rsidR="00DC23B2" w:rsidRPr="00ED22D1">
              <w:rPr>
                <w:sz w:val="16"/>
                <w:szCs w:val="16"/>
                <w:lang w:val="fr-CA"/>
              </w:rPr>
              <w:t>u</w:t>
            </w:r>
            <w:r w:rsidR="00394074" w:rsidRPr="00ED22D1">
              <w:rPr>
                <w:sz w:val="16"/>
                <w:szCs w:val="16"/>
                <w:lang w:val="fr-CA"/>
              </w:rPr>
              <w:t xml:space="preserve">s de la </w:t>
            </w:r>
            <w:r w:rsidR="00921BDE" w:rsidRPr="00ED22D1">
              <w:rPr>
                <w:sz w:val="16"/>
                <w:szCs w:val="16"/>
                <w:lang w:val="fr-CA"/>
              </w:rPr>
              <w:t>deuxième</w:t>
            </w:r>
            <w:r w:rsidRPr="00ED22D1">
              <w:rPr>
                <w:sz w:val="16"/>
                <w:szCs w:val="16"/>
                <w:vertAlign w:val="superscript"/>
                <w:lang w:val="fr-CA"/>
              </w:rPr>
              <w:t> </w:t>
            </w:r>
            <w:r w:rsidRPr="00ED22D1">
              <w:rPr>
                <w:sz w:val="16"/>
                <w:szCs w:val="16"/>
                <w:lang w:val="fr-CA"/>
              </w:rPr>
              <w:t xml:space="preserve">tranche </w:t>
            </w:r>
            <w:r w:rsidR="00394074" w:rsidRPr="00ED22D1">
              <w:rPr>
                <w:sz w:val="16"/>
                <w:szCs w:val="16"/>
                <w:lang w:val="fr-CA"/>
              </w:rPr>
              <w:t xml:space="preserve">aux bénéficiaires finals </w:t>
            </w:r>
            <w:r w:rsidR="004E6D59" w:rsidRPr="00ED22D1">
              <w:rPr>
                <w:sz w:val="16"/>
                <w:szCs w:val="16"/>
                <w:lang w:val="fr-CA"/>
              </w:rPr>
              <w:t>av</w:t>
            </w:r>
            <w:r w:rsidR="00394074" w:rsidRPr="00ED22D1">
              <w:rPr>
                <w:sz w:val="16"/>
                <w:szCs w:val="16"/>
                <w:lang w:val="fr-CA"/>
              </w:rPr>
              <w:t>ait été réalisé</w:t>
            </w:r>
            <w:r w:rsidR="0031390F" w:rsidRPr="00ED22D1">
              <w:rPr>
                <w:sz w:val="16"/>
                <w:szCs w:val="16"/>
                <w:lang w:val="fr-CA"/>
              </w:rPr>
              <w:t>. Le</w:t>
            </w:r>
            <w:r w:rsidR="00394074" w:rsidRPr="00ED22D1">
              <w:rPr>
                <w:sz w:val="16"/>
                <w:szCs w:val="16"/>
                <w:lang w:val="fr-CA"/>
              </w:rPr>
              <w:t xml:space="preserve">s fonds ont été transférés du trésorier à la Banque mondiale en </w:t>
            </w:r>
            <w:r w:rsidR="00B53D8B" w:rsidRPr="00ED22D1">
              <w:rPr>
                <w:sz w:val="16"/>
                <w:szCs w:val="16"/>
                <w:lang w:val="fr-CA"/>
              </w:rPr>
              <w:t>janvier</w:t>
            </w:r>
            <w:r w:rsidRPr="00ED22D1">
              <w:rPr>
                <w:sz w:val="16"/>
                <w:szCs w:val="16"/>
                <w:lang w:val="fr-CA"/>
              </w:rPr>
              <w:t> 201</w:t>
            </w:r>
            <w:r w:rsidR="004A6828" w:rsidRPr="00ED22D1">
              <w:rPr>
                <w:sz w:val="16"/>
                <w:szCs w:val="16"/>
                <w:lang w:val="fr-CA"/>
              </w:rPr>
              <w:t>4</w:t>
            </w:r>
            <w:r w:rsidR="00394074" w:rsidRPr="00ED22D1">
              <w:rPr>
                <w:sz w:val="16"/>
                <w:szCs w:val="16"/>
                <w:lang w:val="fr-CA"/>
              </w:rPr>
              <w:t>.</w:t>
            </w:r>
          </w:p>
        </w:tc>
      </w:tr>
    </w:tbl>
    <w:p w:rsidR="0085675A" w:rsidRPr="00ED22D1" w:rsidRDefault="00DD185D" w:rsidP="0085675A">
      <w:pPr>
        <w:rPr>
          <w:u w:val="single"/>
          <w:lang w:val="fr-CA"/>
        </w:rPr>
      </w:pPr>
      <w:r w:rsidRPr="00ED22D1">
        <w:rPr>
          <w:u w:val="single"/>
          <w:lang w:val="fr-CA"/>
        </w:rPr>
        <w:lastRenderedPageBreak/>
        <w:t>Rapport</w:t>
      </w:r>
      <w:r w:rsidR="00394074" w:rsidRPr="00ED22D1">
        <w:rPr>
          <w:u w:val="single"/>
          <w:lang w:val="fr-CA"/>
        </w:rPr>
        <w:t>s</w:t>
      </w:r>
      <w:r w:rsidRPr="00ED22D1">
        <w:rPr>
          <w:u w:val="single"/>
          <w:lang w:val="fr-CA"/>
        </w:rPr>
        <w:t xml:space="preserve"> périodique</w:t>
      </w:r>
      <w:r w:rsidR="00394074" w:rsidRPr="00ED22D1">
        <w:rPr>
          <w:u w:val="single"/>
          <w:lang w:val="fr-CA"/>
        </w:rPr>
        <w:t>s</w:t>
      </w:r>
      <w:r w:rsidRPr="00ED22D1">
        <w:rPr>
          <w:u w:val="single"/>
          <w:lang w:val="fr-CA"/>
        </w:rPr>
        <w:t xml:space="preserve"> annuel</w:t>
      </w:r>
      <w:r w:rsidR="0085675A" w:rsidRPr="00ED22D1">
        <w:rPr>
          <w:u w:val="single"/>
          <w:lang w:val="fr-CA"/>
        </w:rPr>
        <w:t>s</w:t>
      </w:r>
    </w:p>
    <w:p w:rsidR="0085675A" w:rsidRPr="00ED22D1" w:rsidRDefault="0085675A" w:rsidP="0085675A">
      <w:pPr>
        <w:rPr>
          <w:b/>
          <w:lang w:val="fr-CA"/>
        </w:rPr>
      </w:pPr>
    </w:p>
    <w:p w:rsidR="0085675A" w:rsidRPr="00ED22D1" w:rsidRDefault="00394074" w:rsidP="0085675A">
      <w:pPr>
        <w:pStyle w:val="Heading1"/>
        <w:rPr>
          <w:lang w:val="fr-CA"/>
        </w:rPr>
      </w:pPr>
      <w:r w:rsidRPr="00ED22D1">
        <w:rPr>
          <w:lang w:val="fr-CA"/>
        </w:rPr>
        <w:t>À la</w:t>
      </w:r>
      <w:r w:rsidR="0085675A" w:rsidRPr="00ED22D1">
        <w:rPr>
          <w:lang w:val="fr-CA"/>
        </w:rPr>
        <w:t xml:space="preserve"> 75</w:t>
      </w:r>
      <w:r w:rsidRPr="00ED22D1">
        <w:rPr>
          <w:vertAlign w:val="superscript"/>
          <w:lang w:val="fr-CA"/>
        </w:rPr>
        <w:t>e</w:t>
      </w:r>
      <w:r w:rsidRPr="00ED22D1">
        <w:rPr>
          <w:lang w:val="fr-CA"/>
        </w:rPr>
        <w:t xml:space="preserve"> r</w:t>
      </w:r>
      <w:r w:rsidR="00DD185D" w:rsidRPr="00ED22D1">
        <w:rPr>
          <w:lang w:val="fr-CA"/>
        </w:rPr>
        <w:t>éunion</w:t>
      </w:r>
      <w:r w:rsidR="0085675A" w:rsidRPr="00ED22D1">
        <w:rPr>
          <w:lang w:val="fr-CA"/>
        </w:rPr>
        <w:t xml:space="preserve">, </w:t>
      </w:r>
      <w:r w:rsidRPr="00ED22D1">
        <w:rPr>
          <w:lang w:val="fr-CA"/>
        </w:rPr>
        <w:t xml:space="preserve">lors de l’approbation des dernières tranches des plans des six </w:t>
      </w:r>
      <w:r w:rsidR="00DC23B2" w:rsidRPr="00ED22D1">
        <w:rPr>
          <w:lang w:val="fr-CA"/>
        </w:rPr>
        <w:t>secteurs</w:t>
      </w:r>
      <w:r w:rsidRPr="00ED22D1">
        <w:rPr>
          <w:lang w:val="fr-CA"/>
        </w:rPr>
        <w:t xml:space="preserve"> inclus à</w:t>
      </w:r>
      <w:r w:rsidR="004E6D59" w:rsidRPr="00ED22D1">
        <w:rPr>
          <w:lang w:val="fr-CA"/>
        </w:rPr>
        <w:t> </w:t>
      </w:r>
      <w:r w:rsidRPr="00ED22D1">
        <w:rPr>
          <w:lang w:val="fr-CA"/>
        </w:rPr>
        <w:t>la</w:t>
      </w:r>
      <w:r w:rsidR="004E6D59" w:rsidRPr="00ED22D1">
        <w:rPr>
          <w:lang w:val="fr-CA"/>
        </w:rPr>
        <w:t>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00DD185D" w:rsidRPr="00ED22D1">
        <w:rPr>
          <w:lang w:val="fr-CA"/>
        </w:rPr>
        <w:t>le Comité exécutif</w:t>
      </w:r>
      <w:r w:rsidR="0085675A" w:rsidRPr="00ED22D1">
        <w:rPr>
          <w:lang w:val="fr-CA"/>
        </w:rPr>
        <w:t xml:space="preserve"> </w:t>
      </w:r>
      <w:r w:rsidRPr="00ED22D1">
        <w:rPr>
          <w:lang w:val="fr-CA"/>
        </w:rPr>
        <w:t>a demandé au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Pr="00ED22D1">
        <w:rPr>
          <w:lang w:val="fr-CA"/>
        </w:rPr>
        <w:t>aux</w:t>
      </w:r>
      <w:r w:rsidR="0085675A" w:rsidRPr="00ED22D1">
        <w:rPr>
          <w:lang w:val="fr-CA"/>
        </w:rPr>
        <w:t xml:space="preserve"> </w:t>
      </w:r>
      <w:r w:rsidR="00B53D8B" w:rsidRPr="00ED22D1">
        <w:rPr>
          <w:lang w:val="fr-CA"/>
        </w:rPr>
        <w:t>agences d’exécution</w:t>
      </w:r>
      <w:r w:rsidRPr="00ED22D1">
        <w:rPr>
          <w:lang w:val="fr-CA"/>
        </w:rPr>
        <w:t xml:space="preserve"> pertinentes de présenter entre autres les </w:t>
      </w:r>
      <w:r w:rsidR="004A6828" w:rsidRPr="00ED22D1">
        <w:rPr>
          <w:lang w:val="fr-CA"/>
        </w:rPr>
        <w:t>rapport</w:t>
      </w:r>
      <w:r w:rsidRPr="00ED22D1">
        <w:rPr>
          <w:lang w:val="fr-CA"/>
        </w:rPr>
        <w:t>s</w:t>
      </w:r>
      <w:r w:rsidR="004A6828" w:rsidRPr="00ED22D1">
        <w:rPr>
          <w:lang w:val="fr-CA"/>
        </w:rPr>
        <w:t xml:space="preserve"> périodique</w:t>
      </w:r>
      <w:r w:rsidR="0085675A" w:rsidRPr="00ED22D1">
        <w:rPr>
          <w:lang w:val="fr-CA"/>
        </w:rPr>
        <w:t xml:space="preserve">s </w:t>
      </w:r>
      <w:r w:rsidR="00921BDE" w:rsidRPr="00ED22D1">
        <w:rPr>
          <w:lang w:val="fr-CA"/>
        </w:rPr>
        <w:t>sur la mise en oeuvre d</w:t>
      </w:r>
      <w:r w:rsidRPr="00ED22D1">
        <w:rPr>
          <w:lang w:val="fr-CA"/>
        </w:rPr>
        <w:t>u</w:t>
      </w:r>
      <w:r w:rsidR="004E6D59" w:rsidRPr="00ED22D1">
        <w:rPr>
          <w:lang w:val="fr-CA"/>
        </w:rPr>
        <w:t> </w:t>
      </w:r>
      <w:r w:rsidRPr="00ED22D1">
        <w:rPr>
          <w:lang w:val="fr-CA"/>
        </w:rPr>
        <w:t>programme de travail associé à la tranche finale de chaque secteur</w:t>
      </w:r>
      <w:r w:rsidR="001A5231" w:rsidRPr="00ED22D1">
        <w:rPr>
          <w:lang w:val="fr-CA"/>
        </w:rPr>
        <w:t xml:space="preserve"> sur une base annuelle jusqu’à l’achèvement du plan sectoriel</w:t>
      </w:r>
      <w:r w:rsidR="0085675A" w:rsidRPr="00ED22D1">
        <w:rPr>
          <w:rStyle w:val="FootnoteReference"/>
          <w:lang w:val="fr-CA"/>
        </w:rPr>
        <w:footnoteReference w:id="1"/>
      </w:r>
      <w:r w:rsidR="0085675A" w:rsidRPr="00ED22D1">
        <w:rPr>
          <w:lang w:val="fr-CA"/>
        </w:rPr>
        <w:t xml:space="preserve">. </w:t>
      </w:r>
    </w:p>
    <w:p w:rsidR="0085675A" w:rsidRPr="00ED22D1" w:rsidRDefault="001A5231" w:rsidP="0085675A">
      <w:pPr>
        <w:pStyle w:val="Heading1"/>
        <w:rPr>
          <w:lang w:val="fr-CA"/>
        </w:rPr>
      </w:pPr>
      <w:r w:rsidRPr="00ED22D1">
        <w:rPr>
          <w:lang w:val="fr-CA"/>
        </w:rPr>
        <w:t>À la 8</w:t>
      </w:r>
      <w:r w:rsidR="0085675A" w:rsidRPr="00ED22D1">
        <w:rPr>
          <w:lang w:val="fr-CA"/>
        </w:rPr>
        <w:t>2</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Pr="00ED22D1">
        <w:rPr>
          <w:lang w:val="fr-CA"/>
        </w:rPr>
        <w:t xml:space="preserve">au nom </w:t>
      </w:r>
      <w:r w:rsidR="00921BDE" w:rsidRPr="00ED22D1">
        <w:rPr>
          <w:lang w:val="fr-CA"/>
        </w:rPr>
        <w:t>du gouvernement</w:t>
      </w:r>
      <w:r w:rsidR="001F19C1" w:rsidRPr="00ED22D1">
        <w:rPr>
          <w:lang w:val="fr-CA"/>
        </w:rPr>
        <w:t xml:space="preserve"> </w:t>
      </w:r>
      <w:r w:rsidR="00181884" w:rsidRPr="00ED22D1">
        <w:rPr>
          <w:lang w:val="fr-CA"/>
        </w:rPr>
        <w:t>de la Chine</w:t>
      </w:r>
      <w:r w:rsidR="001F19C1" w:rsidRPr="00ED22D1">
        <w:rPr>
          <w:lang w:val="fr-CA"/>
        </w:rPr>
        <w:t>, le PNUD, le PNUE, l’ONUDI</w:t>
      </w:r>
      <w:r w:rsidR="0085675A" w:rsidRPr="00ED22D1">
        <w:rPr>
          <w:lang w:val="fr-CA"/>
        </w:rPr>
        <w:t>,</w:t>
      </w:r>
      <w:r w:rsidR="001F19C1" w:rsidRPr="00ED22D1">
        <w:rPr>
          <w:lang w:val="fr-CA"/>
        </w:rPr>
        <w:t xml:space="preserve"> la Banque mondiale</w:t>
      </w:r>
      <w:r w:rsidR="0085675A" w:rsidRPr="00ED22D1">
        <w:rPr>
          <w:lang w:val="fr-CA"/>
        </w:rPr>
        <w:t>,</w:t>
      </w:r>
      <w:r w:rsidR="004A6828" w:rsidRPr="00ED22D1">
        <w:rPr>
          <w:lang w:val="fr-CA"/>
        </w:rPr>
        <w:t xml:space="preserve"> et </w:t>
      </w:r>
      <w:r w:rsidR="00921BDE" w:rsidRPr="00ED22D1">
        <w:rPr>
          <w:lang w:val="fr-CA"/>
        </w:rPr>
        <w:t>le</w:t>
      </w:r>
      <w:r w:rsidRPr="00ED22D1">
        <w:rPr>
          <w:lang w:val="fr-CA"/>
        </w:rPr>
        <w:t>s</w:t>
      </w:r>
      <w:r w:rsidR="00921BDE" w:rsidRPr="00ED22D1">
        <w:rPr>
          <w:lang w:val="fr-CA"/>
        </w:rPr>
        <w:t xml:space="preserve"> gouvernement</w:t>
      </w:r>
      <w:r w:rsidR="001F19C1" w:rsidRPr="00ED22D1">
        <w:rPr>
          <w:lang w:val="fr-CA"/>
        </w:rPr>
        <w:t>s de l’Allemagne</w:t>
      </w:r>
      <w:r w:rsidR="004A6828" w:rsidRPr="00ED22D1">
        <w:rPr>
          <w:lang w:val="fr-CA"/>
        </w:rPr>
        <w:t xml:space="preserve"> et Japon</w:t>
      </w:r>
      <w:r w:rsidR="0085675A" w:rsidRPr="00ED22D1">
        <w:rPr>
          <w:lang w:val="fr-CA"/>
        </w:rPr>
        <w:t xml:space="preserve"> </w:t>
      </w:r>
      <w:r w:rsidRPr="00ED22D1">
        <w:rPr>
          <w:lang w:val="fr-CA"/>
        </w:rPr>
        <w:t xml:space="preserve">ont présenté des </w:t>
      </w:r>
      <w:r w:rsidR="00DD185D" w:rsidRPr="00ED22D1">
        <w:rPr>
          <w:lang w:val="fr-CA"/>
        </w:rPr>
        <w:t>rapport</w:t>
      </w:r>
      <w:r w:rsidRPr="00ED22D1">
        <w:rPr>
          <w:lang w:val="fr-CA"/>
        </w:rPr>
        <w:t>s</w:t>
      </w:r>
      <w:r w:rsidR="00DD185D" w:rsidRPr="00ED22D1">
        <w:rPr>
          <w:lang w:val="fr-CA"/>
        </w:rPr>
        <w:t xml:space="preserve"> périodique</w:t>
      </w:r>
      <w:r w:rsidRPr="00ED22D1">
        <w:rPr>
          <w:lang w:val="fr-CA"/>
        </w:rPr>
        <w:t>s</w:t>
      </w:r>
      <w:r w:rsidR="00DD185D" w:rsidRPr="00ED22D1">
        <w:rPr>
          <w:lang w:val="fr-CA"/>
        </w:rPr>
        <w:t xml:space="preserve"> annuel</w:t>
      </w:r>
      <w:r w:rsidR="0085675A" w:rsidRPr="00ED22D1">
        <w:rPr>
          <w:lang w:val="fr-CA"/>
        </w:rPr>
        <w:t xml:space="preserve">s </w:t>
      </w:r>
      <w:r w:rsidR="00921BDE" w:rsidRPr="00ED22D1">
        <w:rPr>
          <w:lang w:val="fr-CA"/>
        </w:rPr>
        <w:t>sur la mise en oeuvre d</w:t>
      </w:r>
      <w:r w:rsidRPr="00ED22D1">
        <w:rPr>
          <w:lang w:val="fr-CA"/>
        </w:rPr>
        <w:t xml:space="preserve">u programme de travail associé à la tranche finale des plans </w:t>
      </w:r>
      <w:r w:rsidR="000F7AD2" w:rsidRPr="00ED22D1">
        <w:rPr>
          <w:lang w:val="fr-CA"/>
        </w:rPr>
        <w:t>des</w:t>
      </w:r>
      <w:r w:rsidRPr="00ED22D1">
        <w:rPr>
          <w:lang w:val="fr-CA"/>
        </w:rPr>
        <w:t xml:space="preserve"> mousses extrudées</w:t>
      </w:r>
      <w:r w:rsidR="00921BDE" w:rsidRPr="00ED22D1">
        <w:rPr>
          <w:lang w:val="fr-CA"/>
        </w:rPr>
        <w:t xml:space="preserve"> (XPS)</w:t>
      </w:r>
      <w:r w:rsidR="0085675A" w:rsidRPr="00ED22D1">
        <w:rPr>
          <w:lang w:val="fr-CA"/>
        </w:rPr>
        <w:t>,</w:t>
      </w:r>
      <w:r w:rsidR="00CA0808" w:rsidRPr="00ED22D1">
        <w:rPr>
          <w:lang w:val="fr-CA"/>
        </w:rPr>
        <w:t xml:space="preserve"> </w:t>
      </w:r>
      <w:r w:rsidR="000F7AD2" w:rsidRPr="00ED22D1">
        <w:rPr>
          <w:lang w:val="fr-CA"/>
        </w:rPr>
        <w:t>des</w:t>
      </w:r>
      <w:r w:rsidRPr="00ED22D1">
        <w:rPr>
          <w:lang w:val="fr-CA"/>
        </w:rPr>
        <w:t xml:space="preserve"> </w:t>
      </w:r>
      <w:r w:rsidR="00CA0808" w:rsidRPr="00ED22D1">
        <w:rPr>
          <w:lang w:val="fr-CA"/>
        </w:rPr>
        <w:t>mousse</w:t>
      </w:r>
      <w:r w:rsidRPr="00ED22D1">
        <w:rPr>
          <w:lang w:val="fr-CA"/>
        </w:rPr>
        <w:t>s</w:t>
      </w:r>
      <w:r w:rsidR="00CA0808" w:rsidRPr="00ED22D1">
        <w:rPr>
          <w:lang w:val="fr-CA"/>
        </w:rPr>
        <w:t xml:space="preserve"> de polyuréthane</w:t>
      </w:r>
      <w:r w:rsidR="0085675A" w:rsidRPr="00ED22D1">
        <w:rPr>
          <w:lang w:val="fr-CA"/>
        </w:rPr>
        <w:t>,</w:t>
      </w:r>
      <w:r w:rsidR="00905638" w:rsidRPr="00ED22D1">
        <w:rPr>
          <w:lang w:val="fr-CA"/>
        </w:rPr>
        <w:t xml:space="preserve"> </w:t>
      </w:r>
      <w:r w:rsidR="000F7AD2" w:rsidRPr="00ED22D1">
        <w:rPr>
          <w:lang w:val="fr-CA"/>
        </w:rPr>
        <w:t>de</w:t>
      </w:r>
      <w:r w:rsidRPr="00ED22D1">
        <w:rPr>
          <w:lang w:val="fr-CA"/>
        </w:rPr>
        <w:t xml:space="preserve"> la </w:t>
      </w:r>
      <w:r w:rsidR="00905638" w:rsidRPr="00ED22D1">
        <w:rPr>
          <w:lang w:val="fr-CA"/>
        </w:rPr>
        <w:t xml:space="preserve">climatisation et </w:t>
      </w:r>
      <w:r w:rsidR="000F7AD2" w:rsidRPr="00ED22D1">
        <w:rPr>
          <w:lang w:val="fr-CA"/>
        </w:rPr>
        <w:t>de</w:t>
      </w:r>
      <w:r w:rsidRPr="00ED22D1">
        <w:rPr>
          <w:lang w:val="fr-CA"/>
        </w:rPr>
        <w:t xml:space="preserve"> la</w:t>
      </w:r>
      <w:r w:rsidR="00905638" w:rsidRPr="00ED22D1">
        <w:rPr>
          <w:lang w:val="fr-CA"/>
        </w:rPr>
        <w:t xml:space="preserve"> réfrigération industrielle et commerciale</w:t>
      </w:r>
      <w:r w:rsidR="0085675A" w:rsidRPr="00ED22D1">
        <w:rPr>
          <w:lang w:val="fr-CA"/>
        </w:rPr>
        <w:t>,</w:t>
      </w:r>
      <w:r w:rsidR="004A6828" w:rsidRPr="00ED22D1">
        <w:rPr>
          <w:lang w:val="fr-CA"/>
        </w:rPr>
        <w:t xml:space="preserve"> </w:t>
      </w:r>
      <w:r w:rsidRPr="00ED22D1">
        <w:rPr>
          <w:lang w:val="fr-CA"/>
        </w:rPr>
        <w:t xml:space="preserve">aux </w:t>
      </w:r>
      <w:r w:rsidR="004A6828" w:rsidRPr="00ED22D1">
        <w:rPr>
          <w:lang w:val="fr-CA"/>
        </w:rPr>
        <w:t xml:space="preserve">climatiseurs résidentiels et </w:t>
      </w:r>
      <w:r w:rsidRPr="00ED22D1">
        <w:rPr>
          <w:lang w:val="fr-CA"/>
        </w:rPr>
        <w:t xml:space="preserve">au </w:t>
      </w:r>
      <w:r w:rsidR="00181884" w:rsidRPr="00ED22D1">
        <w:rPr>
          <w:lang w:val="fr-CA"/>
        </w:rPr>
        <w:t>secteur de l’entretien</w:t>
      </w:r>
      <w:r w:rsidR="0085675A" w:rsidRPr="00ED22D1">
        <w:rPr>
          <w:lang w:val="fr-CA"/>
        </w:rPr>
        <w:t xml:space="preserve"> </w:t>
      </w:r>
      <w:r w:rsidRPr="00ED22D1">
        <w:rPr>
          <w:lang w:val="fr-CA"/>
        </w:rPr>
        <w:t xml:space="preserve">associés à la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Pr="00ED22D1">
        <w:rPr>
          <w:lang w:val="fr-CA"/>
        </w:rPr>
        <w:t xml:space="preserve">Un </w:t>
      </w:r>
      <w:r w:rsidR="004A6828" w:rsidRPr="00ED22D1">
        <w:rPr>
          <w:lang w:val="fr-CA"/>
        </w:rPr>
        <w:t>rapport périodique</w:t>
      </w:r>
      <w:r w:rsidR="0085675A" w:rsidRPr="00ED22D1">
        <w:rPr>
          <w:lang w:val="fr-CA"/>
        </w:rPr>
        <w:t xml:space="preserve"> </w:t>
      </w:r>
      <w:r w:rsidRPr="00ED22D1">
        <w:rPr>
          <w:lang w:val="fr-CA"/>
        </w:rPr>
        <w:t xml:space="preserve">sur le </w:t>
      </w:r>
      <w:r w:rsidR="004A6828" w:rsidRPr="00ED22D1">
        <w:rPr>
          <w:lang w:val="fr-CA"/>
        </w:rPr>
        <w:t>plan du secteur des solvants</w:t>
      </w:r>
      <w:r w:rsidRPr="00ED22D1">
        <w:rPr>
          <w:lang w:val="fr-CA"/>
        </w:rPr>
        <w:t xml:space="preserve"> n’a pas été inclus parce que la </w:t>
      </w:r>
      <w:r w:rsidR="004A6828" w:rsidRPr="00ED22D1">
        <w:rPr>
          <w:lang w:val="fr-CA"/>
        </w:rPr>
        <w:t xml:space="preserve">phase </w:t>
      </w:r>
      <w:r w:rsidR="0085675A" w:rsidRPr="00ED22D1">
        <w:rPr>
          <w:lang w:val="fr-CA"/>
        </w:rPr>
        <w:t xml:space="preserve">I </w:t>
      </w:r>
      <w:r w:rsidRPr="00ED22D1">
        <w:rPr>
          <w:lang w:val="fr-CA"/>
        </w:rPr>
        <w:t>était déjà terminée</w:t>
      </w:r>
      <w:r w:rsidR="0085675A" w:rsidRPr="00ED22D1">
        <w:rPr>
          <w:lang w:val="fr-CA"/>
        </w:rPr>
        <w:t xml:space="preserve">. </w:t>
      </w:r>
      <w:r w:rsidRPr="00ED22D1">
        <w:rPr>
          <w:lang w:val="fr-CA"/>
        </w:rPr>
        <w:t xml:space="preserve">Lors de l’examen des </w:t>
      </w:r>
      <w:r w:rsidR="00DD185D" w:rsidRPr="00ED22D1">
        <w:rPr>
          <w:lang w:val="fr-CA"/>
        </w:rPr>
        <w:t>rapport</w:t>
      </w:r>
      <w:r w:rsidRPr="00ED22D1">
        <w:rPr>
          <w:lang w:val="fr-CA"/>
        </w:rPr>
        <w:t>s</w:t>
      </w:r>
      <w:r w:rsidR="00DD185D" w:rsidRPr="00ED22D1">
        <w:rPr>
          <w:lang w:val="fr-CA"/>
        </w:rPr>
        <w:t xml:space="preserve"> périodique</w:t>
      </w:r>
      <w:r w:rsidRPr="00ED22D1">
        <w:rPr>
          <w:lang w:val="fr-CA"/>
        </w:rPr>
        <w:t>s</w:t>
      </w:r>
      <w:r w:rsidR="00DD185D" w:rsidRPr="00ED22D1">
        <w:rPr>
          <w:lang w:val="fr-CA"/>
        </w:rPr>
        <w:t xml:space="preserve"> annuel</w:t>
      </w:r>
      <w:r w:rsidR="0085675A" w:rsidRPr="00ED22D1">
        <w:rPr>
          <w:lang w:val="fr-CA"/>
        </w:rPr>
        <w:t xml:space="preserve">s, </w:t>
      </w:r>
      <w:r w:rsidR="00DD185D" w:rsidRPr="00ED22D1">
        <w:rPr>
          <w:lang w:val="fr-CA"/>
        </w:rPr>
        <w:t>le Comité exécutif</w:t>
      </w:r>
      <w:r w:rsidR="0085675A" w:rsidRPr="00ED22D1">
        <w:rPr>
          <w:lang w:val="fr-CA"/>
        </w:rPr>
        <w:t xml:space="preserve"> </w:t>
      </w:r>
      <w:r w:rsidRPr="00ED22D1">
        <w:rPr>
          <w:lang w:val="fr-CA"/>
        </w:rPr>
        <w:t>a décidé entre autres</w:t>
      </w:r>
      <w:r w:rsidR="00791BF7" w:rsidRPr="00ED22D1">
        <w:rPr>
          <w:lang w:val="fr-CA"/>
        </w:rPr>
        <w:t> :</w:t>
      </w:r>
      <w:r w:rsidRPr="00ED22D1">
        <w:rPr>
          <w:lang w:val="fr-CA"/>
        </w:rPr>
        <w:t xml:space="preserve"> </w:t>
      </w:r>
    </w:p>
    <w:p w:rsidR="0085675A" w:rsidRPr="00ED22D1" w:rsidRDefault="0092306A" w:rsidP="0085675A">
      <w:pPr>
        <w:pStyle w:val="Projecthead"/>
        <w:keepNext/>
        <w:spacing w:line="240" w:lineRule="auto"/>
        <w:jc w:val="both"/>
        <w:rPr>
          <w:sz w:val="22"/>
          <w:szCs w:val="22"/>
          <w:lang w:val="fr-CA"/>
        </w:rPr>
      </w:pPr>
      <w:r w:rsidRPr="00ED22D1">
        <w:rPr>
          <w:sz w:val="22"/>
          <w:szCs w:val="22"/>
          <w:lang w:val="fr-CA"/>
        </w:rPr>
        <w:t>S</w:t>
      </w:r>
      <w:r w:rsidR="001A5231" w:rsidRPr="00ED22D1">
        <w:rPr>
          <w:sz w:val="22"/>
          <w:szCs w:val="22"/>
          <w:lang w:val="fr-CA"/>
        </w:rPr>
        <w:t>uivi, présentation de rapport</w:t>
      </w:r>
      <w:r w:rsidRPr="00ED22D1">
        <w:rPr>
          <w:sz w:val="22"/>
          <w:szCs w:val="22"/>
          <w:lang w:val="fr-CA"/>
        </w:rPr>
        <w:t>s</w:t>
      </w:r>
      <w:r w:rsidR="001A5231" w:rsidRPr="00ED22D1">
        <w:rPr>
          <w:sz w:val="22"/>
          <w:szCs w:val="22"/>
          <w:lang w:val="fr-CA"/>
        </w:rPr>
        <w:t xml:space="preserve">, </w:t>
      </w:r>
      <w:r w:rsidR="00921BDE" w:rsidRPr="00ED22D1">
        <w:rPr>
          <w:sz w:val="22"/>
          <w:szCs w:val="22"/>
          <w:lang w:val="fr-CA"/>
        </w:rPr>
        <w:t>vérification</w:t>
      </w:r>
      <w:r w:rsidR="004A6828" w:rsidRPr="00ED22D1">
        <w:rPr>
          <w:sz w:val="22"/>
          <w:szCs w:val="22"/>
          <w:lang w:val="fr-CA"/>
        </w:rPr>
        <w:t xml:space="preserve"> et </w:t>
      </w:r>
      <w:r w:rsidR="001A5231" w:rsidRPr="00ED22D1">
        <w:rPr>
          <w:sz w:val="22"/>
          <w:szCs w:val="22"/>
          <w:lang w:val="fr-CA"/>
        </w:rPr>
        <w:t xml:space="preserve">exécution </w:t>
      </w:r>
      <w:r w:rsidRPr="00ED22D1">
        <w:rPr>
          <w:sz w:val="22"/>
          <w:szCs w:val="22"/>
          <w:lang w:val="fr-CA"/>
        </w:rPr>
        <w:t xml:space="preserve">à la </w:t>
      </w:r>
      <w:r w:rsidR="004A6828" w:rsidRPr="00ED22D1">
        <w:rPr>
          <w:sz w:val="22"/>
          <w:szCs w:val="22"/>
          <w:lang w:val="fr-CA"/>
        </w:rPr>
        <w:t xml:space="preserve">phase </w:t>
      </w:r>
      <w:r w:rsidR="0085675A" w:rsidRPr="00ED22D1">
        <w:rPr>
          <w:sz w:val="22"/>
          <w:szCs w:val="22"/>
          <w:lang w:val="fr-CA"/>
        </w:rPr>
        <w:t xml:space="preserve">I </w:t>
      </w:r>
      <w:r w:rsidR="001F19C1" w:rsidRPr="00ED22D1">
        <w:rPr>
          <w:sz w:val="22"/>
          <w:szCs w:val="22"/>
          <w:lang w:val="fr-CA"/>
        </w:rPr>
        <w:t>du PGEH</w:t>
      </w:r>
      <w:r w:rsidR="0085675A" w:rsidRPr="00ED22D1">
        <w:rPr>
          <w:sz w:val="22"/>
          <w:szCs w:val="22"/>
          <w:lang w:val="fr-CA"/>
        </w:rPr>
        <w:t xml:space="preserve"> </w:t>
      </w:r>
      <w:r w:rsidR="001B31BF" w:rsidRPr="00ED22D1">
        <w:rPr>
          <w:sz w:val="22"/>
          <w:szCs w:val="22"/>
          <w:lang w:val="fr-CA"/>
        </w:rPr>
        <w:t>de la Chine</w:t>
      </w:r>
    </w:p>
    <w:p w:rsidR="0085675A" w:rsidRPr="00ED22D1" w:rsidRDefault="00AA6E77" w:rsidP="0085675A">
      <w:pPr>
        <w:pStyle w:val="Heading1"/>
        <w:numPr>
          <w:ilvl w:val="0"/>
          <w:numId w:val="0"/>
        </w:numPr>
        <w:ind w:left="720"/>
        <w:rPr>
          <w:rFonts w:eastAsiaTheme="minorEastAsia"/>
          <w:lang w:val="fr-CA"/>
        </w:rPr>
      </w:pPr>
      <w:r w:rsidRPr="00ED22D1">
        <w:rPr>
          <w:rFonts w:eastAsiaTheme="minorEastAsia"/>
          <w:b/>
          <w:lang w:val="fr-CA"/>
        </w:rPr>
        <w:t>Décision</w:t>
      </w:r>
      <w:r w:rsidR="0085675A" w:rsidRPr="00ED22D1">
        <w:rPr>
          <w:rFonts w:eastAsiaTheme="minorEastAsia"/>
          <w:b/>
          <w:lang w:val="fr-CA"/>
        </w:rPr>
        <w:t> 82/65</w:t>
      </w:r>
      <w:r w:rsidR="00791BF7" w:rsidRPr="00ED22D1">
        <w:rPr>
          <w:rFonts w:eastAsiaTheme="minorEastAsia"/>
          <w:b/>
          <w:lang w:val="fr-CA"/>
        </w:rPr>
        <w:t> :</w:t>
      </w:r>
      <w:r w:rsidR="0085675A" w:rsidRPr="00ED22D1">
        <w:rPr>
          <w:rFonts w:eastAsiaTheme="minorEastAsia"/>
          <w:lang w:val="fr-CA"/>
        </w:rPr>
        <w:t xml:space="preserve"> </w:t>
      </w:r>
      <w:r w:rsidR="00B84F94" w:rsidRPr="00ED22D1">
        <w:rPr>
          <w:rFonts w:eastAsiaTheme="minorEastAsia"/>
          <w:lang w:val="fr-CA"/>
        </w:rPr>
        <w:t xml:space="preserve">Demander au </w:t>
      </w:r>
      <w:r w:rsidR="00921BDE" w:rsidRPr="00ED22D1">
        <w:rPr>
          <w:rFonts w:eastAsiaTheme="minorEastAsia"/>
          <w:lang w:val="fr-CA"/>
        </w:rPr>
        <w:t>gouvernement</w:t>
      </w:r>
      <w:r w:rsidR="001F19C1" w:rsidRPr="00ED22D1">
        <w:rPr>
          <w:rFonts w:eastAsiaTheme="minorEastAsia"/>
          <w:lang w:val="fr-CA"/>
        </w:rPr>
        <w:t xml:space="preserve"> </w:t>
      </w:r>
      <w:r w:rsidR="00181884" w:rsidRPr="00ED22D1">
        <w:rPr>
          <w:rFonts w:eastAsiaTheme="minorEastAsia"/>
          <w:lang w:val="fr-CA"/>
        </w:rPr>
        <w:t>de la Chine</w:t>
      </w:r>
      <w:r w:rsidR="0085675A" w:rsidRPr="00ED22D1">
        <w:rPr>
          <w:rFonts w:eastAsiaTheme="minorEastAsia"/>
          <w:lang w:val="fr-CA"/>
        </w:rPr>
        <w:t xml:space="preserve">, </w:t>
      </w:r>
      <w:r w:rsidR="00B84F94" w:rsidRPr="00ED22D1">
        <w:rPr>
          <w:rFonts w:eastAsiaTheme="minorEastAsia"/>
          <w:lang w:val="fr-CA"/>
        </w:rPr>
        <w:t>par le truchement de l’agence d’exécution pertinente</w:t>
      </w:r>
      <w:r w:rsidR="00791BF7" w:rsidRPr="00ED22D1">
        <w:rPr>
          <w:rFonts w:eastAsiaTheme="minorEastAsia"/>
          <w:lang w:val="fr-CA"/>
        </w:rPr>
        <w:t> :</w:t>
      </w:r>
    </w:p>
    <w:p w:rsidR="0085675A" w:rsidRPr="00ED22D1" w:rsidRDefault="00B84F94" w:rsidP="0085675A">
      <w:pPr>
        <w:pStyle w:val="Heading2"/>
        <w:rPr>
          <w:rFonts w:eastAsiaTheme="minorEastAsia"/>
          <w:lang w:val="fr-CA"/>
        </w:rPr>
      </w:pPr>
      <w:r w:rsidRPr="00ED22D1">
        <w:rPr>
          <w:rFonts w:eastAsiaTheme="minorEastAsia"/>
          <w:lang w:val="fr-CA"/>
        </w:rPr>
        <w:t xml:space="preserve">De présenter, à la </w:t>
      </w:r>
      <w:r w:rsidR="0085675A" w:rsidRPr="00ED22D1">
        <w:rPr>
          <w:rFonts w:eastAsiaTheme="minorEastAsia"/>
          <w:lang w:val="fr-CA"/>
        </w:rPr>
        <w:t>83</w:t>
      </w:r>
      <w:r w:rsidRPr="00ED22D1">
        <w:rPr>
          <w:rFonts w:eastAsiaTheme="minorEastAsia"/>
          <w:vertAlign w:val="superscript"/>
          <w:lang w:val="fr-CA"/>
        </w:rPr>
        <w:t>e</w:t>
      </w:r>
      <w:r w:rsidRPr="00ED22D1">
        <w:rPr>
          <w:rFonts w:eastAsiaTheme="minorEastAsia"/>
          <w:lang w:val="fr-CA"/>
        </w:rPr>
        <w:t xml:space="preserve"> </w:t>
      </w:r>
      <w:r w:rsidR="00DD185D" w:rsidRPr="00ED22D1">
        <w:rPr>
          <w:rFonts w:eastAsiaTheme="minorEastAsia"/>
          <w:lang w:val="fr-CA"/>
        </w:rPr>
        <w:t>réunion</w:t>
      </w:r>
      <w:r w:rsidR="0085675A" w:rsidRPr="00ED22D1">
        <w:rPr>
          <w:rFonts w:eastAsiaTheme="minorEastAsia"/>
          <w:lang w:val="fr-CA"/>
        </w:rPr>
        <w:t xml:space="preserve">, </w:t>
      </w:r>
      <w:r w:rsidRPr="00ED22D1">
        <w:rPr>
          <w:rFonts w:eastAsiaTheme="minorEastAsia"/>
          <w:lang w:val="fr-CA"/>
        </w:rPr>
        <w:t xml:space="preserve">un sommaire des systèmes actuels de suivi, </w:t>
      </w:r>
      <w:r w:rsidR="0092306A" w:rsidRPr="00ED22D1">
        <w:rPr>
          <w:rFonts w:eastAsiaTheme="minorEastAsia"/>
          <w:lang w:val="fr-CA"/>
        </w:rPr>
        <w:t>présentation de rapports</w:t>
      </w:r>
      <w:r w:rsidRPr="00ED22D1">
        <w:rPr>
          <w:rFonts w:eastAsiaTheme="minorEastAsia"/>
          <w:lang w:val="fr-CA"/>
        </w:rPr>
        <w:t xml:space="preserve">, </w:t>
      </w:r>
      <w:r w:rsidR="00921BDE" w:rsidRPr="00ED22D1">
        <w:rPr>
          <w:rFonts w:eastAsiaTheme="minorEastAsia"/>
          <w:lang w:val="fr-CA"/>
        </w:rPr>
        <w:t>vérification</w:t>
      </w:r>
      <w:r w:rsidR="004A6828" w:rsidRPr="00ED22D1">
        <w:rPr>
          <w:rFonts w:eastAsiaTheme="minorEastAsia"/>
          <w:lang w:val="fr-CA"/>
        </w:rPr>
        <w:t xml:space="preserve"> et </w:t>
      </w:r>
      <w:r w:rsidRPr="00ED22D1">
        <w:rPr>
          <w:rFonts w:eastAsiaTheme="minorEastAsia"/>
          <w:lang w:val="fr-CA"/>
        </w:rPr>
        <w:t>exécution</w:t>
      </w:r>
      <w:r w:rsidR="0085675A" w:rsidRPr="00ED22D1">
        <w:rPr>
          <w:rFonts w:eastAsiaTheme="minorEastAsia"/>
          <w:lang w:val="fr-CA"/>
        </w:rPr>
        <w:t xml:space="preserve"> </w:t>
      </w:r>
      <w:r w:rsidRPr="00ED22D1">
        <w:rPr>
          <w:rFonts w:eastAsiaTheme="minorEastAsia"/>
          <w:lang w:val="fr-CA"/>
        </w:rPr>
        <w:t xml:space="preserve">conformément à ses </w:t>
      </w:r>
      <w:r w:rsidR="001B45EC" w:rsidRPr="00ED22D1">
        <w:rPr>
          <w:rFonts w:eastAsiaTheme="minorEastAsia"/>
          <w:lang w:val="fr-CA"/>
        </w:rPr>
        <w:t>accord</w:t>
      </w:r>
      <w:r w:rsidR="0085675A" w:rsidRPr="00ED22D1">
        <w:rPr>
          <w:rFonts w:eastAsiaTheme="minorEastAsia"/>
          <w:lang w:val="fr-CA"/>
        </w:rPr>
        <w:t xml:space="preserve">s </w:t>
      </w:r>
      <w:r w:rsidRPr="00ED22D1">
        <w:rPr>
          <w:rFonts w:eastAsiaTheme="minorEastAsia"/>
          <w:lang w:val="fr-CA"/>
        </w:rPr>
        <w:t>avec</w:t>
      </w:r>
      <w:r w:rsidR="0085675A" w:rsidRPr="00ED22D1">
        <w:rPr>
          <w:rFonts w:eastAsiaTheme="minorEastAsia"/>
          <w:lang w:val="fr-CA"/>
        </w:rPr>
        <w:t xml:space="preserve"> </w:t>
      </w:r>
      <w:r w:rsidR="00DD185D" w:rsidRPr="00ED22D1">
        <w:rPr>
          <w:rFonts w:eastAsiaTheme="minorEastAsia"/>
          <w:lang w:val="fr-CA"/>
        </w:rPr>
        <w:t>le Comité exécutif</w:t>
      </w:r>
      <w:r w:rsidR="0085675A" w:rsidRPr="00ED22D1">
        <w:rPr>
          <w:rFonts w:eastAsiaTheme="minorEastAsia"/>
          <w:lang w:val="fr-CA"/>
        </w:rPr>
        <w:t xml:space="preserve"> </w:t>
      </w:r>
      <w:r w:rsidRPr="00ED22D1">
        <w:rPr>
          <w:rFonts w:eastAsiaTheme="minorEastAsia"/>
          <w:lang w:val="fr-CA"/>
        </w:rPr>
        <w:t xml:space="preserve">au plan de gestion de l’élimination </w:t>
      </w:r>
      <w:r w:rsidR="004A6828" w:rsidRPr="00ED22D1">
        <w:rPr>
          <w:rFonts w:eastAsiaTheme="minorEastAsia"/>
          <w:lang w:val="fr-CA"/>
        </w:rPr>
        <w:t xml:space="preserve">des HCFC </w:t>
      </w:r>
      <w:r w:rsidRPr="00ED22D1">
        <w:rPr>
          <w:rFonts w:eastAsiaTheme="minorEastAsia"/>
          <w:lang w:val="fr-CA"/>
        </w:rPr>
        <w:t xml:space="preserve">au pays </w:t>
      </w:r>
      <w:r w:rsidR="004A6828" w:rsidRPr="00ED22D1">
        <w:rPr>
          <w:rFonts w:eastAsiaTheme="minorEastAsia"/>
          <w:lang w:val="fr-CA"/>
        </w:rPr>
        <w:t xml:space="preserve">et </w:t>
      </w:r>
      <w:r w:rsidR="0092306A" w:rsidRPr="00ED22D1">
        <w:rPr>
          <w:rFonts w:eastAsiaTheme="minorEastAsia"/>
          <w:lang w:val="fr-CA"/>
        </w:rPr>
        <w:t>a</w:t>
      </w:r>
      <w:r w:rsidRPr="00ED22D1">
        <w:rPr>
          <w:rFonts w:eastAsiaTheme="minorEastAsia"/>
          <w:lang w:val="fr-CA"/>
        </w:rPr>
        <w:t>u plan de gestion de</w:t>
      </w:r>
      <w:r w:rsidR="0092306A" w:rsidRPr="00ED22D1">
        <w:rPr>
          <w:rFonts w:eastAsiaTheme="minorEastAsia"/>
          <w:lang w:val="fr-CA"/>
        </w:rPr>
        <w:t> </w:t>
      </w:r>
      <w:r w:rsidRPr="00ED22D1">
        <w:rPr>
          <w:rFonts w:eastAsiaTheme="minorEastAsia"/>
          <w:lang w:val="fr-CA"/>
        </w:rPr>
        <w:t xml:space="preserve">l’élimination de la production </w:t>
      </w:r>
      <w:r w:rsidR="008D5B5F" w:rsidRPr="00ED22D1">
        <w:rPr>
          <w:rFonts w:eastAsiaTheme="minorEastAsia"/>
          <w:lang w:val="fr-CA"/>
        </w:rPr>
        <w:t>de</w:t>
      </w:r>
      <w:r w:rsidR="0092306A" w:rsidRPr="00ED22D1">
        <w:rPr>
          <w:rFonts w:eastAsiaTheme="minorEastAsia"/>
          <w:lang w:val="fr-CA"/>
        </w:rPr>
        <w:t>s</w:t>
      </w:r>
      <w:r w:rsidR="008D5B5F" w:rsidRPr="00ED22D1">
        <w:rPr>
          <w:rFonts w:eastAsiaTheme="minorEastAsia"/>
          <w:lang w:val="fr-CA"/>
        </w:rPr>
        <w:t xml:space="preserve"> HCFC</w:t>
      </w:r>
      <w:r w:rsidR="0085675A" w:rsidRPr="00ED22D1">
        <w:rPr>
          <w:rFonts w:eastAsiaTheme="minorEastAsia"/>
          <w:lang w:val="fr-CA"/>
        </w:rPr>
        <w:t xml:space="preserve">, </w:t>
      </w:r>
      <w:r w:rsidRPr="00ED22D1">
        <w:rPr>
          <w:rFonts w:eastAsiaTheme="minorEastAsia"/>
          <w:lang w:val="fr-CA"/>
        </w:rPr>
        <w:t xml:space="preserve">y compris les </w:t>
      </w:r>
      <w:r w:rsidR="0092306A" w:rsidRPr="00ED22D1">
        <w:rPr>
          <w:rFonts w:eastAsiaTheme="minorEastAsia"/>
          <w:lang w:val="fr-CA"/>
        </w:rPr>
        <w:t>données</w:t>
      </w:r>
      <w:r w:rsidRPr="00ED22D1">
        <w:rPr>
          <w:rFonts w:eastAsiaTheme="minorEastAsia"/>
          <w:lang w:val="fr-CA"/>
        </w:rPr>
        <w:t xml:space="preserve"> sur la structure organisationnelle et la</w:t>
      </w:r>
      <w:r w:rsidR="0092306A" w:rsidRPr="00ED22D1">
        <w:rPr>
          <w:rFonts w:eastAsiaTheme="minorEastAsia"/>
          <w:lang w:val="fr-CA"/>
        </w:rPr>
        <w:t> </w:t>
      </w:r>
      <w:r w:rsidRPr="00ED22D1">
        <w:rPr>
          <w:rFonts w:eastAsiaTheme="minorEastAsia"/>
          <w:lang w:val="fr-CA"/>
        </w:rPr>
        <w:t xml:space="preserve">capacité aux niveaux national et local qui ont démontré comment la durabilité à long terme de l’élimination des </w:t>
      </w:r>
      <w:r w:rsidR="00181884" w:rsidRPr="00ED22D1">
        <w:rPr>
          <w:rFonts w:eastAsiaTheme="minorEastAsia"/>
          <w:lang w:val="fr-CA"/>
        </w:rPr>
        <w:t>HCFC</w:t>
      </w:r>
      <w:r w:rsidR="0085675A" w:rsidRPr="00ED22D1">
        <w:rPr>
          <w:rFonts w:eastAsiaTheme="minorEastAsia"/>
          <w:lang w:val="fr-CA"/>
        </w:rPr>
        <w:t xml:space="preserve"> </w:t>
      </w:r>
      <w:r w:rsidRPr="00ED22D1">
        <w:rPr>
          <w:rFonts w:eastAsiaTheme="minorEastAsia"/>
          <w:lang w:val="fr-CA"/>
        </w:rPr>
        <w:t>dans les secteurs de</w:t>
      </w:r>
      <w:r w:rsidR="0085675A" w:rsidRPr="00ED22D1">
        <w:rPr>
          <w:rFonts w:eastAsiaTheme="minorEastAsia"/>
          <w:lang w:val="fr-CA"/>
        </w:rPr>
        <w:t xml:space="preserve"> </w:t>
      </w:r>
      <w:r w:rsidR="00181884" w:rsidRPr="00ED22D1">
        <w:rPr>
          <w:rFonts w:eastAsiaTheme="minorEastAsia"/>
          <w:lang w:val="fr-CA"/>
        </w:rPr>
        <w:t>la consommation</w:t>
      </w:r>
      <w:r w:rsidR="004A6828" w:rsidRPr="00ED22D1">
        <w:rPr>
          <w:rFonts w:eastAsiaTheme="minorEastAsia"/>
          <w:lang w:val="fr-CA"/>
        </w:rPr>
        <w:t xml:space="preserve"> et </w:t>
      </w:r>
      <w:r w:rsidRPr="00ED22D1">
        <w:rPr>
          <w:rFonts w:eastAsiaTheme="minorEastAsia"/>
          <w:lang w:val="fr-CA"/>
        </w:rPr>
        <w:t xml:space="preserve">de la </w:t>
      </w:r>
      <w:r w:rsidR="0085675A" w:rsidRPr="00ED22D1">
        <w:rPr>
          <w:rFonts w:eastAsiaTheme="minorEastAsia"/>
          <w:lang w:val="fr-CA"/>
        </w:rPr>
        <w:t xml:space="preserve">production </w:t>
      </w:r>
      <w:r w:rsidRPr="00ED22D1">
        <w:rPr>
          <w:rFonts w:eastAsiaTheme="minorEastAsia"/>
          <w:lang w:val="fr-CA"/>
        </w:rPr>
        <w:t xml:space="preserve">était assurée et sur les efforts visant à traiter tout commerce illicite de ces </w:t>
      </w:r>
      <w:r w:rsidR="0085675A" w:rsidRPr="00ED22D1">
        <w:rPr>
          <w:rFonts w:eastAsiaTheme="minorEastAsia"/>
          <w:lang w:val="fr-CA"/>
        </w:rPr>
        <w:t>substances</w:t>
      </w:r>
      <w:r w:rsidRPr="00ED22D1">
        <w:rPr>
          <w:rFonts w:eastAsiaTheme="minorEastAsia"/>
          <w:lang w:val="fr-CA"/>
        </w:rPr>
        <w:t xml:space="preserve">; et </w:t>
      </w:r>
    </w:p>
    <w:p w:rsidR="0085675A" w:rsidRPr="00ED22D1" w:rsidRDefault="00B84F94" w:rsidP="0085675A">
      <w:pPr>
        <w:pStyle w:val="Heading2"/>
        <w:rPr>
          <w:rFonts w:eastAsiaTheme="minorEastAsia"/>
          <w:lang w:val="fr-CA"/>
        </w:rPr>
      </w:pPr>
      <w:r w:rsidRPr="00ED22D1">
        <w:rPr>
          <w:rFonts w:eastAsiaTheme="minorEastAsia"/>
          <w:lang w:val="fr-CA"/>
        </w:rPr>
        <w:t>De demander en outre, à la 8</w:t>
      </w:r>
      <w:r w:rsidR="0085675A" w:rsidRPr="00ED22D1">
        <w:rPr>
          <w:rFonts w:eastAsiaTheme="minorEastAsia"/>
          <w:lang w:val="fr-CA"/>
        </w:rPr>
        <w:t>3</w:t>
      </w:r>
      <w:r w:rsidRPr="00ED22D1">
        <w:rPr>
          <w:rFonts w:eastAsiaTheme="minorEastAsia"/>
          <w:vertAlign w:val="superscript"/>
          <w:lang w:val="fr-CA"/>
        </w:rPr>
        <w:t>e</w:t>
      </w:r>
      <w:r w:rsidRPr="00ED22D1">
        <w:rPr>
          <w:rFonts w:eastAsiaTheme="minorEastAsia"/>
          <w:lang w:val="fr-CA"/>
        </w:rPr>
        <w:t xml:space="preserve"> </w:t>
      </w:r>
      <w:r w:rsidR="00DD185D" w:rsidRPr="00ED22D1">
        <w:rPr>
          <w:rFonts w:eastAsiaTheme="minorEastAsia"/>
          <w:lang w:val="fr-CA"/>
        </w:rPr>
        <w:t>réunion</w:t>
      </w:r>
      <w:r w:rsidR="0085675A" w:rsidRPr="00ED22D1">
        <w:rPr>
          <w:rFonts w:eastAsiaTheme="minorEastAsia"/>
          <w:lang w:val="fr-CA"/>
        </w:rPr>
        <w:t xml:space="preserve">, </w:t>
      </w:r>
      <w:r w:rsidRPr="00ED22D1">
        <w:rPr>
          <w:rFonts w:eastAsiaTheme="minorEastAsia"/>
          <w:lang w:val="fr-CA"/>
        </w:rPr>
        <w:t>un</w:t>
      </w:r>
      <w:r w:rsidR="0085675A" w:rsidRPr="00ED22D1">
        <w:rPr>
          <w:rFonts w:eastAsiaTheme="minorEastAsia"/>
          <w:lang w:val="fr-CA"/>
        </w:rPr>
        <w:t xml:space="preserve"> </w:t>
      </w:r>
      <w:r w:rsidR="004A6828" w:rsidRPr="00ED22D1">
        <w:rPr>
          <w:rFonts w:eastAsiaTheme="minorEastAsia"/>
          <w:lang w:val="fr-CA"/>
        </w:rPr>
        <w:t>rapport périodique</w:t>
      </w:r>
      <w:r w:rsidR="0085675A" w:rsidRPr="00ED22D1">
        <w:rPr>
          <w:rFonts w:eastAsiaTheme="minorEastAsia"/>
          <w:lang w:val="fr-CA"/>
        </w:rPr>
        <w:t xml:space="preserve"> </w:t>
      </w:r>
      <w:r w:rsidRPr="00ED22D1">
        <w:rPr>
          <w:rFonts w:eastAsiaTheme="minorEastAsia"/>
          <w:lang w:val="fr-CA"/>
        </w:rPr>
        <w:t>sur les mesures prises afin de renforcer les lois</w:t>
      </w:r>
      <w:r w:rsidR="0085675A" w:rsidRPr="00ED22D1">
        <w:rPr>
          <w:rFonts w:eastAsiaTheme="minorEastAsia"/>
          <w:lang w:val="fr-CA"/>
        </w:rPr>
        <w:t xml:space="preserve"> </w:t>
      </w:r>
      <w:r w:rsidRPr="00ED22D1">
        <w:rPr>
          <w:rFonts w:eastAsiaTheme="minorEastAsia"/>
          <w:lang w:val="fr-CA"/>
        </w:rPr>
        <w:t xml:space="preserve">sur les </w:t>
      </w:r>
      <w:r w:rsidR="001B31BF" w:rsidRPr="00ED22D1">
        <w:rPr>
          <w:rFonts w:eastAsiaTheme="minorEastAsia"/>
          <w:lang w:val="fr-CA"/>
        </w:rPr>
        <w:t xml:space="preserve">SAO </w:t>
      </w:r>
      <w:r w:rsidR="004A6828" w:rsidRPr="00ED22D1">
        <w:rPr>
          <w:rFonts w:eastAsiaTheme="minorEastAsia"/>
          <w:lang w:val="fr-CA"/>
        </w:rPr>
        <w:t xml:space="preserve">et </w:t>
      </w:r>
      <w:r w:rsidRPr="00ED22D1">
        <w:rPr>
          <w:rFonts w:eastAsiaTheme="minorEastAsia"/>
          <w:lang w:val="fr-CA"/>
        </w:rPr>
        <w:t xml:space="preserve">la </w:t>
      </w:r>
      <w:r w:rsidR="00921BDE" w:rsidRPr="00ED22D1">
        <w:rPr>
          <w:rFonts w:eastAsiaTheme="minorEastAsia"/>
          <w:lang w:val="fr-CA" w:eastAsia="zh-CN"/>
        </w:rPr>
        <w:t xml:space="preserve">mise en oeuvre </w:t>
      </w:r>
      <w:r w:rsidRPr="00ED22D1">
        <w:rPr>
          <w:rFonts w:eastAsiaTheme="minorEastAsia"/>
          <w:lang w:val="fr-CA" w:eastAsia="zh-CN"/>
        </w:rPr>
        <w:t>correspondante</w:t>
      </w:r>
      <w:r w:rsidR="0085675A" w:rsidRPr="00ED22D1">
        <w:rPr>
          <w:rFonts w:eastAsiaTheme="minorEastAsia"/>
          <w:lang w:val="fr-CA" w:eastAsia="zh-CN"/>
        </w:rPr>
        <w:t xml:space="preserve"> </w:t>
      </w:r>
      <w:r w:rsidR="00181884" w:rsidRPr="00ED22D1">
        <w:rPr>
          <w:rFonts w:eastAsiaTheme="minorEastAsia"/>
          <w:lang w:val="fr-CA"/>
        </w:rPr>
        <w:t>en Chine</w:t>
      </w:r>
      <w:r w:rsidR="0085675A" w:rsidRPr="00ED22D1">
        <w:rPr>
          <w:rFonts w:eastAsiaTheme="minorEastAsia"/>
          <w:lang w:val="fr-CA"/>
        </w:rPr>
        <w:t>.</w:t>
      </w:r>
    </w:p>
    <w:p w:rsidR="00B84F94" w:rsidRPr="00ED22D1" w:rsidRDefault="0092306A" w:rsidP="00B84F94">
      <w:pPr>
        <w:pStyle w:val="Projecthead"/>
        <w:spacing w:line="240" w:lineRule="auto"/>
        <w:jc w:val="both"/>
        <w:rPr>
          <w:i w:val="0"/>
          <w:sz w:val="22"/>
          <w:szCs w:val="22"/>
          <w:lang w:val="fr-CA"/>
        </w:rPr>
      </w:pPr>
      <w:r w:rsidRPr="00ED22D1">
        <w:rPr>
          <w:sz w:val="22"/>
          <w:szCs w:val="22"/>
          <w:lang w:val="fr-CA"/>
        </w:rPr>
        <w:t>R</w:t>
      </w:r>
      <w:r w:rsidR="00B84F94" w:rsidRPr="00ED22D1">
        <w:rPr>
          <w:sz w:val="22"/>
          <w:szCs w:val="22"/>
          <w:lang w:val="fr-CA"/>
        </w:rPr>
        <w:t xml:space="preserve">apport annuel </w:t>
      </w:r>
      <w:r w:rsidR="00921BDE" w:rsidRPr="00ED22D1">
        <w:rPr>
          <w:sz w:val="22"/>
          <w:szCs w:val="22"/>
          <w:lang w:val="fr-CA"/>
        </w:rPr>
        <w:t>de la phase</w:t>
      </w:r>
      <w:r w:rsidR="004A6828" w:rsidRPr="00ED22D1">
        <w:rPr>
          <w:sz w:val="22"/>
          <w:szCs w:val="22"/>
          <w:lang w:val="fr-CA"/>
        </w:rPr>
        <w:t xml:space="preserve"> </w:t>
      </w:r>
      <w:r w:rsidR="0085675A" w:rsidRPr="00ED22D1">
        <w:rPr>
          <w:sz w:val="22"/>
          <w:szCs w:val="22"/>
          <w:lang w:val="fr-CA"/>
        </w:rPr>
        <w:t xml:space="preserve">I </w:t>
      </w:r>
      <w:r w:rsidR="00B84F94" w:rsidRPr="00ED22D1">
        <w:rPr>
          <w:sz w:val="22"/>
          <w:szCs w:val="22"/>
          <w:lang w:val="fr-CA"/>
        </w:rPr>
        <w:t>du plan du secteur des mousses de polyuréthane rigides</w:t>
      </w:r>
    </w:p>
    <w:p w:rsidR="0085675A" w:rsidRPr="00ED22D1" w:rsidRDefault="00AA6E77" w:rsidP="00910666">
      <w:pPr>
        <w:pStyle w:val="Projecthead"/>
        <w:spacing w:line="240" w:lineRule="auto"/>
        <w:ind w:left="709"/>
        <w:jc w:val="both"/>
        <w:rPr>
          <w:i w:val="0"/>
          <w:sz w:val="22"/>
          <w:szCs w:val="22"/>
          <w:lang w:val="fr-CA"/>
        </w:rPr>
      </w:pPr>
      <w:r w:rsidRPr="00ED22D1">
        <w:rPr>
          <w:b/>
          <w:i w:val="0"/>
          <w:sz w:val="22"/>
          <w:szCs w:val="22"/>
          <w:lang w:val="fr-CA"/>
        </w:rPr>
        <w:t>Décision</w:t>
      </w:r>
      <w:r w:rsidR="0085675A" w:rsidRPr="00ED22D1">
        <w:rPr>
          <w:b/>
          <w:i w:val="0"/>
          <w:sz w:val="22"/>
          <w:szCs w:val="22"/>
          <w:lang w:val="fr-CA"/>
        </w:rPr>
        <w:t> 82/67</w:t>
      </w:r>
      <w:r w:rsidR="00B84F94" w:rsidRPr="00ED22D1">
        <w:rPr>
          <w:b/>
          <w:i w:val="0"/>
          <w:sz w:val="22"/>
          <w:szCs w:val="22"/>
          <w:lang w:val="fr-CA"/>
        </w:rPr>
        <w:t> </w:t>
      </w:r>
      <w:r w:rsidR="0085675A" w:rsidRPr="00ED22D1">
        <w:rPr>
          <w:b/>
          <w:i w:val="0"/>
          <w:sz w:val="22"/>
          <w:szCs w:val="22"/>
          <w:lang w:val="fr-CA"/>
        </w:rPr>
        <w:t>c)</w:t>
      </w:r>
      <w:r w:rsidR="00791BF7" w:rsidRPr="00ED22D1">
        <w:rPr>
          <w:b/>
          <w:i w:val="0"/>
          <w:sz w:val="22"/>
          <w:szCs w:val="22"/>
          <w:lang w:val="fr-CA"/>
        </w:rPr>
        <w:t> :</w:t>
      </w:r>
      <w:r w:rsidR="0085675A" w:rsidRPr="00ED22D1">
        <w:rPr>
          <w:i w:val="0"/>
          <w:sz w:val="22"/>
          <w:szCs w:val="22"/>
          <w:lang w:val="fr-CA"/>
        </w:rPr>
        <w:t xml:space="preserve"> </w:t>
      </w:r>
      <w:r w:rsidR="0092306A" w:rsidRPr="00ED22D1">
        <w:rPr>
          <w:i w:val="0"/>
          <w:sz w:val="22"/>
          <w:szCs w:val="22"/>
          <w:lang w:val="fr-CA"/>
        </w:rPr>
        <w:t>D</w:t>
      </w:r>
      <w:r w:rsidR="00B84F94" w:rsidRPr="00ED22D1">
        <w:rPr>
          <w:i w:val="0"/>
          <w:sz w:val="22"/>
          <w:szCs w:val="22"/>
          <w:lang w:val="fr-CA"/>
        </w:rPr>
        <w:t xml:space="preserve">emander au </w:t>
      </w:r>
      <w:r w:rsidR="00921BDE" w:rsidRPr="00ED22D1">
        <w:rPr>
          <w:i w:val="0"/>
          <w:sz w:val="22"/>
          <w:szCs w:val="22"/>
          <w:lang w:val="fr-CA"/>
        </w:rPr>
        <w:t>gouvernement</w:t>
      </w:r>
      <w:r w:rsidR="001F19C1" w:rsidRPr="00ED22D1">
        <w:rPr>
          <w:i w:val="0"/>
          <w:sz w:val="22"/>
          <w:szCs w:val="22"/>
          <w:lang w:val="fr-CA"/>
        </w:rPr>
        <w:t xml:space="preserve"> </w:t>
      </w:r>
      <w:r w:rsidR="00181884" w:rsidRPr="00ED22D1">
        <w:rPr>
          <w:i w:val="0"/>
          <w:sz w:val="22"/>
          <w:szCs w:val="22"/>
          <w:lang w:val="fr-CA"/>
        </w:rPr>
        <w:t>de la Chine</w:t>
      </w:r>
      <w:r w:rsidR="004A6828" w:rsidRPr="00ED22D1">
        <w:rPr>
          <w:i w:val="0"/>
          <w:sz w:val="22"/>
          <w:szCs w:val="22"/>
          <w:lang w:val="fr-CA"/>
        </w:rPr>
        <w:t xml:space="preserve"> et</w:t>
      </w:r>
      <w:r w:rsidR="001F19C1" w:rsidRPr="00ED22D1">
        <w:rPr>
          <w:i w:val="0"/>
          <w:sz w:val="22"/>
          <w:szCs w:val="22"/>
          <w:lang w:val="fr-CA"/>
        </w:rPr>
        <w:t xml:space="preserve"> </w:t>
      </w:r>
      <w:r w:rsidR="00B84F94" w:rsidRPr="00ED22D1">
        <w:rPr>
          <w:i w:val="0"/>
          <w:sz w:val="22"/>
          <w:szCs w:val="22"/>
          <w:lang w:val="fr-CA"/>
        </w:rPr>
        <w:t xml:space="preserve">à </w:t>
      </w:r>
      <w:r w:rsidR="001F19C1" w:rsidRPr="00ED22D1">
        <w:rPr>
          <w:i w:val="0"/>
          <w:sz w:val="22"/>
          <w:szCs w:val="22"/>
          <w:lang w:val="fr-CA"/>
        </w:rPr>
        <w:t>la Banque mondiale</w:t>
      </w:r>
      <w:r w:rsidR="0085675A" w:rsidRPr="00ED22D1">
        <w:rPr>
          <w:i w:val="0"/>
          <w:sz w:val="22"/>
          <w:szCs w:val="22"/>
          <w:lang w:val="fr-CA"/>
        </w:rPr>
        <w:t xml:space="preserve"> </w:t>
      </w:r>
      <w:r w:rsidR="00B84F94" w:rsidRPr="00ED22D1">
        <w:rPr>
          <w:i w:val="0"/>
          <w:sz w:val="22"/>
          <w:szCs w:val="22"/>
          <w:lang w:val="fr-CA"/>
        </w:rPr>
        <w:t>de préparer pour la</w:t>
      </w:r>
      <w:r w:rsidR="0092306A" w:rsidRPr="00ED22D1">
        <w:rPr>
          <w:i w:val="0"/>
          <w:sz w:val="22"/>
          <w:szCs w:val="22"/>
          <w:lang w:val="fr-CA"/>
        </w:rPr>
        <w:t> </w:t>
      </w:r>
      <w:r w:rsidR="0085675A" w:rsidRPr="00ED22D1">
        <w:rPr>
          <w:i w:val="0"/>
          <w:sz w:val="22"/>
          <w:szCs w:val="22"/>
          <w:lang w:val="fr-CA"/>
        </w:rPr>
        <w:t>83</w:t>
      </w:r>
      <w:r w:rsidR="00B84F94" w:rsidRPr="00ED22D1">
        <w:rPr>
          <w:i w:val="0"/>
          <w:sz w:val="22"/>
          <w:szCs w:val="22"/>
          <w:vertAlign w:val="superscript"/>
          <w:lang w:val="fr-CA"/>
        </w:rPr>
        <w:t>e</w:t>
      </w:r>
      <w:r w:rsidR="00B84F94" w:rsidRPr="00ED22D1">
        <w:rPr>
          <w:i w:val="0"/>
          <w:sz w:val="22"/>
          <w:szCs w:val="22"/>
          <w:lang w:val="fr-CA"/>
        </w:rPr>
        <w:t xml:space="preserve"> réunion une</w:t>
      </w:r>
      <w:r w:rsidR="0085675A" w:rsidRPr="00ED22D1">
        <w:rPr>
          <w:i w:val="0"/>
          <w:sz w:val="22"/>
          <w:szCs w:val="22"/>
          <w:lang w:val="fr-CA"/>
        </w:rPr>
        <w:t xml:space="preserve"> </w:t>
      </w:r>
      <w:r w:rsidR="00B84F94" w:rsidRPr="00ED22D1">
        <w:rPr>
          <w:i w:val="0"/>
          <w:sz w:val="22"/>
          <w:szCs w:val="22"/>
          <w:lang w:val="fr-CA"/>
        </w:rPr>
        <w:t>étude théorique</w:t>
      </w:r>
      <w:r w:rsidR="0085675A" w:rsidRPr="00ED22D1">
        <w:rPr>
          <w:i w:val="0"/>
          <w:sz w:val="22"/>
          <w:szCs w:val="22"/>
          <w:lang w:val="fr-CA"/>
        </w:rPr>
        <w:t xml:space="preserve"> </w:t>
      </w:r>
      <w:r w:rsidR="00B84F94" w:rsidRPr="00ED22D1">
        <w:rPr>
          <w:i w:val="0"/>
          <w:sz w:val="22"/>
          <w:szCs w:val="22"/>
          <w:lang w:val="fr-CA"/>
        </w:rPr>
        <w:t xml:space="preserve">du système actuel de suivi de la </w:t>
      </w:r>
      <w:r w:rsidR="00181884" w:rsidRPr="00ED22D1">
        <w:rPr>
          <w:i w:val="0"/>
          <w:sz w:val="22"/>
          <w:szCs w:val="22"/>
          <w:lang w:val="fr-CA"/>
        </w:rPr>
        <w:t>consommation</w:t>
      </w:r>
      <w:r w:rsidR="0085675A" w:rsidRPr="00ED22D1">
        <w:rPr>
          <w:i w:val="0"/>
          <w:sz w:val="22"/>
          <w:szCs w:val="22"/>
          <w:lang w:val="fr-CA"/>
        </w:rPr>
        <w:t xml:space="preserve"> </w:t>
      </w:r>
      <w:r w:rsidR="00B84F94" w:rsidRPr="00ED22D1">
        <w:rPr>
          <w:i w:val="0"/>
          <w:sz w:val="22"/>
          <w:szCs w:val="22"/>
          <w:lang w:val="fr-CA"/>
        </w:rPr>
        <w:t xml:space="preserve">d’agents de gonflage de la </w:t>
      </w:r>
      <w:r w:rsidR="00D15079" w:rsidRPr="00ED22D1">
        <w:rPr>
          <w:i w:val="0"/>
          <w:sz w:val="22"/>
          <w:szCs w:val="22"/>
          <w:lang w:val="fr-CA"/>
        </w:rPr>
        <w:t>mousse</w:t>
      </w:r>
      <w:r w:rsidR="0085675A" w:rsidRPr="00ED22D1">
        <w:rPr>
          <w:i w:val="0"/>
          <w:sz w:val="22"/>
          <w:szCs w:val="22"/>
          <w:lang w:val="fr-CA"/>
        </w:rPr>
        <w:t xml:space="preserve"> </w:t>
      </w:r>
      <w:r w:rsidR="00B84F94" w:rsidRPr="00ED22D1">
        <w:rPr>
          <w:i w:val="0"/>
          <w:sz w:val="22"/>
          <w:szCs w:val="22"/>
          <w:lang w:val="fr-CA"/>
        </w:rPr>
        <w:t>des</w:t>
      </w:r>
      <w:r w:rsidR="0085675A" w:rsidRPr="00ED22D1">
        <w:rPr>
          <w:i w:val="0"/>
          <w:sz w:val="22"/>
          <w:szCs w:val="22"/>
          <w:lang w:val="fr-CA"/>
        </w:rPr>
        <w:t xml:space="preserve"> </w:t>
      </w:r>
      <w:r w:rsidR="00921BDE" w:rsidRPr="00ED22D1">
        <w:rPr>
          <w:i w:val="0"/>
          <w:sz w:val="22"/>
          <w:szCs w:val="22"/>
          <w:lang w:val="fr-CA"/>
        </w:rPr>
        <w:t>entreprise</w:t>
      </w:r>
      <w:r w:rsidR="0085675A" w:rsidRPr="00ED22D1">
        <w:rPr>
          <w:i w:val="0"/>
          <w:sz w:val="22"/>
          <w:szCs w:val="22"/>
          <w:lang w:val="fr-CA"/>
        </w:rPr>
        <w:t xml:space="preserve">s </w:t>
      </w:r>
      <w:r w:rsidR="00B84F94" w:rsidRPr="00ED22D1">
        <w:rPr>
          <w:i w:val="0"/>
          <w:sz w:val="22"/>
          <w:szCs w:val="22"/>
          <w:lang w:val="fr-CA"/>
        </w:rPr>
        <w:t xml:space="preserve">ayant reçu de l’assistance dans le cadre de la </w:t>
      </w:r>
      <w:r w:rsidR="004A6828" w:rsidRPr="00ED22D1">
        <w:rPr>
          <w:i w:val="0"/>
          <w:sz w:val="22"/>
          <w:szCs w:val="22"/>
          <w:lang w:val="fr-CA"/>
        </w:rPr>
        <w:t xml:space="preserve">phase </w:t>
      </w:r>
      <w:r w:rsidR="0085675A" w:rsidRPr="00ED22D1">
        <w:rPr>
          <w:i w:val="0"/>
          <w:sz w:val="22"/>
          <w:szCs w:val="22"/>
          <w:lang w:val="fr-CA"/>
        </w:rPr>
        <w:t xml:space="preserve">I </w:t>
      </w:r>
      <w:r w:rsidR="001F19C1" w:rsidRPr="00ED22D1">
        <w:rPr>
          <w:i w:val="0"/>
          <w:sz w:val="22"/>
          <w:szCs w:val="22"/>
          <w:lang w:val="fr-CA"/>
        </w:rPr>
        <w:t>du PGEH</w:t>
      </w:r>
      <w:r w:rsidR="004A6828" w:rsidRPr="00ED22D1">
        <w:rPr>
          <w:i w:val="0"/>
          <w:sz w:val="22"/>
          <w:szCs w:val="22"/>
          <w:lang w:val="fr-CA"/>
        </w:rPr>
        <w:t xml:space="preserve"> et</w:t>
      </w:r>
      <w:r w:rsidR="0092306A" w:rsidRPr="00ED22D1">
        <w:rPr>
          <w:i w:val="0"/>
          <w:sz w:val="22"/>
          <w:szCs w:val="22"/>
          <w:lang w:val="fr-CA"/>
        </w:rPr>
        <w:t> </w:t>
      </w:r>
      <w:r w:rsidR="00B84F94" w:rsidRPr="00ED22D1">
        <w:rPr>
          <w:i w:val="0"/>
          <w:sz w:val="22"/>
          <w:szCs w:val="22"/>
          <w:lang w:val="fr-CA"/>
        </w:rPr>
        <w:t>une</w:t>
      </w:r>
      <w:r w:rsidR="0092306A" w:rsidRPr="00ED22D1">
        <w:rPr>
          <w:i w:val="0"/>
          <w:sz w:val="22"/>
          <w:szCs w:val="22"/>
          <w:lang w:val="fr-CA"/>
        </w:rPr>
        <w:t> </w:t>
      </w:r>
      <w:r w:rsidR="00B84F94" w:rsidRPr="00ED22D1">
        <w:rPr>
          <w:i w:val="0"/>
          <w:sz w:val="22"/>
          <w:szCs w:val="22"/>
          <w:lang w:val="fr-CA"/>
        </w:rPr>
        <w:t>méthodologie de</w:t>
      </w:r>
      <w:r w:rsidR="0085675A" w:rsidRPr="00ED22D1">
        <w:rPr>
          <w:i w:val="0"/>
          <w:sz w:val="22"/>
          <w:szCs w:val="22"/>
          <w:lang w:val="fr-CA"/>
        </w:rPr>
        <w:t xml:space="preserve"> </w:t>
      </w:r>
      <w:r w:rsidR="00921BDE" w:rsidRPr="00ED22D1">
        <w:rPr>
          <w:i w:val="0"/>
          <w:sz w:val="22"/>
          <w:szCs w:val="22"/>
          <w:lang w:val="fr-CA"/>
        </w:rPr>
        <w:t>vérification</w:t>
      </w:r>
      <w:r w:rsidR="0085675A" w:rsidRPr="00ED22D1">
        <w:rPr>
          <w:i w:val="0"/>
          <w:sz w:val="22"/>
          <w:szCs w:val="22"/>
          <w:lang w:val="fr-CA"/>
        </w:rPr>
        <w:t xml:space="preserve"> </w:t>
      </w:r>
      <w:r w:rsidR="00B84F94" w:rsidRPr="00ED22D1">
        <w:rPr>
          <w:i w:val="0"/>
          <w:sz w:val="22"/>
          <w:szCs w:val="22"/>
          <w:lang w:val="fr-CA"/>
        </w:rPr>
        <w:t xml:space="preserve">qui comprenait un échantillon au hasard afin de s’assurer que les </w:t>
      </w:r>
      <w:r w:rsidR="001B31BF" w:rsidRPr="00ED22D1">
        <w:rPr>
          <w:i w:val="0"/>
          <w:sz w:val="22"/>
          <w:szCs w:val="22"/>
          <w:lang w:val="fr-CA"/>
        </w:rPr>
        <w:t xml:space="preserve">SAO </w:t>
      </w:r>
      <w:r w:rsidR="00B84F94" w:rsidRPr="00ED22D1">
        <w:rPr>
          <w:i w:val="0"/>
          <w:sz w:val="22"/>
          <w:szCs w:val="22"/>
          <w:lang w:val="fr-CA"/>
        </w:rPr>
        <w:t>qui avaient déjà été éliminés avaient été ou étaient consommés par ces</w:t>
      </w:r>
      <w:r w:rsidR="0085675A" w:rsidRPr="00ED22D1">
        <w:rPr>
          <w:i w:val="0"/>
          <w:sz w:val="22"/>
          <w:szCs w:val="22"/>
          <w:lang w:val="fr-CA"/>
        </w:rPr>
        <w:t xml:space="preserve"> </w:t>
      </w:r>
      <w:r w:rsidR="00921BDE" w:rsidRPr="00ED22D1">
        <w:rPr>
          <w:i w:val="0"/>
          <w:sz w:val="22"/>
          <w:szCs w:val="22"/>
          <w:lang w:val="fr-CA"/>
        </w:rPr>
        <w:t>entreprise</w:t>
      </w:r>
      <w:r w:rsidR="0085675A" w:rsidRPr="00ED22D1">
        <w:rPr>
          <w:i w:val="0"/>
          <w:sz w:val="22"/>
          <w:szCs w:val="22"/>
          <w:lang w:val="fr-CA"/>
        </w:rPr>
        <w:t>s.</w:t>
      </w:r>
    </w:p>
    <w:p w:rsidR="0085675A" w:rsidRPr="00ED22D1" w:rsidRDefault="0092306A" w:rsidP="0085675A">
      <w:pPr>
        <w:pStyle w:val="Heading1"/>
        <w:numPr>
          <w:ilvl w:val="0"/>
          <w:numId w:val="0"/>
        </w:numPr>
        <w:rPr>
          <w:i/>
          <w:lang w:val="fr-CA"/>
        </w:rPr>
      </w:pPr>
      <w:r w:rsidRPr="00ED22D1">
        <w:rPr>
          <w:i/>
          <w:lang w:val="fr-CA"/>
        </w:rPr>
        <w:t>R</w:t>
      </w:r>
      <w:r w:rsidR="00B84F94" w:rsidRPr="00ED22D1">
        <w:rPr>
          <w:i/>
          <w:lang w:val="fr-CA"/>
        </w:rPr>
        <w:t xml:space="preserve">apport annuel de </w:t>
      </w:r>
      <w:r w:rsidR="00921BDE" w:rsidRPr="00ED22D1">
        <w:rPr>
          <w:i/>
          <w:lang w:val="fr-CA"/>
        </w:rPr>
        <w:t>la phase</w:t>
      </w:r>
      <w:r w:rsidR="004A6828" w:rsidRPr="00ED22D1">
        <w:rPr>
          <w:i/>
          <w:lang w:val="fr-CA"/>
        </w:rPr>
        <w:t xml:space="preserve"> </w:t>
      </w:r>
      <w:r w:rsidR="0085675A" w:rsidRPr="00ED22D1">
        <w:rPr>
          <w:i/>
          <w:lang w:val="fr-CA"/>
        </w:rPr>
        <w:t>I</w:t>
      </w:r>
      <w:r w:rsidR="00B84F94" w:rsidRPr="00ED22D1">
        <w:rPr>
          <w:i/>
          <w:lang w:val="fr-CA"/>
        </w:rPr>
        <w:t xml:space="preserve"> du plan </w:t>
      </w:r>
      <w:r w:rsidR="00D90F32" w:rsidRPr="00ED22D1">
        <w:rPr>
          <w:i/>
          <w:lang w:val="fr-CA"/>
        </w:rPr>
        <w:t xml:space="preserve">sectoriel de </w:t>
      </w:r>
      <w:r w:rsidR="00B84F94" w:rsidRPr="00ED22D1">
        <w:rPr>
          <w:i/>
          <w:lang w:val="fr-CA"/>
        </w:rPr>
        <w:t>fabrication des clima</w:t>
      </w:r>
      <w:r w:rsidR="004A6828" w:rsidRPr="00ED22D1">
        <w:rPr>
          <w:i/>
          <w:lang w:val="fr-CA"/>
        </w:rPr>
        <w:t xml:space="preserve">tiseurs résidentiels </w:t>
      </w:r>
    </w:p>
    <w:p w:rsidR="0085675A" w:rsidRPr="00ED22D1" w:rsidRDefault="00AA6E77" w:rsidP="0085675A">
      <w:pPr>
        <w:pStyle w:val="Heading1"/>
        <w:numPr>
          <w:ilvl w:val="0"/>
          <w:numId w:val="0"/>
        </w:numPr>
        <w:ind w:left="720"/>
        <w:rPr>
          <w:lang w:val="fr-CA"/>
        </w:rPr>
      </w:pPr>
      <w:r w:rsidRPr="00ED22D1">
        <w:rPr>
          <w:b/>
          <w:lang w:val="fr-CA"/>
        </w:rPr>
        <w:t>Décision</w:t>
      </w:r>
      <w:r w:rsidR="0085675A" w:rsidRPr="00ED22D1">
        <w:rPr>
          <w:b/>
          <w:lang w:val="fr-CA"/>
        </w:rPr>
        <w:t xml:space="preserve"> 82/69</w:t>
      </w:r>
      <w:r w:rsidR="00D90F32" w:rsidRPr="00ED22D1">
        <w:rPr>
          <w:b/>
          <w:lang w:val="fr-CA"/>
        </w:rPr>
        <w:t> </w:t>
      </w:r>
      <w:r w:rsidR="0085675A" w:rsidRPr="00ED22D1">
        <w:rPr>
          <w:b/>
          <w:lang w:val="fr-CA"/>
        </w:rPr>
        <w:t>b)</w:t>
      </w:r>
      <w:r w:rsidR="00791BF7" w:rsidRPr="00ED22D1">
        <w:rPr>
          <w:b/>
          <w:lang w:val="fr-CA"/>
        </w:rPr>
        <w:t> :</w:t>
      </w:r>
      <w:r w:rsidR="0085675A" w:rsidRPr="00ED22D1">
        <w:rPr>
          <w:lang w:val="fr-CA"/>
        </w:rPr>
        <w:t xml:space="preserve"> </w:t>
      </w:r>
      <w:r w:rsidR="00D90F32" w:rsidRPr="00ED22D1">
        <w:rPr>
          <w:lang w:val="fr-CA"/>
        </w:rPr>
        <w:t xml:space="preserve">Demander au </w:t>
      </w:r>
      <w:r w:rsidR="00921BDE" w:rsidRPr="00ED22D1">
        <w:rPr>
          <w:lang w:val="fr-CA"/>
        </w:rPr>
        <w:t>gouvernement</w:t>
      </w:r>
      <w:r w:rsidR="001F19C1" w:rsidRPr="00ED22D1">
        <w:rPr>
          <w:lang w:val="fr-CA"/>
        </w:rPr>
        <w:t xml:space="preserve"> </w:t>
      </w:r>
      <w:r w:rsidR="00181884" w:rsidRPr="00ED22D1">
        <w:rPr>
          <w:lang w:val="fr-CA"/>
        </w:rPr>
        <w:t>de la Chine</w:t>
      </w:r>
      <w:r w:rsidR="004A6828" w:rsidRPr="00ED22D1">
        <w:rPr>
          <w:lang w:val="fr-CA"/>
        </w:rPr>
        <w:t xml:space="preserve"> et</w:t>
      </w:r>
      <w:r w:rsidR="001F19C1" w:rsidRPr="00ED22D1">
        <w:rPr>
          <w:lang w:val="fr-CA"/>
        </w:rPr>
        <w:t xml:space="preserve"> </w:t>
      </w:r>
      <w:r w:rsidR="00D90F32" w:rsidRPr="00ED22D1">
        <w:rPr>
          <w:lang w:val="fr-CA"/>
        </w:rPr>
        <w:t xml:space="preserve">à </w:t>
      </w:r>
      <w:r w:rsidR="001F19C1" w:rsidRPr="00ED22D1">
        <w:rPr>
          <w:lang w:val="fr-CA"/>
        </w:rPr>
        <w:t>l’ONUDI</w:t>
      </w:r>
      <w:r w:rsidR="0085675A" w:rsidRPr="00ED22D1">
        <w:rPr>
          <w:lang w:val="fr-CA"/>
        </w:rPr>
        <w:t xml:space="preserve"> </w:t>
      </w:r>
      <w:r w:rsidR="00D90F32" w:rsidRPr="00ED22D1">
        <w:rPr>
          <w:lang w:val="fr-CA"/>
        </w:rPr>
        <w:t>de présenter</w:t>
      </w:r>
      <w:r w:rsidR="0085675A" w:rsidRPr="00ED22D1">
        <w:rPr>
          <w:lang w:val="fr-CA"/>
        </w:rPr>
        <w:t xml:space="preserve">, </w:t>
      </w:r>
      <w:r w:rsidR="00D90F32" w:rsidRPr="00ED22D1">
        <w:rPr>
          <w:lang w:val="fr-CA"/>
        </w:rPr>
        <w:t>à la 8</w:t>
      </w:r>
      <w:r w:rsidR="0085675A" w:rsidRPr="00ED22D1">
        <w:rPr>
          <w:lang w:val="fr-CA"/>
        </w:rPr>
        <w:t>3</w:t>
      </w:r>
      <w:r w:rsidR="00D90F32" w:rsidRPr="00ED22D1">
        <w:rPr>
          <w:vertAlign w:val="superscript"/>
          <w:lang w:val="fr-CA"/>
        </w:rPr>
        <w:t>e </w:t>
      </w:r>
      <w:r w:rsidR="00DD185D" w:rsidRPr="00ED22D1">
        <w:rPr>
          <w:lang w:val="fr-CA"/>
        </w:rPr>
        <w:t>réunion</w:t>
      </w:r>
      <w:r w:rsidR="0085675A" w:rsidRPr="00ED22D1">
        <w:rPr>
          <w:lang w:val="fr-CA"/>
        </w:rPr>
        <w:t xml:space="preserve">, </w:t>
      </w:r>
      <w:r w:rsidR="00D90F32" w:rsidRPr="00ED22D1">
        <w:rPr>
          <w:lang w:val="fr-CA"/>
        </w:rPr>
        <w:t>un</w:t>
      </w:r>
      <w:r w:rsidR="0085675A" w:rsidRPr="00ED22D1">
        <w:rPr>
          <w:lang w:val="fr-CA"/>
        </w:rPr>
        <w:t xml:space="preserve"> </w:t>
      </w:r>
      <w:r w:rsidR="004A6828" w:rsidRPr="00ED22D1">
        <w:rPr>
          <w:lang w:val="fr-CA"/>
        </w:rPr>
        <w:t>rapport périodique révisé</w:t>
      </w:r>
      <w:r w:rsidR="0085675A" w:rsidRPr="00ED22D1">
        <w:rPr>
          <w:lang w:val="fr-CA"/>
        </w:rPr>
        <w:t xml:space="preserve"> </w:t>
      </w:r>
      <w:r w:rsidR="00D90F32" w:rsidRPr="00ED22D1">
        <w:rPr>
          <w:lang w:val="fr-CA"/>
        </w:rPr>
        <w:t>sur la</w:t>
      </w:r>
      <w:r w:rsidR="0085675A" w:rsidRPr="00ED22D1">
        <w:rPr>
          <w:lang w:val="fr-CA"/>
        </w:rPr>
        <w:t xml:space="preserve"> </w:t>
      </w:r>
      <w:r w:rsidR="00921BDE" w:rsidRPr="00ED22D1">
        <w:rPr>
          <w:lang w:val="fr-CA"/>
        </w:rPr>
        <w:t>mise en oeuvre</w:t>
      </w:r>
      <w:r w:rsidR="00D90F32" w:rsidRPr="00ED22D1">
        <w:rPr>
          <w:lang w:val="fr-CA"/>
        </w:rPr>
        <w:t xml:space="preserve"> du plan sectoriel des </w:t>
      </w:r>
      <w:r w:rsidR="0092306A" w:rsidRPr="00ED22D1">
        <w:rPr>
          <w:lang w:val="fr-CA"/>
        </w:rPr>
        <w:t xml:space="preserve"> </w:t>
      </w:r>
      <w:r w:rsidR="004A6828" w:rsidRPr="00ED22D1">
        <w:rPr>
          <w:lang w:val="fr-CA"/>
        </w:rPr>
        <w:t xml:space="preserve">climatiseurs résidentiels </w:t>
      </w:r>
      <w:r w:rsidR="00D90F32" w:rsidRPr="00ED22D1">
        <w:rPr>
          <w:lang w:val="fr-CA"/>
        </w:rPr>
        <w:t xml:space="preserve">dans le cadre de la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00D90F32" w:rsidRPr="00ED22D1">
        <w:rPr>
          <w:lang w:val="fr-CA"/>
        </w:rPr>
        <w:t>selon les directives fournies par</w:t>
      </w:r>
      <w:r w:rsidR="0092306A" w:rsidRPr="00ED22D1">
        <w:rPr>
          <w:lang w:val="fr-CA"/>
        </w:rPr>
        <w:t> </w:t>
      </w:r>
      <w:r w:rsidR="00DD185D" w:rsidRPr="00ED22D1">
        <w:rPr>
          <w:lang w:val="fr-CA"/>
        </w:rPr>
        <w:t>le</w:t>
      </w:r>
      <w:r w:rsidR="0092306A" w:rsidRPr="00ED22D1">
        <w:rPr>
          <w:lang w:val="fr-CA"/>
        </w:rPr>
        <w:t> </w:t>
      </w:r>
      <w:r w:rsidR="00DD185D" w:rsidRPr="00ED22D1">
        <w:rPr>
          <w:lang w:val="fr-CA"/>
        </w:rPr>
        <w:t>Comité exécutif</w:t>
      </w:r>
      <w:r w:rsidR="0085675A" w:rsidRPr="00ED22D1">
        <w:rPr>
          <w:lang w:val="fr-CA"/>
        </w:rPr>
        <w:t xml:space="preserve"> </w:t>
      </w:r>
      <w:r w:rsidR="00D90F32" w:rsidRPr="00ED22D1">
        <w:rPr>
          <w:lang w:val="fr-CA"/>
        </w:rPr>
        <w:t>à sa</w:t>
      </w:r>
      <w:r w:rsidR="0085675A" w:rsidRPr="00ED22D1">
        <w:rPr>
          <w:lang w:val="fr-CA"/>
        </w:rPr>
        <w:t xml:space="preserve"> </w:t>
      </w:r>
      <w:r w:rsidR="00D90F32" w:rsidRPr="00ED22D1">
        <w:rPr>
          <w:lang w:val="fr-CA"/>
        </w:rPr>
        <w:t>8</w:t>
      </w:r>
      <w:r w:rsidR="0085675A" w:rsidRPr="00ED22D1">
        <w:rPr>
          <w:lang w:val="fr-CA"/>
        </w:rPr>
        <w:t>2</w:t>
      </w:r>
      <w:r w:rsidR="00D90F32" w:rsidRPr="00ED22D1">
        <w:rPr>
          <w:vertAlign w:val="superscript"/>
          <w:lang w:val="fr-CA"/>
        </w:rPr>
        <w:t>e</w:t>
      </w:r>
      <w:r w:rsidR="00D90F32" w:rsidRPr="00ED22D1">
        <w:rPr>
          <w:lang w:val="fr-CA"/>
        </w:rPr>
        <w:t xml:space="preserve"> </w:t>
      </w:r>
      <w:r w:rsidR="00DD185D" w:rsidRPr="00ED22D1">
        <w:rPr>
          <w:lang w:val="fr-CA"/>
        </w:rPr>
        <w:t>réunion</w:t>
      </w:r>
      <w:r w:rsidR="0085675A" w:rsidRPr="00ED22D1">
        <w:rPr>
          <w:lang w:val="fr-CA"/>
        </w:rPr>
        <w:t>.</w:t>
      </w:r>
    </w:p>
    <w:p w:rsidR="00C80221" w:rsidRDefault="00C80221">
      <w:pPr>
        <w:jc w:val="left"/>
        <w:rPr>
          <w:i/>
          <w:lang w:val="fr-CA"/>
        </w:rPr>
      </w:pPr>
      <w:r>
        <w:rPr>
          <w:i/>
          <w:lang w:val="fr-CA"/>
        </w:rPr>
        <w:br w:type="page"/>
      </w:r>
    </w:p>
    <w:p w:rsidR="0085675A" w:rsidRPr="00ED22D1" w:rsidRDefault="0092306A" w:rsidP="0085675A">
      <w:pPr>
        <w:pStyle w:val="Heading1"/>
        <w:numPr>
          <w:ilvl w:val="0"/>
          <w:numId w:val="0"/>
        </w:numPr>
        <w:rPr>
          <w:i/>
          <w:lang w:val="fr-CA"/>
        </w:rPr>
      </w:pPr>
      <w:r w:rsidRPr="00ED22D1">
        <w:rPr>
          <w:i/>
          <w:lang w:val="fr-CA"/>
        </w:rPr>
        <w:lastRenderedPageBreak/>
        <w:t>R</w:t>
      </w:r>
      <w:r w:rsidR="00FB1DC4" w:rsidRPr="00ED22D1">
        <w:rPr>
          <w:i/>
          <w:lang w:val="fr-CA"/>
        </w:rPr>
        <w:t xml:space="preserve">apport annuel de </w:t>
      </w:r>
      <w:r w:rsidR="00921BDE" w:rsidRPr="00ED22D1">
        <w:rPr>
          <w:i/>
          <w:lang w:val="fr-CA"/>
        </w:rPr>
        <w:t>la phase</w:t>
      </w:r>
      <w:r w:rsidR="004A6828" w:rsidRPr="00ED22D1">
        <w:rPr>
          <w:i/>
          <w:lang w:val="fr-CA"/>
        </w:rPr>
        <w:t xml:space="preserve"> </w:t>
      </w:r>
      <w:r w:rsidR="0085675A" w:rsidRPr="00ED22D1">
        <w:rPr>
          <w:i/>
          <w:lang w:val="fr-CA"/>
        </w:rPr>
        <w:t xml:space="preserve">I </w:t>
      </w:r>
      <w:r w:rsidR="00FB1DC4" w:rsidRPr="00ED22D1">
        <w:rPr>
          <w:i/>
          <w:lang w:val="fr-CA"/>
        </w:rPr>
        <w:t xml:space="preserve">du plan </w:t>
      </w:r>
      <w:r w:rsidR="00181884" w:rsidRPr="00ED22D1">
        <w:rPr>
          <w:i/>
          <w:lang w:val="fr-CA"/>
        </w:rPr>
        <w:t>d’entretien en réfrigération</w:t>
      </w:r>
    </w:p>
    <w:p w:rsidR="0085675A" w:rsidRPr="00ED22D1" w:rsidRDefault="00AA6E77" w:rsidP="0085675A">
      <w:pPr>
        <w:pStyle w:val="Heading1"/>
        <w:numPr>
          <w:ilvl w:val="0"/>
          <w:numId w:val="0"/>
        </w:numPr>
        <w:ind w:left="720"/>
        <w:rPr>
          <w:lang w:val="fr-CA"/>
        </w:rPr>
      </w:pPr>
      <w:r w:rsidRPr="00ED22D1">
        <w:rPr>
          <w:b/>
          <w:lang w:val="fr-CA"/>
        </w:rPr>
        <w:t>Décision</w:t>
      </w:r>
      <w:r w:rsidR="0085675A" w:rsidRPr="00ED22D1">
        <w:rPr>
          <w:b/>
          <w:lang w:val="fr-CA"/>
        </w:rPr>
        <w:t xml:space="preserve"> 82/70</w:t>
      </w:r>
      <w:r w:rsidR="00FB1DC4" w:rsidRPr="00ED22D1">
        <w:rPr>
          <w:b/>
          <w:lang w:val="fr-CA"/>
        </w:rPr>
        <w:t> </w:t>
      </w:r>
      <w:r w:rsidR="0085675A" w:rsidRPr="00ED22D1">
        <w:rPr>
          <w:b/>
          <w:lang w:val="fr-CA"/>
        </w:rPr>
        <w:t>c)</w:t>
      </w:r>
      <w:r w:rsidR="00791BF7" w:rsidRPr="00ED22D1">
        <w:rPr>
          <w:b/>
          <w:lang w:val="fr-CA"/>
        </w:rPr>
        <w:t> :</w:t>
      </w:r>
      <w:r w:rsidR="0085675A" w:rsidRPr="00ED22D1">
        <w:rPr>
          <w:lang w:val="fr-CA"/>
        </w:rPr>
        <w:t xml:space="preserve"> </w:t>
      </w:r>
      <w:r w:rsidR="00FB1DC4" w:rsidRPr="00ED22D1">
        <w:rPr>
          <w:lang w:val="fr-CA"/>
        </w:rPr>
        <w:t>D</w:t>
      </w:r>
      <w:r w:rsidR="0092306A" w:rsidRPr="00ED22D1">
        <w:rPr>
          <w:lang w:val="fr-CA"/>
        </w:rPr>
        <w:t>e</w:t>
      </w:r>
      <w:r w:rsidR="00FB1DC4" w:rsidRPr="00ED22D1">
        <w:rPr>
          <w:lang w:val="fr-CA"/>
        </w:rPr>
        <w:t xml:space="preserve">mander au </w:t>
      </w:r>
      <w:r w:rsidR="00921BDE" w:rsidRPr="00ED22D1">
        <w:rPr>
          <w:lang w:val="fr-CA"/>
        </w:rPr>
        <w:t>gouvernement</w:t>
      </w:r>
      <w:r w:rsidR="001F19C1" w:rsidRPr="00ED22D1">
        <w:rPr>
          <w:lang w:val="fr-CA"/>
        </w:rPr>
        <w:t xml:space="preserve"> </w:t>
      </w:r>
      <w:r w:rsidR="00181884" w:rsidRPr="00ED22D1">
        <w:rPr>
          <w:lang w:val="fr-CA"/>
        </w:rPr>
        <w:t>de la Chine</w:t>
      </w:r>
      <w:r w:rsidR="001F19C1" w:rsidRPr="00ED22D1">
        <w:rPr>
          <w:lang w:val="fr-CA"/>
        </w:rPr>
        <w:t xml:space="preserve">, </w:t>
      </w:r>
      <w:r w:rsidR="00FB1DC4" w:rsidRPr="00ED22D1">
        <w:rPr>
          <w:lang w:val="fr-CA"/>
        </w:rPr>
        <w:t>au</w:t>
      </w:r>
      <w:r w:rsidR="001F19C1" w:rsidRPr="00ED22D1">
        <w:rPr>
          <w:lang w:val="fr-CA"/>
        </w:rPr>
        <w:t xml:space="preserve"> PNUE</w:t>
      </w:r>
      <w:r w:rsidR="004A6828" w:rsidRPr="00ED22D1">
        <w:rPr>
          <w:lang w:val="fr-CA"/>
        </w:rPr>
        <w:t xml:space="preserve"> et </w:t>
      </w:r>
      <w:r w:rsidR="00FB1DC4" w:rsidRPr="00ED22D1">
        <w:rPr>
          <w:lang w:val="fr-CA"/>
        </w:rPr>
        <w:t>au</w:t>
      </w:r>
      <w:r w:rsidR="00921BDE" w:rsidRPr="00ED22D1">
        <w:rPr>
          <w:lang w:val="fr-CA"/>
        </w:rPr>
        <w:t xml:space="preserve"> gouvernement</w:t>
      </w:r>
      <w:r w:rsidR="001F19C1" w:rsidRPr="00ED22D1">
        <w:rPr>
          <w:lang w:val="fr-CA"/>
        </w:rPr>
        <w:t xml:space="preserve"> </w:t>
      </w:r>
      <w:r w:rsidR="001B31BF" w:rsidRPr="00ED22D1">
        <w:rPr>
          <w:lang w:val="fr-CA"/>
        </w:rPr>
        <w:t>du Japon</w:t>
      </w:r>
      <w:r w:rsidR="0085675A" w:rsidRPr="00ED22D1">
        <w:rPr>
          <w:lang w:val="fr-CA"/>
        </w:rPr>
        <w:t xml:space="preserve"> </w:t>
      </w:r>
      <w:r w:rsidR="00FB1DC4" w:rsidRPr="00ED22D1">
        <w:rPr>
          <w:lang w:val="fr-CA"/>
        </w:rPr>
        <w:t xml:space="preserve">de </w:t>
      </w:r>
      <w:r w:rsidR="00DC23B2" w:rsidRPr="00ED22D1">
        <w:rPr>
          <w:lang w:val="fr-CA"/>
        </w:rPr>
        <w:t>présenter</w:t>
      </w:r>
      <w:r w:rsidR="00FB1DC4" w:rsidRPr="00ED22D1">
        <w:rPr>
          <w:lang w:val="fr-CA"/>
        </w:rPr>
        <w:t xml:space="preserve"> un rapport d’achèvement de </w:t>
      </w:r>
      <w:r w:rsidR="001B45EC" w:rsidRPr="00ED22D1">
        <w:rPr>
          <w:lang w:val="fr-CA"/>
        </w:rPr>
        <w:t>projet</w:t>
      </w:r>
      <w:r w:rsidR="0085675A" w:rsidRPr="00ED22D1">
        <w:rPr>
          <w:lang w:val="fr-CA"/>
        </w:rPr>
        <w:t xml:space="preserve"> </w:t>
      </w:r>
      <w:r w:rsidR="00FB1DC4" w:rsidRPr="00ED22D1">
        <w:rPr>
          <w:lang w:val="fr-CA"/>
        </w:rPr>
        <w:t xml:space="preserve">à la </w:t>
      </w:r>
      <w:r w:rsidR="00181884" w:rsidRPr="00ED22D1">
        <w:rPr>
          <w:lang w:val="fr-CA"/>
        </w:rPr>
        <w:t>première</w:t>
      </w:r>
      <w:r w:rsidR="00DD185D" w:rsidRPr="00ED22D1">
        <w:rPr>
          <w:lang w:val="fr-CA"/>
        </w:rPr>
        <w:t xml:space="preserve"> réunion</w:t>
      </w:r>
      <w:r w:rsidR="0085675A" w:rsidRPr="00ED22D1">
        <w:rPr>
          <w:lang w:val="fr-CA"/>
        </w:rPr>
        <w:t xml:space="preserve"> </w:t>
      </w:r>
      <w:r w:rsidR="00FB1DC4" w:rsidRPr="00ED22D1">
        <w:rPr>
          <w:lang w:val="fr-CA"/>
        </w:rPr>
        <w:t>d</w:t>
      </w:r>
      <w:r w:rsidR="0052712E" w:rsidRPr="00ED22D1">
        <w:rPr>
          <w:lang w:val="fr-CA"/>
        </w:rPr>
        <w:t>e 20</w:t>
      </w:r>
      <w:r w:rsidR="0085675A" w:rsidRPr="00ED22D1">
        <w:rPr>
          <w:lang w:val="fr-CA"/>
        </w:rPr>
        <w:t>1</w:t>
      </w:r>
      <w:r w:rsidR="004A6828" w:rsidRPr="00ED22D1">
        <w:rPr>
          <w:lang w:val="fr-CA"/>
        </w:rPr>
        <w:t>9</w:t>
      </w:r>
      <w:r w:rsidR="00FB1DC4" w:rsidRPr="00ED22D1">
        <w:rPr>
          <w:lang w:val="fr-CA"/>
        </w:rPr>
        <w:t>.</w:t>
      </w:r>
    </w:p>
    <w:p w:rsidR="0085675A" w:rsidRPr="00ED22D1" w:rsidRDefault="00FB1DC4" w:rsidP="0085675A">
      <w:pPr>
        <w:keepNext/>
        <w:keepLines/>
        <w:rPr>
          <w:u w:val="single"/>
          <w:lang w:val="fr-CA"/>
        </w:rPr>
      </w:pPr>
      <w:r w:rsidRPr="00ED22D1">
        <w:rPr>
          <w:u w:val="single"/>
          <w:lang w:val="fr-CA"/>
        </w:rPr>
        <w:t xml:space="preserve">Présentation à la </w:t>
      </w:r>
      <w:r w:rsidR="0085675A" w:rsidRPr="00ED22D1">
        <w:rPr>
          <w:u w:val="single"/>
          <w:lang w:val="fr-CA"/>
        </w:rPr>
        <w:t>83</w:t>
      </w:r>
      <w:r w:rsidRPr="00ED22D1">
        <w:rPr>
          <w:u w:val="single"/>
          <w:vertAlign w:val="superscript"/>
          <w:lang w:val="fr-CA"/>
        </w:rPr>
        <w:t>e</w:t>
      </w:r>
      <w:r w:rsidRPr="00ED22D1">
        <w:rPr>
          <w:u w:val="single"/>
          <w:lang w:val="fr-CA"/>
        </w:rPr>
        <w:t xml:space="preserve"> </w:t>
      </w:r>
      <w:r w:rsidR="00DD185D" w:rsidRPr="00ED22D1">
        <w:rPr>
          <w:u w:val="single"/>
          <w:lang w:val="fr-CA"/>
        </w:rPr>
        <w:t>réunion</w:t>
      </w:r>
    </w:p>
    <w:p w:rsidR="0085675A" w:rsidRPr="00ED22D1" w:rsidRDefault="0085675A" w:rsidP="0085675A">
      <w:pPr>
        <w:keepNext/>
        <w:keepLines/>
        <w:rPr>
          <w:b/>
          <w:lang w:val="fr-CA"/>
        </w:rPr>
      </w:pPr>
    </w:p>
    <w:p w:rsidR="0085675A" w:rsidRPr="00ED22D1" w:rsidRDefault="00FB1DC4" w:rsidP="0085675A">
      <w:pPr>
        <w:pStyle w:val="Heading1"/>
        <w:keepNext/>
        <w:keepLines/>
        <w:rPr>
          <w:lang w:val="fr-CA"/>
        </w:rPr>
      </w:pPr>
      <w:r w:rsidRPr="00ED22D1">
        <w:rPr>
          <w:lang w:val="fr-CA"/>
        </w:rPr>
        <w:t xml:space="preserve">En réponse aux </w:t>
      </w:r>
      <w:r w:rsidR="00AA6E77" w:rsidRPr="00ED22D1">
        <w:rPr>
          <w:lang w:val="fr-CA"/>
        </w:rPr>
        <w:t>décision</w:t>
      </w:r>
      <w:r w:rsidR="0085675A" w:rsidRPr="00ED22D1">
        <w:rPr>
          <w:lang w:val="fr-CA"/>
        </w:rPr>
        <w:t>s adopt</w:t>
      </w:r>
      <w:r w:rsidRPr="00ED22D1">
        <w:rPr>
          <w:lang w:val="fr-CA"/>
        </w:rPr>
        <w:t>ées à la 8</w:t>
      </w:r>
      <w:r w:rsidR="0085675A" w:rsidRPr="00ED22D1">
        <w:rPr>
          <w:lang w:val="fr-CA"/>
        </w:rPr>
        <w:t>2</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791BF7" w:rsidRPr="00ED22D1">
        <w:rPr>
          <w:lang w:val="fr-CA"/>
        </w:rPr>
        <w:t> :</w:t>
      </w:r>
    </w:p>
    <w:p w:rsidR="0085675A" w:rsidRPr="00ED22D1" w:rsidRDefault="00FB1DC4" w:rsidP="0085675A">
      <w:pPr>
        <w:pStyle w:val="Heading2"/>
        <w:keepNext/>
        <w:keepLines/>
        <w:rPr>
          <w:lang w:val="fr-CA"/>
        </w:rPr>
      </w:pPr>
      <w:r w:rsidRPr="00ED22D1">
        <w:rPr>
          <w:lang w:val="fr-CA"/>
        </w:rPr>
        <w:t xml:space="preserve">Le </w:t>
      </w:r>
      <w:r w:rsidR="001C722B" w:rsidRPr="00ED22D1">
        <w:rPr>
          <w:lang w:val="fr-CA"/>
        </w:rPr>
        <w:t>PNUD</w:t>
      </w:r>
      <w:r w:rsidR="004A6828" w:rsidRPr="00ED22D1">
        <w:rPr>
          <w:lang w:val="fr-CA"/>
        </w:rPr>
        <w:t xml:space="preserve"> et</w:t>
      </w:r>
      <w:r w:rsidR="001F19C1" w:rsidRPr="00ED22D1">
        <w:rPr>
          <w:lang w:val="fr-CA"/>
        </w:rPr>
        <w:t xml:space="preserve"> la Banque mondiale</w:t>
      </w:r>
      <w:r w:rsidR="0085675A" w:rsidRPr="00ED22D1">
        <w:rPr>
          <w:lang w:val="fr-CA"/>
        </w:rPr>
        <w:t xml:space="preserve"> </w:t>
      </w:r>
      <w:r w:rsidRPr="00ED22D1">
        <w:rPr>
          <w:lang w:val="fr-CA"/>
        </w:rPr>
        <w:t xml:space="preserve">ont présenté les rapports demandés </w:t>
      </w:r>
      <w:r w:rsidR="006267D0" w:rsidRPr="00ED22D1">
        <w:rPr>
          <w:lang w:val="fr-CA"/>
        </w:rPr>
        <w:t>selon</w:t>
      </w:r>
      <w:r w:rsidRPr="00ED22D1">
        <w:rPr>
          <w:lang w:val="fr-CA"/>
        </w:rPr>
        <w:t xml:space="preserve"> les</w:t>
      </w:r>
      <w:r w:rsidR="0085675A" w:rsidRPr="00ED22D1">
        <w:rPr>
          <w:lang w:val="fr-CA"/>
        </w:rPr>
        <w:t xml:space="preserve"> </w:t>
      </w:r>
      <w:r w:rsidR="0092306A" w:rsidRPr="00ED22D1">
        <w:rPr>
          <w:lang w:val="fr-CA"/>
        </w:rPr>
        <w:t xml:space="preserve">décisions </w:t>
      </w:r>
      <w:r w:rsidR="0085675A" w:rsidRPr="00ED22D1">
        <w:rPr>
          <w:lang w:val="fr-CA"/>
        </w:rPr>
        <w:t>82/65</w:t>
      </w:r>
      <w:r w:rsidR="004A6828" w:rsidRPr="00ED22D1">
        <w:rPr>
          <w:lang w:val="fr-CA"/>
        </w:rPr>
        <w:t xml:space="preserve"> et </w:t>
      </w:r>
      <w:r w:rsidR="0085675A" w:rsidRPr="00ED22D1">
        <w:rPr>
          <w:lang w:val="fr-CA"/>
        </w:rPr>
        <w:t>82/67</w:t>
      </w:r>
      <w:r w:rsidRPr="00ED22D1">
        <w:rPr>
          <w:lang w:val="fr-CA"/>
        </w:rPr>
        <w:t> </w:t>
      </w:r>
      <w:r w:rsidR="0085675A" w:rsidRPr="00ED22D1">
        <w:rPr>
          <w:lang w:val="fr-CA"/>
        </w:rPr>
        <w:t xml:space="preserve">c), </w:t>
      </w:r>
      <w:r w:rsidRPr="00ED22D1">
        <w:rPr>
          <w:lang w:val="fr-CA"/>
        </w:rPr>
        <w:t>respectivement</w:t>
      </w:r>
      <w:r w:rsidR="0085675A" w:rsidRPr="00ED22D1">
        <w:rPr>
          <w:lang w:val="fr-CA"/>
        </w:rPr>
        <w:t xml:space="preserve">, </w:t>
      </w:r>
      <w:r w:rsidRPr="00ED22D1">
        <w:rPr>
          <w:lang w:val="fr-CA"/>
        </w:rPr>
        <w:t xml:space="preserve">lesquels </w:t>
      </w:r>
      <w:r w:rsidR="006267D0" w:rsidRPr="00ED22D1">
        <w:rPr>
          <w:lang w:val="fr-CA"/>
        </w:rPr>
        <w:t>f</w:t>
      </w:r>
      <w:r w:rsidRPr="00ED22D1">
        <w:rPr>
          <w:lang w:val="fr-CA"/>
        </w:rPr>
        <w:t>ont</w:t>
      </w:r>
      <w:r w:rsidR="006267D0" w:rsidRPr="00ED22D1">
        <w:rPr>
          <w:lang w:val="fr-CA"/>
        </w:rPr>
        <w:t xml:space="preserve"> l’objet de discussion</w:t>
      </w:r>
      <w:r w:rsidRPr="00ED22D1">
        <w:rPr>
          <w:lang w:val="fr-CA"/>
        </w:rPr>
        <w:t xml:space="preserve"> dans le </w:t>
      </w:r>
      <w:r w:rsidR="0085675A" w:rsidRPr="00ED22D1">
        <w:rPr>
          <w:lang w:val="fr-CA"/>
        </w:rPr>
        <w:t>document </w:t>
      </w:r>
      <w:r w:rsidR="00C1026B" w:rsidRPr="00ED22D1">
        <w:rPr>
          <w:lang w:val="fr-CA"/>
        </w:rPr>
        <w:t xml:space="preserve"> </w:t>
      </w:r>
      <w:r w:rsidR="001C722B" w:rsidRPr="00ED22D1">
        <w:rPr>
          <w:lang w:val="fr-CA"/>
        </w:rPr>
        <w:t>UNEP</w:t>
      </w:r>
      <w:r w:rsidR="0085675A" w:rsidRPr="00ED22D1">
        <w:rPr>
          <w:lang w:val="fr-CA"/>
        </w:rPr>
        <w:t>/OzL.Pro/Excom/83/11/Add.1;</w:t>
      </w:r>
    </w:p>
    <w:p w:rsidR="0085675A" w:rsidRPr="00ED22D1" w:rsidRDefault="00FB1DC4" w:rsidP="0085675A">
      <w:pPr>
        <w:pStyle w:val="Heading2"/>
        <w:rPr>
          <w:lang w:val="fr-CA"/>
        </w:rPr>
      </w:pPr>
      <w:r w:rsidRPr="00ED22D1">
        <w:rPr>
          <w:lang w:val="fr-CA"/>
        </w:rPr>
        <w:t>L’</w:t>
      </w:r>
      <w:r w:rsidR="004A6828" w:rsidRPr="00ED22D1">
        <w:rPr>
          <w:lang w:val="fr-CA"/>
        </w:rPr>
        <w:t>ONUDI</w:t>
      </w:r>
      <w:r w:rsidR="0085675A" w:rsidRPr="00ED22D1">
        <w:rPr>
          <w:lang w:val="fr-CA"/>
        </w:rPr>
        <w:t xml:space="preserve"> </w:t>
      </w:r>
      <w:r w:rsidRPr="00ED22D1">
        <w:rPr>
          <w:lang w:val="fr-CA"/>
        </w:rPr>
        <w:t>a présenté</w:t>
      </w:r>
      <w:r w:rsidR="0085675A" w:rsidRPr="00ED22D1">
        <w:rPr>
          <w:lang w:val="fr-CA"/>
        </w:rPr>
        <w:t xml:space="preserve"> </w:t>
      </w:r>
      <w:r w:rsidRPr="00ED22D1">
        <w:rPr>
          <w:lang w:val="fr-CA"/>
        </w:rPr>
        <w:t>le rapport</w:t>
      </w:r>
      <w:r w:rsidR="004A6828" w:rsidRPr="00ED22D1">
        <w:rPr>
          <w:lang w:val="fr-CA"/>
        </w:rPr>
        <w:t xml:space="preserve"> périodique révisé</w:t>
      </w:r>
      <w:r w:rsidR="0085675A" w:rsidRPr="00ED22D1">
        <w:rPr>
          <w:lang w:val="fr-CA"/>
        </w:rPr>
        <w:t xml:space="preserve"> </w:t>
      </w:r>
      <w:r w:rsidR="00921BDE" w:rsidRPr="00ED22D1">
        <w:rPr>
          <w:lang w:val="fr-CA"/>
        </w:rPr>
        <w:t>sur la mise en oeuvre d</w:t>
      </w:r>
      <w:r w:rsidRPr="00ED22D1">
        <w:rPr>
          <w:lang w:val="fr-CA"/>
        </w:rPr>
        <w:t xml:space="preserve">u secteur des </w:t>
      </w:r>
      <w:r w:rsidR="004A6828" w:rsidRPr="00ED22D1">
        <w:rPr>
          <w:lang w:val="fr-CA"/>
        </w:rPr>
        <w:t>climatiseurs résidentiels</w:t>
      </w:r>
      <w:r w:rsidR="0085675A" w:rsidRPr="00ED22D1">
        <w:rPr>
          <w:lang w:val="fr-CA"/>
        </w:rPr>
        <w:t xml:space="preserve">, </w:t>
      </w:r>
      <w:r w:rsidRPr="00ED22D1">
        <w:rPr>
          <w:lang w:val="fr-CA"/>
        </w:rPr>
        <w:t xml:space="preserve">lequel est inclus dans le présent </w:t>
      </w:r>
      <w:r w:rsidR="0085675A" w:rsidRPr="00ED22D1">
        <w:rPr>
          <w:lang w:val="fr-CA"/>
        </w:rPr>
        <w:t>document</w:t>
      </w:r>
      <w:r w:rsidR="00B84F94" w:rsidRPr="00ED22D1">
        <w:rPr>
          <w:lang w:val="fr-CA"/>
        </w:rPr>
        <w:t xml:space="preserve">; et </w:t>
      </w:r>
    </w:p>
    <w:p w:rsidR="0085675A" w:rsidRPr="00ED22D1" w:rsidRDefault="00FB1DC4" w:rsidP="0085675A">
      <w:pPr>
        <w:pStyle w:val="Heading2"/>
        <w:rPr>
          <w:lang w:val="fr-CA"/>
        </w:rPr>
      </w:pPr>
      <w:r w:rsidRPr="00ED22D1">
        <w:rPr>
          <w:lang w:val="fr-CA"/>
        </w:rPr>
        <w:t xml:space="preserve">Le </w:t>
      </w:r>
      <w:r w:rsidR="001C722B" w:rsidRPr="00ED22D1">
        <w:rPr>
          <w:lang w:val="fr-CA"/>
        </w:rPr>
        <w:t>PNUE</w:t>
      </w:r>
      <w:r w:rsidR="0085675A" w:rsidRPr="00ED22D1">
        <w:rPr>
          <w:lang w:val="fr-CA"/>
        </w:rPr>
        <w:t xml:space="preserve"> </w:t>
      </w:r>
      <w:r w:rsidRPr="00ED22D1">
        <w:rPr>
          <w:lang w:val="fr-CA"/>
        </w:rPr>
        <w:t>a présenté</w:t>
      </w:r>
      <w:r w:rsidR="0085675A" w:rsidRPr="00ED22D1">
        <w:rPr>
          <w:lang w:val="fr-CA"/>
        </w:rPr>
        <w:t xml:space="preserve"> </w:t>
      </w:r>
      <w:r w:rsidRPr="00ED22D1">
        <w:rPr>
          <w:lang w:val="fr-CA"/>
        </w:rPr>
        <w:t xml:space="preserve">le rapport d’achèvement de projet </w:t>
      </w:r>
      <w:r w:rsidR="006267D0" w:rsidRPr="00ED22D1">
        <w:rPr>
          <w:lang w:val="fr-CA"/>
        </w:rPr>
        <w:t>de</w:t>
      </w:r>
      <w:r w:rsidRPr="00ED22D1">
        <w:rPr>
          <w:lang w:val="fr-CA"/>
        </w:rPr>
        <w:t xml:space="preserve"> la </w:t>
      </w:r>
      <w:r w:rsidR="004A6828" w:rsidRPr="00ED22D1">
        <w:rPr>
          <w:lang w:val="fr-CA"/>
        </w:rPr>
        <w:t xml:space="preserve">phase </w:t>
      </w:r>
      <w:r w:rsidR="0085675A" w:rsidRPr="00ED22D1">
        <w:rPr>
          <w:lang w:val="fr-CA"/>
        </w:rPr>
        <w:t>I</w:t>
      </w:r>
      <w:r w:rsidRPr="00ED22D1">
        <w:rPr>
          <w:lang w:val="fr-CA"/>
        </w:rPr>
        <w:t xml:space="preserve"> du plan</w:t>
      </w:r>
      <w:r w:rsidR="0085675A" w:rsidRPr="00ED22D1">
        <w:rPr>
          <w:lang w:val="fr-CA"/>
        </w:rPr>
        <w:t xml:space="preserve"> </w:t>
      </w:r>
      <w:r w:rsidRPr="00ED22D1">
        <w:rPr>
          <w:lang w:val="fr-CA"/>
        </w:rPr>
        <w:t>du</w:t>
      </w:r>
      <w:r w:rsidR="0085675A" w:rsidRPr="00ED22D1">
        <w:rPr>
          <w:lang w:val="fr-CA"/>
        </w:rPr>
        <w:t xml:space="preserve"> </w:t>
      </w:r>
      <w:r w:rsidR="00181884" w:rsidRPr="00ED22D1">
        <w:rPr>
          <w:lang w:val="fr-CA"/>
        </w:rPr>
        <w:t>secteur de l’entretien en réfrigération</w:t>
      </w:r>
      <w:r w:rsidR="0085675A" w:rsidRPr="00ED22D1">
        <w:rPr>
          <w:lang w:val="fr-CA"/>
        </w:rPr>
        <w:t xml:space="preserve">, </w:t>
      </w:r>
      <w:r w:rsidRPr="00ED22D1">
        <w:rPr>
          <w:lang w:val="fr-CA"/>
        </w:rPr>
        <w:t>lequel est inclus dans le présent document</w:t>
      </w:r>
      <w:r w:rsidR="0085675A" w:rsidRPr="00ED22D1">
        <w:rPr>
          <w:lang w:val="fr-CA"/>
        </w:rPr>
        <w:t>.</w:t>
      </w:r>
    </w:p>
    <w:p w:rsidR="0085675A" w:rsidRPr="00ED22D1" w:rsidRDefault="0085675A" w:rsidP="0085675A">
      <w:pPr>
        <w:jc w:val="left"/>
        <w:rPr>
          <w:lang w:val="fr-CA"/>
        </w:rPr>
      </w:pPr>
      <w:r w:rsidRPr="00ED22D1">
        <w:rPr>
          <w:lang w:val="fr-CA"/>
        </w:rPr>
        <w:br w:type="page"/>
      </w:r>
    </w:p>
    <w:p w:rsidR="0085675A" w:rsidRPr="00ED22D1" w:rsidRDefault="00DD185D" w:rsidP="0085675A">
      <w:pPr>
        <w:rPr>
          <w:b/>
          <w:lang w:val="fr-CA"/>
        </w:rPr>
      </w:pPr>
      <w:r w:rsidRPr="00ED22D1">
        <w:rPr>
          <w:b/>
          <w:lang w:val="fr-CA"/>
        </w:rPr>
        <w:lastRenderedPageBreak/>
        <w:t>PGEH</w:t>
      </w:r>
      <w:r w:rsidR="0085675A" w:rsidRPr="00ED22D1">
        <w:rPr>
          <w:b/>
          <w:lang w:val="fr-CA"/>
        </w:rPr>
        <w:t xml:space="preserve"> </w:t>
      </w:r>
      <w:r w:rsidR="004A6828" w:rsidRPr="00ED22D1">
        <w:rPr>
          <w:b/>
          <w:lang w:val="fr-CA"/>
        </w:rPr>
        <w:t>(phase</w:t>
      </w:r>
      <w:r w:rsidR="0085675A" w:rsidRPr="00ED22D1">
        <w:rPr>
          <w:b/>
          <w:lang w:val="fr-CA"/>
        </w:rPr>
        <w:t> I)</w:t>
      </w:r>
      <w:r w:rsidR="00791BF7" w:rsidRPr="00ED22D1">
        <w:rPr>
          <w:b/>
          <w:lang w:val="fr-CA"/>
        </w:rPr>
        <w:t> :</w:t>
      </w:r>
      <w:r w:rsidR="004A6828" w:rsidRPr="00ED22D1">
        <w:rPr>
          <w:b/>
          <w:lang w:val="fr-CA"/>
        </w:rPr>
        <w:t xml:space="preserve"> </w:t>
      </w:r>
      <w:r w:rsidR="00DC23B2" w:rsidRPr="00ED22D1">
        <w:rPr>
          <w:b/>
          <w:lang w:val="fr-CA"/>
        </w:rPr>
        <w:t>S</w:t>
      </w:r>
      <w:r w:rsidR="00DE118B" w:rsidRPr="00ED22D1">
        <w:rPr>
          <w:b/>
          <w:lang w:val="fr-CA"/>
        </w:rPr>
        <w:t>ecteur des climatiseurs résidentiels</w:t>
      </w:r>
      <w:r w:rsidR="0085675A" w:rsidRPr="00ED22D1">
        <w:rPr>
          <w:b/>
          <w:lang w:val="fr-CA"/>
        </w:rPr>
        <w:t xml:space="preserve"> (</w:t>
      </w:r>
      <w:r w:rsidR="004A6828" w:rsidRPr="00ED22D1">
        <w:rPr>
          <w:b/>
          <w:lang w:val="fr-CA"/>
        </w:rPr>
        <w:t>ONUDI</w:t>
      </w:r>
      <w:r w:rsidR="0085675A" w:rsidRPr="00ED22D1">
        <w:rPr>
          <w:b/>
          <w:lang w:val="fr-CA"/>
        </w:rPr>
        <w:t>)</w:t>
      </w:r>
    </w:p>
    <w:p w:rsidR="0085675A" w:rsidRPr="00ED22D1" w:rsidRDefault="0085675A" w:rsidP="0085675A">
      <w:pPr>
        <w:rPr>
          <w:lang w:val="fr-CA"/>
        </w:rPr>
      </w:pPr>
    </w:p>
    <w:p w:rsidR="0085675A" w:rsidRPr="00ED22D1" w:rsidRDefault="004A6828" w:rsidP="0085675A">
      <w:pPr>
        <w:rPr>
          <w:u w:val="single"/>
          <w:lang w:val="fr-CA"/>
        </w:rPr>
      </w:pPr>
      <w:r w:rsidRPr="00ED22D1">
        <w:rPr>
          <w:u w:val="single"/>
          <w:lang w:val="fr-CA"/>
        </w:rPr>
        <w:t>Rapport périodique</w:t>
      </w:r>
      <w:r w:rsidR="0085675A" w:rsidRPr="00ED22D1">
        <w:rPr>
          <w:u w:val="single"/>
          <w:lang w:val="fr-CA"/>
        </w:rPr>
        <w:t xml:space="preserve"> </w:t>
      </w:r>
      <w:r w:rsidR="00FB1DC4" w:rsidRPr="00ED22D1">
        <w:rPr>
          <w:u w:val="single"/>
          <w:lang w:val="fr-CA"/>
        </w:rPr>
        <w:t>sur la mise en oeuvre</w:t>
      </w:r>
    </w:p>
    <w:p w:rsidR="0085675A" w:rsidRPr="00ED22D1" w:rsidRDefault="0085675A" w:rsidP="0085675A">
      <w:pPr>
        <w:rPr>
          <w:lang w:val="fr-CA"/>
        </w:rPr>
      </w:pPr>
    </w:p>
    <w:p w:rsidR="0085675A" w:rsidRPr="00ED22D1" w:rsidRDefault="001A5231" w:rsidP="0085675A">
      <w:pPr>
        <w:pStyle w:val="Heading1"/>
        <w:rPr>
          <w:b/>
          <w:lang w:val="fr-CA"/>
        </w:rPr>
      </w:pPr>
      <w:r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1F19C1" w:rsidRPr="00ED22D1">
        <w:rPr>
          <w:lang w:val="fr-CA"/>
        </w:rPr>
        <w:t>, l’ONUDI</w:t>
      </w:r>
      <w:r w:rsidR="0085675A" w:rsidRPr="00ED22D1">
        <w:rPr>
          <w:lang w:val="fr-CA"/>
        </w:rPr>
        <w:t xml:space="preserve"> </w:t>
      </w:r>
      <w:r w:rsidR="00FB1DC4" w:rsidRPr="00ED22D1">
        <w:rPr>
          <w:lang w:val="fr-CA"/>
        </w:rPr>
        <w:t>présenté</w:t>
      </w:r>
      <w:r w:rsidR="0085675A" w:rsidRPr="00ED22D1">
        <w:rPr>
          <w:lang w:val="fr-CA"/>
        </w:rPr>
        <w:t xml:space="preserve"> </w:t>
      </w:r>
      <w:r w:rsidR="00743D99" w:rsidRPr="00ED22D1">
        <w:rPr>
          <w:lang w:val="fr-CA"/>
        </w:rPr>
        <w:t>un</w:t>
      </w:r>
      <w:r w:rsidR="0085675A" w:rsidRPr="00ED22D1">
        <w:rPr>
          <w:lang w:val="fr-CA"/>
        </w:rPr>
        <w:t xml:space="preserve"> </w:t>
      </w:r>
      <w:r w:rsidR="004A6828" w:rsidRPr="00ED22D1">
        <w:rPr>
          <w:lang w:val="fr-CA"/>
        </w:rPr>
        <w:t>rapport périodique révisé</w:t>
      </w:r>
      <w:r w:rsidR="0085675A" w:rsidRPr="00ED22D1">
        <w:rPr>
          <w:lang w:val="fr-CA"/>
        </w:rPr>
        <w:t xml:space="preserve"> </w:t>
      </w:r>
      <w:r w:rsidR="00FB1DC4" w:rsidRPr="00ED22D1">
        <w:rPr>
          <w:lang w:val="fr-CA"/>
        </w:rPr>
        <w:t xml:space="preserve">sur la </w:t>
      </w:r>
      <w:r w:rsidR="00921BDE" w:rsidRPr="00ED22D1">
        <w:rPr>
          <w:lang w:val="fr-CA"/>
        </w:rPr>
        <w:t xml:space="preserve">mise en oeuvre </w:t>
      </w:r>
      <w:r w:rsidR="00FB1DC4" w:rsidRPr="00ED22D1">
        <w:rPr>
          <w:lang w:val="fr-CA"/>
        </w:rPr>
        <w:t xml:space="preserve">du plan du secteur des </w:t>
      </w:r>
      <w:r w:rsidR="004A6828" w:rsidRPr="00ED22D1">
        <w:rPr>
          <w:lang w:val="fr-CA"/>
        </w:rPr>
        <w:t>climatiseurs résidentiels</w:t>
      </w:r>
      <w:r w:rsidR="0085675A" w:rsidRPr="00ED22D1">
        <w:rPr>
          <w:lang w:val="fr-CA"/>
        </w:rPr>
        <w:t xml:space="preserve"> </w:t>
      </w:r>
      <w:r w:rsidR="00FB1DC4" w:rsidRPr="00ED22D1">
        <w:rPr>
          <w:lang w:val="fr-CA"/>
        </w:rPr>
        <w:t xml:space="preserve">dans le cadre de la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00FB1DC4" w:rsidRPr="00ED22D1">
        <w:rPr>
          <w:lang w:val="fr-CA"/>
        </w:rPr>
        <w:t xml:space="preserve">lequel concorde avec la </w:t>
      </w:r>
      <w:r w:rsidR="00AA6E77" w:rsidRPr="00ED22D1">
        <w:rPr>
          <w:lang w:val="fr-CA"/>
        </w:rPr>
        <w:t>décision</w:t>
      </w:r>
      <w:r w:rsidR="0085675A" w:rsidRPr="00ED22D1">
        <w:rPr>
          <w:lang w:val="fr-CA"/>
        </w:rPr>
        <w:t> 82/69</w:t>
      </w:r>
      <w:r w:rsidR="00FB1DC4" w:rsidRPr="00ED22D1">
        <w:rPr>
          <w:lang w:val="fr-CA"/>
        </w:rPr>
        <w:t> </w:t>
      </w:r>
      <w:r w:rsidR="0085675A" w:rsidRPr="00ED22D1">
        <w:rPr>
          <w:lang w:val="fr-CA"/>
        </w:rPr>
        <w:t xml:space="preserve">b). </w:t>
      </w:r>
      <w:r w:rsidR="00FB1DC4" w:rsidRPr="00ED22D1">
        <w:rPr>
          <w:lang w:val="fr-CA"/>
        </w:rPr>
        <w:t xml:space="preserve">Afin de faciliter l’examen du </w:t>
      </w:r>
      <w:r w:rsidR="00DD185D" w:rsidRPr="00ED22D1">
        <w:rPr>
          <w:lang w:val="fr-CA"/>
        </w:rPr>
        <w:t>Comité exécutif</w:t>
      </w:r>
      <w:r w:rsidR="0085675A" w:rsidRPr="00ED22D1">
        <w:rPr>
          <w:lang w:val="fr-CA"/>
        </w:rPr>
        <w:t xml:space="preserve">, </w:t>
      </w:r>
      <w:r w:rsidR="00FB1DC4" w:rsidRPr="00ED22D1">
        <w:rPr>
          <w:lang w:val="fr-CA"/>
        </w:rPr>
        <w:t xml:space="preserve">les changements au document </w:t>
      </w:r>
      <w:r w:rsidR="00DC23B2" w:rsidRPr="00ED22D1">
        <w:rPr>
          <w:lang w:val="fr-CA"/>
        </w:rPr>
        <w:t>présenté</w:t>
      </w:r>
      <w:r w:rsidR="00FB1DC4" w:rsidRPr="00ED22D1">
        <w:rPr>
          <w:lang w:val="fr-CA"/>
        </w:rPr>
        <w:t xml:space="preserve"> à la 8</w:t>
      </w:r>
      <w:r w:rsidR="0085675A" w:rsidRPr="00ED22D1">
        <w:rPr>
          <w:lang w:val="fr-CA"/>
        </w:rPr>
        <w:t>2</w:t>
      </w:r>
      <w:r w:rsidR="00FB1DC4" w:rsidRPr="00ED22D1">
        <w:rPr>
          <w:vertAlign w:val="superscript"/>
          <w:lang w:val="fr-CA"/>
        </w:rPr>
        <w:t>e</w:t>
      </w:r>
      <w:r w:rsidR="00FB1DC4" w:rsidRPr="00ED22D1">
        <w:rPr>
          <w:lang w:val="fr-CA"/>
        </w:rPr>
        <w:t xml:space="preserve"> réunion </w:t>
      </w:r>
      <w:r w:rsidR="00FB1DC4" w:rsidRPr="00ED22D1">
        <w:rPr>
          <w:b/>
          <w:lang w:val="fr-CA"/>
        </w:rPr>
        <w:t>sont indiqués en caractère gras</w:t>
      </w:r>
      <w:r w:rsidR="0085675A" w:rsidRPr="00ED22D1">
        <w:rPr>
          <w:lang w:val="fr-CA"/>
        </w:rPr>
        <w:t xml:space="preserve">. </w:t>
      </w:r>
    </w:p>
    <w:p w:rsidR="0085675A" w:rsidRPr="00ED22D1" w:rsidRDefault="00FB1DC4" w:rsidP="0085675A">
      <w:pPr>
        <w:pStyle w:val="Heading1"/>
        <w:rPr>
          <w:lang w:val="fr-CA"/>
        </w:rPr>
      </w:pPr>
      <w:r w:rsidRPr="00ED22D1">
        <w:rPr>
          <w:lang w:val="fr-CA"/>
        </w:rPr>
        <w:t xml:space="preserve">Au </w:t>
      </w:r>
      <w:r w:rsidR="0085675A" w:rsidRPr="00ED22D1">
        <w:rPr>
          <w:b/>
          <w:lang w:val="fr-CA"/>
        </w:rPr>
        <w:t>1</w:t>
      </w:r>
      <w:r w:rsidRPr="00ED22D1">
        <w:rPr>
          <w:b/>
          <w:vertAlign w:val="superscript"/>
          <w:lang w:val="fr-CA"/>
        </w:rPr>
        <w:t>er</w:t>
      </w:r>
      <w:r w:rsidRPr="00ED22D1">
        <w:rPr>
          <w:b/>
          <w:lang w:val="fr-CA"/>
        </w:rPr>
        <w:t xml:space="preserve"> av</w:t>
      </w:r>
      <w:r w:rsidR="0085675A" w:rsidRPr="00ED22D1">
        <w:rPr>
          <w:b/>
          <w:lang w:val="fr-CA"/>
        </w:rPr>
        <w:t>ril 201</w:t>
      </w:r>
      <w:r w:rsidR="004A6828" w:rsidRPr="00ED22D1">
        <w:rPr>
          <w:b/>
          <w:lang w:val="fr-CA"/>
        </w:rPr>
        <w:t>9</w:t>
      </w:r>
      <w:r w:rsidRPr="00ED22D1">
        <w:rPr>
          <w:lang w:val="fr-CA"/>
        </w:rPr>
        <w:t xml:space="preserve">, </w:t>
      </w:r>
      <w:r w:rsidR="004B666A" w:rsidRPr="00ED22D1">
        <w:rPr>
          <w:lang w:val="fr-CA"/>
        </w:rPr>
        <w:t>d</w:t>
      </w:r>
      <w:r w:rsidRPr="00ED22D1">
        <w:rPr>
          <w:lang w:val="fr-CA"/>
        </w:rPr>
        <w:t xml:space="preserve">es </w:t>
      </w:r>
      <w:r w:rsidR="00921BDE" w:rsidRPr="00ED22D1">
        <w:rPr>
          <w:lang w:val="fr-CA"/>
        </w:rPr>
        <w:t>contrats</w:t>
      </w:r>
      <w:r w:rsidR="0085675A" w:rsidRPr="00ED22D1">
        <w:rPr>
          <w:lang w:val="fr-CA"/>
        </w:rPr>
        <w:t xml:space="preserve"> </w:t>
      </w:r>
      <w:r w:rsidRPr="00ED22D1">
        <w:rPr>
          <w:lang w:val="fr-CA"/>
        </w:rPr>
        <w:t>pour la reconversion</w:t>
      </w:r>
      <w:r w:rsidR="0085675A" w:rsidRPr="00ED22D1">
        <w:rPr>
          <w:lang w:val="fr-CA"/>
        </w:rPr>
        <w:t xml:space="preserve"> </w:t>
      </w:r>
      <w:r w:rsidRPr="00ED22D1">
        <w:rPr>
          <w:lang w:val="fr-CA"/>
        </w:rPr>
        <w:t xml:space="preserve">de 18 circuits de climatiseurs résidentiels avec </w:t>
      </w:r>
      <w:r w:rsidR="0085675A" w:rsidRPr="00ED22D1">
        <w:rPr>
          <w:lang w:val="fr-CA"/>
        </w:rPr>
        <w:t xml:space="preserve">R-290, </w:t>
      </w:r>
      <w:r w:rsidRPr="00ED22D1">
        <w:rPr>
          <w:lang w:val="fr-CA"/>
        </w:rPr>
        <w:t>huit</w:t>
      </w:r>
      <w:r w:rsidR="0085675A" w:rsidRPr="00ED22D1">
        <w:rPr>
          <w:lang w:val="fr-CA"/>
        </w:rPr>
        <w:t xml:space="preserve"> </w:t>
      </w:r>
      <w:r w:rsidR="004B666A" w:rsidRPr="00ED22D1">
        <w:rPr>
          <w:lang w:val="fr-CA"/>
        </w:rPr>
        <w:t xml:space="preserve">circuits de </w:t>
      </w:r>
      <w:r w:rsidR="004A6828" w:rsidRPr="00ED22D1">
        <w:rPr>
          <w:lang w:val="fr-CA"/>
        </w:rPr>
        <w:t xml:space="preserve">climatiseurs résidentiels </w:t>
      </w:r>
      <w:r w:rsidR="004B666A" w:rsidRPr="00ED22D1">
        <w:rPr>
          <w:lang w:val="fr-CA"/>
        </w:rPr>
        <w:t>avec R-410-A</w:t>
      </w:r>
      <w:r w:rsidR="004A6828" w:rsidRPr="00ED22D1">
        <w:rPr>
          <w:lang w:val="fr-CA"/>
        </w:rPr>
        <w:t xml:space="preserve"> et </w:t>
      </w:r>
      <w:r w:rsidR="004B666A" w:rsidRPr="00ED22D1">
        <w:rPr>
          <w:lang w:val="fr-CA"/>
        </w:rPr>
        <w:t xml:space="preserve">trois circuits de compresseurs avec </w:t>
      </w:r>
      <w:r w:rsidR="0085675A" w:rsidRPr="00ED22D1">
        <w:rPr>
          <w:lang w:val="fr-CA"/>
        </w:rPr>
        <w:t xml:space="preserve">R-290 </w:t>
      </w:r>
      <w:r w:rsidR="004B666A" w:rsidRPr="00ED22D1">
        <w:rPr>
          <w:lang w:val="fr-CA"/>
        </w:rPr>
        <w:t>avaient été signés</w:t>
      </w:r>
      <w:r w:rsidR="0085675A" w:rsidRPr="00ED22D1">
        <w:rPr>
          <w:lang w:val="fr-CA"/>
        </w:rPr>
        <w:t xml:space="preserve">. </w:t>
      </w:r>
      <w:r w:rsidR="004B666A" w:rsidRPr="00ED22D1">
        <w:rPr>
          <w:lang w:val="fr-CA"/>
        </w:rPr>
        <w:t xml:space="preserve">Un total de </w:t>
      </w:r>
      <w:r w:rsidR="0085675A" w:rsidRPr="00ED22D1">
        <w:rPr>
          <w:lang w:val="fr-CA"/>
        </w:rPr>
        <w:t>1</w:t>
      </w:r>
      <w:r w:rsidR="004A6828" w:rsidRPr="00ED22D1">
        <w:rPr>
          <w:lang w:val="fr-CA"/>
        </w:rPr>
        <w:t>0 </w:t>
      </w:r>
      <w:r w:rsidR="0085675A" w:rsidRPr="00ED22D1">
        <w:rPr>
          <w:lang w:val="fr-CA"/>
        </w:rPr>
        <w:t>81</w:t>
      </w:r>
      <w:r w:rsidR="004A6828" w:rsidRPr="00ED22D1">
        <w:rPr>
          <w:lang w:val="fr-CA"/>
        </w:rPr>
        <w:t>3,</w:t>
      </w:r>
      <w:r w:rsidR="0085675A" w:rsidRPr="00ED22D1">
        <w:rPr>
          <w:lang w:val="fr-CA"/>
        </w:rPr>
        <w:t>7 </w:t>
      </w:r>
      <w:r w:rsidR="00181884" w:rsidRPr="00ED22D1">
        <w:rPr>
          <w:lang w:val="fr-CA"/>
        </w:rPr>
        <w:t>tonnes métriques</w:t>
      </w:r>
      <w:r w:rsidR="0085675A" w:rsidRPr="00ED22D1">
        <w:rPr>
          <w:lang w:val="fr-CA"/>
        </w:rPr>
        <w:t xml:space="preserve"> (</w:t>
      </w:r>
      <w:r w:rsidR="004B666A" w:rsidRPr="00ED22D1">
        <w:rPr>
          <w:lang w:val="fr-CA"/>
        </w:rPr>
        <w:t>t</w:t>
      </w:r>
      <w:r w:rsidR="0085675A" w:rsidRPr="00ED22D1">
        <w:rPr>
          <w:lang w:val="fr-CA"/>
        </w:rPr>
        <w:t xml:space="preserve">m) </w:t>
      </w:r>
      <w:r w:rsidR="004B666A" w:rsidRPr="00ED22D1">
        <w:rPr>
          <w:lang w:val="fr-CA"/>
        </w:rPr>
        <w:t>de</w:t>
      </w:r>
      <w:r w:rsidR="0085675A" w:rsidRPr="00ED22D1">
        <w:rPr>
          <w:lang w:val="fr-CA"/>
        </w:rPr>
        <w:t xml:space="preserve"> HCFC-22 </w:t>
      </w:r>
      <w:r w:rsidR="004B666A" w:rsidRPr="00ED22D1">
        <w:rPr>
          <w:lang w:val="fr-CA"/>
        </w:rPr>
        <w:t xml:space="preserve">seront éliminées lorsque la </w:t>
      </w:r>
      <w:r w:rsidRPr="00ED22D1">
        <w:rPr>
          <w:lang w:val="fr-CA"/>
        </w:rPr>
        <w:t>reconversion</w:t>
      </w:r>
      <w:r w:rsidR="0085675A" w:rsidRPr="00ED22D1">
        <w:rPr>
          <w:lang w:val="fr-CA"/>
        </w:rPr>
        <w:t xml:space="preserve"> </w:t>
      </w:r>
      <w:r w:rsidR="004B666A" w:rsidRPr="00ED22D1">
        <w:rPr>
          <w:lang w:val="fr-CA"/>
        </w:rPr>
        <w:t>de ces circuits sera terminée</w:t>
      </w:r>
      <w:r w:rsidR="0085675A" w:rsidRPr="00ED22D1">
        <w:rPr>
          <w:lang w:val="fr-CA"/>
        </w:rPr>
        <w:t xml:space="preserve">, </w:t>
      </w:r>
      <w:r w:rsidR="004B666A" w:rsidRPr="00ED22D1">
        <w:rPr>
          <w:lang w:val="fr-CA"/>
        </w:rPr>
        <w:t xml:space="preserve">dont </w:t>
      </w:r>
      <w:r w:rsidR="0085675A" w:rsidRPr="00ED22D1">
        <w:rPr>
          <w:lang w:val="fr-CA"/>
        </w:rPr>
        <w:t>1</w:t>
      </w:r>
      <w:r w:rsidR="004A6828" w:rsidRPr="00ED22D1">
        <w:rPr>
          <w:lang w:val="fr-CA"/>
        </w:rPr>
        <w:t>0 </w:t>
      </w:r>
      <w:r w:rsidR="0085675A" w:rsidRPr="00ED22D1">
        <w:rPr>
          <w:lang w:val="fr-CA"/>
        </w:rPr>
        <w:t>48</w:t>
      </w:r>
      <w:r w:rsidR="004A6828" w:rsidRPr="00ED22D1">
        <w:rPr>
          <w:lang w:val="fr-CA"/>
        </w:rPr>
        <w:t>8,</w:t>
      </w:r>
      <w:r w:rsidR="0085675A" w:rsidRPr="00ED22D1">
        <w:rPr>
          <w:lang w:val="fr-CA"/>
        </w:rPr>
        <w:t>1</w:t>
      </w:r>
      <w:r w:rsidR="004B666A" w:rsidRPr="00ED22D1">
        <w:rPr>
          <w:lang w:val="fr-CA"/>
        </w:rPr>
        <w:t xml:space="preserve"> tm sont associées à des parties visées à l’a</w:t>
      </w:r>
      <w:r w:rsidR="0085675A" w:rsidRPr="00ED22D1">
        <w:rPr>
          <w:lang w:val="fr-CA"/>
        </w:rPr>
        <w:t>rticle</w:t>
      </w:r>
      <w:r w:rsidR="004B666A" w:rsidRPr="00ED22D1">
        <w:rPr>
          <w:lang w:val="fr-CA"/>
        </w:rPr>
        <w:t> </w:t>
      </w:r>
      <w:r w:rsidR="0085675A" w:rsidRPr="00ED22D1">
        <w:rPr>
          <w:lang w:val="fr-CA"/>
        </w:rPr>
        <w:t>5</w:t>
      </w:r>
      <w:r w:rsidR="00C420BC" w:rsidRPr="00ED22D1">
        <w:rPr>
          <w:lang w:val="fr-CA"/>
        </w:rPr>
        <w:t>. L’</w:t>
      </w:r>
      <w:r w:rsidR="004A6828" w:rsidRPr="00ED22D1">
        <w:rPr>
          <w:lang w:val="fr-CA"/>
        </w:rPr>
        <w:t>élimination</w:t>
      </w:r>
      <w:r w:rsidR="0085675A" w:rsidRPr="00ED22D1">
        <w:rPr>
          <w:lang w:val="fr-CA"/>
        </w:rPr>
        <w:t xml:space="preserve"> </w:t>
      </w:r>
      <w:r w:rsidR="004B666A" w:rsidRPr="00ED22D1">
        <w:rPr>
          <w:lang w:val="fr-CA"/>
        </w:rPr>
        <w:t>de</w:t>
      </w:r>
      <w:r w:rsidR="0085675A" w:rsidRPr="00ED22D1">
        <w:rPr>
          <w:lang w:val="fr-CA"/>
        </w:rPr>
        <w:t xml:space="preserve"> 32</w:t>
      </w:r>
      <w:r w:rsidR="004A6828" w:rsidRPr="00ED22D1">
        <w:rPr>
          <w:lang w:val="fr-CA"/>
        </w:rPr>
        <w:t>5,</w:t>
      </w:r>
      <w:r w:rsidR="0085675A" w:rsidRPr="00ED22D1">
        <w:rPr>
          <w:lang w:val="fr-CA"/>
        </w:rPr>
        <w:t>6</w:t>
      </w:r>
      <w:r w:rsidR="004B666A" w:rsidRPr="00ED22D1">
        <w:rPr>
          <w:lang w:val="fr-CA"/>
        </w:rPr>
        <w:t xml:space="preserve"> tm de</w:t>
      </w:r>
      <w:r w:rsidR="0085675A" w:rsidRPr="00ED22D1">
        <w:rPr>
          <w:lang w:val="fr-CA"/>
        </w:rPr>
        <w:t xml:space="preserve"> HCFC-22 </w:t>
      </w:r>
      <w:r w:rsidR="004B666A" w:rsidRPr="00ED22D1">
        <w:rPr>
          <w:lang w:val="fr-CA"/>
        </w:rPr>
        <w:t>associé</w:t>
      </w:r>
      <w:r w:rsidR="0085675A" w:rsidRPr="00ED22D1">
        <w:rPr>
          <w:lang w:val="fr-CA"/>
        </w:rPr>
        <w:t xml:space="preserve"> </w:t>
      </w:r>
      <w:r w:rsidR="004B666A" w:rsidRPr="00ED22D1">
        <w:rPr>
          <w:lang w:val="fr-CA"/>
        </w:rPr>
        <w:t>à des parties non visées à l’a</w:t>
      </w:r>
      <w:r w:rsidR="0085675A" w:rsidRPr="00ED22D1">
        <w:rPr>
          <w:lang w:val="fr-CA"/>
        </w:rPr>
        <w:t xml:space="preserve">rticle 5 </w:t>
      </w:r>
      <w:r w:rsidR="004B666A" w:rsidRPr="00ED22D1">
        <w:rPr>
          <w:lang w:val="fr-CA"/>
        </w:rPr>
        <w:t xml:space="preserve">a été financée à partir de </w:t>
      </w:r>
      <w:r w:rsidR="0085675A" w:rsidRPr="00ED22D1">
        <w:rPr>
          <w:lang w:val="fr-CA"/>
        </w:rPr>
        <w:t xml:space="preserve">sources </w:t>
      </w:r>
      <w:r w:rsidR="004B666A" w:rsidRPr="00ED22D1">
        <w:rPr>
          <w:lang w:val="fr-CA"/>
        </w:rPr>
        <w:t>à l’extérieur du Fonds multilatéral</w:t>
      </w:r>
      <w:r w:rsidR="0085675A" w:rsidRPr="00ED22D1">
        <w:rPr>
          <w:lang w:val="fr-CA"/>
        </w:rPr>
        <w:t xml:space="preserve">. </w:t>
      </w:r>
      <w:r w:rsidR="004B666A" w:rsidRPr="00ED22D1">
        <w:rPr>
          <w:lang w:val="fr-CA"/>
        </w:rPr>
        <w:t xml:space="preserve">Une autre quantité de </w:t>
      </w:r>
      <w:r w:rsidR="0085675A" w:rsidRPr="00ED22D1">
        <w:rPr>
          <w:lang w:val="fr-CA"/>
        </w:rPr>
        <w:t>240</w:t>
      </w:r>
      <w:r w:rsidR="004B666A" w:rsidRPr="00ED22D1">
        <w:rPr>
          <w:lang w:val="fr-CA"/>
        </w:rPr>
        <w:t xml:space="preserve"> tm de</w:t>
      </w:r>
      <w:r w:rsidR="0085675A" w:rsidRPr="00ED22D1">
        <w:rPr>
          <w:lang w:val="fr-CA"/>
        </w:rPr>
        <w:t xml:space="preserve"> HCFC-22 </w:t>
      </w:r>
      <w:r w:rsidR="004B666A" w:rsidRPr="00ED22D1">
        <w:rPr>
          <w:lang w:val="fr-CA"/>
        </w:rPr>
        <w:t xml:space="preserve">a été éliminée lors du projet de démonstration à </w:t>
      </w:r>
      <w:r w:rsidR="0085675A" w:rsidRPr="00ED22D1">
        <w:rPr>
          <w:lang w:val="fr-CA"/>
        </w:rPr>
        <w:t xml:space="preserve">Midea </w:t>
      </w:r>
      <w:r w:rsidR="00AA6E77" w:rsidRPr="00ED22D1">
        <w:rPr>
          <w:lang w:val="fr-CA"/>
        </w:rPr>
        <w:t>approuvé</w:t>
      </w:r>
      <w:r w:rsidR="0085675A" w:rsidRPr="00ED22D1">
        <w:rPr>
          <w:lang w:val="fr-CA"/>
        </w:rPr>
        <w:t xml:space="preserve"> </w:t>
      </w:r>
      <w:r w:rsidR="004B666A" w:rsidRPr="00ED22D1">
        <w:rPr>
          <w:lang w:val="fr-CA"/>
        </w:rPr>
        <w:t>à la 6</w:t>
      </w:r>
      <w:r w:rsidR="0085675A" w:rsidRPr="00ED22D1">
        <w:rPr>
          <w:lang w:val="fr-CA"/>
        </w:rPr>
        <w:t>1</w:t>
      </w:r>
      <w:r w:rsidR="004B666A" w:rsidRPr="00ED22D1">
        <w:rPr>
          <w:vertAlign w:val="superscript"/>
          <w:lang w:val="fr-CA"/>
        </w:rPr>
        <w:t>e</w:t>
      </w:r>
      <w:r w:rsidR="004B666A" w:rsidRPr="00ED22D1">
        <w:rPr>
          <w:lang w:val="fr-CA"/>
        </w:rPr>
        <w:t xml:space="preserve"> </w:t>
      </w:r>
      <w:r w:rsidR="00DD185D" w:rsidRPr="00ED22D1">
        <w:rPr>
          <w:lang w:val="fr-CA"/>
        </w:rPr>
        <w:t>réunion</w:t>
      </w:r>
      <w:r w:rsidR="0085675A" w:rsidRPr="00ED22D1">
        <w:rPr>
          <w:lang w:val="fr-CA"/>
        </w:rPr>
        <w:t xml:space="preserve">. </w:t>
      </w:r>
    </w:p>
    <w:p w:rsidR="0085675A" w:rsidRPr="00ED22D1" w:rsidRDefault="004B666A" w:rsidP="0085675A">
      <w:pPr>
        <w:pStyle w:val="Heading1"/>
        <w:rPr>
          <w:lang w:val="fr-CA"/>
        </w:rPr>
      </w:pPr>
      <w:r w:rsidRPr="00ED22D1">
        <w:rPr>
          <w:lang w:val="fr-CA"/>
        </w:rPr>
        <w:t xml:space="preserve">Des </w:t>
      </w:r>
      <w:r w:rsidR="0085675A" w:rsidRPr="00ED22D1">
        <w:rPr>
          <w:lang w:val="fr-CA"/>
        </w:rPr>
        <w:t xml:space="preserve">18 </w:t>
      </w:r>
      <w:r w:rsidRPr="00ED22D1">
        <w:rPr>
          <w:lang w:val="fr-CA"/>
        </w:rPr>
        <w:t xml:space="preserve">circuits de </w:t>
      </w:r>
      <w:r w:rsidR="004A6828" w:rsidRPr="00ED22D1">
        <w:rPr>
          <w:lang w:val="fr-CA"/>
        </w:rPr>
        <w:t xml:space="preserve">climatiseurs résidentiels </w:t>
      </w:r>
      <w:r w:rsidRPr="00ED22D1">
        <w:rPr>
          <w:lang w:val="fr-CA"/>
        </w:rPr>
        <w:t>avec R-290</w:t>
      </w:r>
      <w:r w:rsidR="0085675A" w:rsidRPr="00ED22D1">
        <w:rPr>
          <w:lang w:val="fr-CA"/>
        </w:rPr>
        <w:t xml:space="preserve">, </w:t>
      </w:r>
      <w:r w:rsidR="0085675A" w:rsidRPr="00ED22D1">
        <w:rPr>
          <w:b/>
          <w:lang w:val="fr-CA"/>
        </w:rPr>
        <w:t>17</w:t>
      </w:r>
      <w:r w:rsidR="0085675A" w:rsidRPr="00ED22D1">
        <w:rPr>
          <w:lang w:val="fr-CA"/>
        </w:rPr>
        <w:t xml:space="preserve"> </w:t>
      </w:r>
      <w:r w:rsidRPr="00ED22D1">
        <w:rPr>
          <w:lang w:val="fr-CA"/>
        </w:rPr>
        <w:t>ont été reconvertis et ont obtenu une acceptation nationale</w:t>
      </w:r>
      <w:r w:rsidR="0085675A" w:rsidRPr="00ED22D1">
        <w:rPr>
          <w:lang w:val="fr-CA"/>
        </w:rPr>
        <w:t xml:space="preserve">; </w:t>
      </w:r>
      <w:r w:rsidRPr="00ED22D1">
        <w:rPr>
          <w:b/>
          <w:lang w:val="fr-CA"/>
        </w:rPr>
        <w:t>le circuit qui reste devrait achever sa r</w:t>
      </w:r>
      <w:r w:rsidR="00FB1DC4" w:rsidRPr="00ED22D1">
        <w:rPr>
          <w:b/>
          <w:lang w:val="fr-CA"/>
        </w:rPr>
        <w:t>econversion</w:t>
      </w:r>
      <w:r w:rsidR="004A6828" w:rsidRPr="00ED22D1">
        <w:rPr>
          <w:b/>
          <w:lang w:val="fr-CA"/>
        </w:rPr>
        <w:t xml:space="preserve"> et </w:t>
      </w:r>
      <w:r w:rsidRPr="00ED22D1">
        <w:rPr>
          <w:b/>
          <w:lang w:val="fr-CA"/>
        </w:rPr>
        <w:t xml:space="preserve">obtenir son acceptation nationale </w:t>
      </w:r>
      <w:r w:rsidR="0052712E" w:rsidRPr="00ED22D1">
        <w:rPr>
          <w:b/>
          <w:lang w:val="fr-CA"/>
        </w:rPr>
        <w:t>en 20</w:t>
      </w:r>
      <w:r w:rsidR="0085675A" w:rsidRPr="00ED22D1">
        <w:rPr>
          <w:b/>
          <w:lang w:val="fr-CA"/>
        </w:rPr>
        <w:t>1</w:t>
      </w:r>
      <w:r w:rsidR="004A6828" w:rsidRPr="00ED22D1">
        <w:rPr>
          <w:b/>
          <w:lang w:val="fr-CA"/>
        </w:rPr>
        <w:t>9</w:t>
      </w:r>
      <w:r w:rsidRPr="00ED22D1">
        <w:rPr>
          <w:b/>
          <w:lang w:val="fr-CA"/>
        </w:rPr>
        <w:t>.</w:t>
      </w:r>
      <w:r w:rsidR="0085675A" w:rsidRPr="00ED22D1">
        <w:rPr>
          <w:lang w:val="fr-CA"/>
        </w:rPr>
        <w:t xml:space="preserve"> </w:t>
      </w:r>
      <w:r w:rsidRPr="00ED22D1">
        <w:rPr>
          <w:lang w:val="fr-CA"/>
        </w:rPr>
        <w:t xml:space="preserve">La totalité des huit climatiseurs résidentiels avec </w:t>
      </w:r>
      <w:r w:rsidR="0085675A" w:rsidRPr="00ED22D1">
        <w:rPr>
          <w:lang w:val="fr-CA"/>
        </w:rPr>
        <w:t>R-410A</w:t>
      </w:r>
      <w:r w:rsidR="004A6828" w:rsidRPr="00ED22D1">
        <w:rPr>
          <w:lang w:val="fr-CA"/>
        </w:rPr>
        <w:t xml:space="preserve"> et </w:t>
      </w:r>
      <w:r w:rsidRPr="00ED22D1">
        <w:rPr>
          <w:lang w:val="fr-CA"/>
        </w:rPr>
        <w:t>trois</w:t>
      </w:r>
      <w:r w:rsidR="0085675A" w:rsidRPr="00ED22D1">
        <w:rPr>
          <w:lang w:val="fr-CA"/>
        </w:rPr>
        <w:t xml:space="preserve"> </w:t>
      </w:r>
      <w:r w:rsidRPr="00ED22D1">
        <w:rPr>
          <w:lang w:val="fr-CA"/>
        </w:rPr>
        <w:t>circuits de</w:t>
      </w:r>
      <w:r w:rsidR="00743D99" w:rsidRPr="00ED22D1">
        <w:rPr>
          <w:lang w:val="fr-CA"/>
        </w:rPr>
        <w:t> </w:t>
      </w:r>
      <w:r w:rsidRPr="00ED22D1">
        <w:rPr>
          <w:lang w:val="fr-CA"/>
        </w:rPr>
        <w:t xml:space="preserve">compresseurs </w:t>
      </w:r>
      <w:r w:rsidR="00743D99" w:rsidRPr="00ED22D1">
        <w:rPr>
          <w:lang w:val="fr-CA"/>
        </w:rPr>
        <w:t xml:space="preserve">avec R-290 </w:t>
      </w:r>
      <w:r w:rsidRPr="00ED22D1">
        <w:rPr>
          <w:lang w:val="fr-CA"/>
        </w:rPr>
        <w:t>ont été reconvertis</w:t>
      </w:r>
      <w:r w:rsidR="004A6828" w:rsidRPr="00ED22D1">
        <w:rPr>
          <w:lang w:val="fr-CA"/>
        </w:rPr>
        <w:t xml:space="preserve"> et </w:t>
      </w:r>
      <w:r w:rsidRPr="00ED22D1">
        <w:rPr>
          <w:lang w:val="fr-CA"/>
        </w:rPr>
        <w:t>ont été accepté au niveau national</w:t>
      </w:r>
      <w:r w:rsidR="00C420BC" w:rsidRPr="00ED22D1">
        <w:rPr>
          <w:lang w:val="fr-CA"/>
        </w:rPr>
        <w:t>. L’</w:t>
      </w:r>
      <w:r w:rsidRPr="00ED22D1">
        <w:rPr>
          <w:lang w:val="fr-CA"/>
        </w:rPr>
        <w:t>état des</w:t>
      </w:r>
      <w:r w:rsidR="00743D99" w:rsidRPr="00ED22D1">
        <w:rPr>
          <w:lang w:val="fr-CA"/>
        </w:rPr>
        <w:t> </w:t>
      </w:r>
      <w:r w:rsidR="00FB1DC4" w:rsidRPr="00ED22D1">
        <w:rPr>
          <w:lang w:val="fr-CA"/>
        </w:rPr>
        <w:t>reconversion</w:t>
      </w:r>
      <w:r w:rsidR="0085675A" w:rsidRPr="00ED22D1">
        <w:rPr>
          <w:lang w:val="fr-CA"/>
        </w:rPr>
        <w:t xml:space="preserve">s </w:t>
      </w:r>
      <w:r w:rsidRPr="00ED22D1">
        <w:rPr>
          <w:lang w:val="fr-CA"/>
        </w:rPr>
        <w:t>au</w:t>
      </w:r>
      <w:r w:rsidR="0085675A" w:rsidRPr="00ED22D1">
        <w:rPr>
          <w:lang w:val="fr-CA"/>
        </w:rPr>
        <w:t xml:space="preserve"> </w:t>
      </w:r>
      <w:r w:rsidR="0085675A" w:rsidRPr="00ED22D1">
        <w:rPr>
          <w:b/>
          <w:lang w:val="fr-CA"/>
        </w:rPr>
        <w:t>1</w:t>
      </w:r>
      <w:r w:rsidR="001B10D4">
        <w:rPr>
          <w:b/>
          <w:lang w:val="fr-CA"/>
        </w:rPr>
        <w:t> avril </w:t>
      </w:r>
      <w:r w:rsidR="0085675A" w:rsidRPr="00ED22D1">
        <w:rPr>
          <w:b/>
          <w:lang w:val="fr-CA"/>
        </w:rPr>
        <w:t xml:space="preserve">2019 </w:t>
      </w:r>
      <w:r w:rsidRPr="00ED22D1">
        <w:rPr>
          <w:lang w:val="fr-CA"/>
        </w:rPr>
        <w:t>e</w:t>
      </w:r>
      <w:r w:rsidR="0085675A" w:rsidRPr="00ED22D1">
        <w:rPr>
          <w:lang w:val="fr-CA"/>
        </w:rPr>
        <w:t>s</w:t>
      </w:r>
      <w:r w:rsidRPr="00ED22D1">
        <w:rPr>
          <w:lang w:val="fr-CA"/>
        </w:rPr>
        <w:t xml:space="preserve">t présenté au </w:t>
      </w:r>
      <w:r w:rsidR="00CE7FEC" w:rsidRPr="00ED22D1">
        <w:rPr>
          <w:lang w:val="fr-CA"/>
        </w:rPr>
        <w:t xml:space="preserve">tableau </w:t>
      </w:r>
      <w:r w:rsidR="004A6828" w:rsidRPr="00ED22D1">
        <w:rPr>
          <w:lang w:val="fr-CA"/>
        </w:rPr>
        <w:t>1</w:t>
      </w:r>
      <w:r w:rsidRPr="00ED22D1">
        <w:rPr>
          <w:lang w:val="fr-CA"/>
        </w:rPr>
        <w:t>.</w:t>
      </w:r>
      <w:r w:rsidR="0085675A" w:rsidRPr="00ED22D1">
        <w:rPr>
          <w:lang w:val="fr-CA"/>
        </w:rPr>
        <w:t xml:space="preserve"> </w:t>
      </w:r>
    </w:p>
    <w:p w:rsidR="0085675A" w:rsidRPr="00ED22D1" w:rsidRDefault="00CE7FEC" w:rsidP="0085675A">
      <w:pPr>
        <w:rPr>
          <w:b/>
          <w:lang w:val="fr-CA"/>
        </w:rPr>
      </w:pPr>
      <w:r w:rsidRPr="00ED22D1">
        <w:rPr>
          <w:b/>
          <w:lang w:val="fr-CA"/>
        </w:rPr>
        <w:t xml:space="preserve">Tableau </w:t>
      </w:r>
      <w:r w:rsidR="004A6828" w:rsidRPr="00ED22D1">
        <w:rPr>
          <w:b/>
          <w:lang w:val="fr-CA"/>
        </w:rPr>
        <w:t>1</w:t>
      </w:r>
      <w:r w:rsidR="004B666A" w:rsidRPr="00ED22D1">
        <w:rPr>
          <w:b/>
          <w:lang w:val="fr-CA"/>
        </w:rPr>
        <w:t>.</w:t>
      </w:r>
      <w:r w:rsidR="0085675A" w:rsidRPr="00ED22D1">
        <w:rPr>
          <w:b/>
          <w:lang w:val="fr-CA"/>
        </w:rPr>
        <w:t xml:space="preserve"> Progr</w:t>
      </w:r>
      <w:r w:rsidR="004B666A" w:rsidRPr="00ED22D1">
        <w:rPr>
          <w:b/>
          <w:lang w:val="fr-CA"/>
        </w:rPr>
        <w:t xml:space="preserve">ès dans </w:t>
      </w:r>
      <w:r w:rsidR="00921BDE" w:rsidRPr="00ED22D1">
        <w:rPr>
          <w:b/>
          <w:lang w:val="fr-CA"/>
        </w:rPr>
        <w:t xml:space="preserve">la mise en oeuvre </w:t>
      </w:r>
      <w:r w:rsidR="004B666A" w:rsidRPr="00ED22D1">
        <w:rPr>
          <w:b/>
          <w:lang w:val="fr-CA"/>
        </w:rPr>
        <w:t xml:space="preserve">du plan du secteur des </w:t>
      </w:r>
      <w:r w:rsidR="004A6828" w:rsidRPr="00ED22D1">
        <w:rPr>
          <w:b/>
          <w:lang w:val="fr-CA"/>
        </w:rPr>
        <w:t>climatiseurs résidentiels</w:t>
      </w:r>
      <w:r w:rsidR="0085675A" w:rsidRPr="00ED22D1">
        <w:rPr>
          <w:b/>
          <w:lang w:val="fr-CA"/>
        </w:rPr>
        <w:t xml:space="preserve"> </w:t>
      </w:r>
      <w:r w:rsidR="00181884" w:rsidRPr="00ED22D1">
        <w:rPr>
          <w:b/>
          <w:lang w:val="fr-CA"/>
        </w:rPr>
        <w:t>en Chine</w:t>
      </w:r>
    </w:p>
    <w:tbl>
      <w:tblPr>
        <w:tblW w:w="4941" w:type="pct"/>
        <w:tblInd w:w="108" w:type="dxa"/>
        <w:tblLook w:val="04A0" w:firstRow="1" w:lastRow="0" w:firstColumn="1" w:lastColumn="0" w:noHBand="0" w:noVBand="1"/>
      </w:tblPr>
      <w:tblGrid>
        <w:gridCol w:w="3544"/>
        <w:gridCol w:w="1134"/>
        <w:gridCol w:w="1418"/>
        <w:gridCol w:w="1452"/>
        <w:gridCol w:w="1915"/>
      </w:tblGrid>
      <w:tr w:rsidR="00743D99" w:rsidRPr="00ED22D1" w:rsidTr="00743D99">
        <w:trPr>
          <w:trHeight w:val="179"/>
        </w:trPr>
        <w:tc>
          <w:tcPr>
            <w:tcW w:w="187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5675A" w:rsidRPr="00ED22D1" w:rsidRDefault="0085675A" w:rsidP="004B666A">
            <w:pPr>
              <w:jc w:val="left"/>
              <w:rPr>
                <w:b/>
                <w:bCs/>
                <w:color w:val="000000"/>
                <w:sz w:val="20"/>
                <w:szCs w:val="20"/>
                <w:lang w:val="fr-CA"/>
              </w:rPr>
            </w:pPr>
            <w:r w:rsidRPr="00ED22D1">
              <w:rPr>
                <w:b/>
                <w:bCs/>
                <w:color w:val="000000"/>
                <w:sz w:val="20"/>
                <w:szCs w:val="20"/>
                <w:lang w:val="fr-CA"/>
              </w:rPr>
              <w:t xml:space="preserve">Type </w:t>
            </w:r>
            <w:r w:rsidR="004B666A" w:rsidRPr="00ED22D1">
              <w:rPr>
                <w:b/>
                <w:bCs/>
                <w:color w:val="000000"/>
                <w:sz w:val="20"/>
                <w:szCs w:val="20"/>
                <w:lang w:val="fr-CA"/>
              </w:rPr>
              <w:t>de circuits</w:t>
            </w:r>
          </w:p>
        </w:tc>
        <w:tc>
          <w:tcPr>
            <w:tcW w:w="599" w:type="pct"/>
            <w:tcBorders>
              <w:top w:val="single" w:sz="4" w:space="0" w:color="000000"/>
              <w:left w:val="single" w:sz="4" w:space="0" w:color="000000"/>
              <w:bottom w:val="single" w:sz="4" w:space="0" w:color="000000"/>
              <w:right w:val="single" w:sz="4" w:space="0" w:color="000000"/>
            </w:tcBorders>
            <w:vAlign w:val="center"/>
          </w:tcPr>
          <w:p w:rsidR="0085675A" w:rsidRPr="00ED22D1" w:rsidRDefault="0085675A" w:rsidP="0085675A">
            <w:pPr>
              <w:jc w:val="center"/>
              <w:rPr>
                <w:b/>
                <w:bCs/>
                <w:color w:val="000000"/>
                <w:sz w:val="20"/>
                <w:szCs w:val="20"/>
                <w:lang w:val="fr-CA"/>
              </w:rPr>
            </w:pPr>
            <w:r w:rsidRPr="00ED22D1">
              <w:rPr>
                <w:b/>
                <w:bCs/>
                <w:color w:val="000000"/>
                <w:sz w:val="20"/>
                <w:szCs w:val="20"/>
                <w:lang w:val="fr-CA"/>
              </w:rPr>
              <w:t>Total</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4B666A" w:rsidP="0085675A">
            <w:pPr>
              <w:jc w:val="center"/>
              <w:rPr>
                <w:b/>
                <w:bCs/>
                <w:color w:val="000000"/>
                <w:sz w:val="20"/>
                <w:szCs w:val="20"/>
                <w:lang w:val="fr-CA"/>
              </w:rPr>
            </w:pPr>
            <w:r w:rsidRPr="00ED22D1">
              <w:rPr>
                <w:b/>
                <w:bCs/>
                <w:color w:val="000000"/>
                <w:sz w:val="20"/>
                <w:szCs w:val="20"/>
                <w:lang w:val="fr-CA"/>
              </w:rPr>
              <w:t>Reconvertis</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4B666A" w:rsidP="004B666A">
            <w:pPr>
              <w:jc w:val="center"/>
              <w:rPr>
                <w:b/>
                <w:bCs/>
                <w:color w:val="000000"/>
                <w:sz w:val="20"/>
                <w:szCs w:val="20"/>
                <w:lang w:val="fr-CA"/>
              </w:rPr>
            </w:pPr>
            <w:r w:rsidRPr="00ED22D1">
              <w:rPr>
                <w:b/>
                <w:bCs/>
                <w:color w:val="000000"/>
                <w:sz w:val="20"/>
                <w:szCs w:val="20"/>
                <w:lang w:val="fr-CA"/>
              </w:rPr>
              <w:t>Acceptation nationale</w:t>
            </w: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rsidR="0085675A" w:rsidRPr="00ED22D1" w:rsidRDefault="004B666A" w:rsidP="00743D99">
            <w:pPr>
              <w:jc w:val="center"/>
              <w:rPr>
                <w:b/>
                <w:bCs/>
                <w:color w:val="000000"/>
                <w:sz w:val="20"/>
                <w:szCs w:val="20"/>
                <w:lang w:val="fr-CA"/>
              </w:rPr>
            </w:pPr>
            <w:r w:rsidRPr="00ED22D1">
              <w:rPr>
                <w:b/>
                <w:bCs/>
                <w:color w:val="000000"/>
                <w:sz w:val="20"/>
                <w:szCs w:val="20"/>
                <w:lang w:val="fr-CA"/>
              </w:rPr>
              <w:t xml:space="preserve">Consommation de </w:t>
            </w:r>
            <w:r w:rsidR="00743D99" w:rsidRPr="00ED22D1">
              <w:rPr>
                <w:b/>
                <w:bCs/>
                <w:color w:val="000000"/>
                <w:sz w:val="20"/>
                <w:szCs w:val="20"/>
                <w:lang w:val="fr-CA"/>
              </w:rPr>
              <w:t xml:space="preserve">                 </w:t>
            </w:r>
            <w:r w:rsidR="0085675A" w:rsidRPr="00ED22D1">
              <w:rPr>
                <w:b/>
                <w:bCs/>
                <w:color w:val="000000"/>
                <w:sz w:val="20"/>
                <w:szCs w:val="20"/>
                <w:lang w:val="fr-CA"/>
              </w:rPr>
              <w:t>HCFC-22 (</w:t>
            </w:r>
            <w:r w:rsidRPr="00ED22D1">
              <w:rPr>
                <w:b/>
                <w:bCs/>
                <w:color w:val="000000"/>
                <w:sz w:val="20"/>
                <w:szCs w:val="20"/>
                <w:lang w:val="fr-CA"/>
              </w:rPr>
              <w:t>tm</w:t>
            </w:r>
            <w:r w:rsidR="0085675A" w:rsidRPr="00ED22D1">
              <w:rPr>
                <w:b/>
                <w:bCs/>
                <w:color w:val="000000"/>
                <w:sz w:val="20"/>
                <w:szCs w:val="20"/>
                <w:lang w:val="fr-CA"/>
              </w:rPr>
              <w:t>)</w:t>
            </w:r>
          </w:p>
        </w:tc>
      </w:tr>
      <w:tr w:rsidR="00743D99" w:rsidRPr="00ED22D1" w:rsidTr="00743D99">
        <w:trPr>
          <w:trHeight w:val="50"/>
        </w:trPr>
        <w:tc>
          <w:tcPr>
            <w:tcW w:w="1873" w:type="pct"/>
            <w:tcBorders>
              <w:top w:val="nil"/>
              <w:left w:val="single" w:sz="4" w:space="0" w:color="auto"/>
              <w:bottom w:val="single" w:sz="4" w:space="0" w:color="auto"/>
              <w:right w:val="single" w:sz="4" w:space="0" w:color="000000"/>
            </w:tcBorders>
            <w:shd w:val="clear" w:color="auto" w:fill="auto"/>
            <w:hideMark/>
          </w:tcPr>
          <w:p w:rsidR="0085675A" w:rsidRPr="00ED22D1" w:rsidRDefault="00743D99" w:rsidP="00743D99">
            <w:pPr>
              <w:jc w:val="left"/>
              <w:rPr>
                <w:bCs/>
                <w:sz w:val="20"/>
                <w:szCs w:val="20"/>
                <w:lang w:val="fr-CA"/>
              </w:rPr>
            </w:pPr>
            <w:r w:rsidRPr="00ED22D1">
              <w:rPr>
                <w:sz w:val="20"/>
                <w:szCs w:val="20"/>
                <w:lang w:val="fr-CA" w:eastAsia="zh-CN"/>
              </w:rPr>
              <w:t xml:space="preserve">Climatiseurs résidentiels avec </w:t>
            </w:r>
            <w:r w:rsidR="0085675A" w:rsidRPr="00ED22D1">
              <w:rPr>
                <w:sz w:val="20"/>
                <w:szCs w:val="20"/>
                <w:lang w:val="fr-CA" w:eastAsia="zh-CN"/>
              </w:rPr>
              <w:t>R</w:t>
            </w:r>
            <w:r w:rsidRPr="00ED22D1">
              <w:rPr>
                <w:sz w:val="20"/>
                <w:szCs w:val="20"/>
                <w:lang w:val="fr-CA" w:eastAsia="zh-CN"/>
              </w:rPr>
              <w:noBreakHyphen/>
            </w:r>
            <w:r w:rsidR="0085675A" w:rsidRPr="00ED22D1">
              <w:rPr>
                <w:sz w:val="20"/>
                <w:szCs w:val="20"/>
                <w:lang w:val="fr-CA" w:eastAsia="zh-CN"/>
              </w:rPr>
              <w:t>290</w:t>
            </w:r>
          </w:p>
        </w:tc>
        <w:tc>
          <w:tcPr>
            <w:tcW w:w="599" w:type="pct"/>
            <w:tcBorders>
              <w:top w:val="single" w:sz="4" w:space="0" w:color="000000"/>
              <w:left w:val="single" w:sz="4" w:space="0" w:color="000000"/>
              <w:bottom w:val="single" w:sz="4" w:space="0" w:color="000000"/>
              <w:right w:val="single" w:sz="4" w:space="0" w:color="000000"/>
            </w:tcBorders>
            <w:vAlign w:val="center"/>
          </w:tcPr>
          <w:p w:rsidR="0085675A" w:rsidRPr="00ED22D1" w:rsidRDefault="0085675A" w:rsidP="0085675A">
            <w:pPr>
              <w:jc w:val="right"/>
              <w:rPr>
                <w:bCs/>
                <w:sz w:val="20"/>
                <w:szCs w:val="20"/>
                <w:lang w:val="fr-CA"/>
              </w:rPr>
            </w:pPr>
            <w:r w:rsidRPr="00ED22D1">
              <w:rPr>
                <w:bCs/>
                <w:sz w:val="20"/>
                <w:szCs w:val="20"/>
                <w:lang w:val="fr-CA"/>
              </w:rPr>
              <w:t>18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85675A" w:rsidP="0085675A">
            <w:pPr>
              <w:jc w:val="right"/>
              <w:rPr>
                <w:b/>
                <w:sz w:val="20"/>
                <w:szCs w:val="20"/>
                <w:lang w:val="fr-CA"/>
              </w:rPr>
            </w:pPr>
            <w:r w:rsidRPr="00ED22D1">
              <w:rPr>
                <w:b/>
                <w:sz w:val="20"/>
                <w:szCs w:val="20"/>
                <w:lang w:val="fr-CA"/>
              </w:rPr>
              <w:t>17</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85675A" w:rsidP="0085675A">
            <w:pPr>
              <w:jc w:val="right"/>
              <w:rPr>
                <w:b/>
                <w:bCs/>
                <w:sz w:val="20"/>
                <w:szCs w:val="20"/>
                <w:lang w:val="fr-CA"/>
              </w:rPr>
            </w:pPr>
            <w:r w:rsidRPr="00ED22D1">
              <w:rPr>
                <w:b/>
                <w:bCs/>
                <w:sz w:val="20"/>
                <w:szCs w:val="20"/>
                <w:lang w:val="fr-CA"/>
              </w:rPr>
              <w:t>17</w:t>
            </w: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rsidR="0085675A" w:rsidRPr="00ED22D1" w:rsidRDefault="004A6828" w:rsidP="0085675A">
            <w:pPr>
              <w:jc w:val="right"/>
              <w:rPr>
                <w:bCs/>
                <w:sz w:val="20"/>
                <w:szCs w:val="20"/>
                <w:lang w:val="fr-CA"/>
              </w:rPr>
            </w:pPr>
            <w:r w:rsidRPr="00ED22D1">
              <w:rPr>
                <w:bCs/>
                <w:sz w:val="20"/>
                <w:szCs w:val="20"/>
                <w:lang w:val="fr-CA"/>
              </w:rPr>
              <w:t>7 </w:t>
            </w:r>
            <w:r w:rsidR="0085675A" w:rsidRPr="00ED22D1">
              <w:rPr>
                <w:bCs/>
                <w:sz w:val="20"/>
                <w:szCs w:val="20"/>
                <w:lang w:val="fr-CA"/>
              </w:rPr>
              <w:t>82</w:t>
            </w:r>
            <w:r w:rsidRPr="00ED22D1">
              <w:rPr>
                <w:bCs/>
                <w:sz w:val="20"/>
                <w:szCs w:val="20"/>
                <w:lang w:val="fr-CA"/>
              </w:rPr>
              <w:t>7,</w:t>
            </w:r>
            <w:r w:rsidR="0085675A" w:rsidRPr="00ED22D1">
              <w:rPr>
                <w:bCs/>
                <w:sz w:val="20"/>
                <w:szCs w:val="20"/>
                <w:lang w:val="fr-CA"/>
              </w:rPr>
              <w:t>3</w:t>
            </w:r>
          </w:p>
        </w:tc>
      </w:tr>
      <w:tr w:rsidR="00743D99" w:rsidRPr="00ED22D1" w:rsidTr="00743D99">
        <w:trPr>
          <w:trHeight w:val="50"/>
        </w:trPr>
        <w:tc>
          <w:tcPr>
            <w:tcW w:w="1873" w:type="pct"/>
            <w:tcBorders>
              <w:top w:val="nil"/>
              <w:left w:val="single" w:sz="4" w:space="0" w:color="auto"/>
              <w:bottom w:val="single" w:sz="4" w:space="0" w:color="auto"/>
              <w:right w:val="single" w:sz="4" w:space="0" w:color="000000"/>
            </w:tcBorders>
            <w:shd w:val="clear" w:color="auto" w:fill="auto"/>
            <w:hideMark/>
          </w:tcPr>
          <w:p w:rsidR="0085675A" w:rsidRPr="00ED22D1" w:rsidRDefault="00743D99" w:rsidP="00743D99">
            <w:pPr>
              <w:jc w:val="left"/>
              <w:rPr>
                <w:sz w:val="20"/>
                <w:szCs w:val="20"/>
                <w:lang w:val="fr-CA"/>
              </w:rPr>
            </w:pPr>
            <w:r w:rsidRPr="00ED22D1">
              <w:rPr>
                <w:sz w:val="20"/>
                <w:szCs w:val="20"/>
                <w:lang w:val="fr-CA" w:eastAsia="zh-CN"/>
              </w:rPr>
              <w:t>C</w:t>
            </w:r>
            <w:r w:rsidR="004A6828" w:rsidRPr="00ED22D1">
              <w:rPr>
                <w:sz w:val="20"/>
                <w:szCs w:val="20"/>
                <w:lang w:val="fr-CA" w:eastAsia="zh-CN"/>
              </w:rPr>
              <w:t>limatiseurs résidentiels</w:t>
            </w:r>
            <w:r w:rsidRPr="00ED22D1">
              <w:rPr>
                <w:sz w:val="20"/>
                <w:szCs w:val="20"/>
                <w:lang w:val="fr-CA" w:eastAsia="zh-CN"/>
              </w:rPr>
              <w:t xml:space="preserve"> avec R</w:t>
            </w:r>
            <w:r w:rsidRPr="00ED22D1">
              <w:rPr>
                <w:sz w:val="20"/>
                <w:szCs w:val="20"/>
                <w:lang w:val="fr-CA" w:eastAsia="zh-CN"/>
              </w:rPr>
              <w:noBreakHyphen/>
              <w:t>410A</w:t>
            </w:r>
            <w:r w:rsidR="004A6828" w:rsidRPr="00ED22D1">
              <w:rPr>
                <w:sz w:val="20"/>
                <w:szCs w:val="20"/>
                <w:lang w:val="fr-CA" w:eastAsia="zh-CN"/>
              </w:rPr>
              <w:t xml:space="preserve"> </w:t>
            </w:r>
          </w:p>
        </w:tc>
        <w:tc>
          <w:tcPr>
            <w:tcW w:w="599" w:type="pct"/>
            <w:tcBorders>
              <w:top w:val="single" w:sz="4" w:space="0" w:color="000000"/>
              <w:left w:val="single" w:sz="4" w:space="0" w:color="000000"/>
              <w:bottom w:val="single" w:sz="4" w:space="0" w:color="000000"/>
              <w:right w:val="single" w:sz="4" w:space="0" w:color="000000"/>
            </w:tcBorders>
            <w:vAlign w:val="center"/>
          </w:tcPr>
          <w:p w:rsidR="0085675A" w:rsidRPr="00ED22D1" w:rsidRDefault="0085675A" w:rsidP="0085675A">
            <w:pPr>
              <w:jc w:val="right"/>
              <w:rPr>
                <w:sz w:val="20"/>
                <w:szCs w:val="20"/>
                <w:lang w:val="fr-CA"/>
              </w:rPr>
            </w:pPr>
            <w:r w:rsidRPr="00ED22D1">
              <w:rPr>
                <w:sz w:val="20"/>
                <w:szCs w:val="20"/>
                <w:lang w:val="fr-CA"/>
              </w:rPr>
              <w:t>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85675A" w:rsidP="0085675A">
            <w:pPr>
              <w:jc w:val="right"/>
              <w:rPr>
                <w:sz w:val="20"/>
                <w:szCs w:val="20"/>
                <w:lang w:val="fr-CA"/>
              </w:rPr>
            </w:pPr>
            <w:r w:rsidRPr="00ED22D1">
              <w:rPr>
                <w:sz w:val="20"/>
                <w:szCs w:val="20"/>
                <w:lang w:val="fr-CA"/>
              </w:rPr>
              <w:t>8</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85675A" w:rsidP="0085675A">
            <w:pPr>
              <w:jc w:val="right"/>
              <w:rPr>
                <w:sz w:val="20"/>
                <w:szCs w:val="20"/>
                <w:lang w:val="fr-CA"/>
              </w:rPr>
            </w:pPr>
            <w:r w:rsidRPr="00ED22D1">
              <w:rPr>
                <w:sz w:val="20"/>
                <w:szCs w:val="20"/>
                <w:lang w:val="fr-CA"/>
              </w:rPr>
              <w:t>8</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rsidR="0085675A" w:rsidRPr="00ED22D1" w:rsidRDefault="004A6828" w:rsidP="0085675A">
            <w:pPr>
              <w:jc w:val="right"/>
              <w:rPr>
                <w:sz w:val="20"/>
                <w:szCs w:val="20"/>
                <w:lang w:val="fr-CA"/>
              </w:rPr>
            </w:pPr>
            <w:r w:rsidRPr="00ED22D1">
              <w:rPr>
                <w:sz w:val="20"/>
                <w:szCs w:val="20"/>
                <w:lang w:val="fr-CA"/>
              </w:rPr>
              <w:t>2 </w:t>
            </w:r>
            <w:r w:rsidR="0085675A" w:rsidRPr="00ED22D1">
              <w:rPr>
                <w:sz w:val="20"/>
                <w:szCs w:val="20"/>
                <w:lang w:val="fr-CA"/>
              </w:rPr>
              <w:t>98</w:t>
            </w:r>
            <w:r w:rsidRPr="00ED22D1">
              <w:rPr>
                <w:sz w:val="20"/>
                <w:szCs w:val="20"/>
                <w:lang w:val="fr-CA"/>
              </w:rPr>
              <w:t>6,</w:t>
            </w:r>
            <w:r w:rsidR="0085675A" w:rsidRPr="00ED22D1">
              <w:rPr>
                <w:sz w:val="20"/>
                <w:szCs w:val="20"/>
                <w:lang w:val="fr-CA"/>
              </w:rPr>
              <w:t>4</w:t>
            </w:r>
          </w:p>
        </w:tc>
      </w:tr>
      <w:tr w:rsidR="00743D99" w:rsidRPr="00ED22D1" w:rsidTr="00743D99">
        <w:trPr>
          <w:trHeight w:val="50"/>
        </w:trPr>
        <w:tc>
          <w:tcPr>
            <w:tcW w:w="1873" w:type="pct"/>
            <w:tcBorders>
              <w:top w:val="nil"/>
              <w:left w:val="single" w:sz="4" w:space="0" w:color="auto"/>
              <w:bottom w:val="single" w:sz="4" w:space="0" w:color="auto"/>
              <w:right w:val="single" w:sz="4" w:space="0" w:color="000000"/>
            </w:tcBorders>
            <w:shd w:val="clear" w:color="auto" w:fill="auto"/>
            <w:hideMark/>
          </w:tcPr>
          <w:p w:rsidR="0085675A" w:rsidRPr="00ED22D1" w:rsidRDefault="00743D99" w:rsidP="00743D99">
            <w:pPr>
              <w:jc w:val="left"/>
              <w:rPr>
                <w:bCs/>
                <w:sz w:val="20"/>
                <w:szCs w:val="20"/>
                <w:lang w:val="fr-CA"/>
              </w:rPr>
            </w:pPr>
            <w:r w:rsidRPr="00ED22D1">
              <w:rPr>
                <w:sz w:val="20"/>
                <w:szCs w:val="20"/>
                <w:lang w:val="fr-CA" w:eastAsia="zh-CN"/>
              </w:rPr>
              <w:t xml:space="preserve">Compresseurs avec </w:t>
            </w:r>
            <w:r w:rsidR="0085675A" w:rsidRPr="00ED22D1">
              <w:rPr>
                <w:sz w:val="20"/>
                <w:szCs w:val="20"/>
                <w:lang w:val="fr-CA" w:eastAsia="zh-CN"/>
              </w:rPr>
              <w:t xml:space="preserve">R-290 </w:t>
            </w:r>
          </w:p>
        </w:tc>
        <w:tc>
          <w:tcPr>
            <w:tcW w:w="599" w:type="pct"/>
            <w:tcBorders>
              <w:top w:val="single" w:sz="4" w:space="0" w:color="000000"/>
              <w:left w:val="single" w:sz="4" w:space="0" w:color="000000"/>
              <w:bottom w:val="single" w:sz="4" w:space="0" w:color="000000"/>
              <w:right w:val="single" w:sz="4" w:space="0" w:color="000000"/>
            </w:tcBorders>
            <w:vAlign w:val="center"/>
          </w:tcPr>
          <w:p w:rsidR="0085675A" w:rsidRPr="00ED22D1" w:rsidRDefault="0085675A" w:rsidP="0085675A">
            <w:pPr>
              <w:jc w:val="right"/>
              <w:rPr>
                <w:bCs/>
                <w:sz w:val="20"/>
                <w:szCs w:val="20"/>
                <w:lang w:val="fr-CA"/>
              </w:rPr>
            </w:pPr>
            <w:r w:rsidRPr="00ED22D1">
              <w:rPr>
                <w:bCs/>
                <w:sz w:val="20"/>
                <w:szCs w:val="20"/>
                <w:lang w:val="fr-CA"/>
              </w:rPr>
              <w:t>3</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85675A" w:rsidP="0085675A">
            <w:pPr>
              <w:jc w:val="right"/>
              <w:rPr>
                <w:bCs/>
                <w:sz w:val="20"/>
                <w:szCs w:val="20"/>
                <w:lang w:val="fr-CA"/>
              </w:rPr>
            </w:pPr>
            <w:r w:rsidRPr="00ED22D1">
              <w:rPr>
                <w:bCs/>
                <w:sz w:val="20"/>
                <w:szCs w:val="20"/>
                <w:lang w:val="fr-CA"/>
              </w:rPr>
              <w:t>3</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75A" w:rsidRPr="00ED22D1" w:rsidRDefault="0085675A" w:rsidP="0085675A">
            <w:pPr>
              <w:jc w:val="right"/>
              <w:rPr>
                <w:bCs/>
                <w:sz w:val="20"/>
                <w:szCs w:val="20"/>
                <w:lang w:val="fr-CA"/>
              </w:rPr>
            </w:pPr>
            <w:r w:rsidRPr="00ED22D1">
              <w:rPr>
                <w:bCs/>
                <w:sz w:val="20"/>
                <w:szCs w:val="20"/>
                <w:lang w:val="fr-CA"/>
              </w:rPr>
              <w:t>3</w:t>
            </w: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rsidR="0085675A" w:rsidRPr="00ED22D1" w:rsidRDefault="00F12D89" w:rsidP="0085675A">
            <w:pPr>
              <w:jc w:val="right"/>
              <w:rPr>
                <w:sz w:val="20"/>
                <w:szCs w:val="20"/>
                <w:lang w:val="fr-CA"/>
              </w:rPr>
            </w:pPr>
            <w:r w:rsidRPr="00ED22D1">
              <w:rPr>
                <w:sz w:val="20"/>
                <w:szCs w:val="20"/>
                <w:lang w:val="fr-CA"/>
              </w:rPr>
              <w:t>s.o.</w:t>
            </w:r>
          </w:p>
        </w:tc>
      </w:tr>
      <w:tr w:rsidR="00743D99" w:rsidRPr="00ED22D1" w:rsidTr="00743D99">
        <w:trPr>
          <w:trHeight w:val="50"/>
        </w:trPr>
        <w:tc>
          <w:tcPr>
            <w:tcW w:w="1873" w:type="pct"/>
            <w:tcBorders>
              <w:top w:val="nil"/>
              <w:left w:val="single" w:sz="4" w:space="0" w:color="auto"/>
              <w:bottom w:val="single" w:sz="4" w:space="0" w:color="auto"/>
              <w:right w:val="single" w:sz="4" w:space="0" w:color="000000"/>
            </w:tcBorders>
            <w:shd w:val="clear" w:color="auto" w:fill="auto"/>
            <w:noWrap/>
            <w:hideMark/>
          </w:tcPr>
          <w:p w:rsidR="0085675A" w:rsidRPr="00ED22D1" w:rsidRDefault="0085675A" w:rsidP="0085675A">
            <w:pPr>
              <w:jc w:val="left"/>
              <w:rPr>
                <w:b/>
                <w:bCs/>
                <w:sz w:val="20"/>
                <w:szCs w:val="20"/>
                <w:lang w:val="fr-CA"/>
              </w:rPr>
            </w:pPr>
            <w:r w:rsidRPr="00ED22D1">
              <w:rPr>
                <w:b/>
                <w:sz w:val="20"/>
                <w:szCs w:val="20"/>
                <w:lang w:val="fr-CA"/>
              </w:rPr>
              <w:t>Total</w:t>
            </w:r>
          </w:p>
        </w:tc>
        <w:tc>
          <w:tcPr>
            <w:tcW w:w="599" w:type="pct"/>
            <w:tcBorders>
              <w:top w:val="single" w:sz="4" w:space="0" w:color="000000"/>
              <w:left w:val="single" w:sz="4" w:space="0" w:color="000000"/>
              <w:bottom w:val="single" w:sz="4" w:space="0" w:color="000000"/>
              <w:right w:val="single" w:sz="4" w:space="0" w:color="000000"/>
            </w:tcBorders>
            <w:vAlign w:val="center"/>
          </w:tcPr>
          <w:p w:rsidR="0085675A" w:rsidRPr="00ED22D1" w:rsidRDefault="0085675A" w:rsidP="0085675A">
            <w:pPr>
              <w:jc w:val="right"/>
              <w:rPr>
                <w:b/>
                <w:sz w:val="20"/>
                <w:szCs w:val="20"/>
                <w:lang w:val="fr-CA"/>
              </w:rPr>
            </w:pPr>
            <w:r w:rsidRPr="00ED22D1">
              <w:rPr>
                <w:b/>
                <w:sz w:val="20"/>
                <w:szCs w:val="20"/>
                <w:lang w:val="fr-CA"/>
              </w:rPr>
              <w:t>29</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675A" w:rsidRPr="00ED22D1" w:rsidRDefault="0085675A" w:rsidP="0085675A">
            <w:pPr>
              <w:jc w:val="right"/>
              <w:rPr>
                <w:b/>
                <w:sz w:val="20"/>
                <w:szCs w:val="20"/>
                <w:lang w:val="fr-CA"/>
              </w:rPr>
            </w:pPr>
            <w:r w:rsidRPr="00ED22D1">
              <w:rPr>
                <w:b/>
                <w:sz w:val="20"/>
                <w:szCs w:val="20"/>
                <w:lang w:val="fr-CA"/>
              </w:rPr>
              <w:t>28</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675A" w:rsidRPr="00ED22D1" w:rsidRDefault="0085675A" w:rsidP="0085675A">
            <w:pPr>
              <w:jc w:val="right"/>
              <w:rPr>
                <w:b/>
                <w:bCs/>
                <w:sz w:val="20"/>
                <w:szCs w:val="20"/>
                <w:lang w:val="fr-CA"/>
              </w:rPr>
            </w:pPr>
            <w:r w:rsidRPr="00ED22D1">
              <w:rPr>
                <w:b/>
                <w:bCs/>
                <w:sz w:val="20"/>
                <w:szCs w:val="20"/>
                <w:lang w:val="fr-CA"/>
              </w:rPr>
              <w:t>28</w:t>
            </w:r>
          </w:p>
        </w:tc>
        <w:tc>
          <w:tcPr>
            <w:tcW w:w="1012" w:type="pct"/>
            <w:tcBorders>
              <w:top w:val="single" w:sz="4" w:space="0" w:color="000000"/>
              <w:left w:val="single" w:sz="4" w:space="0" w:color="000000"/>
              <w:bottom w:val="single" w:sz="4" w:space="0" w:color="000000"/>
              <w:right w:val="single" w:sz="4" w:space="0" w:color="000000"/>
            </w:tcBorders>
            <w:shd w:val="clear" w:color="auto" w:fill="auto"/>
            <w:noWrap/>
            <w:hideMark/>
          </w:tcPr>
          <w:p w:rsidR="0085675A" w:rsidRPr="00ED22D1" w:rsidRDefault="0085675A" w:rsidP="0085675A">
            <w:pPr>
              <w:jc w:val="right"/>
              <w:rPr>
                <w:b/>
                <w:sz w:val="20"/>
                <w:szCs w:val="20"/>
                <w:lang w:val="fr-CA"/>
              </w:rPr>
            </w:pPr>
            <w:r w:rsidRPr="00ED22D1">
              <w:rPr>
                <w:b/>
                <w:sz w:val="20"/>
                <w:szCs w:val="20"/>
                <w:lang w:val="fr-CA"/>
              </w:rPr>
              <w:t>1</w:t>
            </w:r>
            <w:r w:rsidR="004A6828" w:rsidRPr="00ED22D1">
              <w:rPr>
                <w:b/>
                <w:sz w:val="20"/>
                <w:szCs w:val="20"/>
                <w:lang w:val="fr-CA"/>
              </w:rPr>
              <w:t>0 </w:t>
            </w:r>
            <w:r w:rsidRPr="00ED22D1">
              <w:rPr>
                <w:b/>
                <w:sz w:val="20"/>
                <w:szCs w:val="20"/>
                <w:lang w:val="fr-CA"/>
              </w:rPr>
              <w:t>81</w:t>
            </w:r>
            <w:r w:rsidR="004A6828" w:rsidRPr="00ED22D1">
              <w:rPr>
                <w:b/>
                <w:sz w:val="20"/>
                <w:szCs w:val="20"/>
                <w:lang w:val="fr-CA"/>
              </w:rPr>
              <w:t>3,</w:t>
            </w:r>
            <w:r w:rsidRPr="00ED22D1">
              <w:rPr>
                <w:b/>
                <w:sz w:val="20"/>
                <w:szCs w:val="20"/>
                <w:lang w:val="fr-CA"/>
              </w:rPr>
              <w:t>7</w:t>
            </w:r>
          </w:p>
        </w:tc>
      </w:tr>
    </w:tbl>
    <w:p w:rsidR="0085675A" w:rsidRPr="00ED22D1" w:rsidRDefault="0085675A" w:rsidP="0085675A">
      <w:pPr>
        <w:rPr>
          <w:lang w:val="fr-CA"/>
        </w:rPr>
      </w:pPr>
    </w:p>
    <w:p w:rsidR="0085675A" w:rsidRPr="00ED22D1" w:rsidRDefault="004B666A" w:rsidP="0085675A">
      <w:pPr>
        <w:pStyle w:val="Heading1"/>
        <w:rPr>
          <w:lang w:val="fr-CA"/>
        </w:rPr>
      </w:pPr>
      <w:r w:rsidRPr="00ED22D1">
        <w:rPr>
          <w:lang w:val="fr-CA"/>
        </w:rPr>
        <w:t>Les activités d’assistance technique suivantes ont été mises en oeuvre</w:t>
      </w:r>
      <w:r w:rsidR="00791BF7" w:rsidRPr="00ED22D1">
        <w:rPr>
          <w:lang w:val="fr-CA"/>
        </w:rPr>
        <w:t> :</w:t>
      </w:r>
      <w:r w:rsidRPr="00ED22D1">
        <w:rPr>
          <w:lang w:val="fr-CA"/>
        </w:rPr>
        <w:t xml:space="preserve"> </w:t>
      </w:r>
    </w:p>
    <w:p w:rsidR="0085675A" w:rsidRPr="00ED22D1" w:rsidRDefault="004B666A" w:rsidP="0085675A">
      <w:pPr>
        <w:pStyle w:val="Heading2"/>
        <w:rPr>
          <w:lang w:val="fr-CA"/>
        </w:rPr>
      </w:pPr>
      <w:r w:rsidRPr="00ED22D1">
        <w:rPr>
          <w:lang w:val="fr-CA"/>
        </w:rPr>
        <w:t xml:space="preserve">Achevé la recherche sur la technologie avec </w:t>
      </w:r>
      <w:r w:rsidR="0085675A" w:rsidRPr="00ED22D1">
        <w:rPr>
          <w:lang w:val="fr-CA"/>
        </w:rPr>
        <w:t xml:space="preserve">R-290, </w:t>
      </w:r>
      <w:r w:rsidRPr="00ED22D1">
        <w:rPr>
          <w:lang w:val="fr-CA"/>
        </w:rPr>
        <w:t>y compris</w:t>
      </w:r>
      <w:r w:rsidR="0085675A" w:rsidRPr="00ED22D1">
        <w:rPr>
          <w:lang w:val="fr-CA"/>
        </w:rPr>
        <w:t xml:space="preserve"> </w:t>
      </w:r>
      <w:r w:rsidRPr="00ED22D1">
        <w:rPr>
          <w:lang w:val="fr-CA"/>
        </w:rPr>
        <w:t>les essais</w:t>
      </w:r>
      <w:r w:rsidR="004A6828" w:rsidRPr="00ED22D1">
        <w:rPr>
          <w:lang w:val="fr-CA"/>
        </w:rPr>
        <w:t xml:space="preserve"> et </w:t>
      </w:r>
      <w:r w:rsidRPr="00ED22D1">
        <w:rPr>
          <w:lang w:val="fr-CA"/>
        </w:rPr>
        <w:t>l’évaluation des risques</w:t>
      </w:r>
      <w:r w:rsidR="0085675A" w:rsidRPr="00ED22D1">
        <w:rPr>
          <w:lang w:val="fr-CA"/>
        </w:rPr>
        <w:t xml:space="preserve"> </w:t>
      </w:r>
      <w:r w:rsidRPr="00ED22D1">
        <w:rPr>
          <w:lang w:val="fr-CA"/>
        </w:rPr>
        <w:t xml:space="preserve">sur les fuites de R-290; optimisation de la </w:t>
      </w:r>
      <w:r w:rsidR="0085675A" w:rsidRPr="00ED22D1">
        <w:rPr>
          <w:lang w:val="fr-CA"/>
        </w:rPr>
        <w:t xml:space="preserve">performance </w:t>
      </w:r>
      <w:r w:rsidRPr="00ED22D1">
        <w:rPr>
          <w:lang w:val="fr-CA"/>
        </w:rPr>
        <w:t xml:space="preserve">des compresseurs avec </w:t>
      </w:r>
      <w:r w:rsidR="0085675A" w:rsidRPr="00ED22D1">
        <w:rPr>
          <w:lang w:val="fr-CA"/>
        </w:rPr>
        <w:t xml:space="preserve">R-290 </w:t>
      </w:r>
      <w:r w:rsidRPr="00ED22D1">
        <w:rPr>
          <w:lang w:val="fr-CA"/>
        </w:rPr>
        <w:t>sur la base d’une utilisation réduite de lubrifiant</w:t>
      </w:r>
      <w:r w:rsidR="0085675A" w:rsidRPr="00ED22D1">
        <w:rPr>
          <w:lang w:val="fr-CA"/>
        </w:rPr>
        <w:t>;</w:t>
      </w:r>
      <w:r w:rsidR="004A6828" w:rsidRPr="00ED22D1">
        <w:rPr>
          <w:lang w:val="fr-CA"/>
        </w:rPr>
        <w:t xml:space="preserve"> et </w:t>
      </w:r>
      <w:r w:rsidRPr="00ED22D1">
        <w:rPr>
          <w:lang w:val="fr-CA"/>
        </w:rPr>
        <w:t>réd</w:t>
      </w:r>
      <w:r w:rsidR="002F6D48" w:rsidRPr="00ED22D1">
        <w:rPr>
          <w:lang w:val="fr-CA"/>
        </w:rPr>
        <w:t>u</w:t>
      </w:r>
      <w:r w:rsidRPr="00ED22D1">
        <w:rPr>
          <w:lang w:val="fr-CA"/>
        </w:rPr>
        <w:t>ction de la charge de</w:t>
      </w:r>
      <w:r w:rsidR="00743D99" w:rsidRPr="00ED22D1">
        <w:rPr>
          <w:lang w:val="fr-CA"/>
        </w:rPr>
        <w:t> </w:t>
      </w:r>
      <w:r w:rsidRPr="00ED22D1">
        <w:rPr>
          <w:lang w:val="fr-CA"/>
        </w:rPr>
        <w:t>frigorigène par l’utilisation d</w:t>
      </w:r>
      <w:r w:rsidR="00743D99" w:rsidRPr="00ED22D1">
        <w:rPr>
          <w:lang w:val="fr-CA"/>
        </w:rPr>
        <w:t>’un</w:t>
      </w:r>
      <w:r w:rsidRPr="00ED22D1">
        <w:rPr>
          <w:lang w:val="fr-CA"/>
        </w:rPr>
        <w:t>e technologie</w:t>
      </w:r>
      <w:r w:rsidR="002F6D48" w:rsidRPr="00ED22D1">
        <w:rPr>
          <w:lang w:val="fr-CA"/>
        </w:rPr>
        <w:t xml:space="preserve"> avec micro</w:t>
      </w:r>
      <w:r w:rsidR="00616B46" w:rsidRPr="00ED22D1">
        <w:rPr>
          <w:lang w:val="fr-CA"/>
        </w:rPr>
        <w:t xml:space="preserve"> </w:t>
      </w:r>
      <w:r w:rsidR="002F6D48" w:rsidRPr="00ED22D1">
        <w:rPr>
          <w:lang w:val="fr-CA"/>
        </w:rPr>
        <w:t>canal</w:t>
      </w:r>
      <w:r w:rsidR="0085675A" w:rsidRPr="00ED22D1">
        <w:rPr>
          <w:lang w:val="fr-CA"/>
        </w:rPr>
        <w:t xml:space="preserve">; </w:t>
      </w:r>
    </w:p>
    <w:p w:rsidR="0085675A" w:rsidRPr="00ED22D1" w:rsidRDefault="002F6D48" w:rsidP="0085675A">
      <w:pPr>
        <w:pStyle w:val="Heading2"/>
        <w:rPr>
          <w:lang w:val="fr-CA"/>
        </w:rPr>
      </w:pPr>
      <w:r w:rsidRPr="00ED22D1">
        <w:rPr>
          <w:lang w:val="fr-CA"/>
        </w:rPr>
        <w:t xml:space="preserve">Achevé la </w:t>
      </w:r>
      <w:r w:rsidR="00DC23B2" w:rsidRPr="00ED22D1">
        <w:rPr>
          <w:lang w:val="fr-CA"/>
        </w:rPr>
        <w:t>recherche</w:t>
      </w:r>
      <w:r w:rsidRPr="00ED22D1">
        <w:rPr>
          <w:lang w:val="fr-CA"/>
        </w:rPr>
        <w:t xml:space="preserve"> sur les codes d’efficacité et les normes existantes</w:t>
      </w:r>
      <w:r w:rsidR="0085675A" w:rsidRPr="00ED22D1">
        <w:rPr>
          <w:rStyle w:val="FootnoteReference"/>
          <w:lang w:val="fr-CA"/>
        </w:rPr>
        <w:footnoteReference w:id="2"/>
      </w:r>
      <w:r w:rsidR="0085675A" w:rsidRPr="00ED22D1">
        <w:rPr>
          <w:lang w:val="fr-CA"/>
        </w:rPr>
        <w:t xml:space="preserve"> </w:t>
      </w:r>
      <w:r w:rsidRPr="00ED22D1">
        <w:rPr>
          <w:lang w:val="fr-CA"/>
        </w:rPr>
        <w:t>sur les utilisations des frigorigènes</w:t>
      </w:r>
      <w:r w:rsidR="0085675A" w:rsidRPr="00ED22D1">
        <w:rPr>
          <w:lang w:val="fr-CA"/>
        </w:rPr>
        <w:t xml:space="preserve"> </w:t>
      </w:r>
      <w:r w:rsidR="0052712E" w:rsidRPr="00ED22D1">
        <w:rPr>
          <w:lang w:val="fr-CA"/>
        </w:rPr>
        <w:t>en 20</w:t>
      </w:r>
      <w:r w:rsidR="0085675A" w:rsidRPr="00ED22D1">
        <w:rPr>
          <w:lang w:val="fr-CA"/>
        </w:rPr>
        <w:t xml:space="preserve">17; </w:t>
      </w:r>
    </w:p>
    <w:p w:rsidR="002F6D48" w:rsidRPr="00ED22D1" w:rsidRDefault="002F6D48" w:rsidP="002F6D48">
      <w:pPr>
        <w:pStyle w:val="Heading2"/>
        <w:rPr>
          <w:lang w:val="fr-CA"/>
        </w:rPr>
      </w:pPr>
      <w:r w:rsidRPr="00ED22D1">
        <w:rPr>
          <w:lang w:val="fr-CA"/>
        </w:rPr>
        <w:t>Des activités de sensibilisation du public</w:t>
      </w:r>
      <w:r w:rsidR="004A6828" w:rsidRPr="00ED22D1">
        <w:rPr>
          <w:lang w:val="fr-CA"/>
        </w:rPr>
        <w:t xml:space="preserve"> et </w:t>
      </w:r>
      <w:r w:rsidRPr="00ED22D1">
        <w:rPr>
          <w:lang w:val="fr-CA"/>
        </w:rPr>
        <w:t>de consultation</w:t>
      </w:r>
      <w:r w:rsidR="0085675A" w:rsidRPr="00ED22D1">
        <w:rPr>
          <w:lang w:val="fr-CA"/>
        </w:rPr>
        <w:t xml:space="preserve"> </w:t>
      </w:r>
      <w:r w:rsidRPr="00ED22D1">
        <w:rPr>
          <w:lang w:val="fr-CA"/>
        </w:rPr>
        <w:t>ont eu lieu</w:t>
      </w:r>
      <w:r w:rsidR="0085675A" w:rsidRPr="00ED22D1">
        <w:rPr>
          <w:lang w:val="fr-CA"/>
        </w:rPr>
        <w:t xml:space="preserve">, </w:t>
      </w:r>
      <w:r w:rsidR="004B666A" w:rsidRPr="00ED22D1">
        <w:rPr>
          <w:lang w:val="fr-CA"/>
        </w:rPr>
        <w:t>y compris</w:t>
      </w:r>
      <w:r w:rsidR="0085675A" w:rsidRPr="00ED22D1">
        <w:rPr>
          <w:lang w:val="fr-CA"/>
        </w:rPr>
        <w:t xml:space="preserve"> </w:t>
      </w:r>
      <w:r w:rsidRPr="00ED22D1">
        <w:rPr>
          <w:lang w:val="fr-CA"/>
        </w:rPr>
        <w:t xml:space="preserve">une table ronde </w:t>
      </w:r>
      <w:r w:rsidR="0085675A" w:rsidRPr="00ED22D1">
        <w:rPr>
          <w:lang w:val="fr-CA"/>
        </w:rPr>
        <w:t>Ozone</w:t>
      </w:r>
      <w:r w:rsidR="0085675A" w:rsidRPr="00ED22D1">
        <w:rPr>
          <w:lang w:val="fr-CA"/>
        </w:rPr>
        <w:noBreakHyphen/>
        <w:t>to</w:t>
      </w:r>
      <w:r w:rsidR="0085675A" w:rsidRPr="00ED22D1">
        <w:rPr>
          <w:lang w:val="fr-CA"/>
        </w:rPr>
        <w:noBreakHyphen/>
        <w:t xml:space="preserve">Climate (O2C) </w:t>
      </w:r>
      <w:r w:rsidRPr="00ED22D1">
        <w:rPr>
          <w:lang w:val="fr-CA"/>
        </w:rPr>
        <w:t xml:space="preserve">visant à accroître la sensibilisation à la technologie avec </w:t>
      </w:r>
      <w:r w:rsidR="0085675A" w:rsidRPr="00ED22D1">
        <w:rPr>
          <w:lang w:val="fr-CA"/>
        </w:rPr>
        <w:t xml:space="preserve">R-290 </w:t>
      </w:r>
      <w:r w:rsidR="004A6828" w:rsidRPr="00ED22D1">
        <w:rPr>
          <w:lang w:val="fr-CA"/>
        </w:rPr>
        <w:t xml:space="preserve">et </w:t>
      </w:r>
      <w:r w:rsidRPr="00ED22D1">
        <w:rPr>
          <w:lang w:val="fr-CA"/>
        </w:rPr>
        <w:t xml:space="preserve">un </w:t>
      </w:r>
      <w:r w:rsidR="00DC23B2" w:rsidRPr="00ED22D1">
        <w:rPr>
          <w:lang w:val="fr-CA"/>
        </w:rPr>
        <w:t>événement</w:t>
      </w:r>
      <w:r w:rsidRPr="00ED22D1">
        <w:rPr>
          <w:lang w:val="fr-CA"/>
        </w:rPr>
        <w:t xml:space="preserve"> visant à promouvoir les climatiseurs avec </w:t>
      </w:r>
      <w:r w:rsidR="0085675A" w:rsidRPr="00ED22D1">
        <w:rPr>
          <w:lang w:val="fr-CA"/>
        </w:rPr>
        <w:t xml:space="preserve">R-290 </w:t>
      </w:r>
      <w:r w:rsidR="004A6828" w:rsidRPr="00ED22D1">
        <w:rPr>
          <w:lang w:val="fr-CA"/>
        </w:rPr>
        <w:t>et</w:t>
      </w:r>
      <w:r w:rsidR="00743D99" w:rsidRPr="00ED22D1">
        <w:rPr>
          <w:lang w:val="fr-CA"/>
        </w:rPr>
        <w:t> </w:t>
      </w:r>
      <w:r w:rsidRPr="00ED22D1">
        <w:rPr>
          <w:lang w:val="fr-CA"/>
        </w:rPr>
        <w:t>à</w:t>
      </w:r>
      <w:r w:rsidR="00743D99" w:rsidRPr="00ED22D1">
        <w:rPr>
          <w:lang w:val="fr-CA"/>
        </w:rPr>
        <w:t> </w:t>
      </w:r>
      <w:r w:rsidRPr="00ED22D1">
        <w:rPr>
          <w:lang w:val="fr-CA"/>
        </w:rPr>
        <w:t xml:space="preserve">accroître la sensibilisation à la </w:t>
      </w:r>
      <w:r w:rsidR="004B666A" w:rsidRPr="00ED22D1">
        <w:rPr>
          <w:lang w:val="fr-CA"/>
        </w:rPr>
        <w:t>technologie</w:t>
      </w:r>
      <w:r w:rsidR="0085675A" w:rsidRPr="00ED22D1">
        <w:rPr>
          <w:lang w:val="fr-CA"/>
        </w:rPr>
        <w:t xml:space="preserve"> </w:t>
      </w:r>
      <w:r w:rsidRPr="00ED22D1">
        <w:rPr>
          <w:lang w:val="fr-CA"/>
        </w:rPr>
        <w:t>à deux communautés résidentielles de</w:t>
      </w:r>
      <w:r w:rsidR="00743D99" w:rsidRPr="00ED22D1">
        <w:rPr>
          <w:lang w:val="fr-CA"/>
        </w:rPr>
        <w:t> </w:t>
      </w:r>
      <w:r w:rsidR="0085675A" w:rsidRPr="00ED22D1">
        <w:rPr>
          <w:lang w:val="fr-CA"/>
        </w:rPr>
        <w:t>Beijing;</w:t>
      </w:r>
      <w:r w:rsidR="004A6828" w:rsidRPr="00ED22D1">
        <w:rPr>
          <w:lang w:val="fr-CA"/>
        </w:rPr>
        <w:t xml:space="preserve"> et </w:t>
      </w:r>
      <w:r w:rsidRPr="00ED22D1">
        <w:rPr>
          <w:lang w:val="fr-CA"/>
        </w:rPr>
        <w:t xml:space="preserve">un atelier </w:t>
      </w:r>
      <w:r w:rsidR="0085675A" w:rsidRPr="00ED22D1">
        <w:rPr>
          <w:lang w:val="fr-CA"/>
        </w:rPr>
        <w:t xml:space="preserve">international </w:t>
      </w:r>
      <w:r w:rsidRPr="00ED22D1">
        <w:rPr>
          <w:lang w:val="fr-CA"/>
        </w:rPr>
        <w:t xml:space="preserve">sur le développement de la technologie avec </w:t>
      </w:r>
      <w:r w:rsidR="0085675A" w:rsidRPr="00ED22D1">
        <w:rPr>
          <w:lang w:val="fr-CA"/>
        </w:rPr>
        <w:t xml:space="preserve">R-290 </w:t>
      </w:r>
      <w:r w:rsidRPr="00ED22D1">
        <w:rPr>
          <w:lang w:val="fr-CA"/>
        </w:rPr>
        <w:t xml:space="preserve">dans le secteur des </w:t>
      </w:r>
      <w:r w:rsidR="004A6828" w:rsidRPr="00ED22D1">
        <w:rPr>
          <w:lang w:val="fr-CA"/>
        </w:rPr>
        <w:t>climatiseurs résidentiels</w:t>
      </w:r>
      <w:r w:rsidR="00B84F94" w:rsidRPr="00ED22D1">
        <w:rPr>
          <w:lang w:val="fr-CA"/>
        </w:rPr>
        <w:t xml:space="preserve">; et </w:t>
      </w:r>
    </w:p>
    <w:p w:rsidR="0085675A" w:rsidRPr="00ED22D1" w:rsidRDefault="002F6D48" w:rsidP="00C80221">
      <w:pPr>
        <w:pStyle w:val="Heading2"/>
        <w:keepNext/>
        <w:keepLines/>
        <w:rPr>
          <w:b/>
          <w:lang w:val="fr-CA"/>
        </w:rPr>
      </w:pPr>
      <w:r w:rsidRPr="00ED22D1">
        <w:rPr>
          <w:b/>
          <w:lang w:val="fr-CA"/>
        </w:rPr>
        <w:lastRenderedPageBreak/>
        <w:t xml:space="preserve">Un atelier international sur le développement de la technologie avec </w:t>
      </w:r>
      <w:r w:rsidR="0085675A" w:rsidRPr="00ED22D1">
        <w:rPr>
          <w:rStyle w:val="Heading1Char1"/>
          <w:b/>
          <w:lang w:val="fr-CA"/>
        </w:rPr>
        <w:t xml:space="preserve">R-290 </w:t>
      </w:r>
      <w:r w:rsidRPr="00ED22D1">
        <w:rPr>
          <w:rStyle w:val="Heading1Char1"/>
          <w:b/>
          <w:lang w:val="fr-CA"/>
        </w:rPr>
        <w:t>dans le secteur des clim</w:t>
      </w:r>
      <w:r w:rsidR="004A6828" w:rsidRPr="00ED22D1">
        <w:rPr>
          <w:rStyle w:val="Heading1Char1"/>
          <w:b/>
          <w:lang w:val="fr-CA"/>
        </w:rPr>
        <w:t>atiseurs résidentiels</w:t>
      </w:r>
      <w:r w:rsidR="0085675A" w:rsidRPr="00ED22D1">
        <w:rPr>
          <w:rStyle w:val="Heading1Char1"/>
          <w:b/>
          <w:lang w:val="fr-CA"/>
        </w:rPr>
        <w:t xml:space="preserve">, </w:t>
      </w:r>
      <w:r w:rsidR="004B666A" w:rsidRPr="00ED22D1">
        <w:rPr>
          <w:rStyle w:val="Heading1Char1"/>
          <w:b/>
          <w:lang w:val="fr-CA"/>
        </w:rPr>
        <w:t>y compris</w:t>
      </w:r>
      <w:r w:rsidR="0085675A" w:rsidRPr="00ED22D1">
        <w:rPr>
          <w:rStyle w:val="Heading1Char1"/>
          <w:b/>
          <w:lang w:val="fr-CA"/>
        </w:rPr>
        <w:t xml:space="preserve"> </w:t>
      </w:r>
      <w:r w:rsidRPr="00ED22D1">
        <w:rPr>
          <w:rStyle w:val="Heading1Char1"/>
          <w:b/>
          <w:lang w:val="fr-CA"/>
        </w:rPr>
        <w:t>la promotion du rendement, les</w:t>
      </w:r>
      <w:r w:rsidR="00743D99" w:rsidRPr="00ED22D1">
        <w:rPr>
          <w:rStyle w:val="Heading1Char1"/>
          <w:b/>
          <w:lang w:val="fr-CA"/>
        </w:rPr>
        <w:t> </w:t>
      </w:r>
      <w:r w:rsidRPr="00ED22D1">
        <w:rPr>
          <w:rStyle w:val="Heading1Char1"/>
          <w:b/>
          <w:lang w:val="fr-CA"/>
        </w:rPr>
        <w:t>mesures de sécurité, les nouveaux compresseurs, et l’élaboration de normes internationales</w:t>
      </w:r>
      <w:r w:rsidR="0085675A" w:rsidRPr="00ED22D1">
        <w:rPr>
          <w:b/>
          <w:lang w:val="fr-CA"/>
        </w:rPr>
        <w:t>.</w:t>
      </w:r>
    </w:p>
    <w:p w:rsidR="0085675A" w:rsidRPr="00ED22D1" w:rsidRDefault="002F6D48" w:rsidP="0085675A">
      <w:pPr>
        <w:pStyle w:val="Heading1"/>
        <w:keepNext/>
        <w:keepLines/>
        <w:rPr>
          <w:lang w:val="fr-CA"/>
        </w:rPr>
      </w:pPr>
      <w:r w:rsidRPr="00ED22D1">
        <w:rPr>
          <w:lang w:val="fr-CA"/>
        </w:rPr>
        <w:t xml:space="preserve">Les circuits </w:t>
      </w:r>
      <w:r w:rsidR="004B666A" w:rsidRPr="00ED22D1">
        <w:rPr>
          <w:lang w:val="fr-CA"/>
        </w:rPr>
        <w:t>reconverti</w:t>
      </w:r>
      <w:r w:rsidR="0085675A" w:rsidRPr="00ED22D1">
        <w:rPr>
          <w:lang w:val="fr-CA"/>
        </w:rPr>
        <w:t xml:space="preserve">s </w:t>
      </w:r>
      <w:r w:rsidR="00743D99" w:rsidRPr="00ED22D1">
        <w:rPr>
          <w:lang w:val="fr-CA"/>
        </w:rPr>
        <w:t>affichent</w:t>
      </w:r>
      <w:r w:rsidRPr="00ED22D1">
        <w:rPr>
          <w:lang w:val="fr-CA"/>
        </w:rPr>
        <w:t xml:space="preserve"> encore une possibilité de fabrication limitée</w:t>
      </w:r>
      <w:r w:rsidR="00791BF7" w:rsidRPr="00ED22D1">
        <w:rPr>
          <w:lang w:val="fr-CA"/>
        </w:rPr>
        <w:t> :</w:t>
      </w:r>
      <w:r w:rsidR="0085675A" w:rsidRPr="00ED22D1">
        <w:rPr>
          <w:lang w:val="fr-CA"/>
        </w:rPr>
        <w:t xml:space="preserve"> </w:t>
      </w:r>
      <w:r w:rsidRPr="00ED22D1">
        <w:rPr>
          <w:lang w:val="fr-CA"/>
        </w:rPr>
        <w:t xml:space="preserve">environ </w:t>
      </w:r>
      <w:r w:rsidR="0085675A" w:rsidRPr="00ED22D1">
        <w:rPr>
          <w:b/>
          <w:lang w:val="fr-CA"/>
        </w:rPr>
        <w:t>6</w:t>
      </w:r>
      <w:r w:rsidR="004A6828" w:rsidRPr="00ED22D1">
        <w:rPr>
          <w:b/>
          <w:lang w:val="fr-CA"/>
        </w:rPr>
        <w:t>4 </w:t>
      </w:r>
      <w:r w:rsidR="0085675A" w:rsidRPr="00ED22D1">
        <w:rPr>
          <w:b/>
          <w:lang w:val="fr-CA"/>
        </w:rPr>
        <w:t>356</w:t>
      </w:r>
      <w:r w:rsidR="0085675A" w:rsidRPr="00ED22D1">
        <w:rPr>
          <w:lang w:val="fr-CA"/>
        </w:rPr>
        <w:t> </w:t>
      </w:r>
      <w:r w:rsidRPr="00ED22D1">
        <w:rPr>
          <w:lang w:val="fr-CA"/>
        </w:rPr>
        <w:t xml:space="preserve">unités </w:t>
      </w:r>
      <w:r w:rsidR="0052338F" w:rsidRPr="00ED22D1">
        <w:rPr>
          <w:lang w:val="fr-CA"/>
        </w:rPr>
        <w:t>biblocs</w:t>
      </w:r>
      <w:r w:rsidRPr="00ED22D1">
        <w:rPr>
          <w:lang w:val="fr-CA"/>
        </w:rPr>
        <w:t xml:space="preserve"> avec </w:t>
      </w:r>
      <w:r w:rsidR="0085675A" w:rsidRPr="00ED22D1">
        <w:rPr>
          <w:lang w:val="fr-CA"/>
        </w:rPr>
        <w:t>R</w:t>
      </w:r>
      <w:r w:rsidR="0085675A" w:rsidRPr="00ED22D1">
        <w:rPr>
          <w:lang w:val="fr-CA"/>
        </w:rPr>
        <w:noBreakHyphen/>
        <w:t xml:space="preserve">290 </w:t>
      </w:r>
      <w:r w:rsidR="004A6828" w:rsidRPr="00ED22D1">
        <w:rPr>
          <w:lang w:val="fr-CA"/>
        </w:rPr>
        <w:t xml:space="preserve">et </w:t>
      </w:r>
      <w:r w:rsidR="004A6828" w:rsidRPr="00ED22D1">
        <w:rPr>
          <w:b/>
          <w:lang w:val="fr-CA"/>
        </w:rPr>
        <w:t>1 </w:t>
      </w:r>
      <w:r w:rsidR="0085675A" w:rsidRPr="00ED22D1">
        <w:rPr>
          <w:b/>
          <w:lang w:val="fr-CA"/>
        </w:rPr>
        <w:t>03</w:t>
      </w:r>
      <w:r w:rsidR="004A6828" w:rsidRPr="00ED22D1">
        <w:rPr>
          <w:b/>
          <w:lang w:val="fr-CA"/>
        </w:rPr>
        <w:t>7</w:t>
      </w:r>
      <w:r w:rsidR="00BA42C0" w:rsidRPr="00ED22D1">
        <w:rPr>
          <w:b/>
          <w:lang w:val="fr-CA"/>
        </w:rPr>
        <w:t> 000 </w:t>
      </w:r>
      <w:r w:rsidRPr="00ED22D1">
        <w:rPr>
          <w:lang w:val="fr-CA"/>
        </w:rPr>
        <w:t>compresseurs avec R</w:t>
      </w:r>
      <w:r w:rsidR="0085675A" w:rsidRPr="00ED22D1">
        <w:rPr>
          <w:lang w:val="fr-CA"/>
        </w:rPr>
        <w:t xml:space="preserve">-290, </w:t>
      </w:r>
      <w:r w:rsidR="004B666A" w:rsidRPr="00ED22D1">
        <w:rPr>
          <w:b/>
          <w:lang w:val="fr-CA"/>
        </w:rPr>
        <w:t>y compris</w:t>
      </w:r>
      <w:r w:rsidR="0085675A" w:rsidRPr="00ED22D1">
        <w:rPr>
          <w:b/>
          <w:lang w:val="fr-CA"/>
        </w:rPr>
        <w:t xml:space="preserve"> 17</w:t>
      </w:r>
      <w:r w:rsidR="004A6828" w:rsidRPr="00ED22D1">
        <w:rPr>
          <w:b/>
          <w:lang w:val="fr-CA"/>
        </w:rPr>
        <w:t>0 </w:t>
      </w:r>
      <w:r w:rsidR="0085675A" w:rsidRPr="00ED22D1">
        <w:rPr>
          <w:b/>
          <w:lang w:val="fr-CA"/>
        </w:rPr>
        <w:t xml:space="preserve">000 </w:t>
      </w:r>
      <w:r w:rsidRPr="00ED22D1">
        <w:rPr>
          <w:b/>
          <w:lang w:val="fr-CA"/>
        </w:rPr>
        <w:t>pour l’</w:t>
      </w:r>
      <w:r w:rsidR="00DC23B2" w:rsidRPr="00ED22D1">
        <w:rPr>
          <w:b/>
          <w:lang w:val="fr-CA"/>
        </w:rPr>
        <w:t>exportation</w:t>
      </w:r>
      <w:r w:rsidRPr="00ED22D1">
        <w:rPr>
          <w:b/>
          <w:lang w:val="fr-CA"/>
        </w:rPr>
        <w:t>,</w:t>
      </w:r>
      <w:r w:rsidR="0085675A" w:rsidRPr="00ED22D1">
        <w:rPr>
          <w:lang w:val="fr-CA"/>
        </w:rPr>
        <w:t xml:space="preserve"> </w:t>
      </w:r>
      <w:r w:rsidRPr="00ED22D1">
        <w:rPr>
          <w:lang w:val="fr-CA"/>
        </w:rPr>
        <w:t xml:space="preserve">ont été vendus </w:t>
      </w:r>
      <w:r w:rsidRPr="00ED22D1">
        <w:rPr>
          <w:b/>
          <w:lang w:val="fr-CA"/>
        </w:rPr>
        <w:t xml:space="preserve">jusqu’à la fin mars </w:t>
      </w:r>
      <w:r w:rsidR="0085675A" w:rsidRPr="00ED22D1">
        <w:rPr>
          <w:b/>
          <w:lang w:val="fr-CA"/>
        </w:rPr>
        <w:t>201</w:t>
      </w:r>
      <w:r w:rsidR="004A6828" w:rsidRPr="00ED22D1">
        <w:rPr>
          <w:b/>
          <w:lang w:val="fr-CA"/>
        </w:rPr>
        <w:t>9</w:t>
      </w:r>
      <w:r w:rsidR="0031390F" w:rsidRPr="00ED22D1">
        <w:rPr>
          <w:b/>
          <w:lang w:val="fr-CA"/>
        </w:rPr>
        <w:t>. Le</w:t>
      </w:r>
      <w:r w:rsidRPr="00ED22D1">
        <w:rPr>
          <w:b/>
          <w:lang w:val="fr-CA"/>
        </w:rPr>
        <w:t xml:space="preserve">s surcoûts d’exploitation </w:t>
      </w:r>
      <w:r w:rsidR="0085675A" w:rsidRPr="00ED22D1">
        <w:rPr>
          <w:lang w:val="fr-CA"/>
        </w:rPr>
        <w:t>(</w:t>
      </w:r>
      <w:r w:rsidR="0085675A" w:rsidRPr="00ED22D1">
        <w:rPr>
          <w:b/>
          <w:lang w:val="fr-CA"/>
        </w:rPr>
        <w:t xml:space="preserve">IOC) </w:t>
      </w:r>
      <w:r w:rsidRPr="00ED22D1">
        <w:rPr>
          <w:b/>
          <w:lang w:val="fr-CA"/>
        </w:rPr>
        <w:t xml:space="preserve">liés à la vente de </w:t>
      </w:r>
      <w:r w:rsidR="0085675A" w:rsidRPr="00ED22D1">
        <w:rPr>
          <w:b/>
          <w:lang w:val="fr-CA"/>
        </w:rPr>
        <w:t>R-290 unit</w:t>
      </w:r>
      <w:r w:rsidRPr="00ED22D1">
        <w:rPr>
          <w:b/>
          <w:lang w:val="fr-CA"/>
        </w:rPr>
        <w:t>é</w:t>
      </w:r>
      <w:r w:rsidR="0085675A" w:rsidRPr="00ED22D1">
        <w:rPr>
          <w:b/>
          <w:lang w:val="fr-CA"/>
        </w:rPr>
        <w:t xml:space="preserve">s </w:t>
      </w:r>
      <w:r w:rsidRPr="00ED22D1">
        <w:rPr>
          <w:b/>
          <w:lang w:val="fr-CA"/>
        </w:rPr>
        <w:t xml:space="preserve">n’ont pas encore été </w:t>
      </w:r>
      <w:r w:rsidR="00181884" w:rsidRPr="00ED22D1">
        <w:rPr>
          <w:b/>
          <w:lang w:val="fr-CA"/>
        </w:rPr>
        <w:t>décaissé</w:t>
      </w:r>
      <w:r w:rsidRPr="00ED22D1">
        <w:rPr>
          <w:b/>
          <w:lang w:val="fr-CA"/>
        </w:rPr>
        <w:t xml:space="preserve">s, parce que les accords supplémentaires sur les </w:t>
      </w:r>
      <w:r w:rsidR="008450A6" w:rsidRPr="00ED22D1">
        <w:rPr>
          <w:b/>
          <w:lang w:val="fr-CA"/>
        </w:rPr>
        <w:t>IOC</w:t>
      </w:r>
      <w:r w:rsidRPr="00ED22D1">
        <w:rPr>
          <w:b/>
          <w:lang w:val="fr-CA"/>
        </w:rPr>
        <w:t xml:space="preserve"> </w:t>
      </w:r>
      <w:r w:rsidR="00B84F94" w:rsidRPr="00ED22D1">
        <w:rPr>
          <w:b/>
          <w:lang w:val="fr-CA"/>
        </w:rPr>
        <w:t>avec</w:t>
      </w:r>
      <w:r w:rsidRPr="00ED22D1">
        <w:rPr>
          <w:b/>
          <w:lang w:val="fr-CA"/>
        </w:rPr>
        <w:t xml:space="preserve"> tous les bénéficiaires sauf trois s’appliquent aux produits fabriqués avant le </w:t>
      </w:r>
      <w:r w:rsidR="0085675A" w:rsidRPr="00ED22D1">
        <w:rPr>
          <w:b/>
          <w:lang w:val="fr-CA"/>
        </w:rPr>
        <w:t>31</w:t>
      </w:r>
      <w:r w:rsidR="001B31BF" w:rsidRPr="00ED22D1">
        <w:rPr>
          <w:b/>
          <w:lang w:val="fr-CA"/>
        </w:rPr>
        <w:t xml:space="preserve"> décembre</w:t>
      </w:r>
      <w:r w:rsidR="0085675A" w:rsidRPr="00ED22D1">
        <w:rPr>
          <w:b/>
          <w:lang w:val="fr-CA"/>
        </w:rPr>
        <w:t xml:space="preserve"> 201</w:t>
      </w:r>
      <w:r w:rsidR="004A6828" w:rsidRPr="00ED22D1">
        <w:rPr>
          <w:b/>
          <w:lang w:val="fr-CA"/>
        </w:rPr>
        <w:t>7</w:t>
      </w:r>
      <w:r w:rsidR="00C420BC" w:rsidRPr="00ED22D1">
        <w:rPr>
          <w:b/>
          <w:lang w:val="fr-CA"/>
        </w:rPr>
        <w:t>. L’</w:t>
      </w:r>
      <w:r w:rsidRPr="00ED22D1">
        <w:rPr>
          <w:b/>
          <w:lang w:val="fr-CA"/>
        </w:rPr>
        <w:t xml:space="preserve">une des trois </w:t>
      </w:r>
      <w:r w:rsidR="00921BDE" w:rsidRPr="00ED22D1">
        <w:rPr>
          <w:b/>
          <w:lang w:val="fr-CA"/>
        </w:rPr>
        <w:t>entreprise</w:t>
      </w:r>
      <w:r w:rsidR="0085675A" w:rsidRPr="00ED22D1">
        <w:rPr>
          <w:b/>
          <w:lang w:val="fr-CA"/>
        </w:rPr>
        <w:t xml:space="preserve">s </w:t>
      </w:r>
      <w:r w:rsidR="00B84F94" w:rsidRPr="00ED22D1">
        <w:rPr>
          <w:b/>
          <w:lang w:val="fr-CA"/>
        </w:rPr>
        <w:t xml:space="preserve">avec </w:t>
      </w:r>
      <w:r w:rsidRPr="00ED22D1">
        <w:rPr>
          <w:b/>
          <w:lang w:val="fr-CA"/>
        </w:rPr>
        <w:t xml:space="preserve">un accord de surcoûts d’exploitation a vendu </w:t>
      </w:r>
      <w:r w:rsidR="004A6828" w:rsidRPr="00ED22D1">
        <w:rPr>
          <w:b/>
          <w:lang w:val="fr-CA"/>
        </w:rPr>
        <w:t>4 </w:t>
      </w:r>
      <w:r w:rsidR="0085675A" w:rsidRPr="00ED22D1">
        <w:rPr>
          <w:b/>
          <w:lang w:val="fr-CA"/>
        </w:rPr>
        <w:t xml:space="preserve">952 </w:t>
      </w:r>
      <w:r w:rsidRPr="00ED22D1">
        <w:rPr>
          <w:b/>
          <w:lang w:val="fr-CA"/>
        </w:rPr>
        <w:t xml:space="preserve">unités </w:t>
      </w:r>
      <w:r w:rsidR="008450A6" w:rsidRPr="00ED22D1">
        <w:rPr>
          <w:b/>
          <w:lang w:val="fr-CA"/>
        </w:rPr>
        <w:t xml:space="preserve">de catégorie 2 </w:t>
      </w:r>
      <w:r w:rsidRPr="00ED22D1">
        <w:rPr>
          <w:b/>
          <w:lang w:val="fr-CA"/>
        </w:rPr>
        <w:t xml:space="preserve">avec une efficacité énergétique </w:t>
      </w:r>
      <w:r w:rsidR="008450A6" w:rsidRPr="00ED22D1">
        <w:rPr>
          <w:b/>
          <w:lang w:val="fr-CA"/>
        </w:rPr>
        <w:t>de</w:t>
      </w:r>
      <w:r w:rsidRPr="00ED22D1">
        <w:rPr>
          <w:b/>
          <w:lang w:val="fr-CA"/>
        </w:rPr>
        <w:t xml:space="preserve"> catégorie</w:t>
      </w:r>
      <w:r w:rsidR="0085675A" w:rsidRPr="00ED22D1">
        <w:rPr>
          <w:b/>
          <w:lang w:val="fr-CA"/>
        </w:rPr>
        <w:t xml:space="preserve"> 2, </w:t>
      </w:r>
      <w:r w:rsidRPr="00ED22D1">
        <w:rPr>
          <w:b/>
          <w:lang w:val="fr-CA"/>
        </w:rPr>
        <w:t xml:space="preserve">des unités à vitesse fixe et </w:t>
      </w:r>
      <w:r w:rsidR="0085675A" w:rsidRPr="00ED22D1">
        <w:rPr>
          <w:b/>
          <w:lang w:val="fr-CA"/>
        </w:rPr>
        <w:t xml:space="preserve">12 </w:t>
      </w:r>
      <w:r w:rsidR="00DE118B" w:rsidRPr="00ED22D1">
        <w:rPr>
          <w:b/>
          <w:lang w:val="fr-CA"/>
        </w:rPr>
        <w:t>unités à circuit inverseur avec une efficacité énergétique de catégorie</w:t>
      </w:r>
      <w:r w:rsidR="0085675A" w:rsidRPr="00ED22D1">
        <w:rPr>
          <w:b/>
          <w:lang w:val="fr-CA"/>
        </w:rPr>
        <w:t xml:space="preserve"> 2</w:t>
      </w:r>
      <w:r w:rsidR="008450A6" w:rsidRPr="00ED22D1">
        <w:rPr>
          <w:b/>
          <w:lang w:val="fr-CA"/>
        </w:rPr>
        <w:t>. L</w:t>
      </w:r>
      <w:r w:rsidR="00DE118B" w:rsidRPr="00ED22D1">
        <w:rPr>
          <w:b/>
          <w:lang w:val="fr-CA"/>
        </w:rPr>
        <w:t>e paiement subséquent de</w:t>
      </w:r>
      <w:r w:rsidR="008450A6" w:rsidRPr="00ED22D1">
        <w:rPr>
          <w:b/>
          <w:lang w:val="fr-CA"/>
        </w:rPr>
        <w:t> </w:t>
      </w:r>
      <w:r w:rsidR="004A6828" w:rsidRPr="00ED22D1">
        <w:rPr>
          <w:b/>
          <w:lang w:val="fr-CA"/>
        </w:rPr>
        <w:t>1 </w:t>
      </w:r>
      <w:r w:rsidR="0085675A" w:rsidRPr="00ED22D1">
        <w:rPr>
          <w:b/>
          <w:lang w:val="fr-CA"/>
        </w:rPr>
        <w:t>48</w:t>
      </w:r>
      <w:r w:rsidR="004A6828" w:rsidRPr="00ED22D1">
        <w:rPr>
          <w:b/>
          <w:lang w:val="fr-CA"/>
        </w:rPr>
        <w:t>9 </w:t>
      </w:r>
      <w:r w:rsidR="0085675A" w:rsidRPr="00ED22D1">
        <w:rPr>
          <w:b/>
          <w:lang w:val="fr-CA"/>
        </w:rPr>
        <w:t>920 RMB (22</w:t>
      </w:r>
      <w:r w:rsidR="004A6828" w:rsidRPr="00ED22D1">
        <w:rPr>
          <w:b/>
          <w:lang w:val="fr-CA"/>
        </w:rPr>
        <w:t>1 </w:t>
      </w:r>
      <w:r w:rsidR="0085675A" w:rsidRPr="00ED22D1">
        <w:rPr>
          <w:b/>
          <w:lang w:val="fr-CA"/>
        </w:rPr>
        <w:t>220</w:t>
      </w:r>
      <w:r w:rsidR="00EC100C" w:rsidRPr="00ED22D1">
        <w:rPr>
          <w:b/>
          <w:lang w:val="fr-CA"/>
        </w:rPr>
        <w:t> $US</w:t>
      </w:r>
      <w:r w:rsidR="0085675A" w:rsidRPr="00ED22D1">
        <w:rPr>
          <w:b/>
          <w:lang w:val="fr-CA"/>
        </w:rPr>
        <w:t xml:space="preserve">) </w:t>
      </w:r>
      <w:r w:rsidR="00DE118B" w:rsidRPr="00ED22D1">
        <w:rPr>
          <w:b/>
          <w:lang w:val="fr-CA"/>
        </w:rPr>
        <w:t>est en cours</w:t>
      </w:r>
      <w:r w:rsidR="0085675A" w:rsidRPr="00ED22D1">
        <w:rPr>
          <w:b/>
          <w:lang w:val="fr-CA"/>
        </w:rPr>
        <w:t xml:space="preserve">. </w:t>
      </w:r>
    </w:p>
    <w:p w:rsidR="0085675A" w:rsidRPr="00ED22D1" w:rsidRDefault="00DE118B" w:rsidP="0085675A">
      <w:pPr>
        <w:rPr>
          <w:u w:val="single"/>
          <w:lang w:val="fr-CA"/>
        </w:rPr>
      </w:pPr>
      <w:r w:rsidRPr="00ED22D1">
        <w:rPr>
          <w:u w:val="single"/>
          <w:lang w:val="fr-CA"/>
        </w:rPr>
        <w:t>Décaissement du financement</w:t>
      </w:r>
    </w:p>
    <w:p w:rsidR="0085675A" w:rsidRPr="00ED22D1" w:rsidRDefault="0085675A" w:rsidP="0085675A">
      <w:pPr>
        <w:rPr>
          <w:lang w:val="fr-CA"/>
        </w:rPr>
      </w:pPr>
    </w:p>
    <w:p w:rsidR="0085675A" w:rsidRPr="00ED22D1" w:rsidRDefault="00DE118B" w:rsidP="0085675A">
      <w:pPr>
        <w:pStyle w:val="Heading1"/>
        <w:rPr>
          <w:lang w:val="fr-CA"/>
        </w:rPr>
      </w:pPr>
      <w:r w:rsidRPr="00ED22D1">
        <w:rPr>
          <w:lang w:val="fr-CA"/>
        </w:rPr>
        <w:t>En date d’</w:t>
      </w:r>
      <w:r w:rsidR="008450A6" w:rsidRPr="00ED22D1">
        <w:rPr>
          <w:b/>
          <w:lang w:val="fr-CA"/>
        </w:rPr>
        <w:t>a</w:t>
      </w:r>
      <w:r w:rsidRPr="00ED22D1">
        <w:rPr>
          <w:b/>
          <w:lang w:val="fr-CA"/>
        </w:rPr>
        <w:t>v</w:t>
      </w:r>
      <w:r w:rsidR="0085675A" w:rsidRPr="00ED22D1">
        <w:rPr>
          <w:b/>
          <w:lang w:val="fr-CA"/>
        </w:rPr>
        <w:t>ril 201</w:t>
      </w:r>
      <w:r w:rsidR="004A6828" w:rsidRPr="00ED22D1">
        <w:rPr>
          <w:b/>
          <w:lang w:val="fr-CA"/>
        </w:rPr>
        <w:t>9</w:t>
      </w:r>
      <w:r w:rsidRPr="00ED22D1">
        <w:rPr>
          <w:b/>
          <w:lang w:val="fr-CA"/>
        </w:rPr>
        <w:t>,</w:t>
      </w:r>
      <w:r w:rsidR="0085675A" w:rsidRPr="00ED22D1">
        <w:rPr>
          <w:lang w:val="fr-CA"/>
        </w:rPr>
        <w:t xml:space="preserve"> </w:t>
      </w:r>
      <w:r w:rsidRPr="00ED22D1">
        <w:rPr>
          <w:lang w:val="fr-CA"/>
        </w:rPr>
        <w:t>des</w:t>
      </w:r>
      <w:r w:rsidR="0085675A" w:rsidRPr="00ED22D1">
        <w:rPr>
          <w:lang w:val="fr-CA"/>
        </w:rPr>
        <w:t xml:space="preserve"> 7</w:t>
      </w:r>
      <w:r w:rsidR="004A6828" w:rsidRPr="00ED22D1">
        <w:rPr>
          <w:lang w:val="fr-CA"/>
        </w:rPr>
        <w:t>5 </w:t>
      </w:r>
      <w:r w:rsidR="0085675A" w:rsidRPr="00ED22D1">
        <w:rPr>
          <w:lang w:val="fr-CA"/>
        </w:rPr>
        <w:t>00</w:t>
      </w:r>
      <w:r w:rsidR="004A6828" w:rsidRPr="00ED22D1">
        <w:rPr>
          <w:lang w:val="fr-CA"/>
        </w:rPr>
        <w:t>0</w:t>
      </w:r>
      <w:r w:rsidR="00BA42C0" w:rsidRPr="00ED22D1">
        <w:rPr>
          <w:lang w:val="fr-CA"/>
        </w:rPr>
        <w:t> 000 $US</w:t>
      </w:r>
      <w:r w:rsidR="0085675A" w:rsidRPr="00ED22D1">
        <w:rPr>
          <w:lang w:val="fr-CA"/>
        </w:rPr>
        <w:t xml:space="preserve"> </w:t>
      </w:r>
      <w:r w:rsidR="00AA6E77" w:rsidRPr="00ED22D1">
        <w:rPr>
          <w:lang w:val="fr-CA"/>
        </w:rPr>
        <w:t>approuvé</w:t>
      </w:r>
      <w:r w:rsidRPr="00ED22D1">
        <w:rPr>
          <w:lang w:val="fr-CA"/>
        </w:rPr>
        <w:t>s</w:t>
      </w:r>
      <w:r w:rsidR="0085675A" w:rsidRPr="00ED22D1">
        <w:rPr>
          <w:lang w:val="fr-CA"/>
        </w:rPr>
        <w:t>, 6</w:t>
      </w:r>
      <w:r w:rsidR="004A6828" w:rsidRPr="00ED22D1">
        <w:rPr>
          <w:lang w:val="fr-CA"/>
        </w:rPr>
        <w:t>0 </w:t>
      </w:r>
      <w:r w:rsidR="0085675A" w:rsidRPr="00ED22D1">
        <w:rPr>
          <w:lang w:val="fr-CA"/>
        </w:rPr>
        <w:t>72</w:t>
      </w:r>
      <w:r w:rsidR="004A6828" w:rsidRPr="00ED22D1">
        <w:rPr>
          <w:lang w:val="fr-CA"/>
        </w:rPr>
        <w:t>7 </w:t>
      </w:r>
      <w:r w:rsidR="0085675A" w:rsidRPr="00ED22D1">
        <w:rPr>
          <w:lang w:val="fr-CA"/>
        </w:rPr>
        <w:t>617</w:t>
      </w:r>
      <w:r w:rsidR="00EC100C" w:rsidRPr="00ED22D1">
        <w:rPr>
          <w:lang w:val="fr-CA"/>
        </w:rPr>
        <w:t> $US</w:t>
      </w:r>
      <w:r w:rsidR="0085675A" w:rsidRPr="00ED22D1">
        <w:rPr>
          <w:lang w:val="fr-CA"/>
        </w:rPr>
        <w:t xml:space="preserve"> (81 </w:t>
      </w:r>
      <w:r w:rsidR="001B31BF" w:rsidRPr="00ED22D1">
        <w:rPr>
          <w:lang w:val="fr-CA"/>
        </w:rPr>
        <w:t>pour cent</w:t>
      </w:r>
      <w:r w:rsidR="0085675A" w:rsidRPr="00ED22D1">
        <w:rPr>
          <w:lang w:val="fr-CA"/>
        </w:rPr>
        <w:t xml:space="preserve">) </w:t>
      </w:r>
      <w:r w:rsidRPr="00ED22D1">
        <w:rPr>
          <w:lang w:val="fr-CA"/>
        </w:rPr>
        <w:t xml:space="preserve">avaient été </w:t>
      </w:r>
      <w:r w:rsidR="00181884" w:rsidRPr="00ED22D1">
        <w:rPr>
          <w:lang w:val="fr-CA"/>
        </w:rPr>
        <w:t>décaissé</w:t>
      </w:r>
      <w:r w:rsidRPr="00ED22D1">
        <w:rPr>
          <w:lang w:val="fr-CA"/>
        </w:rPr>
        <w:t>s</w:t>
      </w:r>
      <w:r w:rsidR="0085675A" w:rsidRPr="00ED22D1">
        <w:rPr>
          <w:lang w:val="fr-CA"/>
        </w:rPr>
        <w:t xml:space="preserve"> </w:t>
      </w:r>
      <w:r w:rsidRPr="00ED22D1">
        <w:rPr>
          <w:lang w:val="fr-CA"/>
        </w:rPr>
        <w:t>par</w:t>
      </w:r>
      <w:r w:rsidR="001F19C1" w:rsidRPr="00ED22D1">
        <w:rPr>
          <w:lang w:val="fr-CA"/>
        </w:rPr>
        <w:t xml:space="preserve"> l’ONUDI</w:t>
      </w:r>
      <w:r w:rsidR="004A6828" w:rsidRPr="00ED22D1">
        <w:rPr>
          <w:lang w:val="fr-CA"/>
        </w:rPr>
        <w:t xml:space="preserve"> et </w:t>
      </w:r>
      <w:r w:rsidR="0085675A" w:rsidRPr="00ED22D1">
        <w:rPr>
          <w:lang w:val="fr-CA"/>
        </w:rPr>
        <w:t>4</w:t>
      </w:r>
      <w:r w:rsidR="004A6828" w:rsidRPr="00ED22D1">
        <w:rPr>
          <w:lang w:val="fr-CA"/>
        </w:rPr>
        <w:t>6 </w:t>
      </w:r>
      <w:r w:rsidR="0085675A" w:rsidRPr="00ED22D1">
        <w:rPr>
          <w:lang w:val="fr-CA"/>
        </w:rPr>
        <w:t>79</w:t>
      </w:r>
      <w:r w:rsidR="004A6828" w:rsidRPr="00ED22D1">
        <w:rPr>
          <w:lang w:val="fr-CA"/>
        </w:rPr>
        <w:t>3 </w:t>
      </w:r>
      <w:r w:rsidR="0085675A" w:rsidRPr="00ED22D1">
        <w:rPr>
          <w:lang w:val="fr-CA"/>
        </w:rPr>
        <w:t>169</w:t>
      </w:r>
      <w:r w:rsidR="00EC100C" w:rsidRPr="00ED22D1">
        <w:rPr>
          <w:lang w:val="fr-CA"/>
        </w:rPr>
        <w:t> $US</w:t>
      </w:r>
      <w:r w:rsidR="0085675A" w:rsidRPr="00ED22D1">
        <w:rPr>
          <w:sz w:val="20"/>
          <w:szCs w:val="20"/>
          <w:lang w:val="fr-CA"/>
        </w:rPr>
        <w:t xml:space="preserve"> </w:t>
      </w:r>
      <w:r w:rsidR="0085675A" w:rsidRPr="00ED22D1">
        <w:rPr>
          <w:lang w:val="fr-CA"/>
        </w:rPr>
        <w:t>(62 </w:t>
      </w:r>
      <w:r w:rsidR="001B31BF" w:rsidRPr="00ED22D1">
        <w:rPr>
          <w:lang w:val="fr-CA"/>
        </w:rPr>
        <w:t>pour cent</w:t>
      </w:r>
      <w:r w:rsidR="0085675A" w:rsidRPr="00ED22D1">
        <w:rPr>
          <w:lang w:val="fr-CA"/>
        </w:rPr>
        <w:t>) a</w:t>
      </w:r>
      <w:r w:rsidRPr="00ED22D1">
        <w:rPr>
          <w:lang w:val="fr-CA"/>
        </w:rPr>
        <w:t>vaient été</w:t>
      </w:r>
      <w:r w:rsidR="0085675A" w:rsidRPr="00ED22D1">
        <w:rPr>
          <w:lang w:val="fr-CA"/>
        </w:rPr>
        <w:t xml:space="preserve"> </w:t>
      </w:r>
      <w:r w:rsidR="00181884" w:rsidRPr="00ED22D1">
        <w:rPr>
          <w:lang w:val="fr-CA"/>
        </w:rPr>
        <w:t>décaissé</w:t>
      </w:r>
      <w:r w:rsidRPr="00ED22D1">
        <w:rPr>
          <w:lang w:val="fr-CA"/>
        </w:rPr>
        <w:t>s</w:t>
      </w:r>
      <w:r w:rsidR="0085675A" w:rsidRPr="00ED22D1">
        <w:rPr>
          <w:lang w:val="fr-CA"/>
        </w:rPr>
        <w:t xml:space="preserve"> </w:t>
      </w:r>
      <w:r w:rsidRPr="00ED22D1">
        <w:rPr>
          <w:lang w:val="fr-CA"/>
        </w:rPr>
        <w:t>par</w:t>
      </w:r>
      <w:r w:rsidR="00F320D6" w:rsidRPr="00ED22D1">
        <w:rPr>
          <w:lang w:val="fr-CA"/>
        </w:rPr>
        <w:t xml:space="preserve"> le FECO</w:t>
      </w:r>
      <w:r w:rsidR="0085675A" w:rsidRPr="00ED22D1">
        <w:rPr>
          <w:lang w:val="fr-CA"/>
        </w:rPr>
        <w:t xml:space="preserve"> </w:t>
      </w:r>
      <w:r w:rsidRPr="00ED22D1">
        <w:rPr>
          <w:lang w:val="fr-CA"/>
        </w:rPr>
        <w:t xml:space="preserve">aux </w:t>
      </w:r>
      <w:r w:rsidR="00921BDE" w:rsidRPr="00ED22D1">
        <w:rPr>
          <w:lang w:val="fr-CA"/>
        </w:rPr>
        <w:t>bénéficiaires</w:t>
      </w:r>
      <w:r w:rsidR="0031390F" w:rsidRPr="00ED22D1">
        <w:rPr>
          <w:lang w:val="fr-CA"/>
        </w:rPr>
        <w:t>. Le</w:t>
      </w:r>
      <w:r w:rsidRPr="00ED22D1">
        <w:rPr>
          <w:lang w:val="fr-CA"/>
        </w:rPr>
        <w:t xml:space="preserve"> </w:t>
      </w:r>
      <w:r w:rsidR="00CE7FEC" w:rsidRPr="00ED22D1">
        <w:rPr>
          <w:lang w:val="fr-CA"/>
        </w:rPr>
        <w:t xml:space="preserve">tableau </w:t>
      </w:r>
      <w:r w:rsidRPr="00ED22D1">
        <w:rPr>
          <w:lang w:val="fr-CA"/>
        </w:rPr>
        <w:t xml:space="preserve">2 montre le </w:t>
      </w:r>
      <w:r w:rsidR="00181884" w:rsidRPr="00ED22D1">
        <w:rPr>
          <w:lang w:val="fr-CA"/>
        </w:rPr>
        <w:t>décaissement</w:t>
      </w:r>
      <w:r w:rsidR="0085675A" w:rsidRPr="00ED22D1">
        <w:rPr>
          <w:lang w:val="fr-CA"/>
        </w:rPr>
        <w:t xml:space="preserve"> </w:t>
      </w:r>
      <w:r w:rsidRPr="00ED22D1">
        <w:rPr>
          <w:lang w:val="fr-CA"/>
        </w:rPr>
        <w:t>par</w:t>
      </w:r>
      <w:r w:rsidR="0085675A" w:rsidRPr="00ED22D1">
        <w:rPr>
          <w:lang w:val="fr-CA"/>
        </w:rPr>
        <w:t xml:space="preserve"> tranche </w:t>
      </w:r>
      <w:r w:rsidRPr="00ED22D1">
        <w:rPr>
          <w:lang w:val="fr-CA"/>
        </w:rPr>
        <w:t xml:space="preserve">du secteur des </w:t>
      </w:r>
      <w:r w:rsidR="004A6828" w:rsidRPr="00ED22D1">
        <w:rPr>
          <w:lang w:val="fr-CA"/>
        </w:rPr>
        <w:t>climatiseurs résidentiels</w:t>
      </w:r>
      <w:r w:rsidR="0085675A" w:rsidRPr="00ED22D1">
        <w:rPr>
          <w:lang w:val="fr-CA"/>
        </w:rPr>
        <w:t>.</w:t>
      </w:r>
    </w:p>
    <w:p w:rsidR="0085675A" w:rsidRPr="00ED22D1" w:rsidRDefault="00CE7FEC" w:rsidP="0085675A">
      <w:pPr>
        <w:keepNext/>
        <w:keepLines/>
        <w:widowControl w:val="0"/>
        <w:rPr>
          <w:b/>
          <w:lang w:val="fr-CA"/>
        </w:rPr>
      </w:pPr>
      <w:r w:rsidRPr="00ED22D1">
        <w:rPr>
          <w:b/>
          <w:lang w:val="fr-CA"/>
        </w:rPr>
        <w:t xml:space="preserve">Tableau </w:t>
      </w:r>
      <w:r w:rsidR="004A6828" w:rsidRPr="00ED22D1">
        <w:rPr>
          <w:b/>
          <w:lang w:val="fr-CA"/>
        </w:rPr>
        <w:t>2</w:t>
      </w:r>
      <w:r w:rsidR="00DE118B" w:rsidRPr="00ED22D1">
        <w:rPr>
          <w:b/>
          <w:lang w:val="fr-CA"/>
        </w:rPr>
        <w:t>.</w:t>
      </w:r>
      <w:r w:rsidR="0085675A" w:rsidRPr="00ED22D1">
        <w:rPr>
          <w:b/>
          <w:lang w:val="fr-CA"/>
        </w:rPr>
        <w:t xml:space="preserve"> </w:t>
      </w:r>
      <w:r w:rsidR="00181884" w:rsidRPr="00ED22D1">
        <w:rPr>
          <w:b/>
          <w:lang w:val="fr-CA"/>
        </w:rPr>
        <w:t>Décaissement</w:t>
      </w:r>
      <w:r w:rsidR="0085675A" w:rsidRPr="00ED22D1">
        <w:rPr>
          <w:b/>
          <w:lang w:val="fr-CA"/>
        </w:rPr>
        <w:t xml:space="preserve"> </w:t>
      </w:r>
      <w:r w:rsidR="00874624" w:rsidRPr="00ED22D1">
        <w:rPr>
          <w:b/>
          <w:lang w:val="fr-CA"/>
        </w:rPr>
        <w:t>($US)</w:t>
      </w:r>
      <w:r w:rsidR="0085675A" w:rsidRPr="00ED22D1">
        <w:rPr>
          <w:b/>
          <w:lang w:val="fr-CA"/>
        </w:rPr>
        <w:t xml:space="preserve"> </w:t>
      </w:r>
      <w:r w:rsidR="00DE118B" w:rsidRPr="00ED22D1">
        <w:rPr>
          <w:b/>
          <w:lang w:val="fr-CA"/>
        </w:rPr>
        <w:t>par</w:t>
      </w:r>
      <w:r w:rsidR="0085675A" w:rsidRPr="00ED22D1">
        <w:rPr>
          <w:b/>
          <w:lang w:val="fr-CA"/>
        </w:rPr>
        <w:t xml:space="preserve"> tranche </w:t>
      </w:r>
      <w:r w:rsidR="00DE118B" w:rsidRPr="00ED22D1">
        <w:rPr>
          <w:b/>
          <w:lang w:val="fr-CA"/>
        </w:rPr>
        <w:t>du secteur des climatiseurs résidentiels</w:t>
      </w:r>
    </w:p>
    <w:tbl>
      <w:tblPr>
        <w:tblW w:w="9355" w:type="dxa"/>
        <w:tblInd w:w="29" w:type="dxa"/>
        <w:tblLayout w:type="fixed"/>
        <w:tblLook w:val="04A0" w:firstRow="1" w:lastRow="0" w:firstColumn="1" w:lastColumn="0" w:noHBand="0" w:noVBand="1"/>
      </w:tblPr>
      <w:tblGrid>
        <w:gridCol w:w="1885"/>
        <w:gridCol w:w="1245"/>
        <w:gridCol w:w="1245"/>
        <w:gridCol w:w="1245"/>
        <w:gridCol w:w="1245"/>
        <w:gridCol w:w="1245"/>
        <w:gridCol w:w="1245"/>
      </w:tblGrid>
      <w:tr w:rsidR="0085675A" w:rsidRPr="00ED22D1" w:rsidTr="0085675A">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keepNext/>
              <w:keepLines/>
              <w:widowControl w:val="0"/>
              <w:jc w:val="left"/>
              <w:rPr>
                <w:b/>
                <w:sz w:val="20"/>
                <w:szCs w:val="20"/>
                <w:lang w:val="fr-C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widowControl w:val="0"/>
              <w:jc w:val="center"/>
              <w:rPr>
                <w:b/>
                <w:color w:val="000000"/>
                <w:sz w:val="20"/>
                <w:szCs w:val="20"/>
                <w:lang w:val="fr-CA"/>
              </w:rPr>
            </w:pPr>
            <w:r w:rsidRPr="00ED22D1">
              <w:rPr>
                <w:b/>
                <w:color w:val="000000"/>
                <w:sz w:val="20"/>
                <w:szCs w:val="20"/>
                <w:lang w:val="fr-CA"/>
              </w:rPr>
              <w:t>Tranche 1</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widowControl w:val="0"/>
              <w:jc w:val="center"/>
              <w:rPr>
                <w:b/>
                <w:color w:val="000000"/>
                <w:sz w:val="20"/>
                <w:szCs w:val="20"/>
                <w:lang w:val="fr-CA"/>
              </w:rPr>
            </w:pPr>
            <w:r w:rsidRPr="00ED22D1">
              <w:rPr>
                <w:b/>
                <w:color w:val="000000"/>
                <w:sz w:val="20"/>
                <w:szCs w:val="20"/>
                <w:lang w:val="fr-CA"/>
              </w:rPr>
              <w:t>Tranche 2</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widowControl w:val="0"/>
              <w:jc w:val="center"/>
              <w:rPr>
                <w:b/>
                <w:color w:val="000000"/>
                <w:sz w:val="20"/>
                <w:szCs w:val="20"/>
                <w:lang w:val="fr-CA"/>
              </w:rPr>
            </w:pPr>
            <w:r w:rsidRPr="00ED22D1">
              <w:rPr>
                <w:b/>
                <w:color w:val="000000"/>
                <w:sz w:val="20"/>
                <w:szCs w:val="20"/>
                <w:lang w:val="fr-CA"/>
              </w:rPr>
              <w:t>Tranche 3</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widowControl w:val="0"/>
              <w:jc w:val="center"/>
              <w:rPr>
                <w:b/>
                <w:color w:val="000000"/>
                <w:sz w:val="20"/>
                <w:szCs w:val="20"/>
                <w:lang w:val="fr-CA"/>
              </w:rPr>
            </w:pPr>
            <w:r w:rsidRPr="00ED22D1">
              <w:rPr>
                <w:b/>
                <w:color w:val="000000"/>
                <w:sz w:val="20"/>
                <w:szCs w:val="20"/>
                <w:lang w:val="fr-CA"/>
              </w:rPr>
              <w:t>Tranche 4</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widowControl w:val="0"/>
              <w:jc w:val="center"/>
              <w:rPr>
                <w:b/>
                <w:color w:val="000000"/>
                <w:sz w:val="20"/>
                <w:szCs w:val="20"/>
                <w:lang w:val="fr-CA"/>
              </w:rPr>
            </w:pPr>
            <w:r w:rsidRPr="00ED22D1">
              <w:rPr>
                <w:b/>
                <w:color w:val="000000"/>
                <w:sz w:val="20"/>
                <w:szCs w:val="20"/>
                <w:lang w:val="fr-CA"/>
              </w:rPr>
              <w:t>Tranche 5</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widowControl w:val="0"/>
              <w:jc w:val="center"/>
              <w:rPr>
                <w:b/>
                <w:color w:val="000000"/>
                <w:sz w:val="20"/>
                <w:szCs w:val="20"/>
                <w:lang w:val="fr-CA"/>
              </w:rPr>
            </w:pPr>
            <w:r w:rsidRPr="00ED22D1">
              <w:rPr>
                <w:b/>
                <w:color w:val="000000"/>
                <w:sz w:val="20"/>
                <w:szCs w:val="20"/>
                <w:lang w:val="fr-CA"/>
              </w:rPr>
              <w:t>Total</w:t>
            </w:r>
          </w:p>
        </w:tc>
      </w:tr>
      <w:tr w:rsidR="0085675A" w:rsidRPr="00ED22D1" w:rsidTr="0085675A">
        <w:trPr>
          <w:trHeight w:val="170"/>
        </w:trPr>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rsidR="0085675A" w:rsidRPr="00ED22D1" w:rsidRDefault="00D15079" w:rsidP="0085675A">
            <w:pPr>
              <w:widowControl w:val="0"/>
              <w:jc w:val="left"/>
              <w:rPr>
                <w:bCs/>
                <w:sz w:val="20"/>
                <w:szCs w:val="20"/>
                <w:lang w:val="fr-CA"/>
              </w:rPr>
            </w:pPr>
            <w:r w:rsidRPr="00ED22D1">
              <w:rPr>
                <w:bCs/>
                <w:sz w:val="20"/>
                <w:szCs w:val="20"/>
                <w:lang w:val="fr-CA"/>
              </w:rPr>
              <w:t>Financement</w:t>
            </w:r>
            <w:r w:rsidR="00DE118B" w:rsidRPr="00ED22D1">
              <w:rPr>
                <w:bCs/>
                <w:sz w:val="20"/>
                <w:szCs w:val="20"/>
                <w:lang w:val="fr-CA"/>
              </w:rPr>
              <w:t xml:space="preserve"> FML</w:t>
            </w:r>
            <w:r w:rsidR="0085675A" w:rsidRPr="00ED22D1">
              <w:rPr>
                <w:bCs/>
                <w:sz w:val="20"/>
                <w:szCs w:val="20"/>
                <w:lang w:val="fr-CA"/>
              </w:rPr>
              <w:t>*</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widowControl w:val="0"/>
              <w:jc w:val="right"/>
              <w:rPr>
                <w:sz w:val="20"/>
                <w:szCs w:val="20"/>
                <w:lang w:val="fr-CA"/>
              </w:rPr>
            </w:pPr>
            <w:r w:rsidRPr="00ED22D1">
              <w:rPr>
                <w:sz w:val="20"/>
                <w:szCs w:val="20"/>
                <w:lang w:val="fr-CA"/>
              </w:rPr>
              <w:t>3</w:t>
            </w:r>
            <w:r w:rsidR="004A6828" w:rsidRPr="00ED22D1">
              <w:rPr>
                <w:sz w:val="20"/>
                <w:szCs w:val="20"/>
                <w:lang w:val="fr-CA"/>
              </w:rPr>
              <w:t>6 </w:t>
            </w:r>
            <w:r w:rsidRPr="00ED22D1">
              <w:rPr>
                <w:sz w:val="20"/>
                <w:szCs w:val="20"/>
                <w:lang w:val="fr-CA"/>
              </w:rPr>
              <w:t>43</w:t>
            </w:r>
            <w:r w:rsidR="004A6828" w:rsidRPr="00ED22D1">
              <w:rPr>
                <w:sz w:val="20"/>
                <w:szCs w:val="20"/>
                <w:lang w:val="fr-CA"/>
              </w:rPr>
              <w:t>0 </w:t>
            </w:r>
            <w:r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9 </w:t>
            </w:r>
            <w:r w:rsidR="0085675A" w:rsidRPr="00ED22D1">
              <w:rPr>
                <w:sz w:val="20"/>
                <w:szCs w:val="20"/>
                <w:lang w:val="fr-CA"/>
              </w:rPr>
              <w:t>20</w:t>
            </w:r>
            <w:r w:rsidRPr="00ED22D1">
              <w:rPr>
                <w:sz w:val="20"/>
                <w:szCs w:val="20"/>
                <w:lang w:val="fr-CA"/>
              </w:rPr>
              <w:t>0 </w:t>
            </w:r>
            <w:r w:rsidR="0085675A"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8 </w:t>
            </w:r>
            <w:r w:rsidR="0085675A" w:rsidRPr="00ED22D1">
              <w:rPr>
                <w:sz w:val="20"/>
                <w:szCs w:val="20"/>
                <w:lang w:val="fr-CA"/>
              </w:rPr>
              <w:t>49</w:t>
            </w:r>
            <w:r w:rsidRPr="00ED22D1">
              <w:rPr>
                <w:sz w:val="20"/>
                <w:szCs w:val="20"/>
                <w:lang w:val="fr-CA"/>
              </w:rPr>
              <w:t>5 </w:t>
            </w:r>
            <w:r w:rsidR="0085675A"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9 </w:t>
            </w:r>
            <w:r w:rsidR="0085675A" w:rsidRPr="00ED22D1">
              <w:rPr>
                <w:sz w:val="20"/>
                <w:szCs w:val="20"/>
                <w:lang w:val="fr-CA"/>
              </w:rPr>
              <w:t>62</w:t>
            </w:r>
            <w:r w:rsidRPr="00ED22D1">
              <w:rPr>
                <w:sz w:val="20"/>
                <w:szCs w:val="20"/>
                <w:lang w:val="fr-CA"/>
              </w:rPr>
              <w:t>5 </w:t>
            </w:r>
            <w:r w:rsidR="0085675A"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85675A" w:rsidP="0085675A">
            <w:pPr>
              <w:widowControl w:val="0"/>
              <w:jc w:val="right"/>
              <w:rPr>
                <w:sz w:val="20"/>
                <w:szCs w:val="20"/>
                <w:lang w:val="fr-CA"/>
              </w:rPr>
            </w:pPr>
            <w:r w:rsidRPr="00ED22D1">
              <w:rPr>
                <w:sz w:val="20"/>
                <w:szCs w:val="20"/>
                <w:lang w:val="fr-CA"/>
              </w:rPr>
              <w:t>1</w:t>
            </w:r>
            <w:r w:rsidR="004A6828" w:rsidRPr="00ED22D1">
              <w:rPr>
                <w:sz w:val="20"/>
                <w:szCs w:val="20"/>
                <w:lang w:val="fr-CA"/>
              </w:rPr>
              <w:t>1 </w:t>
            </w:r>
            <w:r w:rsidRPr="00ED22D1">
              <w:rPr>
                <w:sz w:val="20"/>
                <w:szCs w:val="20"/>
                <w:lang w:val="fr-CA"/>
              </w:rPr>
              <w:t>25</w:t>
            </w:r>
            <w:r w:rsidR="004A6828" w:rsidRPr="00ED22D1">
              <w:rPr>
                <w:sz w:val="20"/>
                <w:szCs w:val="20"/>
                <w:lang w:val="fr-CA"/>
              </w:rPr>
              <w:t>0 </w:t>
            </w:r>
            <w:r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noWrap/>
            <w:hideMark/>
          </w:tcPr>
          <w:p w:rsidR="0085675A" w:rsidRPr="00ED22D1" w:rsidRDefault="0085675A" w:rsidP="0085675A">
            <w:pPr>
              <w:widowControl w:val="0"/>
              <w:jc w:val="right"/>
              <w:rPr>
                <w:sz w:val="20"/>
                <w:szCs w:val="20"/>
                <w:lang w:val="fr-CA"/>
              </w:rPr>
            </w:pPr>
            <w:r w:rsidRPr="00ED22D1">
              <w:rPr>
                <w:sz w:val="20"/>
                <w:szCs w:val="20"/>
                <w:lang w:val="fr-CA"/>
              </w:rPr>
              <w:t>7</w:t>
            </w:r>
            <w:r w:rsidR="004A6828" w:rsidRPr="00ED22D1">
              <w:rPr>
                <w:sz w:val="20"/>
                <w:szCs w:val="20"/>
                <w:lang w:val="fr-CA"/>
              </w:rPr>
              <w:t>5 </w:t>
            </w:r>
            <w:r w:rsidRPr="00ED22D1">
              <w:rPr>
                <w:sz w:val="20"/>
                <w:szCs w:val="20"/>
                <w:lang w:val="fr-CA"/>
              </w:rPr>
              <w:t>00</w:t>
            </w:r>
            <w:r w:rsidR="004A6828" w:rsidRPr="00ED22D1">
              <w:rPr>
                <w:sz w:val="20"/>
                <w:szCs w:val="20"/>
                <w:lang w:val="fr-CA"/>
              </w:rPr>
              <w:t>0 </w:t>
            </w:r>
            <w:r w:rsidRPr="00ED22D1">
              <w:rPr>
                <w:sz w:val="20"/>
                <w:szCs w:val="20"/>
                <w:lang w:val="fr-CA"/>
              </w:rPr>
              <w:t>000</w:t>
            </w:r>
          </w:p>
        </w:tc>
      </w:tr>
      <w:tr w:rsidR="0085675A" w:rsidRPr="00ED22D1" w:rsidTr="0085675A">
        <w:trPr>
          <w:trHeight w:val="107"/>
        </w:trPr>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rsidR="0085675A" w:rsidRPr="00ED22D1" w:rsidRDefault="00181884" w:rsidP="0085675A">
            <w:pPr>
              <w:widowControl w:val="0"/>
              <w:jc w:val="left"/>
              <w:rPr>
                <w:bCs/>
                <w:sz w:val="20"/>
                <w:szCs w:val="20"/>
                <w:lang w:val="fr-CA"/>
              </w:rPr>
            </w:pPr>
            <w:r w:rsidRPr="00ED22D1">
              <w:rPr>
                <w:bCs/>
                <w:sz w:val="20"/>
                <w:szCs w:val="20"/>
                <w:lang w:val="fr-CA"/>
              </w:rPr>
              <w:t>Décaissé</w:t>
            </w:r>
            <w:r w:rsidR="00DE118B" w:rsidRPr="00ED22D1">
              <w:rPr>
                <w:bCs/>
                <w:sz w:val="20"/>
                <w:szCs w:val="20"/>
                <w:lang w:val="fr-CA"/>
              </w:rPr>
              <w:t xml:space="preserve"> par </w:t>
            </w:r>
            <w:r w:rsidR="001F19C1" w:rsidRPr="00ED22D1">
              <w:rPr>
                <w:bCs/>
                <w:sz w:val="20"/>
                <w:szCs w:val="20"/>
                <w:lang w:val="fr-CA"/>
              </w:rPr>
              <w:t>l’ONUDI</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widowControl w:val="0"/>
              <w:jc w:val="right"/>
              <w:rPr>
                <w:sz w:val="20"/>
                <w:szCs w:val="20"/>
                <w:lang w:val="fr-CA"/>
              </w:rPr>
            </w:pPr>
            <w:r w:rsidRPr="00ED22D1">
              <w:rPr>
                <w:sz w:val="20"/>
                <w:szCs w:val="20"/>
                <w:lang w:val="fr-CA"/>
              </w:rPr>
              <w:t>3</w:t>
            </w:r>
            <w:r w:rsidR="004A6828" w:rsidRPr="00ED22D1">
              <w:rPr>
                <w:sz w:val="20"/>
                <w:szCs w:val="20"/>
                <w:lang w:val="fr-CA"/>
              </w:rPr>
              <w:t>2 </w:t>
            </w:r>
            <w:r w:rsidRPr="00ED22D1">
              <w:rPr>
                <w:sz w:val="20"/>
                <w:szCs w:val="20"/>
                <w:lang w:val="fr-CA"/>
              </w:rPr>
              <w:t>78</w:t>
            </w:r>
            <w:r w:rsidR="004A6828" w:rsidRPr="00ED22D1">
              <w:rPr>
                <w:sz w:val="20"/>
                <w:szCs w:val="20"/>
                <w:lang w:val="fr-CA"/>
              </w:rPr>
              <w:t>6 </w:t>
            </w:r>
            <w:r w:rsidRPr="00ED22D1">
              <w:rPr>
                <w:sz w:val="20"/>
                <w:szCs w:val="20"/>
                <w:lang w:val="fr-CA"/>
              </w:rPr>
              <w:t>917</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8 </w:t>
            </w:r>
            <w:r w:rsidR="0085675A" w:rsidRPr="00ED22D1">
              <w:rPr>
                <w:sz w:val="20"/>
                <w:szCs w:val="20"/>
                <w:lang w:val="fr-CA"/>
              </w:rPr>
              <w:t>31</w:t>
            </w:r>
            <w:r w:rsidRPr="00ED22D1">
              <w:rPr>
                <w:sz w:val="20"/>
                <w:szCs w:val="20"/>
                <w:lang w:val="fr-CA"/>
              </w:rPr>
              <w:t>6 </w:t>
            </w:r>
            <w:r w:rsidR="0085675A" w:rsidRPr="00ED22D1">
              <w:rPr>
                <w:sz w:val="20"/>
                <w:szCs w:val="20"/>
                <w:lang w:val="fr-CA"/>
              </w:rPr>
              <w:t>800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7 </w:t>
            </w:r>
            <w:r w:rsidR="0085675A" w:rsidRPr="00ED22D1">
              <w:rPr>
                <w:sz w:val="20"/>
                <w:szCs w:val="20"/>
                <w:lang w:val="fr-CA"/>
              </w:rPr>
              <w:t>60</w:t>
            </w:r>
            <w:r w:rsidRPr="00ED22D1">
              <w:rPr>
                <w:sz w:val="20"/>
                <w:szCs w:val="20"/>
                <w:lang w:val="fr-CA"/>
              </w:rPr>
              <w:t>8 </w:t>
            </w:r>
            <w:r w:rsidR="0085675A" w:rsidRPr="00ED22D1">
              <w:rPr>
                <w:sz w:val="20"/>
                <w:szCs w:val="20"/>
                <w:lang w:val="fr-CA"/>
              </w:rPr>
              <w:t>900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8 </w:t>
            </w:r>
            <w:r w:rsidR="0085675A" w:rsidRPr="00ED22D1">
              <w:rPr>
                <w:sz w:val="20"/>
                <w:szCs w:val="20"/>
                <w:lang w:val="fr-CA"/>
              </w:rPr>
              <w:t>66</w:t>
            </w:r>
            <w:r w:rsidRPr="00ED22D1">
              <w:rPr>
                <w:sz w:val="20"/>
                <w:szCs w:val="20"/>
                <w:lang w:val="fr-CA"/>
              </w:rPr>
              <w:t>2 </w:t>
            </w:r>
            <w:r w:rsidR="0085675A" w:rsidRPr="00ED22D1">
              <w:rPr>
                <w:sz w:val="20"/>
                <w:szCs w:val="20"/>
                <w:lang w:val="fr-CA"/>
              </w:rPr>
              <w:t>500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3 </w:t>
            </w:r>
            <w:r w:rsidR="0085675A" w:rsidRPr="00ED22D1">
              <w:rPr>
                <w:sz w:val="20"/>
                <w:szCs w:val="20"/>
                <w:lang w:val="fr-CA"/>
              </w:rPr>
              <w:t>35</w:t>
            </w:r>
            <w:r w:rsidRPr="00ED22D1">
              <w:rPr>
                <w:sz w:val="20"/>
                <w:szCs w:val="20"/>
                <w:lang w:val="fr-CA"/>
              </w:rPr>
              <w:t>2 </w:t>
            </w:r>
            <w:r w:rsidR="0085675A" w:rsidRPr="00ED22D1">
              <w:rPr>
                <w:sz w:val="20"/>
                <w:szCs w:val="20"/>
                <w:lang w:val="fr-CA"/>
              </w:rPr>
              <w:t>500</w:t>
            </w:r>
          </w:p>
        </w:tc>
        <w:tc>
          <w:tcPr>
            <w:tcW w:w="1245" w:type="dxa"/>
            <w:tcBorders>
              <w:top w:val="single" w:sz="4" w:space="0" w:color="auto"/>
              <w:left w:val="nil"/>
              <w:bottom w:val="single" w:sz="4" w:space="0" w:color="auto"/>
              <w:right w:val="single" w:sz="4" w:space="0" w:color="auto"/>
            </w:tcBorders>
            <w:shd w:val="clear" w:color="auto" w:fill="auto"/>
            <w:noWrap/>
            <w:hideMark/>
          </w:tcPr>
          <w:p w:rsidR="0085675A" w:rsidRPr="00ED22D1" w:rsidRDefault="0085675A" w:rsidP="0085675A">
            <w:pPr>
              <w:widowControl w:val="0"/>
              <w:jc w:val="right"/>
              <w:rPr>
                <w:sz w:val="20"/>
                <w:szCs w:val="20"/>
                <w:lang w:val="fr-CA"/>
              </w:rPr>
            </w:pPr>
            <w:r w:rsidRPr="00ED22D1">
              <w:rPr>
                <w:sz w:val="20"/>
                <w:szCs w:val="20"/>
                <w:lang w:val="fr-CA"/>
              </w:rPr>
              <w:t>6</w:t>
            </w:r>
            <w:r w:rsidR="004A6828" w:rsidRPr="00ED22D1">
              <w:rPr>
                <w:sz w:val="20"/>
                <w:szCs w:val="20"/>
                <w:lang w:val="fr-CA"/>
              </w:rPr>
              <w:t>0 </w:t>
            </w:r>
            <w:r w:rsidRPr="00ED22D1">
              <w:rPr>
                <w:sz w:val="20"/>
                <w:szCs w:val="20"/>
                <w:lang w:val="fr-CA"/>
              </w:rPr>
              <w:t>72</w:t>
            </w:r>
            <w:r w:rsidR="004A6828" w:rsidRPr="00ED22D1">
              <w:rPr>
                <w:sz w:val="20"/>
                <w:szCs w:val="20"/>
                <w:lang w:val="fr-CA"/>
              </w:rPr>
              <w:t>7 </w:t>
            </w:r>
            <w:r w:rsidRPr="00ED22D1">
              <w:rPr>
                <w:sz w:val="20"/>
                <w:szCs w:val="20"/>
                <w:lang w:val="fr-CA"/>
              </w:rPr>
              <w:t>617</w:t>
            </w:r>
          </w:p>
        </w:tc>
      </w:tr>
      <w:tr w:rsidR="0085675A" w:rsidRPr="00ED22D1" w:rsidTr="0085675A">
        <w:trPr>
          <w:trHeight w:val="53"/>
        </w:trPr>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rsidR="0085675A" w:rsidRPr="00ED22D1" w:rsidRDefault="00DE118B" w:rsidP="00572798">
            <w:pPr>
              <w:widowControl w:val="0"/>
              <w:jc w:val="left"/>
              <w:rPr>
                <w:bCs/>
                <w:sz w:val="20"/>
                <w:szCs w:val="20"/>
                <w:lang w:val="fr-CA"/>
              </w:rPr>
            </w:pPr>
            <w:r w:rsidRPr="00ED22D1">
              <w:rPr>
                <w:bCs/>
                <w:sz w:val="20"/>
                <w:szCs w:val="20"/>
                <w:lang w:val="fr-CA"/>
              </w:rPr>
              <w:t>Engagé par</w:t>
            </w:r>
            <w:r w:rsidR="00F320D6" w:rsidRPr="00ED22D1">
              <w:rPr>
                <w:bCs/>
                <w:sz w:val="20"/>
                <w:szCs w:val="20"/>
                <w:lang w:val="fr-CA"/>
              </w:rPr>
              <w:t xml:space="preserve"> FECO</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widowControl w:val="0"/>
              <w:jc w:val="right"/>
              <w:rPr>
                <w:sz w:val="20"/>
                <w:szCs w:val="20"/>
                <w:lang w:val="fr-CA"/>
              </w:rPr>
            </w:pPr>
            <w:r w:rsidRPr="00ED22D1">
              <w:rPr>
                <w:sz w:val="20"/>
                <w:szCs w:val="20"/>
                <w:lang w:val="fr-CA"/>
              </w:rPr>
              <w:t>3</w:t>
            </w:r>
            <w:r w:rsidR="004A6828" w:rsidRPr="00ED22D1">
              <w:rPr>
                <w:sz w:val="20"/>
                <w:szCs w:val="20"/>
                <w:lang w:val="fr-CA"/>
              </w:rPr>
              <w:t>6 </w:t>
            </w:r>
            <w:r w:rsidRPr="00ED22D1">
              <w:rPr>
                <w:sz w:val="20"/>
                <w:szCs w:val="20"/>
                <w:lang w:val="fr-CA"/>
              </w:rPr>
              <w:t>43</w:t>
            </w:r>
            <w:r w:rsidR="004A6828" w:rsidRPr="00ED22D1">
              <w:rPr>
                <w:sz w:val="20"/>
                <w:szCs w:val="20"/>
                <w:lang w:val="fr-CA"/>
              </w:rPr>
              <w:t>0 </w:t>
            </w:r>
            <w:r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9 </w:t>
            </w:r>
            <w:r w:rsidR="0085675A" w:rsidRPr="00ED22D1">
              <w:rPr>
                <w:sz w:val="20"/>
                <w:szCs w:val="20"/>
                <w:lang w:val="fr-CA"/>
              </w:rPr>
              <w:t>20</w:t>
            </w:r>
            <w:r w:rsidRPr="00ED22D1">
              <w:rPr>
                <w:sz w:val="20"/>
                <w:szCs w:val="20"/>
                <w:lang w:val="fr-CA"/>
              </w:rPr>
              <w:t>0 </w:t>
            </w:r>
            <w:r w:rsidR="0085675A"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8 </w:t>
            </w:r>
            <w:r w:rsidR="0085675A" w:rsidRPr="00ED22D1">
              <w:rPr>
                <w:sz w:val="20"/>
                <w:szCs w:val="20"/>
                <w:lang w:val="fr-CA"/>
              </w:rPr>
              <w:t>43</w:t>
            </w:r>
            <w:r w:rsidRPr="00ED22D1">
              <w:rPr>
                <w:sz w:val="20"/>
                <w:szCs w:val="20"/>
                <w:lang w:val="fr-CA"/>
              </w:rPr>
              <w:t>4 </w:t>
            </w:r>
            <w:r w:rsidR="0085675A"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9 </w:t>
            </w:r>
            <w:r w:rsidR="0085675A" w:rsidRPr="00ED22D1">
              <w:rPr>
                <w:sz w:val="20"/>
                <w:szCs w:val="20"/>
                <w:lang w:val="fr-CA"/>
              </w:rPr>
              <w:t>62</w:t>
            </w:r>
            <w:r w:rsidRPr="00ED22D1">
              <w:rPr>
                <w:sz w:val="20"/>
                <w:szCs w:val="20"/>
                <w:lang w:val="fr-CA"/>
              </w:rPr>
              <w:t>5 </w:t>
            </w:r>
            <w:r w:rsidR="0085675A"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85675A" w:rsidP="0085675A">
            <w:pPr>
              <w:widowControl w:val="0"/>
              <w:jc w:val="right"/>
              <w:rPr>
                <w:sz w:val="20"/>
                <w:szCs w:val="20"/>
                <w:lang w:val="fr-CA"/>
              </w:rPr>
            </w:pPr>
            <w:r w:rsidRPr="00ED22D1">
              <w:rPr>
                <w:sz w:val="20"/>
                <w:szCs w:val="20"/>
                <w:lang w:val="fr-CA"/>
              </w:rPr>
              <w:t>1</w:t>
            </w:r>
            <w:r w:rsidR="004A6828" w:rsidRPr="00ED22D1">
              <w:rPr>
                <w:sz w:val="20"/>
                <w:szCs w:val="20"/>
                <w:lang w:val="fr-CA"/>
              </w:rPr>
              <w:t>1 </w:t>
            </w:r>
            <w:r w:rsidRPr="00ED22D1">
              <w:rPr>
                <w:sz w:val="20"/>
                <w:szCs w:val="20"/>
                <w:lang w:val="fr-CA"/>
              </w:rPr>
              <w:t>17</w:t>
            </w:r>
            <w:r w:rsidR="004A6828" w:rsidRPr="00ED22D1">
              <w:rPr>
                <w:sz w:val="20"/>
                <w:szCs w:val="20"/>
                <w:lang w:val="fr-CA"/>
              </w:rPr>
              <w:t>5 </w:t>
            </w:r>
            <w:r w:rsidRPr="00ED22D1">
              <w:rPr>
                <w:sz w:val="20"/>
                <w:szCs w:val="20"/>
                <w:lang w:val="fr-CA"/>
              </w:rPr>
              <w:t>000</w:t>
            </w:r>
          </w:p>
        </w:tc>
        <w:tc>
          <w:tcPr>
            <w:tcW w:w="1245" w:type="dxa"/>
            <w:tcBorders>
              <w:top w:val="single" w:sz="4" w:space="0" w:color="auto"/>
              <w:left w:val="nil"/>
              <w:bottom w:val="single" w:sz="4" w:space="0" w:color="auto"/>
              <w:right w:val="single" w:sz="4" w:space="0" w:color="auto"/>
            </w:tcBorders>
            <w:shd w:val="clear" w:color="auto" w:fill="auto"/>
            <w:noWrap/>
            <w:hideMark/>
          </w:tcPr>
          <w:p w:rsidR="0085675A" w:rsidRPr="00ED22D1" w:rsidRDefault="0085675A" w:rsidP="0085675A">
            <w:pPr>
              <w:widowControl w:val="0"/>
              <w:jc w:val="right"/>
              <w:rPr>
                <w:sz w:val="20"/>
                <w:szCs w:val="20"/>
                <w:lang w:val="fr-CA"/>
              </w:rPr>
            </w:pPr>
            <w:r w:rsidRPr="00ED22D1">
              <w:rPr>
                <w:sz w:val="20"/>
                <w:szCs w:val="20"/>
                <w:lang w:val="fr-CA"/>
              </w:rPr>
              <w:t>7</w:t>
            </w:r>
            <w:r w:rsidR="004A6828" w:rsidRPr="00ED22D1">
              <w:rPr>
                <w:sz w:val="20"/>
                <w:szCs w:val="20"/>
                <w:lang w:val="fr-CA"/>
              </w:rPr>
              <w:t>4 </w:t>
            </w:r>
            <w:r w:rsidRPr="00ED22D1">
              <w:rPr>
                <w:sz w:val="20"/>
                <w:szCs w:val="20"/>
                <w:lang w:val="fr-CA"/>
              </w:rPr>
              <w:t>86</w:t>
            </w:r>
            <w:r w:rsidR="004A6828" w:rsidRPr="00ED22D1">
              <w:rPr>
                <w:sz w:val="20"/>
                <w:szCs w:val="20"/>
                <w:lang w:val="fr-CA"/>
              </w:rPr>
              <w:t>4 </w:t>
            </w:r>
            <w:r w:rsidRPr="00ED22D1">
              <w:rPr>
                <w:sz w:val="20"/>
                <w:szCs w:val="20"/>
                <w:lang w:val="fr-CA"/>
              </w:rPr>
              <w:t>000</w:t>
            </w:r>
          </w:p>
        </w:tc>
      </w:tr>
      <w:tr w:rsidR="0085675A" w:rsidRPr="00ED22D1" w:rsidTr="0085675A">
        <w:trPr>
          <w:trHeight w:val="50"/>
        </w:trPr>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rsidR="0085675A" w:rsidRPr="00ED22D1" w:rsidRDefault="00181884" w:rsidP="00572798">
            <w:pPr>
              <w:widowControl w:val="0"/>
              <w:jc w:val="left"/>
              <w:rPr>
                <w:bCs/>
                <w:sz w:val="20"/>
                <w:szCs w:val="20"/>
                <w:lang w:val="fr-CA"/>
              </w:rPr>
            </w:pPr>
            <w:r w:rsidRPr="00ED22D1">
              <w:rPr>
                <w:bCs/>
                <w:sz w:val="20"/>
                <w:szCs w:val="20"/>
                <w:lang w:val="fr-CA"/>
              </w:rPr>
              <w:t>Décaissé</w:t>
            </w:r>
            <w:r w:rsidR="00DE118B" w:rsidRPr="00ED22D1">
              <w:rPr>
                <w:bCs/>
                <w:sz w:val="20"/>
                <w:szCs w:val="20"/>
                <w:lang w:val="fr-CA"/>
              </w:rPr>
              <w:t xml:space="preserve"> par</w:t>
            </w:r>
            <w:r w:rsidR="00F320D6" w:rsidRPr="00ED22D1">
              <w:rPr>
                <w:bCs/>
                <w:sz w:val="20"/>
                <w:szCs w:val="20"/>
                <w:lang w:val="fr-CA"/>
              </w:rPr>
              <w:t xml:space="preserve"> FECO</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widowControl w:val="0"/>
              <w:jc w:val="right"/>
              <w:rPr>
                <w:sz w:val="20"/>
                <w:szCs w:val="20"/>
                <w:lang w:val="fr-CA"/>
              </w:rPr>
            </w:pPr>
            <w:r w:rsidRPr="00ED22D1">
              <w:rPr>
                <w:sz w:val="20"/>
                <w:szCs w:val="20"/>
                <w:lang w:val="fr-CA"/>
              </w:rPr>
              <w:t>2</w:t>
            </w:r>
            <w:r w:rsidR="004A6828" w:rsidRPr="00ED22D1">
              <w:rPr>
                <w:sz w:val="20"/>
                <w:szCs w:val="20"/>
                <w:lang w:val="fr-CA"/>
              </w:rPr>
              <w:t>4 </w:t>
            </w:r>
            <w:r w:rsidRPr="00ED22D1">
              <w:rPr>
                <w:sz w:val="20"/>
                <w:szCs w:val="20"/>
                <w:lang w:val="fr-CA"/>
              </w:rPr>
              <w:t>16</w:t>
            </w:r>
            <w:r w:rsidR="004A6828" w:rsidRPr="00ED22D1">
              <w:rPr>
                <w:sz w:val="20"/>
                <w:szCs w:val="20"/>
                <w:lang w:val="fr-CA"/>
              </w:rPr>
              <w:t>6 </w:t>
            </w:r>
            <w:r w:rsidRPr="00ED22D1">
              <w:rPr>
                <w:sz w:val="20"/>
                <w:szCs w:val="20"/>
                <w:lang w:val="fr-CA"/>
              </w:rPr>
              <w:t xml:space="preserve">608 </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7 </w:t>
            </w:r>
            <w:r w:rsidR="0085675A" w:rsidRPr="00ED22D1">
              <w:rPr>
                <w:sz w:val="20"/>
                <w:szCs w:val="20"/>
                <w:lang w:val="fr-CA"/>
              </w:rPr>
              <w:t>32</w:t>
            </w:r>
            <w:r w:rsidRPr="00ED22D1">
              <w:rPr>
                <w:sz w:val="20"/>
                <w:szCs w:val="20"/>
                <w:lang w:val="fr-CA"/>
              </w:rPr>
              <w:t>9 </w:t>
            </w:r>
            <w:r w:rsidR="0085675A" w:rsidRPr="00ED22D1">
              <w:rPr>
                <w:sz w:val="20"/>
                <w:szCs w:val="20"/>
                <w:lang w:val="fr-CA"/>
              </w:rPr>
              <w:t xml:space="preserve">616 </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7 </w:t>
            </w:r>
            <w:r w:rsidR="0085675A" w:rsidRPr="00ED22D1">
              <w:rPr>
                <w:sz w:val="20"/>
                <w:szCs w:val="20"/>
                <w:lang w:val="fr-CA"/>
              </w:rPr>
              <w:t>04</w:t>
            </w:r>
            <w:r w:rsidRPr="00ED22D1">
              <w:rPr>
                <w:sz w:val="20"/>
                <w:szCs w:val="20"/>
                <w:lang w:val="fr-CA"/>
              </w:rPr>
              <w:t>5 </w:t>
            </w:r>
            <w:r w:rsidR="0085675A" w:rsidRPr="00ED22D1">
              <w:rPr>
                <w:sz w:val="20"/>
                <w:szCs w:val="20"/>
                <w:lang w:val="fr-CA"/>
              </w:rPr>
              <w:t xml:space="preserve">859 </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6 </w:t>
            </w:r>
            <w:r w:rsidR="0085675A" w:rsidRPr="00ED22D1">
              <w:rPr>
                <w:sz w:val="20"/>
                <w:szCs w:val="20"/>
                <w:lang w:val="fr-CA"/>
              </w:rPr>
              <w:t>32</w:t>
            </w:r>
            <w:r w:rsidRPr="00ED22D1">
              <w:rPr>
                <w:sz w:val="20"/>
                <w:szCs w:val="20"/>
                <w:lang w:val="fr-CA"/>
              </w:rPr>
              <w:t>8 </w:t>
            </w:r>
            <w:r w:rsidR="0085675A" w:rsidRPr="00ED22D1">
              <w:rPr>
                <w:sz w:val="20"/>
                <w:szCs w:val="20"/>
                <w:lang w:val="fr-CA"/>
              </w:rPr>
              <w:t xml:space="preserve">800 </w:t>
            </w:r>
          </w:p>
        </w:tc>
        <w:tc>
          <w:tcPr>
            <w:tcW w:w="1245" w:type="dxa"/>
            <w:tcBorders>
              <w:top w:val="single" w:sz="4" w:space="0" w:color="auto"/>
              <w:left w:val="nil"/>
              <w:bottom w:val="single" w:sz="4" w:space="0" w:color="auto"/>
              <w:right w:val="single" w:sz="4" w:space="0" w:color="auto"/>
            </w:tcBorders>
            <w:shd w:val="clear" w:color="auto" w:fill="auto"/>
            <w:hideMark/>
          </w:tcPr>
          <w:p w:rsidR="0085675A" w:rsidRPr="00ED22D1" w:rsidRDefault="004A6828" w:rsidP="0085675A">
            <w:pPr>
              <w:widowControl w:val="0"/>
              <w:jc w:val="right"/>
              <w:rPr>
                <w:sz w:val="20"/>
                <w:szCs w:val="20"/>
                <w:lang w:val="fr-CA"/>
              </w:rPr>
            </w:pPr>
            <w:r w:rsidRPr="00ED22D1">
              <w:rPr>
                <w:sz w:val="20"/>
                <w:szCs w:val="20"/>
                <w:lang w:val="fr-CA"/>
              </w:rPr>
              <w:t>1 </w:t>
            </w:r>
            <w:r w:rsidR="0085675A" w:rsidRPr="00ED22D1">
              <w:rPr>
                <w:sz w:val="20"/>
                <w:szCs w:val="20"/>
                <w:lang w:val="fr-CA"/>
              </w:rPr>
              <w:t>92</w:t>
            </w:r>
            <w:r w:rsidRPr="00ED22D1">
              <w:rPr>
                <w:sz w:val="20"/>
                <w:szCs w:val="20"/>
                <w:lang w:val="fr-CA"/>
              </w:rPr>
              <w:t>2 </w:t>
            </w:r>
            <w:r w:rsidR="0085675A" w:rsidRPr="00ED22D1">
              <w:rPr>
                <w:sz w:val="20"/>
                <w:szCs w:val="20"/>
                <w:lang w:val="fr-CA"/>
              </w:rPr>
              <w:t xml:space="preserve">286 </w:t>
            </w:r>
          </w:p>
        </w:tc>
        <w:tc>
          <w:tcPr>
            <w:tcW w:w="1245" w:type="dxa"/>
            <w:tcBorders>
              <w:top w:val="single" w:sz="4" w:space="0" w:color="auto"/>
              <w:left w:val="nil"/>
              <w:bottom w:val="single" w:sz="4" w:space="0" w:color="auto"/>
              <w:right w:val="single" w:sz="4" w:space="0" w:color="auto"/>
            </w:tcBorders>
            <w:shd w:val="clear" w:color="auto" w:fill="auto"/>
            <w:noWrap/>
            <w:hideMark/>
          </w:tcPr>
          <w:p w:rsidR="0085675A" w:rsidRPr="00ED22D1" w:rsidRDefault="0085675A" w:rsidP="0085675A">
            <w:pPr>
              <w:widowControl w:val="0"/>
              <w:jc w:val="right"/>
              <w:rPr>
                <w:sz w:val="20"/>
                <w:szCs w:val="20"/>
                <w:lang w:val="fr-CA"/>
              </w:rPr>
            </w:pPr>
            <w:r w:rsidRPr="00ED22D1">
              <w:rPr>
                <w:sz w:val="20"/>
                <w:szCs w:val="20"/>
                <w:lang w:val="fr-CA"/>
              </w:rPr>
              <w:t>4</w:t>
            </w:r>
            <w:r w:rsidR="004A6828" w:rsidRPr="00ED22D1">
              <w:rPr>
                <w:sz w:val="20"/>
                <w:szCs w:val="20"/>
                <w:lang w:val="fr-CA"/>
              </w:rPr>
              <w:t>6 </w:t>
            </w:r>
            <w:r w:rsidRPr="00ED22D1">
              <w:rPr>
                <w:sz w:val="20"/>
                <w:szCs w:val="20"/>
                <w:lang w:val="fr-CA"/>
              </w:rPr>
              <w:t>79</w:t>
            </w:r>
            <w:r w:rsidR="004A6828" w:rsidRPr="00ED22D1">
              <w:rPr>
                <w:sz w:val="20"/>
                <w:szCs w:val="20"/>
                <w:lang w:val="fr-CA"/>
              </w:rPr>
              <w:t>3 </w:t>
            </w:r>
            <w:r w:rsidRPr="00ED22D1">
              <w:rPr>
                <w:sz w:val="20"/>
                <w:szCs w:val="20"/>
                <w:lang w:val="fr-CA"/>
              </w:rPr>
              <w:t xml:space="preserve">169 </w:t>
            </w:r>
          </w:p>
        </w:tc>
      </w:tr>
    </w:tbl>
    <w:p w:rsidR="0085675A" w:rsidRPr="00ED22D1" w:rsidRDefault="0085675A" w:rsidP="0085675A">
      <w:pPr>
        <w:widowControl w:val="0"/>
        <w:rPr>
          <w:sz w:val="19"/>
          <w:szCs w:val="19"/>
          <w:lang w:val="fr-CA"/>
        </w:rPr>
      </w:pPr>
      <w:r w:rsidRPr="00ED22D1">
        <w:rPr>
          <w:sz w:val="19"/>
          <w:szCs w:val="19"/>
          <w:lang w:val="fr-CA"/>
        </w:rPr>
        <w:t xml:space="preserve">* </w:t>
      </w:r>
      <w:r w:rsidR="00DE118B" w:rsidRPr="00ED22D1">
        <w:rPr>
          <w:sz w:val="19"/>
          <w:szCs w:val="19"/>
          <w:lang w:val="fr-CA"/>
        </w:rPr>
        <w:t>Sauf les</w:t>
      </w:r>
      <w:r w:rsidRPr="00ED22D1">
        <w:rPr>
          <w:sz w:val="19"/>
          <w:szCs w:val="19"/>
          <w:lang w:val="fr-CA"/>
        </w:rPr>
        <w:t xml:space="preserve"> </w:t>
      </w:r>
      <w:r w:rsidR="00DD185D" w:rsidRPr="00ED22D1">
        <w:rPr>
          <w:sz w:val="19"/>
          <w:szCs w:val="19"/>
          <w:lang w:val="fr-CA"/>
        </w:rPr>
        <w:t>coûts d’appui d’agence</w:t>
      </w:r>
    </w:p>
    <w:p w:rsidR="0085675A" w:rsidRPr="00ED22D1" w:rsidRDefault="0085675A" w:rsidP="0085675A">
      <w:pPr>
        <w:pStyle w:val="Heading1"/>
        <w:widowControl w:val="0"/>
        <w:numPr>
          <w:ilvl w:val="0"/>
          <w:numId w:val="0"/>
        </w:numPr>
        <w:spacing w:after="0"/>
        <w:rPr>
          <w:lang w:val="fr-CA"/>
        </w:rPr>
      </w:pPr>
      <w:r w:rsidRPr="00ED22D1">
        <w:rPr>
          <w:lang w:val="fr-CA"/>
        </w:rPr>
        <w:t xml:space="preserve"> </w:t>
      </w:r>
    </w:p>
    <w:p w:rsidR="0085675A" w:rsidRPr="00ED22D1" w:rsidRDefault="00DE118B" w:rsidP="0085675A">
      <w:pPr>
        <w:pStyle w:val="Heading1"/>
        <w:widowControl w:val="0"/>
        <w:rPr>
          <w:lang w:val="fr-CA"/>
        </w:rPr>
      </w:pPr>
      <w:r w:rsidRPr="00ED22D1">
        <w:rPr>
          <w:lang w:val="fr-CA"/>
        </w:rPr>
        <w:t>Le t</w:t>
      </w:r>
      <w:r w:rsidR="00CE7FEC" w:rsidRPr="00ED22D1">
        <w:rPr>
          <w:lang w:val="fr-CA"/>
        </w:rPr>
        <w:t xml:space="preserve">ableau </w:t>
      </w:r>
      <w:r w:rsidR="0085675A" w:rsidRPr="00ED22D1">
        <w:rPr>
          <w:lang w:val="fr-CA"/>
        </w:rPr>
        <w:t xml:space="preserve">3 </w:t>
      </w:r>
      <w:r w:rsidRPr="00ED22D1">
        <w:rPr>
          <w:lang w:val="fr-CA"/>
        </w:rPr>
        <w:t>montre l’</w:t>
      </w:r>
      <w:r w:rsidR="0085675A" w:rsidRPr="00ED22D1">
        <w:rPr>
          <w:lang w:val="fr-CA"/>
        </w:rPr>
        <w:t xml:space="preserve">allocation, </w:t>
      </w:r>
      <w:r w:rsidRPr="00ED22D1">
        <w:rPr>
          <w:lang w:val="fr-CA"/>
        </w:rPr>
        <w:t xml:space="preserve">le </w:t>
      </w:r>
      <w:r w:rsidR="00181884" w:rsidRPr="00ED22D1">
        <w:rPr>
          <w:lang w:val="fr-CA"/>
        </w:rPr>
        <w:t>décaissement</w:t>
      </w:r>
      <w:r w:rsidR="004A6828" w:rsidRPr="00ED22D1">
        <w:rPr>
          <w:lang w:val="fr-CA"/>
        </w:rPr>
        <w:t xml:space="preserve"> et </w:t>
      </w:r>
      <w:r w:rsidRPr="00ED22D1">
        <w:rPr>
          <w:lang w:val="fr-CA"/>
        </w:rPr>
        <w:t xml:space="preserve">le financement restant par </w:t>
      </w:r>
      <w:r w:rsidR="00DC23B2" w:rsidRPr="00ED22D1">
        <w:rPr>
          <w:lang w:val="fr-CA"/>
        </w:rPr>
        <w:t>activité</w:t>
      </w:r>
      <w:r w:rsidRPr="00ED22D1">
        <w:rPr>
          <w:lang w:val="fr-CA"/>
        </w:rPr>
        <w:t xml:space="preserve"> dans le secteur des climatiseurs résidentiels</w:t>
      </w:r>
      <w:r w:rsidR="0085675A" w:rsidRPr="00ED22D1">
        <w:rPr>
          <w:lang w:val="fr-CA"/>
        </w:rPr>
        <w:t>.</w:t>
      </w:r>
    </w:p>
    <w:p w:rsidR="0085675A" w:rsidRPr="00ED22D1" w:rsidRDefault="00CE7FEC" w:rsidP="00F45B87">
      <w:pPr>
        <w:widowControl w:val="0"/>
        <w:ind w:left="-142"/>
        <w:rPr>
          <w:b/>
          <w:lang w:val="fr-CA"/>
        </w:rPr>
      </w:pPr>
      <w:r w:rsidRPr="00ED22D1">
        <w:rPr>
          <w:b/>
          <w:lang w:val="fr-CA"/>
        </w:rPr>
        <w:t xml:space="preserve">Tableau </w:t>
      </w:r>
      <w:r w:rsidR="004A6828" w:rsidRPr="00ED22D1">
        <w:rPr>
          <w:b/>
          <w:lang w:val="fr-CA"/>
        </w:rPr>
        <w:t>3</w:t>
      </w:r>
      <w:r w:rsidR="00DE118B" w:rsidRPr="00ED22D1">
        <w:rPr>
          <w:b/>
          <w:lang w:val="fr-CA"/>
        </w:rPr>
        <w:t>.</w:t>
      </w:r>
      <w:r w:rsidR="0085675A" w:rsidRPr="00ED22D1">
        <w:rPr>
          <w:b/>
          <w:lang w:val="fr-CA"/>
        </w:rPr>
        <w:t xml:space="preserve"> Allocation, </w:t>
      </w:r>
      <w:r w:rsidR="00181884" w:rsidRPr="00ED22D1">
        <w:rPr>
          <w:b/>
          <w:lang w:val="fr-CA"/>
        </w:rPr>
        <w:t>décaissement</w:t>
      </w:r>
      <w:r w:rsidR="004A6828" w:rsidRPr="00ED22D1">
        <w:rPr>
          <w:b/>
          <w:lang w:val="fr-CA"/>
        </w:rPr>
        <w:t xml:space="preserve"> et </w:t>
      </w:r>
      <w:r w:rsidR="00DE118B" w:rsidRPr="00ED22D1">
        <w:rPr>
          <w:b/>
          <w:lang w:val="fr-CA"/>
        </w:rPr>
        <w:t>financement restant</w:t>
      </w:r>
      <w:r w:rsidR="0085675A" w:rsidRPr="00ED22D1">
        <w:rPr>
          <w:b/>
          <w:lang w:val="fr-CA"/>
        </w:rPr>
        <w:t xml:space="preserve"> </w:t>
      </w:r>
      <w:r w:rsidR="00874624" w:rsidRPr="00ED22D1">
        <w:rPr>
          <w:b/>
          <w:lang w:val="fr-CA"/>
        </w:rPr>
        <w:t>($US)</w:t>
      </w:r>
      <w:r w:rsidR="00DE118B" w:rsidRPr="00ED22D1">
        <w:rPr>
          <w:b/>
          <w:lang w:val="fr-CA"/>
        </w:rPr>
        <w:t xml:space="preserve"> par activité</w:t>
      </w:r>
      <w:r w:rsidR="0085675A" w:rsidRPr="00ED22D1">
        <w:rPr>
          <w:b/>
          <w:lang w:val="fr-CA"/>
        </w:rPr>
        <w:t xml:space="preserve"> </w:t>
      </w:r>
      <w:r w:rsidR="00DE118B" w:rsidRPr="00ED22D1">
        <w:rPr>
          <w:b/>
          <w:lang w:val="fr-CA"/>
        </w:rPr>
        <w:t>dans le</w:t>
      </w:r>
      <w:r w:rsidR="004A6828" w:rsidRPr="00ED22D1">
        <w:rPr>
          <w:b/>
          <w:lang w:val="fr-CA"/>
        </w:rPr>
        <w:t xml:space="preserve"> </w:t>
      </w:r>
      <w:r w:rsidR="00DE118B" w:rsidRPr="00ED22D1">
        <w:rPr>
          <w:b/>
          <w:lang w:val="fr-CA"/>
        </w:rPr>
        <w:t>secteur des climatiseurs résidentiels</w:t>
      </w:r>
    </w:p>
    <w:tbl>
      <w:tblPr>
        <w:tblW w:w="4969" w:type="pct"/>
        <w:tblLayout w:type="fixed"/>
        <w:tblCellMar>
          <w:left w:w="115" w:type="dxa"/>
          <w:right w:w="115" w:type="dxa"/>
        </w:tblCellMar>
        <w:tblLook w:val="04A0" w:firstRow="1" w:lastRow="0" w:firstColumn="1" w:lastColumn="0" w:noHBand="0" w:noVBand="1"/>
      </w:tblPr>
      <w:tblGrid>
        <w:gridCol w:w="1657"/>
        <w:gridCol w:w="3140"/>
        <w:gridCol w:w="1578"/>
        <w:gridCol w:w="1578"/>
        <w:gridCol w:w="1578"/>
      </w:tblGrid>
      <w:tr w:rsidR="0085675A" w:rsidRPr="00ED22D1" w:rsidTr="0085675A">
        <w:tc>
          <w:tcPr>
            <w:tcW w:w="2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75A" w:rsidRPr="00ED22D1" w:rsidRDefault="0085675A" w:rsidP="0085675A">
            <w:pPr>
              <w:rPr>
                <w:b/>
                <w:bCs/>
                <w:color w:val="000000"/>
                <w:sz w:val="20"/>
                <w:szCs w:val="20"/>
                <w:lang w:val="fr-CA" w:eastAsia="en-CA"/>
              </w:rPr>
            </w:pPr>
            <w:r w:rsidRPr="00ED22D1">
              <w:rPr>
                <w:b/>
                <w:bCs/>
                <w:color w:val="000000"/>
                <w:sz w:val="20"/>
                <w:szCs w:val="20"/>
                <w:lang w:val="fr-CA" w:eastAsia="en-CA"/>
              </w:rPr>
              <w:t>Description</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85675A" w:rsidRPr="00ED22D1" w:rsidRDefault="0085675A" w:rsidP="0085675A">
            <w:pPr>
              <w:jc w:val="center"/>
              <w:rPr>
                <w:b/>
                <w:bCs/>
                <w:color w:val="000000"/>
                <w:sz w:val="20"/>
                <w:szCs w:val="20"/>
                <w:lang w:val="fr-CA" w:eastAsia="en-CA"/>
              </w:rPr>
            </w:pPr>
            <w:r w:rsidRPr="00ED22D1">
              <w:rPr>
                <w:b/>
                <w:bCs/>
                <w:color w:val="000000"/>
                <w:sz w:val="20"/>
                <w:szCs w:val="20"/>
                <w:lang w:val="fr-CA" w:eastAsia="en-CA"/>
              </w:rPr>
              <w:t>Allocation</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85675A" w:rsidRPr="00ED22D1" w:rsidRDefault="00181884" w:rsidP="0085675A">
            <w:pPr>
              <w:jc w:val="center"/>
              <w:rPr>
                <w:b/>
                <w:bCs/>
                <w:color w:val="000000"/>
                <w:sz w:val="20"/>
                <w:szCs w:val="20"/>
                <w:lang w:val="fr-CA" w:eastAsia="en-CA"/>
              </w:rPr>
            </w:pPr>
            <w:r w:rsidRPr="00ED22D1">
              <w:rPr>
                <w:b/>
                <w:bCs/>
                <w:color w:val="000000"/>
                <w:sz w:val="20"/>
                <w:szCs w:val="20"/>
                <w:lang w:val="fr-CA" w:eastAsia="en-CA"/>
              </w:rPr>
              <w:t>Décaissement</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85675A" w:rsidRPr="00ED22D1" w:rsidRDefault="00DE118B" w:rsidP="0085675A">
            <w:pPr>
              <w:jc w:val="center"/>
              <w:rPr>
                <w:b/>
                <w:bCs/>
                <w:color w:val="000000"/>
                <w:sz w:val="20"/>
                <w:szCs w:val="20"/>
                <w:lang w:val="fr-CA" w:eastAsia="en-CA"/>
              </w:rPr>
            </w:pPr>
            <w:r w:rsidRPr="00ED22D1">
              <w:rPr>
                <w:b/>
                <w:bCs/>
                <w:color w:val="000000"/>
                <w:sz w:val="20"/>
                <w:szCs w:val="20"/>
                <w:lang w:val="fr-CA" w:eastAsia="en-CA"/>
              </w:rPr>
              <w:t>Solde</w:t>
            </w:r>
          </w:p>
        </w:tc>
      </w:tr>
      <w:tr w:rsidR="0085675A" w:rsidRPr="00ED22D1" w:rsidTr="0085675A">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85675A" w:rsidRPr="00ED22D1" w:rsidRDefault="00DE118B" w:rsidP="00DE118B">
            <w:pPr>
              <w:jc w:val="left"/>
              <w:rPr>
                <w:color w:val="000000"/>
                <w:sz w:val="20"/>
                <w:szCs w:val="20"/>
                <w:lang w:val="fr-CA" w:eastAsia="en-CA"/>
              </w:rPr>
            </w:pPr>
            <w:r w:rsidRPr="00ED22D1">
              <w:rPr>
                <w:color w:val="000000"/>
                <w:sz w:val="20"/>
                <w:szCs w:val="20"/>
                <w:lang w:val="fr-CA" w:eastAsia="en-CA"/>
              </w:rPr>
              <w:t>Reconversion des circuits de production</w:t>
            </w: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R-290 (ICC)*</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3</w:t>
            </w:r>
            <w:r w:rsidR="004A6828" w:rsidRPr="00ED22D1">
              <w:rPr>
                <w:sz w:val="20"/>
                <w:szCs w:val="20"/>
                <w:lang w:val="fr-CA" w:eastAsia="en-CA"/>
              </w:rPr>
              <w:t>5 </w:t>
            </w:r>
            <w:r w:rsidRPr="00ED22D1">
              <w:rPr>
                <w:sz w:val="20"/>
                <w:szCs w:val="20"/>
                <w:lang w:val="fr-CA" w:eastAsia="en-CA"/>
              </w:rPr>
              <w:t>41</w:t>
            </w:r>
            <w:r w:rsidR="004A6828" w:rsidRPr="00ED22D1">
              <w:rPr>
                <w:sz w:val="20"/>
                <w:szCs w:val="20"/>
                <w:lang w:val="fr-CA" w:eastAsia="en-CA"/>
              </w:rPr>
              <w:t>0 </w:t>
            </w:r>
            <w:r w:rsidRPr="00ED22D1">
              <w:rPr>
                <w:sz w:val="20"/>
                <w:szCs w:val="20"/>
                <w:lang w:val="fr-CA" w:eastAsia="en-CA"/>
              </w:rPr>
              <w:t>952</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2</w:t>
            </w:r>
            <w:r w:rsidR="004A6828" w:rsidRPr="00ED22D1">
              <w:rPr>
                <w:sz w:val="20"/>
                <w:szCs w:val="20"/>
                <w:lang w:val="fr-CA" w:eastAsia="en-CA"/>
              </w:rPr>
              <w:t>7 </w:t>
            </w:r>
            <w:r w:rsidRPr="00ED22D1">
              <w:rPr>
                <w:sz w:val="20"/>
                <w:szCs w:val="20"/>
                <w:lang w:val="fr-CA" w:eastAsia="en-CA"/>
              </w:rPr>
              <w:t>84</w:t>
            </w:r>
            <w:r w:rsidR="004A6828" w:rsidRPr="00ED22D1">
              <w:rPr>
                <w:sz w:val="20"/>
                <w:szCs w:val="20"/>
                <w:lang w:val="fr-CA" w:eastAsia="en-CA"/>
              </w:rPr>
              <w:t>2 </w:t>
            </w:r>
            <w:r w:rsidRPr="00ED22D1">
              <w:rPr>
                <w:sz w:val="20"/>
                <w:szCs w:val="20"/>
                <w:lang w:val="fr-CA" w:eastAsia="en-CA"/>
              </w:rPr>
              <w:t>490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7 </w:t>
            </w:r>
            <w:r w:rsidR="0085675A" w:rsidRPr="00ED22D1">
              <w:rPr>
                <w:sz w:val="20"/>
                <w:szCs w:val="20"/>
                <w:lang w:val="fr-CA" w:eastAsia="en-CA"/>
              </w:rPr>
              <w:t>56</w:t>
            </w:r>
            <w:r w:rsidRPr="00ED22D1">
              <w:rPr>
                <w:sz w:val="20"/>
                <w:szCs w:val="20"/>
                <w:lang w:val="fr-CA" w:eastAsia="en-CA"/>
              </w:rPr>
              <w:t>8 </w:t>
            </w:r>
            <w:r w:rsidR="0085675A" w:rsidRPr="00ED22D1">
              <w:rPr>
                <w:sz w:val="20"/>
                <w:szCs w:val="20"/>
                <w:lang w:val="fr-CA" w:eastAsia="en-CA"/>
              </w:rPr>
              <w:t>462</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R-290 (IOC)</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2</w:t>
            </w:r>
            <w:r w:rsidR="004A6828" w:rsidRPr="00ED22D1">
              <w:rPr>
                <w:sz w:val="20"/>
                <w:szCs w:val="20"/>
                <w:lang w:val="fr-CA" w:eastAsia="en-CA"/>
              </w:rPr>
              <w:t>0 </w:t>
            </w:r>
            <w:r w:rsidRPr="00ED22D1">
              <w:rPr>
                <w:sz w:val="20"/>
                <w:szCs w:val="20"/>
                <w:lang w:val="fr-CA" w:eastAsia="en-CA"/>
              </w:rPr>
              <w:t>86</w:t>
            </w:r>
            <w:r w:rsidR="004A6828" w:rsidRPr="00ED22D1">
              <w:rPr>
                <w:sz w:val="20"/>
                <w:szCs w:val="20"/>
                <w:lang w:val="fr-CA" w:eastAsia="en-CA"/>
              </w:rPr>
              <w:t>5 </w:t>
            </w:r>
            <w:r w:rsidRPr="00ED22D1">
              <w:rPr>
                <w:sz w:val="20"/>
                <w:szCs w:val="20"/>
                <w:lang w:val="fr-CA" w:eastAsia="en-CA"/>
              </w:rPr>
              <w:t>066</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2 </w:t>
            </w:r>
            <w:r w:rsidR="0085675A" w:rsidRPr="00ED22D1">
              <w:rPr>
                <w:sz w:val="20"/>
                <w:szCs w:val="20"/>
                <w:lang w:val="fr-CA" w:eastAsia="en-CA"/>
              </w:rPr>
              <w:t>41</w:t>
            </w:r>
            <w:r w:rsidRPr="00ED22D1">
              <w:rPr>
                <w:sz w:val="20"/>
                <w:szCs w:val="20"/>
                <w:lang w:val="fr-CA" w:eastAsia="en-CA"/>
              </w:rPr>
              <w:t>6 </w:t>
            </w:r>
            <w:r w:rsidR="0085675A" w:rsidRPr="00ED22D1">
              <w:rPr>
                <w:sz w:val="20"/>
                <w:szCs w:val="20"/>
                <w:lang w:val="fr-CA" w:eastAsia="en-CA"/>
              </w:rPr>
              <w:t>502</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1</w:t>
            </w:r>
            <w:r w:rsidR="004A6828" w:rsidRPr="00ED22D1">
              <w:rPr>
                <w:sz w:val="20"/>
                <w:szCs w:val="20"/>
                <w:lang w:val="fr-CA" w:eastAsia="en-CA"/>
              </w:rPr>
              <w:t>8 </w:t>
            </w:r>
            <w:r w:rsidRPr="00ED22D1">
              <w:rPr>
                <w:sz w:val="20"/>
                <w:szCs w:val="20"/>
                <w:lang w:val="fr-CA" w:eastAsia="en-CA"/>
              </w:rPr>
              <w:t>44</w:t>
            </w:r>
            <w:r w:rsidR="004A6828" w:rsidRPr="00ED22D1">
              <w:rPr>
                <w:sz w:val="20"/>
                <w:szCs w:val="20"/>
                <w:lang w:val="fr-CA" w:eastAsia="en-CA"/>
              </w:rPr>
              <w:t>8 </w:t>
            </w:r>
            <w:r w:rsidRPr="00ED22D1">
              <w:rPr>
                <w:sz w:val="20"/>
                <w:szCs w:val="20"/>
                <w:lang w:val="fr-CA" w:eastAsia="en-CA"/>
              </w:rPr>
              <w:t>564</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R-410a</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4A6828" w:rsidP="0085675A">
            <w:pPr>
              <w:jc w:val="right"/>
              <w:rPr>
                <w:sz w:val="20"/>
                <w:szCs w:val="20"/>
                <w:lang w:val="fr-CA" w:eastAsia="en-CA"/>
              </w:rPr>
            </w:pPr>
            <w:r w:rsidRPr="00ED22D1">
              <w:rPr>
                <w:sz w:val="20"/>
                <w:szCs w:val="20"/>
                <w:lang w:val="fr-CA" w:eastAsia="en-CA"/>
              </w:rPr>
              <w:t>4 </w:t>
            </w:r>
            <w:r w:rsidR="0085675A" w:rsidRPr="00ED22D1">
              <w:rPr>
                <w:sz w:val="20"/>
                <w:szCs w:val="20"/>
                <w:lang w:val="fr-CA" w:eastAsia="en-CA"/>
              </w:rPr>
              <w:t>54</w:t>
            </w:r>
            <w:r w:rsidRPr="00ED22D1">
              <w:rPr>
                <w:sz w:val="20"/>
                <w:szCs w:val="20"/>
                <w:lang w:val="fr-CA" w:eastAsia="en-CA"/>
              </w:rPr>
              <w:t>8 </w:t>
            </w:r>
            <w:r w:rsidR="0085675A" w:rsidRPr="00ED22D1">
              <w:rPr>
                <w:sz w:val="20"/>
                <w:szCs w:val="20"/>
                <w:lang w:val="fr-CA" w:eastAsia="en-CA"/>
              </w:rPr>
              <w:t>219</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4 </w:t>
            </w:r>
            <w:r w:rsidR="0085675A" w:rsidRPr="00ED22D1">
              <w:rPr>
                <w:sz w:val="20"/>
                <w:szCs w:val="20"/>
                <w:lang w:val="fr-CA" w:eastAsia="en-CA"/>
              </w:rPr>
              <w:t>16</w:t>
            </w:r>
            <w:r w:rsidRPr="00ED22D1">
              <w:rPr>
                <w:sz w:val="20"/>
                <w:szCs w:val="20"/>
                <w:lang w:val="fr-CA" w:eastAsia="en-CA"/>
              </w:rPr>
              <w:t>5 </w:t>
            </w:r>
            <w:r w:rsidR="0085675A" w:rsidRPr="00ED22D1">
              <w:rPr>
                <w:sz w:val="20"/>
                <w:szCs w:val="20"/>
                <w:lang w:val="fr-CA" w:eastAsia="en-CA"/>
              </w:rPr>
              <w:t>578</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38</w:t>
            </w:r>
            <w:r w:rsidR="004A6828" w:rsidRPr="00ED22D1">
              <w:rPr>
                <w:sz w:val="20"/>
                <w:szCs w:val="20"/>
                <w:lang w:val="fr-CA" w:eastAsia="en-CA"/>
              </w:rPr>
              <w:t>2 </w:t>
            </w:r>
            <w:r w:rsidRPr="00ED22D1">
              <w:rPr>
                <w:sz w:val="20"/>
                <w:szCs w:val="20"/>
                <w:lang w:val="fr-CA" w:eastAsia="en-CA"/>
              </w:rPr>
              <w:t>641</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 xml:space="preserve">R-290 </w:t>
            </w:r>
            <w:r w:rsidR="004B666A" w:rsidRPr="00ED22D1">
              <w:rPr>
                <w:color w:val="000000"/>
                <w:sz w:val="20"/>
                <w:szCs w:val="20"/>
                <w:lang w:val="fr-CA" w:eastAsia="en-CA"/>
              </w:rPr>
              <w:t>Compresseur</w:t>
            </w:r>
            <w:r w:rsidR="00DE118B" w:rsidRPr="00ED22D1">
              <w:rPr>
                <w:color w:val="000000"/>
                <w:sz w:val="20"/>
                <w:szCs w:val="20"/>
                <w:lang w:val="fr-CA" w:eastAsia="en-CA"/>
              </w:rPr>
              <w:t>s</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4A6828" w:rsidP="0085675A">
            <w:pPr>
              <w:jc w:val="right"/>
              <w:rPr>
                <w:sz w:val="20"/>
                <w:szCs w:val="20"/>
                <w:lang w:val="fr-CA" w:eastAsia="en-CA"/>
              </w:rPr>
            </w:pPr>
            <w:r w:rsidRPr="00ED22D1">
              <w:rPr>
                <w:sz w:val="20"/>
                <w:szCs w:val="20"/>
                <w:lang w:val="fr-CA" w:eastAsia="en-CA"/>
              </w:rPr>
              <w:t>4 </w:t>
            </w:r>
            <w:r w:rsidR="0085675A" w:rsidRPr="00ED22D1">
              <w:rPr>
                <w:sz w:val="20"/>
                <w:szCs w:val="20"/>
                <w:lang w:val="fr-CA" w:eastAsia="en-CA"/>
              </w:rPr>
              <w:t>11</w:t>
            </w:r>
            <w:r w:rsidRPr="00ED22D1">
              <w:rPr>
                <w:sz w:val="20"/>
                <w:szCs w:val="20"/>
                <w:lang w:val="fr-CA" w:eastAsia="en-CA"/>
              </w:rPr>
              <w:t>2 </w:t>
            </w:r>
            <w:r w:rsidR="0085675A" w:rsidRPr="00ED22D1">
              <w:rPr>
                <w:sz w:val="20"/>
                <w:szCs w:val="20"/>
                <w:lang w:val="fr-CA" w:eastAsia="en-CA"/>
              </w:rPr>
              <w:t>902</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4 </w:t>
            </w:r>
            <w:r w:rsidR="0085675A" w:rsidRPr="00ED22D1">
              <w:rPr>
                <w:sz w:val="20"/>
                <w:szCs w:val="20"/>
                <w:lang w:val="fr-CA" w:eastAsia="en-CA"/>
              </w:rPr>
              <w:t>11</w:t>
            </w:r>
            <w:r w:rsidRPr="00ED22D1">
              <w:rPr>
                <w:sz w:val="20"/>
                <w:szCs w:val="20"/>
                <w:lang w:val="fr-CA" w:eastAsia="en-CA"/>
              </w:rPr>
              <w:t>2 </w:t>
            </w:r>
            <w:r w:rsidR="0085675A" w:rsidRPr="00ED22D1">
              <w:rPr>
                <w:sz w:val="20"/>
                <w:szCs w:val="20"/>
                <w:lang w:val="fr-CA" w:eastAsia="en-CA"/>
              </w:rPr>
              <w:t>902</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w:t>
            </w:r>
          </w:p>
        </w:tc>
      </w:tr>
      <w:tr w:rsidR="0085675A" w:rsidRPr="00ED22D1" w:rsidTr="0085675A">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85675A" w:rsidRPr="00ED22D1" w:rsidRDefault="00DE118B" w:rsidP="0085675A">
            <w:pPr>
              <w:jc w:val="left"/>
              <w:rPr>
                <w:color w:val="000000"/>
                <w:sz w:val="20"/>
                <w:szCs w:val="20"/>
                <w:lang w:val="fr-CA" w:eastAsia="en-CA"/>
              </w:rPr>
            </w:pPr>
            <w:r w:rsidRPr="00ED22D1">
              <w:rPr>
                <w:color w:val="000000"/>
                <w:sz w:val="20"/>
                <w:szCs w:val="20"/>
                <w:lang w:val="fr-CA" w:eastAsia="en-CA"/>
              </w:rPr>
              <w:t>Assistance technique</w:t>
            </w: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R&amp;D</w:t>
            </w:r>
            <w:r w:rsidR="00DE118B" w:rsidRPr="00ED22D1">
              <w:rPr>
                <w:color w:val="000000"/>
                <w:sz w:val="20"/>
                <w:szCs w:val="20"/>
                <w:lang w:val="fr-CA" w:eastAsia="en-CA"/>
              </w:rPr>
              <w:t xml:space="preserve"> technique</w:t>
            </w:r>
            <w:r w:rsidRPr="00ED22D1">
              <w:rPr>
                <w:color w:val="000000"/>
                <w:sz w:val="20"/>
                <w:szCs w:val="20"/>
                <w:lang w:val="fr-CA" w:eastAsia="en-CA"/>
              </w:rPr>
              <w:t>**</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4A6828" w:rsidP="0085675A">
            <w:pPr>
              <w:jc w:val="right"/>
              <w:rPr>
                <w:sz w:val="20"/>
                <w:szCs w:val="20"/>
                <w:lang w:val="fr-CA" w:eastAsia="en-CA"/>
              </w:rPr>
            </w:pPr>
            <w:r w:rsidRPr="00ED22D1">
              <w:rPr>
                <w:sz w:val="20"/>
                <w:szCs w:val="20"/>
                <w:lang w:val="fr-CA" w:eastAsia="en-CA"/>
              </w:rPr>
              <w:t>2 </w:t>
            </w:r>
            <w:r w:rsidR="0085675A" w:rsidRPr="00ED22D1">
              <w:rPr>
                <w:sz w:val="20"/>
                <w:szCs w:val="20"/>
                <w:lang w:val="fr-CA" w:eastAsia="en-CA"/>
              </w:rPr>
              <w:t>22</w:t>
            </w:r>
            <w:r w:rsidRPr="00ED22D1">
              <w:rPr>
                <w:sz w:val="20"/>
                <w:szCs w:val="20"/>
                <w:lang w:val="fr-CA" w:eastAsia="en-CA"/>
              </w:rPr>
              <w:t>1 </w:t>
            </w:r>
            <w:r w:rsidR="0085675A" w:rsidRPr="00ED22D1">
              <w:rPr>
                <w:sz w:val="20"/>
                <w:szCs w:val="20"/>
                <w:lang w:val="fr-CA" w:eastAsia="en-CA"/>
              </w:rPr>
              <w:t>474</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2 </w:t>
            </w:r>
            <w:r w:rsidR="0085675A" w:rsidRPr="00ED22D1">
              <w:rPr>
                <w:sz w:val="20"/>
                <w:szCs w:val="20"/>
                <w:lang w:val="fr-CA" w:eastAsia="en-CA"/>
              </w:rPr>
              <w:t>21</w:t>
            </w:r>
            <w:r w:rsidRPr="00ED22D1">
              <w:rPr>
                <w:sz w:val="20"/>
                <w:szCs w:val="20"/>
                <w:lang w:val="fr-CA" w:eastAsia="en-CA"/>
              </w:rPr>
              <w:t>0 </w:t>
            </w:r>
            <w:r w:rsidR="0085675A" w:rsidRPr="00ED22D1">
              <w:rPr>
                <w:sz w:val="20"/>
                <w:szCs w:val="20"/>
                <w:lang w:val="fr-CA" w:eastAsia="en-CA"/>
              </w:rPr>
              <w:t>711</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1</w:t>
            </w:r>
            <w:r w:rsidR="004A6828" w:rsidRPr="00ED22D1">
              <w:rPr>
                <w:sz w:val="20"/>
                <w:szCs w:val="20"/>
                <w:lang w:val="fr-CA" w:eastAsia="en-CA"/>
              </w:rPr>
              <w:t>0 </w:t>
            </w:r>
            <w:r w:rsidRPr="00ED22D1">
              <w:rPr>
                <w:sz w:val="20"/>
                <w:szCs w:val="20"/>
                <w:lang w:val="fr-CA" w:eastAsia="en-CA"/>
              </w:rPr>
              <w:t>763</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DE118B" w:rsidP="0085675A">
            <w:pPr>
              <w:jc w:val="left"/>
              <w:rPr>
                <w:color w:val="000000"/>
                <w:sz w:val="20"/>
                <w:szCs w:val="20"/>
                <w:lang w:val="fr-CA" w:eastAsia="en-CA"/>
              </w:rPr>
            </w:pPr>
            <w:r w:rsidRPr="00ED22D1">
              <w:rPr>
                <w:color w:val="000000"/>
                <w:sz w:val="20"/>
                <w:szCs w:val="20"/>
                <w:lang w:val="fr-CA" w:eastAsia="en-CA"/>
              </w:rPr>
              <w:t>Normes</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66</w:t>
            </w:r>
            <w:r w:rsidR="004A6828" w:rsidRPr="00ED22D1">
              <w:rPr>
                <w:sz w:val="20"/>
                <w:szCs w:val="20"/>
                <w:lang w:val="fr-CA" w:eastAsia="en-CA"/>
              </w:rPr>
              <w:t>9 </w:t>
            </w:r>
            <w:r w:rsidRPr="00ED22D1">
              <w:rPr>
                <w:sz w:val="20"/>
                <w:szCs w:val="20"/>
                <w:lang w:val="fr-CA" w:eastAsia="en-CA"/>
              </w:rPr>
              <w:t>757</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28</w:t>
            </w:r>
            <w:r w:rsidR="004A6828" w:rsidRPr="00ED22D1">
              <w:rPr>
                <w:sz w:val="20"/>
                <w:szCs w:val="20"/>
                <w:lang w:val="fr-CA" w:eastAsia="en-CA"/>
              </w:rPr>
              <w:t>8 </w:t>
            </w:r>
            <w:r w:rsidRPr="00ED22D1">
              <w:rPr>
                <w:sz w:val="20"/>
                <w:szCs w:val="20"/>
                <w:lang w:val="fr-CA" w:eastAsia="en-CA"/>
              </w:rPr>
              <w:t>879</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38</w:t>
            </w:r>
            <w:r w:rsidR="004A6828" w:rsidRPr="00ED22D1">
              <w:rPr>
                <w:sz w:val="20"/>
                <w:szCs w:val="20"/>
                <w:lang w:val="fr-CA" w:eastAsia="en-CA"/>
              </w:rPr>
              <w:t>0 </w:t>
            </w:r>
            <w:r w:rsidRPr="00ED22D1">
              <w:rPr>
                <w:sz w:val="20"/>
                <w:szCs w:val="20"/>
                <w:lang w:val="fr-CA" w:eastAsia="en-CA"/>
              </w:rPr>
              <w:t>878</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MIS***</w:t>
            </w:r>
            <w:r w:rsidR="004A6828" w:rsidRPr="00ED22D1">
              <w:rPr>
                <w:color w:val="000000"/>
                <w:sz w:val="20"/>
                <w:szCs w:val="20"/>
                <w:lang w:val="fr-CA" w:eastAsia="en-CA"/>
              </w:rPr>
              <w:t xml:space="preserve"> et </w:t>
            </w:r>
            <w:r w:rsidR="00DE118B" w:rsidRPr="00ED22D1">
              <w:rPr>
                <w:color w:val="000000"/>
                <w:sz w:val="20"/>
                <w:szCs w:val="20"/>
                <w:lang w:val="fr-CA" w:eastAsia="en-CA"/>
              </w:rPr>
              <w:t>gestion des contingents</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25</w:t>
            </w:r>
            <w:r w:rsidR="004A6828" w:rsidRPr="00ED22D1">
              <w:rPr>
                <w:sz w:val="20"/>
                <w:szCs w:val="20"/>
                <w:lang w:val="fr-CA" w:eastAsia="en-CA"/>
              </w:rPr>
              <w:t>0 </w:t>
            </w:r>
            <w:r w:rsidRPr="00ED22D1">
              <w:rPr>
                <w:sz w:val="20"/>
                <w:szCs w:val="20"/>
                <w:lang w:val="fr-CA" w:eastAsia="en-CA"/>
              </w:rPr>
              <w:t>000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17</w:t>
            </w:r>
            <w:r w:rsidR="004A6828" w:rsidRPr="00ED22D1">
              <w:rPr>
                <w:sz w:val="20"/>
                <w:szCs w:val="20"/>
                <w:lang w:val="fr-CA" w:eastAsia="en-CA"/>
              </w:rPr>
              <w:t>9 </w:t>
            </w:r>
            <w:r w:rsidRPr="00ED22D1">
              <w:rPr>
                <w:sz w:val="20"/>
                <w:szCs w:val="20"/>
                <w:lang w:val="fr-CA" w:eastAsia="en-CA"/>
              </w:rPr>
              <w:t>626</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7</w:t>
            </w:r>
            <w:r w:rsidR="004A6828" w:rsidRPr="00ED22D1">
              <w:rPr>
                <w:sz w:val="20"/>
                <w:szCs w:val="20"/>
                <w:lang w:val="fr-CA" w:eastAsia="en-CA"/>
              </w:rPr>
              <w:t>0 </w:t>
            </w:r>
            <w:r w:rsidRPr="00ED22D1">
              <w:rPr>
                <w:sz w:val="20"/>
                <w:szCs w:val="20"/>
                <w:lang w:val="fr-CA" w:eastAsia="en-CA"/>
              </w:rPr>
              <w:t>374</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DE118B" w:rsidP="0085675A">
            <w:pPr>
              <w:jc w:val="left"/>
              <w:rPr>
                <w:color w:val="000000"/>
                <w:sz w:val="20"/>
                <w:szCs w:val="20"/>
                <w:lang w:val="fr-CA" w:eastAsia="en-CA"/>
              </w:rPr>
            </w:pPr>
            <w:r w:rsidRPr="00ED22D1">
              <w:rPr>
                <w:color w:val="000000"/>
                <w:sz w:val="20"/>
                <w:szCs w:val="20"/>
                <w:lang w:val="fr-CA" w:eastAsia="en-CA"/>
              </w:rPr>
              <w:t>Formation</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10</w:t>
            </w:r>
            <w:r w:rsidR="004A6828" w:rsidRPr="00ED22D1">
              <w:rPr>
                <w:sz w:val="20"/>
                <w:szCs w:val="20"/>
                <w:lang w:val="fr-CA" w:eastAsia="en-CA"/>
              </w:rPr>
              <w:t>0 </w:t>
            </w:r>
            <w:r w:rsidRPr="00ED22D1">
              <w:rPr>
                <w:sz w:val="20"/>
                <w:szCs w:val="20"/>
                <w:lang w:val="fr-CA" w:eastAsia="en-CA"/>
              </w:rPr>
              <w:t>000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2</w:t>
            </w:r>
            <w:r w:rsidR="004A6828" w:rsidRPr="00ED22D1">
              <w:rPr>
                <w:sz w:val="20"/>
                <w:szCs w:val="20"/>
                <w:lang w:val="fr-CA" w:eastAsia="en-CA"/>
              </w:rPr>
              <w:t>8 </w:t>
            </w:r>
            <w:r w:rsidRPr="00ED22D1">
              <w:rPr>
                <w:sz w:val="20"/>
                <w:szCs w:val="20"/>
                <w:lang w:val="fr-CA" w:eastAsia="en-CA"/>
              </w:rPr>
              <w:t>841</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7</w:t>
            </w:r>
            <w:r w:rsidR="004A6828" w:rsidRPr="00ED22D1">
              <w:rPr>
                <w:sz w:val="20"/>
                <w:szCs w:val="20"/>
                <w:lang w:val="fr-CA" w:eastAsia="en-CA"/>
              </w:rPr>
              <w:t>1 </w:t>
            </w:r>
            <w:r w:rsidRPr="00ED22D1">
              <w:rPr>
                <w:sz w:val="20"/>
                <w:szCs w:val="20"/>
                <w:lang w:val="fr-CA" w:eastAsia="en-CA"/>
              </w:rPr>
              <w:t>159</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2F6D48" w:rsidP="0085675A">
            <w:pPr>
              <w:jc w:val="left"/>
              <w:rPr>
                <w:color w:val="000000"/>
                <w:sz w:val="20"/>
                <w:szCs w:val="20"/>
                <w:lang w:val="fr-CA" w:eastAsia="en-CA"/>
              </w:rPr>
            </w:pPr>
            <w:r w:rsidRPr="00ED22D1">
              <w:rPr>
                <w:color w:val="000000"/>
                <w:sz w:val="20"/>
                <w:szCs w:val="20"/>
                <w:lang w:val="fr-CA" w:eastAsia="en-CA"/>
              </w:rPr>
              <w:t>Sensibilisation du public</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36</w:t>
            </w:r>
            <w:r w:rsidR="004A6828" w:rsidRPr="00ED22D1">
              <w:rPr>
                <w:sz w:val="20"/>
                <w:szCs w:val="20"/>
                <w:lang w:val="fr-CA" w:eastAsia="en-CA"/>
              </w:rPr>
              <w:t>0 </w:t>
            </w:r>
            <w:r w:rsidRPr="00ED22D1">
              <w:rPr>
                <w:sz w:val="20"/>
                <w:szCs w:val="20"/>
                <w:lang w:val="fr-CA" w:eastAsia="en-CA"/>
              </w:rPr>
              <w:t>000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31</w:t>
            </w:r>
            <w:r w:rsidR="004A6828" w:rsidRPr="00ED22D1">
              <w:rPr>
                <w:sz w:val="20"/>
                <w:szCs w:val="20"/>
                <w:lang w:val="fr-CA" w:eastAsia="en-CA"/>
              </w:rPr>
              <w:t>1 </w:t>
            </w:r>
            <w:r w:rsidRPr="00ED22D1">
              <w:rPr>
                <w:sz w:val="20"/>
                <w:szCs w:val="20"/>
                <w:lang w:val="fr-CA" w:eastAsia="en-CA"/>
              </w:rPr>
              <w:t>857</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4</w:t>
            </w:r>
            <w:r w:rsidR="004A6828" w:rsidRPr="00ED22D1">
              <w:rPr>
                <w:sz w:val="20"/>
                <w:szCs w:val="20"/>
                <w:lang w:val="fr-CA" w:eastAsia="en-CA"/>
              </w:rPr>
              <w:t>8 </w:t>
            </w:r>
            <w:r w:rsidRPr="00ED22D1">
              <w:rPr>
                <w:sz w:val="20"/>
                <w:szCs w:val="20"/>
                <w:lang w:val="fr-CA" w:eastAsia="en-CA"/>
              </w:rPr>
              <w:t>143</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DE118B" w:rsidP="0085675A">
            <w:pPr>
              <w:jc w:val="left"/>
              <w:rPr>
                <w:color w:val="000000"/>
                <w:sz w:val="20"/>
                <w:szCs w:val="20"/>
                <w:lang w:val="fr-CA" w:eastAsia="en-CA"/>
              </w:rPr>
            </w:pPr>
            <w:r w:rsidRPr="00ED22D1">
              <w:rPr>
                <w:color w:val="000000"/>
                <w:sz w:val="20"/>
                <w:szCs w:val="20"/>
                <w:lang w:val="fr-CA" w:eastAsia="en-CA"/>
              </w:rPr>
              <w:t>Communications techniques</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20</w:t>
            </w:r>
            <w:r w:rsidR="004A6828" w:rsidRPr="00ED22D1">
              <w:rPr>
                <w:sz w:val="20"/>
                <w:szCs w:val="20"/>
                <w:lang w:val="fr-CA" w:eastAsia="en-CA"/>
              </w:rPr>
              <w:t>4 </w:t>
            </w:r>
            <w:r w:rsidRPr="00ED22D1">
              <w:rPr>
                <w:sz w:val="20"/>
                <w:szCs w:val="20"/>
                <w:lang w:val="fr-CA" w:eastAsia="en-CA"/>
              </w:rPr>
              <w:t>500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18</w:t>
            </w:r>
            <w:r w:rsidR="004A6828" w:rsidRPr="00ED22D1">
              <w:rPr>
                <w:sz w:val="20"/>
                <w:szCs w:val="20"/>
                <w:lang w:val="fr-CA" w:eastAsia="en-CA"/>
              </w:rPr>
              <w:t>9 </w:t>
            </w:r>
            <w:r w:rsidRPr="00ED22D1">
              <w:rPr>
                <w:sz w:val="20"/>
                <w:szCs w:val="20"/>
                <w:lang w:val="fr-CA" w:eastAsia="en-CA"/>
              </w:rPr>
              <w:t>704</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1</w:t>
            </w:r>
            <w:r w:rsidR="004A6828" w:rsidRPr="00ED22D1">
              <w:rPr>
                <w:sz w:val="20"/>
                <w:szCs w:val="20"/>
                <w:lang w:val="fr-CA" w:eastAsia="en-CA"/>
              </w:rPr>
              <w:t>4 </w:t>
            </w:r>
            <w:r w:rsidRPr="00ED22D1">
              <w:rPr>
                <w:sz w:val="20"/>
                <w:szCs w:val="20"/>
                <w:lang w:val="fr-CA" w:eastAsia="en-CA"/>
              </w:rPr>
              <w:t>796</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921BDE" w:rsidP="0085675A">
            <w:pPr>
              <w:jc w:val="left"/>
              <w:rPr>
                <w:color w:val="000000"/>
                <w:sz w:val="20"/>
                <w:szCs w:val="20"/>
                <w:lang w:val="fr-CA" w:eastAsia="en-CA"/>
              </w:rPr>
            </w:pPr>
            <w:r w:rsidRPr="00ED22D1">
              <w:rPr>
                <w:color w:val="000000"/>
                <w:sz w:val="20"/>
                <w:szCs w:val="20"/>
                <w:lang w:val="fr-CA" w:eastAsia="en-CA"/>
              </w:rPr>
              <w:t>Vérification</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sz w:val="20"/>
                <w:szCs w:val="20"/>
                <w:lang w:val="fr-CA" w:eastAsia="en-CA"/>
              </w:rPr>
            </w:pPr>
            <w:r w:rsidRPr="00ED22D1">
              <w:rPr>
                <w:sz w:val="20"/>
                <w:szCs w:val="20"/>
                <w:lang w:val="fr-CA" w:eastAsia="en-CA"/>
              </w:rPr>
              <w:t>52</w:t>
            </w:r>
            <w:r w:rsidR="004A6828" w:rsidRPr="00ED22D1">
              <w:rPr>
                <w:sz w:val="20"/>
                <w:szCs w:val="20"/>
                <w:lang w:val="fr-CA" w:eastAsia="en-CA"/>
              </w:rPr>
              <w:t>0 </w:t>
            </w:r>
            <w:r w:rsidRPr="00ED22D1">
              <w:rPr>
                <w:sz w:val="20"/>
                <w:szCs w:val="20"/>
                <w:lang w:val="fr-CA" w:eastAsia="en-CA"/>
              </w:rPr>
              <w:t>580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48</w:t>
            </w:r>
            <w:r w:rsidR="004A6828" w:rsidRPr="00ED22D1">
              <w:rPr>
                <w:sz w:val="20"/>
                <w:szCs w:val="20"/>
                <w:lang w:val="fr-CA" w:eastAsia="en-CA"/>
              </w:rPr>
              <w:t>1 </w:t>
            </w:r>
            <w:r w:rsidRPr="00ED22D1">
              <w:rPr>
                <w:sz w:val="20"/>
                <w:szCs w:val="20"/>
                <w:lang w:val="fr-CA" w:eastAsia="en-CA"/>
              </w:rPr>
              <w:t>174</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3</w:t>
            </w:r>
            <w:r w:rsidR="004A6828" w:rsidRPr="00ED22D1">
              <w:rPr>
                <w:sz w:val="20"/>
                <w:szCs w:val="20"/>
                <w:lang w:val="fr-CA" w:eastAsia="en-CA"/>
              </w:rPr>
              <w:t>9 </w:t>
            </w:r>
            <w:r w:rsidRPr="00ED22D1">
              <w:rPr>
                <w:sz w:val="20"/>
                <w:szCs w:val="20"/>
                <w:lang w:val="fr-CA" w:eastAsia="en-CA"/>
              </w:rPr>
              <w:t>406</w:t>
            </w:r>
          </w:p>
        </w:tc>
      </w:tr>
      <w:tr w:rsidR="0085675A" w:rsidRPr="00ED22D1" w:rsidTr="0085675A">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85675A" w:rsidRPr="00ED22D1" w:rsidRDefault="00DE118B" w:rsidP="0085675A">
            <w:pPr>
              <w:jc w:val="left"/>
              <w:rPr>
                <w:color w:val="000000"/>
                <w:sz w:val="20"/>
                <w:szCs w:val="20"/>
                <w:lang w:val="fr-CA" w:eastAsia="en-CA"/>
              </w:rPr>
            </w:pPr>
            <w:r w:rsidRPr="00ED22D1">
              <w:rPr>
                <w:color w:val="000000"/>
                <w:sz w:val="20"/>
                <w:szCs w:val="20"/>
                <w:lang w:val="fr-CA" w:eastAsia="en-CA"/>
              </w:rPr>
              <w:t>Frais de gestion</w:t>
            </w: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FECO</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4A6828" w:rsidP="0085675A">
            <w:pPr>
              <w:jc w:val="right"/>
              <w:rPr>
                <w:sz w:val="20"/>
                <w:szCs w:val="20"/>
                <w:lang w:val="fr-CA" w:eastAsia="en-CA"/>
              </w:rPr>
            </w:pPr>
            <w:r w:rsidRPr="00ED22D1">
              <w:rPr>
                <w:sz w:val="20"/>
                <w:szCs w:val="20"/>
                <w:lang w:val="fr-CA" w:eastAsia="en-CA"/>
              </w:rPr>
              <w:t>4 </w:t>
            </w:r>
            <w:r w:rsidR="0085675A" w:rsidRPr="00ED22D1">
              <w:rPr>
                <w:sz w:val="20"/>
                <w:szCs w:val="20"/>
                <w:lang w:val="fr-CA" w:eastAsia="en-CA"/>
              </w:rPr>
              <w:t>23</w:t>
            </w:r>
            <w:r w:rsidRPr="00ED22D1">
              <w:rPr>
                <w:sz w:val="20"/>
                <w:szCs w:val="20"/>
                <w:lang w:val="fr-CA" w:eastAsia="en-CA"/>
              </w:rPr>
              <w:t>6 </w:t>
            </w:r>
            <w:r w:rsidR="0085675A" w:rsidRPr="00ED22D1">
              <w:rPr>
                <w:sz w:val="20"/>
                <w:szCs w:val="20"/>
                <w:lang w:val="fr-CA" w:eastAsia="en-CA"/>
              </w:rPr>
              <w:t>550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3 </w:t>
            </w:r>
            <w:r w:rsidR="0085675A" w:rsidRPr="00ED22D1">
              <w:rPr>
                <w:sz w:val="20"/>
                <w:szCs w:val="20"/>
                <w:lang w:val="fr-CA" w:eastAsia="en-CA"/>
              </w:rPr>
              <w:t>37</w:t>
            </w:r>
            <w:r w:rsidRPr="00ED22D1">
              <w:rPr>
                <w:sz w:val="20"/>
                <w:szCs w:val="20"/>
                <w:lang w:val="fr-CA" w:eastAsia="en-CA"/>
              </w:rPr>
              <w:t>4 </w:t>
            </w:r>
            <w:r w:rsidR="0085675A" w:rsidRPr="00ED22D1">
              <w:rPr>
                <w:sz w:val="20"/>
                <w:szCs w:val="20"/>
                <w:lang w:val="fr-CA" w:eastAsia="en-CA"/>
              </w:rPr>
              <w:t>145</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86</w:t>
            </w:r>
            <w:r w:rsidR="004A6828" w:rsidRPr="00ED22D1">
              <w:rPr>
                <w:sz w:val="20"/>
                <w:szCs w:val="20"/>
                <w:lang w:val="fr-CA" w:eastAsia="en-CA"/>
              </w:rPr>
              <w:t>2 </w:t>
            </w:r>
            <w:r w:rsidRPr="00ED22D1">
              <w:rPr>
                <w:sz w:val="20"/>
                <w:szCs w:val="20"/>
                <w:lang w:val="fr-CA" w:eastAsia="en-CA"/>
              </w:rPr>
              <w:t>405</w:t>
            </w:r>
          </w:p>
        </w:tc>
      </w:tr>
      <w:tr w:rsidR="0085675A" w:rsidRPr="00ED22D1" w:rsidTr="0085675A">
        <w:tc>
          <w:tcPr>
            <w:tcW w:w="869" w:type="pct"/>
            <w:vMerge/>
            <w:tcBorders>
              <w:top w:val="nil"/>
              <w:left w:val="single" w:sz="4" w:space="0" w:color="auto"/>
              <w:bottom w:val="single" w:sz="4" w:space="0" w:color="auto"/>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647" w:type="pct"/>
            <w:tcBorders>
              <w:top w:val="nil"/>
              <w:left w:val="nil"/>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color w:val="000000"/>
                <w:sz w:val="20"/>
                <w:szCs w:val="20"/>
                <w:lang w:val="fr-CA" w:eastAsia="en-CA"/>
              </w:rPr>
              <w:t>CHEAA****</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4A6828" w:rsidP="0085675A">
            <w:pPr>
              <w:jc w:val="right"/>
              <w:rPr>
                <w:sz w:val="20"/>
                <w:szCs w:val="20"/>
                <w:lang w:val="fr-CA" w:eastAsia="en-CA"/>
              </w:rPr>
            </w:pPr>
            <w:r w:rsidRPr="00ED22D1">
              <w:rPr>
                <w:sz w:val="20"/>
                <w:szCs w:val="20"/>
                <w:lang w:val="fr-CA" w:eastAsia="en-CA"/>
              </w:rPr>
              <w:t>1 </w:t>
            </w:r>
            <w:r w:rsidR="0085675A" w:rsidRPr="00ED22D1">
              <w:rPr>
                <w:sz w:val="20"/>
                <w:szCs w:val="20"/>
                <w:lang w:val="fr-CA" w:eastAsia="en-CA"/>
              </w:rPr>
              <w:t>50</w:t>
            </w:r>
            <w:r w:rsidRPr="00ED22D1">
              <w:rPr>
                <w:sz w:val="20"/>
                <w:szCs w:val="20"/>
                <w:lang w:val="fr-CA" w:eastAsia="en-CA"/>
              </w:rPr>
              <w:t>0 </w:t>
            </w:r>
            <w:r w:rsidR="0085675A" w:rsidRPr="00ED22D1">
              <w:rPr>
                <w:sz w:val="20"/>
                <w:szCs w:val="20"/>
                <w:lang w:val="fr-CA" w:eastAsia="en-CA"/>
              </w:rPr>
              <w:t>000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eastAsia="en-CA"/>
              </w:rPr>
            </w:pPr>
            <w:r w:rsidRPr="00ED22D1">
              <w:rPr>
                <w:sz w:val="20"/>
                <w:szCs w:val="20"/>
                <w:lang w:val="fr-CA" w:eastAsia="en-CA"/>
              </w:rPr>
              <w:t>1 </w:t>
            </w:r>
            <w:r w:rsidR="0085675A" w:rsidRPr="00ED22D1">
              <w:rPr>
                <w:sz w:val="20"/>
                <w:szCs w:val="20"/>
                <w:lang w:val="fr-CA" w:eastAsia="en-CA"/>
              </w:rPr>
              <w:t>19</w:t>
            </w:r>
            <w:r w:rsidRPr="00ED22D1">
              <w:rPr>
                <w:sz w:val="20"/>
                <w:szCs w:val="20"/>
                <w:lang w:val="fr-CA" w:eastAsia="en-CA"/>
              </w:rPr>
              <w:t>0 </w:t>
            </w:r>
            <w:r w:rsidR="0085675A" w:rsidRPr="00ED22D1">
              <w:rPr>
                <w:sz w:val="20"/>
                <w:szCs w:val="20"/>
                <w:lang w:val="fr-CA" w:eastAsia="en-CA"/>
              </w:rPr>
              <w:t>760</w:t>
            </w:r>
          </w:p>
        </w:tc>
        <w:tc>
          <w:tcPr>
            <w:tcW w:w="828" w:type="pct"/>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eastAsia="en-CA"/>
              </w:rPr>
            </w:pPr>
            <w:r w:rsidRPr="00ED22D1">
              <w:rPr>
                <w:sz w:val="20"/>
                <w:szCs w:val="20"/>
                <w:lang w:val="fr-CA" w:eastAsia="en-CA"/>
              </w:rPr>
              <w:t>30</w:t>
            </w:r>
            <w:r w:rsidR="004A6828" w:rsidRPr="00ED22D1">
              <w:rPr>
                <w:sz w:val="20"/>
                <w:szCs w:val="20"/>
                <w:lang w:val="fr-CA" w:eastAsia="en-CA"/>
              </w:rPr>
              <w:t>9 </w:t>
            </w:r>
            <w:r w:rsidRPr="00ED22D1">
              <w:rPr>
                <w:sz w:val="20"/>
                <w:szCs w:val="20"/>
                <w:lang w:val="fr-CA" w:eastAsia="en-CA"/>
              </w:rPr>
              <w:t>240</w:t>
            </w:r>
          </w:p>
        </w:tc>
      </w:tr>
      <w:tr w:rsidR="0085675A" w:rsidRPr="00ED22D1" w:rsidTr="0085675A">
        <w:tc>
          <w:tcPr>
            <w:tcW w:w="2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75A" w:rsidRPr="00ED22D1" w:rsidRDefault="0085675A" w:rsidP="0085675A">
            <w:pPr>
              <w:jc w:val="left"/>
              <w:rPr>
                <w:b/>
                <w:bCs/>
                <w:color w:val="000000"/>
                <w:sz w:val="20"/>
                <w:szCs w:val="20"/>
                <w:lang w:val="fr-CA" w:eastAsia="en-CA"/>
              </w:rPr>
            </w:pPr>
            <w:r w:rsidRPr="00ED22D1">
              <w:rPr>
                <w:b/>
                <w:bCs/>
                <w:color w:val="000000"/>
                <w:sz w:val="20"/>
                <w:szCs w:val="20"/>
                <w:lang w:val="fr-CA" w:eastAsia="en-CA"/>
              </w:rPr>
              <w:t>Total</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b/>
                <w:bCs/>
                <w:sz w:val="20"/>
                <w:szCs w:val="20"/>
                <w:lang w:val="fr-CA" w:eastAsia="en-CA"/>
              </w:rPr>
            </w:pPr>
            <w:r w:rsidRPr="00ED22D1">
              <w:rPr>
                <w:b/>
                <w:bCs/>
                <w:sz w:val="20"/>
                <w:szCs w:val="20"/>
                <w:lang w:val="fr-CA" w:eastAsia="en-CA"/>
              </w:rPr>
              <w:t>7</w:t>
            </w:r>
            <w:r w:rsidR="004A6828" w:rsidRPr="00ED22D1">
              <w:rPr>
                <w:b/>
                <w:bCs/>
                <w:sz w:val="20"/>
                <w:szCs w:val="20"/>
                <w:lang w:val="fr-CA" w:eastAsia="en-CA"/>
              </w:rPr>
              <w:t>5 </w:t>
            </w:r>
            <w:r w:rsidRPr="00ED22D1">
              <w:rPr>
                <w:b/>
                <w:bCs/>
                <w:sz w:val="20"/>
                <w:szCs w:val="20"/>
                <w:lang w:val="fr-CA" w:eastAsia="en-CA"/>
              </w:rPr>
              <w:t>00</w:t>
            </w:r>
            <w:r w:rsidR="004A6828" w:rsidRPr="00ED22D1">
              <w:rPr>
                <w:b/>
                <w:bCs/>
                <w:sz w:val="20"/>
                <w:szCs w:val="20"/>
                <w:lang w:val="fr-CA" w:eastAsia="en-CA"/>
              </w:rPr>
              <w:t>0 </w:t>
            </w:r>
            <w:r w:rsidRPr="00ED22D1">
              <w:rPr>
                <w:b/>
                <w:bCs/>
                <w:sz w:val="20"/>
                <w:szCs w:val="20"/>
                <w:lang w:val="fr-CA" w:eastAsia="en-CA"/>
              </w:rPr>
              <w:t>000</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b/>
                <w:bCs/>
                <w:sz w:val="20"/>
                <w:szCs w:val="20"/>
                <w:lang w:val="fr-CA" w:eastAsia="en-CA"/>
              </w:rPr>
            </w:pPr>
            <w:r w:rsidRPr="00ED22D1">
              <w:rPr>
                <w:b/>
                <w:bCs/>
                <w:sz w:val="20"/>
                <w:szCs w:val="20"/>
                <w:lang w:val="fr-CA" w:eastAsia="en-CA"/>
              </w:rPr>
              <w:t>4</w:t>
            </w:r>
            <w:r w:rsidR="004A6828" w:rsidRPr="00ED22D1">
              <w:rPr>
                <w:b/>
                <w:bCs/>
                <w:sz w:val="20"/>
                <w:szCs w:val="20"/>
                <w:lang w:val="fr-CA" w:eastAsia="en-CA"/>
              </w:rPr>
              <w:t>6 </w:t>
            </w:r>
            <w:r w:rsidRPr="00ED22D1">
              <w:rPr>
                <w:b/>
                <w:bCs/>
                <w:sz w:val="20"/>
                <w:szCs w:val="20"/>
                <w:lang w:val="fr-CA" w:eastAsia="en-CA"/>
              </w:rPr>
              <w:t>79</w:t>
            </w:r>
            <w:r w:rsidR="004A6828" w:rsidRPr="00ED22D1">
              <w:rPr>
                <w:b/>
                <w:bCs/>
                <w:sz w:val="20"/>
                <w:szCs w:val="20"/>
                <w:lang w:val="fr-CA" w:eastAsia="en-CA"/>
              </w:rPr>
              <w:t>3 </w:t>
            </w:r>
            <w:r w:rsidRPr="00ED22D1">
              <w:rPr>
                <w:b/>
                <w:bCs/>
                <w:sz w:val="20"/>
                <w:szCs w:val="20"/>
                <w:lang w:val="fr-CA" w:eastAsia="en-CA"/>
              </w:rPr>
              <w:t>169</w:t>
            </w:r>
          </w:p>
        </w:tc>
        <w:tc>
          <w:tcPr>
            <w:tcW w:w="828" w:type="pct"/>
            <w:tcBorders>
              <w:top w:val="nil"/>
              <w:left w:val="nil"/>
              <w:bottom w:val="single" w:sz="4" w:space="0" w:color="auto"/>
              <w:right w:val="single" w:sz="4" w:space="0" w:color="auto"/>
            </w:tcBorders>
            <w:shd w:val="clear" w:color="000000" w:fill="FFFFFF"/>
            <w:hideMark/>
          </w:tcPr>
          <w:p w:rsidR="0085675A" w:rsidRPr="00ED22D1" w:rsidRDefault="0085675A" w:rsidP="0085675A">
            <w:pPr>
              <w:jc w:val="right"/>
              <w:rPr>
                <w:b/>
                <w:bCs/>
                <w:sz w:val="20"/>
                <w:szCs w:val="20"/>
                <w:lang w:val="fr-CA" w:eastAsia="en-CA"/>
              </w:rPr>
            </w:pPr>
            <w:r w:rsidRPr="00ED22D1">
              <w:rPr>
                <w:b/>
                <w:bCs/>
                <w:sz w:val="20"/>
                <w:szCs w:val="20"/>
                <w:lang w:val="fr-CA" w:eastAsia="en-CA"/>
              </w:rPr>
              <w:t>2</w:t>
            </w:r>
            <w:r w:rsidR="004A6828" w:rsidRPr="00ED22D1">
              <w:rPr>
                <w:b/>
                <w:bCs/>
                <w:sz w:val="20"/>
                <w:szCs w:val="20"/>
                <w:lang w:val="fr-CA" w:eastAsia="en-CA"/>
              </w:rPr>
              <w:t>8 </w:t>
            </w:r>
            <w:r w:rsidRPr="00ED22D1">
              <w:rPr>
                <w:b/>
                <w:bCs/>
                <w:sz w:val="20"/>
                <w:szCs w:val="20"/>
                <w:lang w:val="fr-CA" w:eastAsia="en-CA"/>
              </w:rPr>
              <w:t>20</w:t>
            </w:r>
            <w:r w:rsidR="004A6828" w:rsidRPr="00ED22D1">
              <w:rPr>
                <w:b/>
                <w:bCs/>
                <w:sz w:val="20"/>
                <w:szCs w:val="20"/>
                <w:lang w:val="fr-CA" w:eastAsia="en-CA"/>
              </w:rPr>
              <w:t>6 </w:t>
            </w:r>
            <w:r w:rsidRPr="00ED22D1">
              <w:rPr>
                <w:b/>
                <w:bCs/>
                <w:sz w:val="20"/>
                <w:szCs w:val="20"/>
                <w:lang w:val="fr-CA" w:eastAsia="en-CA"/>
              </w:rPr>
              <w:t>831</w:t>
            </w:r>
          </w:p>
        </w:tc>
      </w:tr>
    </w:tbl>
    <w:p w:rsidR="0085675A" w:rsidRPr="00ED22D1" w:rsidRDefault="0085675A" w:rsidP="0085675A">
      <w:pPr>
        <w:rPr>
          <w:sz w:val="16"/>
          <w:szCs w:val="16"/>
          <w:lang w:val="fr-CA"/>
        </w:rPr>
      </w:pPr>
      <w:r w:rsidRPr="00ED22D1">
        <w:rPr>
          <w:sz w:val="16"/>
          <w:szCs w:val="16"/>
          <w:lang w:val="fr-CA"/>
        </w:rPr>
        <w:t xml:space="preserve">* </w:t>
      </w:r>
      <w:r w:rsidR="00DE118B" w:rsidRPr="00ED22D1">
        <w:rPr>
          <w:sz w:val="16"/>
          <w:szCs w:val="16"/>
          <w:lang w:val="fr-CA"/>
        </w:rPr>
        <w:t xml:space="preserve">ICC </w:t>
      </w:r>
      <w:r w:rsidR="00AE1617" w:rsidRPr="00ED22D1">
        <w:rPr>
          <w:sz w:val="16"/>
          <w:szCs w:val="16"/>
          <w:lang w:val="fr-CA"/>
        </w:rPr>
        <w:t xml:space="preserve">= </w:t>
      </w:r>
      <w:r w:rsidR="00DE118B" w:rsidRPr="00ED22D1">
        <w:rPr>
          <w:sz w:val="16"/>
          <w:szCs w:val="16"/>
          <w:lang w:val="fr-CA"/>
        </w:rPr>
        <w:t xml:space="preserve">Surcoûts d’investissement </w:t>
      </w:r>
    </w:p>
    <w:p w:rsidR="0085675A" w:rsidRPr="00ED22D1" w:rsidRDefault="0085675A" w:rsidP="0085675A">
      <w:pPr>
        <w:rPr>
          <w:sz w:val="16"/>
          <w:szCs w:val="16"/>
          <w:lang w:val="fr-CA"/>
        </w:rPr>
      </w:pPr>
      <w:r w:rsidRPr="00ED22D1">
        <w:rPr>
          <w:sz w:val="16"/>
          <w:szCs w:val="16"/>
          <w:lang w:val="fr-CA"/>
        </w:rPr>
        <w:t xml:space="preserve">** R&amp;D = </w:t>
      </w:r>
      <w:r w:rsidR="00AE1617" w:rsidRPr="00ED22D1">
        <w:rPr>
          <w:sz w:val="16"/>
          <w:szCs w:val="16"/>
          <w:lang w:val="fr-CA"/>
        </w:rPr>
        <w:t>Recherche et développement</w:t>
      </w:r>
    </w:p>
    <w:p w:rsidR="0085675A" w:rsidRPr="00ED22D1" w:rsidRDefault="0085675A" w:rsidP="0085675A">
      <w:pPr>
        <w:rPr>
          <w:sz w:val="16"/>
          <w:szCs w:val="16"/>
          <w:lang w:val="fr-CA"/>
        </w:rPr>
      </w:pPr>
      <w:r w:rsidRPr="00ED22D1">
        <w:rPr>
          <w:sz w:val="16"/>
          <w:szCs w:val="16"/>
          <w:lang w:val="fr-CA"/>
        </w:rPr>
        <w:t xml:space="preserve">*** MIS = </w:t>
      </w:r>
      <w:r w:rsidR="00AE1617" w:rsidRPr="00ED22D1">
        <w:rPr>
          <w:sz w:val="16"/>
          <w:szCs w:val="16"/>
          <w:lang w:val="fr-CA"/>
        </w:rPr>
        <w:t>Systèmes informatiques de gestion</w:t>
      </w:r>
    </w:p>
    <w:p w:rsidR="0085675A" w:rsidRPr="00BF7D63" w:rsidRDefault="0085675A" w:rsidP="0085675A">
      <w:pPr>
        <w:rPr>
          <w:sz w:val="16"/>
          <w:szCs w:val="16"/>
          <w:lang w:val="en-CA"/>
        </w:rPr>
      </w:pPr>
      <w:r w:rsidRPr="00BF7D63">
        <w:rPr>
          <w:sz w:val="16"/>
          <w:szCs w:val="16"/>
          <w:lang w:val="en-CA"/>
        </w:rPr>
        <w:t xml:space="preserve">**** CHEAA= </w:t>
      </w:r>
      <w:r w:rsidR="00316FD8" w:rsidRPr="00BF7D63">
        <w:rPr>
          <w:sz w:val="16"/>
          <w:szCs w:val="16"/>
          <w:lang w:val="en-CA"/>
        </w:rPr>
        <w:t>Chin</w:t>
      </w:r>
      <w:r w:rsidR="00F320D6" w:rsidRPr="00BF7D63">
        <w:rPr>
          <w:sz w:val="16"/>
          <w:szCs w:val="16"/>
          <w:lang w:val="en-CA"/>
        </w:rPr>
        <w:t>a</w:t>
      </w:r>
      <w:r w:rsidRPr="00BF7D63">
        <w:rPr>
          <w:sz w:val="16"/>
          <w:szCs w:val="16"/>
          <w:lang w:val="en-CA"/>
        </w:rPr>
        <w:t xml:space="preserve"> Household Electric Appliances Association</w:t>
      </w:r>
    </w:p>
    <w:p w:rsidR="0085675A" w:rsidRPr="00BF7D63" w:rsidRDefault="0085675A" w:rsidP="0085675A">
      <w:pPr>
        <w:rPr>
          <w:lang w:val="en-CA"/>
        </w:rPr>
      </w:pPr>
    </w:p>
    <w:p w:rsidR="0085675A" w:rsidRPr="00ED22D1" w:rsidRDefault="00AE1617" w:rsidP="0085675A">
      <w:pPr>
        <w:pStyle w:val="Heading1"/>
        <w:keepNext/>
        <w:keepLines/>
        <w:numPr>
          <w:ilvl w:val="0"/>
          <w:numId w:val="0"/>
        </w:numPr>
        <w:rPr>
          <w:u w:val="single"/>
          <w:lang w:val="fr-CA"/>
        </w:rPr>
      </w:pPr>
      <w:r w:rsidRPr="00ED22D1">
        <w:rPr>
          <w:u w:val="single"/>
          <w:lang w:val="fr-CA"/>
        </w:rPr>
        <w:lastRenderedPageBreak/>
        <w:t xml:space="preserve">Activités restantes du plan du </w:t>
      </w:r>
      <w:r w:rsidR="00DE118B" w:rsidRPr="00ED22D1">
        <w:rPr>
          <w:u w:val="single"/>
          <w:lang w:val="fr-CA"/>
        </w:rPr>
        <w:t>secteur des climatiseurs résidentiels</w:t>
      </w:r>
    </w:p>
    <w:p w:rsidR="0085675A" w:rsidRPr="00ED22D1" w:rsidRDefault="00AE1617" w:rsidP="0085675A">
      <w:pPr>
        <w:pStyle w:val="Heading1"/>
        <w:rPr>
          <w:lang w:val="fr-CA"/>
        </w:rPr>
      </w:pPr>
      <w:r w:rsidRPr="00ED22D1">
        <w:rPr>
          <w:lang w:val="fr-CA"/>
        </w:rPr>
        <w:t xml:space="preserve">Les activités suivantes seront mises en oeuvre </w:t>
      </w:r>
      <w:r w:rsidR="0052712E" w:rsidRPr="00ED22D1">
        <w:rPr>
          <w:lang w:val="fr-CA"/>
        </w:rPr>
        <w:t>en 20</w:t>
      </w:r>
      <w:r w:rsidR="0085675A" w:rsidRPr="00ED22D1">
        <w:rPr>
          <w:lang w:val="fr-CA"/>
        </w:rPr>
        <w:t>19</w:t>
      </w:r>
      <w:r w:rsidR="00791BF7" w:rsidRPr="00ED22D1">
        <w:rPr>
          <w:lang w:val="fr-CA"/>
        </w:rPr>
        <w:t> :</w:t>
      </w:r>
      <w:r w:rsidR="0085675A" w:rsidRPr="00ED22D1">
        <w:rPr>
          <w:lang w:val="fr-CA"/>
        </w:rPr>
        <w:t xml:space="preserve"> continuation </w:t>
      </w:r>
      <w:r w:rsidRPr="00ED22D1">
        <w:rPr>
          <w:lang w:val="fr-CA"/>
        </w:rPr>
        <w:t xml:space="preserve">de l’exécution du contingent de </w:t>
      </w:r>
      <w:r w:rsidR="0085675A" w:rsidRPr="00ED22D1">
        <w:rPr>
          <w:lang w:val="fr-CA"/>
        </w:rPr>
        <w:t xml:space="preserve">HCFC-22; </w:t>
      </w:r>
      <w:r w:rsidRPr="00ED22D1">
        <w:rPr>
          <w:b/>
          <w:lang w:val="fr-CA"/>
        </w:rPr>
        <w:t xml:space="preserve">achèvement de la </w:t>
      </w:r>
      <w:r w:rsidR="00FB1DC4" w:rsidRPr="00ED22D1">
        <w:rPr>
          <w:b/>
          <w:lang w:val="fr-CA"/>
        </w:rPr>
        <w:t>reconversion</w:t>
      </w:r>
      <w:r w:rsidR="004A6828" w:rsidRPr="00ED22D1">
        <w:rPr>
          <w:b/>
          <w:lang w:val="fr-CA"/>
        </w:rPr>
        <w:t xml:space="preserve"> et</w:t>
      </w:r>
      <w:r w:rsidRPr="00ED22D1">
        <w:rPr>
          <w:b/>
          <w:lang w:val="fr-CA"/>
        </w:rPr>
        <w:t xml:space="preserve"> de l’acceptation</w:t>
      </w:r>
      <w:r w:rsidR="004A6828" w:rsidRPr="00ED22D1">
        <w:rPr>
          <w:b/>
          <w:lang w:val="fr-CA"/>
        </w:rPr>
        <w:t xml:space="preserve"> </w:t>
      </w:r>
      <w:r w:rsidR="0085675A" w:rsidRPr="00ED22D1">
        <w:rPr>
          <w:b/>
          <w:lang w:val="fr-CA"/>
        </w:rPr>
        <w:t xml:space="preserve">nationale </w:t>
      </w:r>
      <w:r w:rsidRPr="00ED22D1">
        <w:rPr>
          <w:b/>
          <w:lang w:val="fr-CA"/>
        </w:rPr>
        <w:t xml:space="preserve">du circuit de </w:t>
      </w:r>
      <w:r w:rsidR="0085675A" w:rsidRPr="00ED22D1">
        <w:rPr>
          <w:b/>
          <w:lang w:val="fr-CA"/>
        </w:rPr>
        <w:t xml:space="preserve">R-290 </w:t>
      </w:r>
      <w:r w:rsidRPr="00ED22D1">
        <w:rPr>
          <w:b/>
          <w:lang w:val="fr-CA"/>
        </w:rPr>
        <w:t>restant</w:t>
      </w:r>
      <w:r w:rsidR="0085675A" w:rsidRPr="00ED22D1">
        <w:rPr>
          <w:lang w:val="fr-CA"/>
        </w:rPr>
        <w:t xml:space="preserve">; </w:t>
      </w:r>
      <w:r w:rsidR="00921BDE" w:rsidRPr="00ED22D1">
        <w:rPr>
          <w:lang w:val="fr-CA"/>
        </w:rPr>
        <w:t>vérification</w:t>
      </w:r>
      <w:r w:rsidR="0085675A" w:rsidRPr="00ED22D1">
        <w:rPr>
          <w:lang w:val="fr-CA"/>
        </w:rPr>
        <w:t xml:space="preserve"> </w:t>
      </w:r>
      <w:r w:rsidRPr="00ED22D1">
        <w:rPr>
          <w:lang w:val="fr-CA"/>
        </w:rPr>
        <w:t xml:space="preserve">des </w:t>
      </w:r>
      <w:r w:rsidR="001B45EC" w:rsidRPr="00ED22D1">
        <w:rPr>
          <w:lang w:val="fr-CA"/>
        </w:rPr>
        <w:t>projets de reconversion</w:t>
      </w:r>
      <w:r w:rsidRPr="00ED22D1">
        <w:rPr>
          <w:lang w:val="fr-CA"/>
        </w:rPr>
        <w:t xml:space="preserve"> achevés</w:t>
      </w:r>
      <w:r w:rsidR="0085675A" w:rsidRPr="00ED22D1">
        <w:rPr>
          <w:lang w:val="fr-CA"/>
        </w:rPr>
        <w:t>;</w:t>
      </w:r>
      <w:r w:rsidR="004A6828" w:rsidRPr="00ED22D1">
        <w:rPr>
          <w:lang w:val="fr-CA"/>
        </w:rPr>
        <w:t xml:space="preserve"> et</w:t>
      </w:r>
      <w:r w:rsidRPr="00ED22D1">
        <w:rPr>
          <w:lang w:val="fr-CA"/>
        </w:rPr>
        <w:t xml:space="preserve"> paiement des surcoûts d’investissement</w:t>
      </w:r>
      <w:r w:rsidR="0085675A" w:rsidRPr="00ED22D1">
        <w:rPr>
          <w:lang w:val="fr-CA"/>
        </w:rPr>
        <w:t xml:space="preserve"> </w:t>
      </w:r>
      <w:r w:rsidRPr="00ED22D1">
        <w:rPr>
          <w:lang w:val="fr-CA"/>
        </w:rPr>
        <w:t xml:space="preserve">basé sur un </w:t>
      </w:r>
      <w:r w:rsidR="004F0823" w:rsidRPr="00ED22D1">
        <w:rPr>
          <w:lang w:val="fr-CA"/>
        </w:rPr>
        <w:t>plan d’intéressement</w:t>
      </w:r>
      <w:r w:rsidRPr="00ED22D1">
        <w:rPr>
          <w:lang w:val="fr-CA"/>
        </w:rPr>
        <w:t xml:space="preserve"> révisé des </w:t>
      </w:r>
      <w:r w:rsidR="002F6D48" w:rsidRPr="00ED22D1">
        <w:rPr>
          <w:lang w:val="fr-CA"/>
        </w:rPr>
        <w:t>surcoûts d’exploitation</w:t>
      </w:r>
      <w:r w:rsidR="0085675A" w:rsidRPr="00ED22D1">
        <w:rPr>
          <w:lang w:val="fr-CA"/>
        </w:rPr>
        <w:t xml:space="preserve">. </w:t>
      </w:r>
      <w:r w:rsidRPr="00ED22D1">
        <w:rPr>
          <w:b/>
          <w:lang w:val="fr-CA"/>
        </w:rPr>
        <w:t>En ce qui a trait aux paiement</w:t>
      </w:r>
      <w:r w:rsidR="0085675A" w:rsidRPr="00ED22D1">
        <w:rPr>
          <w:b/>
          <w:lang w:val="fr-CA"/>
        </w:rPr>
        <w:t xml:space="preserve">s </w:t>
      </w:r>
      <w:r w:rsidRPr="00ED22D1">
        <w:rPr>
          <w:b/>
          <w:lang w:val="fr-CA"/>
        </w:rPr>
        <w:t>des surcoûts d’investissement</w:t>
      </w:r>
      <w:r w:rsidR="0085675A" w:rsidRPr="00ED22D1">
        <w:rPr>
          <w:b/>
          <w:lang w:val="fr-CA"/>
        </w:rPr>
        <w:t xml:space="preserve">, </w:t>
      </w:r>
      <w:r w:rsidRPr="00ED22D1">
        <w:rPr>
          <w:b/>
          <w:lang w:val="fr-CA"/>
        </w:rPr>
        <w:t xml:space="preserve">comme les </w:t>
      </w:r>
      <w:r w:rsidR="00921BDE" w:rsidRPr="00ED22D1">
        <w:rPr>
          <w:b/>
          <w:lang w:val="fr-CA"/>
        </w:rPr>
        <w:t>contrats</w:t>
      </w:r>
      <w:r w:rsidR="0085675A" w:rsidRPr="00ED22D1">
        <w:rPr>
          <w:b/>
          <w:lang w:val="fr-CA"/>
        </w:rPr>
        <w:t xml:space="preserve"> </w:t>
      </w:r>
      <w:r w:rsidRPr="00ED22D1">
        <w:rPr>
          <w:b/>
          <w:lang w:val="fr-CA"/>
        </w:rPr>
        <w:t xml:space="preserve">pour les paiements des </w:t>
      </w:r>
      <w:r w:rsidR="002F6D48" w:rsidRPr="00ED22D1">
        <w:rPr>
          <w:b/>
          <w:lang w:val="fr-CA"/>
        </w:rPr>
        <w:t xml:space="preserve">surcoûts d’exploitation </w:t>
      </w:r>
      <w:r w:rsidRPr="00ED22D1">
        <w:rPr>
          <w:b/>
          <w:lang w:val="fr-CA"/>
        </w:rPr>
        <w:t>ont expiré ou expireront avec la plupart des fabricants</w:t>
      </w:r>
      <w:r w:rsidR="0085675A" w:rsidRPr="00ED22D1">
        <w:rPr>
          <w:b/>
          <w:lang w:val="fr-CA"/>
        </w:rPr>
        <w:t xml:space="preserve">, </w:t>
      </w:r>
      <w:r w:rsidRPr="00ED22D1">
        <w:rPr>
          <w:b/>
          <w:lang w:val="fr-CA"/>
        </w:rPr>
        <w:t>les surcoûts d’investissement</w:t>
      </w:r>
      <w:r w:rsidR="0085675A" w:rsidRPr="00ED22D1">
        <w:rPr>
          <w:b/>
          <w:lang w:val="fr-CA"/>
        </w:rPr>
        <w:t xml:space="preserve"> </w:t>
      </w:r>
      <w:r w:rsidRPr="00ED22D1">
        <w:rPr>
          <w:b/>
          <w:lang w:val="fr-CA"/>
        </w:rPr>
        <w:t xml:space="preserve">non payés ont été </w:t>
      </w:r>
      <w:r w:rsidR="00DC23B2" w:rsidRPr="00ED22D1">
        <w:rPr>
          <w:b/>
          <w:lang w:val="fr-CA"/>
        </w:rPr>
        <w:t>retournés</w:t>
      </w:r>
      <w:r w:rsidRPr="00ED22D1">
        <w:rPr>
          <w:b/>
          <w:lang w:val="fr-CA"/>
        </w:rPr>
        <w:t xml:space="preserve"> au compte du </w:t>
      </w:r>
      <w:r w:rsidR="001B45EC" w:rsidRPr="00ED22D1">
        <w:rPr>
          <w:b/>
          <w:lang w:val="fr-CA"/>
        </w:rPr>
        <w:t>projet</w:t>
      </w:r>
      <w:r w:rsidR="0085675A" w:rsidRPr="00ED22D1">
        <w:rPr>
          <w:b/>
          <w:lang w:val="fr-CA"/>
        </w:rPr>
        <w:t xml:space="preserve"> </w:t>
      </w:r>
      <w:r w:rsidRPr="00ED22D1">
        <w:rPr>
          <w:b/>
          <w:lang w:val="fr-CA"/>
        </w:rPr>
        <w:t>pour</w:t>
      </w:r>
      <w:r w:rsidR="0085675A" w:rsidRPr="00ED22D1">
        <w:rPr>
          <w:b/>
          <w:lang w:val="fr-CA"/>
        </w:rPr>
        <w:t xml:space="preserve"> r</w:t>
      </w:r>
      <w:r w:rsidRPr="00ED22D1">
        <w:rPr>
          <w:b/>
          <w:lang w:val="fr-CA"/>
        </w:rPr>
        <w:t>é</w:t>
      </w:r>
      <w:r w:rsidR="0085675A" w:rsidRPr="00ED22D1">
        <w:rPr>
          <w:b/>
          <w:lang w:val="fr-CA"/>
        </w:rPr>
        <w:t xml:space="preserve">allocation. </w:t>
      </w:r>
      <w:r w:rsidRPr="00ED22D1">
        <w:rPr>
          <w:b/>
          <w:lang w:val="fr-CA"/>
        </w:rPr>
        <w:t xml:space="preserve">Sur la base du </w:t>
      </w:r>
      <w:r w:rsidR="004F0823" w:rsidRPr="00ED22D1">
        <w:rPr>
          <w:b/>
          <w:lang w:val="fr-CA"/>
        </w:rPr>
        <w:t>plan d’intéressement</w:t>
      </w:r>
      <w:r w:rsidRPr="00ED22D1">
        <w:rPr>
          <w:b/>
          <w:lang w:val="fr-CA"/>
        </w:rPr>
        <w:t xml:space="preserve"> proposé des </w:t>
      </w:r>
      <w:r w:rsidR="002F6D48" w:rsidRPr="00ED22D1">
        <w:rPr>
          <w:b/>
          <w:lang w:val="fr-CA"/>
        </w:rPr>
        <w:t xml:space="preserve">surcoûts d’exploitation </w:t>
      </w:r>
      <w:r w:rsidR="004A6828" w:rsidRPr="00ED22D1">
        <w:rPr>
          <w:b/>
          <w:lang w:val="fr-CA"/>
        </w:rPr>
        <w:t xml:space="preserve">et </w:t>
      </w:r>
      <w:r w:rsidRPr="00ED22D1">
        <w:rPr>
          <w:b/>
          <w:lang w:val="fr-CA"/>
        </w:rPr>
        <w:t xml:space="preserve">les ventes d’unités avec </w:t>
      </w:r>
      <w:r w:rsidR="0085675A" w:rsidRPr="00ED22D1">
        <w:rPr>
          <w:b/>
          <w:lang w:val="fr-CA"/>
        </w:rPr>
        <w:t xml:space="preserve">R-290 </w:t>
      </w:r>
      <w:r w:rsidRPr="00ED22D1">
        <w:rPr>
          <w:b/>
          <w:lang w:val="fr-CA"/>
        </w:rPr>
        <w:t xml:space="preserve">par les </w:t>
      </w:r>
      <w:r w:rsidR="00921BDE" w:rsidRPr="00ED22D1">
        <w:rPr>
          <w:b/>
          <w:lang w:val="fr-CA"/>
        </w:rPr>
        <w:t>bénéficiaires</w:t>
      </w:r>
      <w:r w:rsidR="0085675A" w:rsidRPr="00ED22D1">
        <w:rPr>
          <w:b/>
          <w:lang w:val="fr-CA"/>
        </w:rPr>
        <w:t xml:space="preserve">, </w:t>
      </w:r>
      <w:r w:rsidRPr="00ED22D1">
        <w:rPr>
          <w:b/>
          <w:lang w:val="fr-CA"/>
        </w:rPr>
        <w:t>un nouveau contrat sera signé</w:t>
      </w:r>
      <w:r w:rsidR="00C420BC" w:rsidRPr="00ED22D1">
        <w:rPr>
          <w:b/>
          <w:lang w:val="fr-CA"/>
        </w:rPr>
        <w:t>. L’</w:t>
      </w:r>
      <w:r w:rsidR="0085675A" w:rsidRPr="00ED22D1">
        <w:rPr>
          <w:b/>
          <w:lang w:val="fr-CA"/>
        </w:rPr>
        <w:t>IECO</w:t>
      </w:r>
      <w:r w:rsidR="004A6828" w:rsidRPr="00ED22D1">
        <w:rPr>
          <w:b/>
          <w:lang w:val="fr-CA"/>
        </w:rPr>
        <w:t xml:space="preserve"> et </w:t>
      </w:r>
      <w:r w:rsidRPr="00ED22D1">
        <w:rPr>
          <w:b/>
          <w:lang w:val="fr-CA"/>
        </w:rPr>
        <w:t xml:space="preserve">la </w:t>
      </w:r>
      <w:r w:rsidR="0085675A" w:rsidRPr="00ED22D1">
        <w:rPr>
          <w:b/>
          <w:lang w:val="fr-CA"/>
        </w:rPr>
        <w:t xml:space="preserve">CHEAA </w:t>
      </w:r>
      <w:r w:rsidRPr="00ED22D1">
        <w:rPr>
          <w:b/>
          <w:lang w:val="fr-CA"/>
        </w:rPr>
        <w:t>examineront les progrès d</w:t>
      </w:r>
      <w:r w:rsidR="008450A6" w:rsidRPr="00ED22D1">
        <w:rPr>
          <w:b/>
          <w:lang w:val="fr-CA"/>
        </w:rPr>
        <w:t>e</w:t>
      </w:r>
      <w:r w:rsidRPr="00ED22D1">
        <w:rPr>
          <w:b/>
          <w:lang w:val="fr-CA"/>
        </w:rPr>
        <w:t xml:space="preserve"> la vent</w:t>
      </w:r>
      <w:r w:rsidR="00C219DB">
        <w:rPr>
          <w:b/>
          <w:lang w:val="fr-CA"/>
        </w:rPr>
        <w:t xml:space="preserve">e de climatiseurs résidentiels </w:t>
      </w:r>
      <w:r w:rsidRPr="00ED22D1">
        <w:rPr>
          <w:b/>
          <w:lang w:val="fr-CA"/>
        </w:rPr>
        <w:t xml:space="preserve">avec </w:t>
      </w:r>
      <w:r w:rsidR="0085675A" w:rsidRPr="00ED22D1">
        <w:rPr>
          <w:b/>
          <w:lang w:val="fr-CA"/>
        </w:rPr>
        <w:t>R</w:t>
      </w:r>
      <w:r w:rsidR="0085675A" w:rsidRPr="00ED22D1">
        <w:rPr>
          <w:b/>
          <w:lang w:val="fr-CA"/>
        </w:rPr>
        <w:noBreakHyphen/>
        <w:t xml:space="preserve">290 </w:t>
      </w:r>
      <w:r w:rsidRPr="00ED22D1">
        <w:rPr>
          <w:b/>
          <w:lang w:val="fr-CA"/>
        </w:rPr>
        <w:t xml:space="preserve">en </w:t>
      </w:r>
      <w:r w:rsidR="00B53D8B" w:rsidRPr="00ED22D1">
        <w:rPr>
          <w:b/>
          <w:lang w:val="fr-CA"/>
        </w:rPr>
        <w:t>juillet</w:t>
      </w:r>
      <w:r w:rsidR="0085675A" w:rsidRPr="00ED22D1">
        <w:rPr>
          <w:b/>
          <w:lang w:val="fr-CA"/>
        </w:rPr>
        <w:t xml:space="preserve"> 2019</w:t>
      </w:r>
      <w:r w:rsidR="008450A6" w:rsidRPr="00ED22D1">
        <w:rPr>
          <w:b/>
          <w:lang w:val="fr-CA"/>
        </w:rPr>
        <w:t>,</w:t>
      </w:r>
      <w:r w:rsidR="0085675A" w:rsidRPr="00ED22D1">
        <w:rPr>
          <w:b/>
          <w:lang w:val="fr-CA"/>
        </w:rPr>
        <w:t xml:space="preserve"> </w:t>
      </w:r>
      <w:r w:rsidRPr="00ED22D1">
        <w:rPr>
          <w:b/>
          <w:lang w:val="fr-CA"/>
        </w:rPr>
        <w:t xml:space="preserve">afin d’élaborer un nouveau </w:t>
      </w:r>
      <w:r w:rsidR="004F0823" w:rsidRPr="00ED22D1">
        <w:rPr>
          <w:b/>
          <w:lang w:val="fr-CA"/>
        </w:rPr>
        <w:t>plan d’intéressement</w:t>
      </w:r>
      <w:r w:rsidRPr="00ED22D1">
        <w:rPr>
          <w:b/>
          <w:lang w:val="fr-CA"/>
        </w:rPr>
        <w:t xml:space="preserve"> des </w:t>
      </w:r>
      <w:r w:rsidR="002F6D48" w:rsidRPr="00ED22D1">
        <w:rPr>
          <w:b/>
          <w:lang w:val="fr-CA"/>
        </w:rPr>
        <w:t xml:space="preserve">surcoûts d’exploitation </w:t>
      </w:r>
      <w:r w:rsidR="004A6828" w:rsidRPr="00ED22D1">
        <w:rPr>
          <w:b/>
          <w:lang w:val="fr-CA"/>
        </w:rPr>
        <w:t xml:space="preserve">et </w:t>
      </w:r>
      <w:r w:rsidRPr="00ED22D1">
        <w:rPr>
          <w:b/>
          <w:lang w:val="fr-CA"/>
        </w:rPr>
        <w:t xml:space="preserve">du plan de promotion du </w:t>
      </w:r>
      <w:r w:rsidR="0085675A" w:rsidRPr="00ED22D1">
        <w:rPr>
          <w:b/>
          <w:lang w:val="fr-CA"/>
        </w:rPr>
        <w:t>R-290</w:t>
      </w:r>
      <w:r w:rsidR="0085675A" w:rsidRPr="00ED22D1">
        <w:rPr>
          <w:lang w:val="fr-CA"/>
        </w:rPr>
        <w:t xml:space="preserve">. </w:t>
      </w:r>
      <w:r w:rsidRPr="00ED22D1">
        <w:rPr>
          <w:lang w:val="fr-CA"/>
        </w:rPr>
        <w:t xml:space="preserve">La date d’achèvement prévue de la première à la fin de la </w:t>
      </w:r>
      <w:r w:rsidR="004A6828" w:rsidRPr="00ED22D1">
        <w:rPr>
          <w:lang w:val="fr-CA"/>
        </w:rPr>
        <w:t>troisième</w:t>
      </w:r>
      <w:r w:rsidR="0085675A" w:rsidRPr="00ED22D1">
        <w:rPr>
          <w:lang w:val="fr-CA"/>
        </w:rPr>
        <w:t xml:space="preserve"> tranche </w:t>
      </w:r>
      <w:r w:rsidRPr="00ED22D1">
        <w:rPr>
          <w:lang w:val="fr-CA"/>
        </w:rPr>
        <w:t>est</w:t>
      </w:r>
      <w:r w:rsidR="00B53D8B" w:rsidRPr="00ED22D1">
        <w:rPr>
          <w:lang w:val="fr-CA"/>
        </w:rPr>
        <w:t xml:space="preserve"> juillet</w:t>
      </w:r>
      <w:r w:rsidR="0085675A" w:rsidRPr="00ED22D1">
        <w:rPr>
          <w:lang w:val="fr-CA"/>
        </w:rPr>
        <w:t xml:space="preserve"> 201</w:t>
      </w:r>
      <w:r w:rsidR="004A6828" w:rsidRPr="00ED22D1">
        <w:rPr>
          <w:lang w:val="fr-CA"/>
        </w:rPr>
        <w:t>9</w:t>
      </w:r>
      <w:r w:rsidRPr="00ED22D1">
        <w:rPr>
          <w:lang w:val="fr-CA"/>
        </w:rPr>
        <w:t>,</w:t>
      </w:r>
      <w:r w:rsidR="004A6828" w:rsidRPr="00ED22D1">
        <w:rPr>
          <w:lang w:val="fr-CA"/>
        </w:rPr>
        <w:t> </w:t>
      </w:r>
      <w:r w:rsidRPr="00ED22D1">
        <w:rPr>
          <w:lang w:val="fr-CA"/>
        </w:rPr>
        <w:t xml:space="preserve">tandis que les </w:t>
      </w:r>
      <w:r w:rsidR="00FB46BE" w:rsidRPr="00ED22D1">
        <w:rPr>
          <w:b/>
          <w:lang w:val="fr-CA"/>
        </w:rPr>
        <w:t>quatrième</w:t>
      </w:r>
      <w:r w:rsidR="004A6828" w:rsidRPr="00ED22D1">
        <w:rPr>
          <w:lang w:val="fr-CA"/>
        </w:rPr>
        <w:t xml:space="preserve"> et </w:t>
      </w:r>
      <w:r w:rsidR="00FB46BE" w:rsidRPr="00ED22D1">
        <w:rPr>
          <w:lang w:val="fr-CA"/>
        </w:rPr>
        <w:t>cinquième</w:t>
      </w:r>
      <w:r w:rsidR="0085675A" w:rsidRPr="00ED22D1">
        <w:rPr>
          <w:lang w:val="fr-CA"/>
        </w:rPr>
        <w:t xml:space="preserve"> tranches </w:t>
      </w:r>
      <w:r w:rsidRPr="00ED22D1">
        <w:rPr>
          <w:lang w:val="fr-CA"/>
        </w:rPr>
        <w:t>seront achevées d’ici</w:t>
      </w:r>
      <w:r w:rsidR="00DE118B" w:rsidRPr="00ED22D1">
        <w:rPr>
          <w:lang w:val="fr-CA"/>
        </w:rPr>
        <w:t xml:space="preserve"> </w:t>
      </w:r>
      <w:r w:rsidR="001B31BF" w:rsidRPr="00ED22D1">
        <w:rPr>
          <w:lang w:val="fr-CA"/>
        </w:rPr>
        <w:t>décembre</w:t>
      </w:r>
      <w:r w:rsidR="0085675A" w:rsidRPr="00ED22D1">
        <w:rPr>
          <w:lang w:val="fr-CA"/>
        </w:rPr>
        <w:t xml:space="preserve"> 201</w:t>
      </w:r>
      <w:r w:rsidR="004A6828" w:rsidRPr="00ED22D1">
        <w:rPr>
          <w:lang w:val="fr-CA"/>
        </w:rPr>
        <w:t>9</w:t>
      </w:r>
      <w:r w:rsidRPr="00ED22D1">
        <w:rPr>
          <w:lang w:val="fr-CA"/>
        </w:rPr>
        <w:t>.</w:t>
      </w:r>
    </w:p>
    <w:p w:rsidR="0085675A" w:rsidRPr="00ED22D1" w:rsidRDefault="00AE1617" w:rsidP="0085675A">
      <w:pPr>
        <w:pStyle w:val="Heading1"/>
        <w:keepNext/>
        <w:keepLines/>
        <w:numPr>
          <w:ilvl w:val="0"/>
          <w:numId w:val="0"/>
        </w:numPr>
        <w:rPr>
          <w:b/>
          <w:lang w:val="fr-CA"/>
        </w:rPr>
      </w:pPr>
      <w:r w:rsidRPr="00ED22D1">
        <w:rPr>
          <w:b/>
          <w:lang w:val="fr-CA"/>
        </w:rPr>
        <w:t xml:space="preserve">Observations du </w:t>
      </w:r>
      <w:r w:rsidR="00DD185D" w:rsidRPr="00ED22D1">
        <w:rPr>
          <w:b/>
          <w:lang w:val="fr-CA"/>
        </w:rPr>
        <w:t>Secrétariat</w:t>
      </w:r>
    </w:p>
    <w:p w:rsidR="0085675A" w:rsidRPr="00ED22D1" w:rsidRDefault="00181884" w:rsidP="0085675A">
      <w:pPr>
        <w:rPr>
          <w:u w:val="single"/>
          <w:lang w:val="fr-CA"/>
        </w:rPr>
      </w:pPr>
      <w:r w:rsidRPr="00ED22D1">
        <w:rPr>
          <w:u w:val="single"/>
          <w:lang w:val="fr-CA"/>
        </w:rPr>
        <w:t>Consommation de HCFC</w:t>
      </w:r>
    </w:p>
    <w:p w:rsidR="0085675A" w:rsidRPr="00ED22D1" w:rsidRDefault="0085675A" w:rsidP="0085675A">
      <w:pPr>
        <w:rPr>
          <w:lang w:val="fr-CA"/>
        </w:rPr>
      </w:pPr>
    </w:p>
    <w:p w:rsidR="0085675A" w:rsidRPr="00ED22D1" w:rsidRDefault="00181884" w:rsidP="0085675A">
      <w:pPr>
        <w:pStyle w:val="Heading1"/>
        <w:rPr>
          <w:lang w:val="fr-CA"/>
        </w:rPr>
      </w:pPr>
      <w:r w:rsidRPr="00ED22D1">
        <w:rPr>
          <w:lang w:val="fr-CA"/>
        </w:rPr>
        <w:t xml:space="preserve">La </w:t>
      </w:r>
      <w:r w:rsidR="00AE1617" w:rsidRPr="00ED22D1">
        <w:rPr>
          <w:lang w:val="fr-CA"/>
        </w:rPr>
        <w:t>consommation de</w:t>
      </w:r>
      <w:r w:rsidR="0085675A" w:rsidRPr="00ED22D1">
        <w:rPr>
          <w:lang w:val="fr-CA"/>
        </w:rPr>
        <w:t xml:space="preserve"> HCFC-22</w:t>
      </w:r>
      <w:r w:rsidR="00AE1617" w:rsidRPr="00ED22D1">
        <w:rPr>
          <w:lang w:val="fr-CA"/>
        </w:rPr>
        <w:t xml:space="preserve"> dans le</w:t>
      </w:r>
      <w:r w:rsidR="004A6828" w:rsidRPr="00ED22D1">
        <w:rPr>
          <w:lang w:val="fr-CA"/>
        </w:rPr>
        <w:t xml:space="preserve"> </w:t>
      </w:r>
      <w:r w:rsidR="00DE118B" w:rsidRPr="00ED22D1">
        <w:rPr>
          <w:lang w:val="fr-CA"/>
        </w:rPr>
        <w:t>secteur des climatiseurs résidentiels</w:t>
      </w:r>
      <w:r w:rsidR="0085675A" w:rsidRPr="00ED22D1">
        <w:rPr>
          <w:lang w:val="fr-CA"/>
        </w:rPr>
        <w:t xml:space="preserve"> </w:t>
      </w:r>
      <w:r w:rsidR="0052712E" w:rsidRPr="00ED22D1">
        <w:rPr>
          <w:lang w:val="fr-CA"/>
        </w:rPr>
        <w:t>en 20</w:t>
      </w:r>
      <w:r w:rsidR="0085675A" w:rsidRPr="00ED22D1">
        <w:rPr>
          <w:lang w:val="fr-CA"/>
        </w:rPr>
        <w:t xml:space="preserve">17 </w:t>
      </w:r>
      <w:r w:rsidR="00AE1617" w:rsidRPr="00ED22D1">
        <w:rPr>
          <w:lang w:val="fr-CA"/>
        </w:rPr>
        <w:t>a été de </w:t>
      </w:r>
      <w:r w:rsidR="0085675A" w:rsidRPr="00ED22D1">
        <w:rPr>
          <w:lang w:val="fr-CA"/>
        </w:rPr>
        <w:t>5</w:t>
      </w:r>
      <w:r w:rsidR="004A6828" w:rsidRPr="00ED22D1">
        <w:rPr>
          <w:lang w:val="fr-CA"/>
        </w:rPr>
        <w:t>5 </w:t>
      </w:r>
      <w:r w:rsidR="0085675A" w:rsidRPr="00ED22D1">
        <w:rPr>
          <w:lang w:val="fr-CA"/>
        </w:rPr>
        <w:t>000</w:t>
      </w:r>
      <w:r w:rsidR="004B666A" w:rsidRPr="00ED22D1">
        <w:rPr>
          <w:lang w:val="fr-CA"/>
        </w:rPr>
        <w:t xml:space="preserve"> tm </w:t>
      </w:r>
      <w:r w:rsidR="0085675A" w:rsidRPr="00ED22D1">
        <w:rPr>
          <w:lang w:val="fr-CA"/>
        </w:rPr>
        <w:t>(</w:t>
      </w:r>
      <w:r w:rsidR="004A6828" w:rsidRPr="00ED22D1">
        <w:rPr>
          <w:lang w:val="fr-CA"/>
        </w:rPr>
        <w:t>3 </w:t>
      </w:r>
      <w:r w:rsidR="0085675A" w:rsidRPr="00ED22D1">
        <w:rPr>
          <w:lang w:val="fr-CA"/>
        </w:rPr>
        <w:t>025</w:t>
      </w:r>
      <w:r w:rsidR="0052712E" w:rsidRPr="00ED22D1">
        <w:rPr>
          <w:lang w:val="fr-CA"/>
        </w:rPr>
        <w:t xml:space="preserve"> tonnes PAO)</w:t>
      </w:r>
      <w:r w:rsidR="0085675A" w:rsidRPr="00ED22D1">
        <w:rPr>
          <w:lang w:val="fr-CA"/>
        </w:rPr>
        <w:t xml:space="preserve">, </w:t>
      </w:r>
      <w:r w:rsidR="00AE1617" w:rsidRPr="00ED22D1">
        <w:rPr>
          <w:lang w:val="fr-CA"/>
        </w:rPr>
        <w:t xml:space="preserve">ce qui est inférieur à la </w:t>
      </w:r>
      <w:r w:rsidR="001B45EC" w:rsidRPr="00ED22D1">
        <w:rPr>
          <w:lang w:val="fr-CA"/>
        </w:rPr>
        <w:t>consommation maximale admissible</w:t>
      </w:r>
      <w:r w:rsidR="0085675A" w:rsidRPr="00ED22D1">
        <w:rPr>
          <w:lang w:val="fr-CA"/>
        </w:rPr>
        <w:t xml:space="preserve"> </w:t>
      </w:r>
      <w:r w:rsidR="00AE1617" w:rsidRPr="00ED22D1">
        <w:rPr>
          <w:lang w:val="fr-CA"/>
        </w:rPr>
        <w:t>dans</w:t>
      </w:r>
      <w:r w:rsidR="008450A6" w:rsidRPr="00ED22D1">
        <w:rPr>
          <w:lang w:val="fr-CA"/>
        </w:rPr>
        <w:t> </w:t>
      </w:r>
      <w:r w:rsidR="00CE7FEC" w:rsidRPr="00ED22D1">
        <w:rPr>
          <w:lang w:val="fr-CA"/>
        </w:rPr>
        <w:t>l’accord</w:t>
      </w:r>
      <w:r w:rsidR="0085675A" w:rsidRPr="00ED22D1">
        <w:rPr>
          <w:lang w:val="fr-CA"/>
        </w:rPr>
        <w:t xml:space="preserve"> </w:t>
      </w:r>
      <w:r w:rsidR="004A6828" w:rsidRPr="00ED22D1">
        <w:rPr>
          <w:lang w:val="fr-CA"/>
        </w:rPr>
        <w:t>entre</w:t>
      </w:r>
      <w:r w:rsidR="0085675A" w:rsidRPr="00ED22D1">
        <w:rPr>
          <w:lang w:val="fr-CA"/>
        </w:rPr>
        <w:t xml:space="preserve"> </w:t>
      </w:r>
      <w:r w:rsidR="00921BDE" w:rsidRPr="00ED22D1">
        <w:rPr>
          <w:lang w:val="fr-CA"/>
        </w:rPr>
        <w:t>le gouvernement</w:t>
      </w:r>
      <w:r w:rsidR="001F19C1" w:rsidRPr="00ED22D1">
        <w:rPr>
          <w:lang w:val="fr-CA"/>
        </w:rPr>
        <w:t xml:space="preserve"> </w:t>
      </w:r>
      <w:r w:rsidRPr="00ED22D1">
        <w:rPr>
          <w:lang w:val="fr-CA"/>
        </w:rPr>
        <w:t>de la Chine</w:t>
      </w:r>
      <w:r w:rsidR="004A6828" w:rsidRPr="00ED22D1">
        <w:rPr>
          <w:lang w:val="fr-CA"/>
        </w:rPr>
        <w:t xml:space="preserve"> et </w:t>
      </w:r>
      <w:r w:rsidR="00DD185D" w:rsidRPr="00ED22D1">
        <w:rPr>
          <w:lang w:val="fr-CA"/>
        </w:rPr>
        <w:t>le Comité exécutif</w:t>
      </w:r>
      <w:r w:rsidR="0085675A" w:rsidRPr="00ED22D1">
        <w:rPr>
          <w:lang w:val="fr-CA"/>
        </w:rPr>
        <w:t xml:space="preserve"> (</w:t>
      </w:r>
      <w:r w:rsidR="00CE7FEC" w:rsidRPr="00ED22D1">
        <w:rPr>
          <w:lang w:val="fr-CA"/>
        </w:rPr>
        <w:t xml:space="preserve">Tableau </w:t>
      </w:r>
      <w:r w:rsidR="0085675A" w:rsidRPr="00ED22D1">
        <w:rPr>
          <w:lang w:val="fr-CA"/>
        </w:rPr>
        <w:t>4)</w:t>
      </w:r>
      <w:r w:rsidR="0031390F" w:rsidRPr="00ED22D1">
        <w:rPr>
          <w:lang w:val="fr-CA"/>
        </w:rPr>
        <w:t>. Le</w:t>
      </w:r>
      <w:r w:rsidR="00AE1617" w:rsidRPr="00ED22D1">
        <w:rPr>
          <w:lang w:val="fr-CA"/>
        </w:rPr>
        <w:t xml:space="preserve"> contingent de</w:t>
      </w:r>
      <w:r w:rsidR="0085675A" w:rsidRPr="00ED22D1">
        <w:rPr>
          <w:lang w:val="fr-CA"/>
        </w:rPr>
        <w:t xml:space="preserve"> 2018 </w:t>
      </w:r>
      <w:r w:rsidR="00AE1617" w:rsidRPr="00ED22D1">
        <w:rPr>
          <w:lang w:val="fr-CA"/>
        </w:rPr>
        <w:t xml:space="preserve">pour le secteur a été émis à </w:t>
      </w:r>
      <w:r w:rsidR="0085675A" w:rsidRPr="00ED22D1">
        <w:rPr>
          <w:lang w:val="fr-CA"/>
        </w:rPr>
        <w:t>4</w:t>
      </w:r>
      <w:r w:rsidR="004A6828" w:rsidRPr="00ED22D1">
        <w:rPr>
          <w:lang w:val="fr-CA"/>
        </w:rPr>
        <w:t>7 </w:t>
      </w:r>
      <w:r w:rsidR="0085675A" w:rsidRPr="00ED22D1">
        <w:rPr>
          <w:lang w:val="fr-CA"/>
        </w:rPr>
        <w:t>502</w:t>
      </w:r>
      <w:r w:rsidR="004B666A" w:rsidRPr="00ED22D1">
        <w:rPr>
          <w:lang w:val="fr-CA"/>
        </w:rPr>
        <w:t xml:space="preserve"> tm </w:t>
      </w:r>
      <w:r w:rsidR="0085675A" w:rsidRPr="00ED22D1">
        <w:rPr>
          <w:lang w:val="fr-CA"/>
        </w:rPr>
        <w:t>(</w:t>
      </w:r>
      <w:r w:rsidR="004A6828" w:rsidRPr="00ED22D1">
        <w:rPr>
          <w:lang w:val="fr-CA"/>
        </w:rPr>
        <w:t>2 </w:t>
      </w:r>
      <w:r w:rsidR="0085675A" w:rsidRPr="00ED22D1">
        <w:rPr>
          <w:lang w:val="fr-CA"/>
        </w:rPr>
        <w:t>61</w:t>
      </w:r>
      <w:r w:rsidR="004A6828" w:rsidRPr="00ED22D1">
        <w:rPr>
          <w:lang w:val="fr-CA"/>
        </w:rPr>
        <w:t>2,</w:t>
      </w:r>
      <w:r w:rsidR="0085675A" w:rsidRPr="00ED22D1">
        <w:rPr>
          <w:lang w:val="fr-CA"/>
        </w:rPr>
        <w:t>6</w:t>
      </w:r>
      <w:r w:rsidR="0052712E" w:rsidRPr="00ED22D1">
        <w:rPr>
          <w:lang w:val="fr-CA"/>
        </w:rPr>
        <w:t xml:space="preserve"> tonnes PAO)</w:t>
      </w:r>
      <w:r w:rsidR="0085675A" w:rsidRPr="00ED22D1">
        <w:rPr>
          <w:lang w:val="fr-CA"/>
        </w:rPr>
        <w:t xml:space="preserve">, </w:t>
      </w:r>
      <w:r w:rsidR="00AE1617" w:rsidRPr="00ED22D1">
        <w:rPr>
          <w:lang w:val="fr-CA"/>
        </w:rPr>
        <w:t xml:space="preserve">ce qui est inférieur à la </w:t>
      </w:r>
      <w:r w:rsidR="001B45EC" w:rsidRPr="00ED22D1">
        <w:rPr>
          <w:lang w:val="fr-CA"/>
        </w:rPr>
        <w:t>consommation maximale admissible</w:t>
      </w:r>
      <w:r w:rsidR="0085675A" w:rsidRPr="00ED22D1">
        <w:rPr>
          <w:lang w:val="fr-CA"/>
        </w:rPr>
        <w:t xml:space="preserve"> </w:t>
      </w:r>
      <w:r w:rsidR="00AE1617" w:rsidRPr="00ED22D1">
        <w:rPr>
          <w:lang w:val="fr-CA"/>
        </w:rPr>
        <w:t xml:space="preserve">précisée dans </w:t>
      </w:r>
      <w:r w:rsidR="00CE7FEC" w:rsidRPr="00ED22D1">
        <w:rPr>
          <w:lang w:val="fr-CA"/>
        </w:rPr>
        <w:t>l’accord</w:t>
      </w:r>
      <w:r w:rsidR="0085675A" w:rsidRPr="00ED22D1">
        <w:rPr>
          <w:lang w:val="fr-CA"/>
        </w:rPr>
        <w:t xml:space="preserve">. </w:t>
      </w:r>
      <w:r w:rsidR="0085675A" w:rsidRPr="00ED22D1">
        <w:rPr>
          <w:b/>
          <w:lang w:val="fr-CA"/>
        </w:rPr>
        <w:t>A</w:t>
      </w:r>
      <w:r w:rsidR="00AE1617" w:rsidRPr="00ED22D1">
        <w:rPr>
          <w:b/>
          <w:lang w:val="fr-CA"/>
        </w:rPr>
        <w:t>u</w:t>
      </w:r>
      <w:r w:rsidR="0085675A" w:rsidRPr="00ED22D1">
        <w:rPr>
          <w:b/>
          <w:lang w:val="fr-CA"/>
        </w:rPr>
        <w:t xml:space="preserve"> </w:t>
      </w:r>
      <w:r w:rsidR="00AE1617" w:rsidRPr="00ED22D1">
        <w:rPr>
          <w:b/>
          <w:lang w:val="fr-CA"/>
        </w:rPr>
        <w:t xml:space="preserve">moment de la </w:t>
      </w:r>
      <w:r w:rsidR="0085675A" w:rsidRPr="00ED22D1">
        <w:rPr>
          <w:b/>
          <w:lang w:val="fr-CA"/>
        </w:rPr>
        <w:t>finali</w:t>
      </w:r>
      <w:r w:rsidR="00AE1617" w:rsidRPr="00ED22D1">
        <w:rPr>
          <w:b/>
          <w:lang w:val="fr-CA"/>
        </w:rPr>
        <w:t>s</w:t>
      </w:r>
      <w:r w:rsidR="0085675A" w:rsidRPr="00ED22D1">
        <w:rPr>
          <w:b/>
          <w:lang w:val="fr-CA"/>
        </w:rPr>
        <w:t xml:space="preserve">ation </w:t>
      </w:r>
      <w:r w:rsidR="00AE1617" w:rsidRPr="00ED22D1">
        <w:rPr>
          <w:b/>
          <w:lang w:val="fr-CA"/>
        </w:rPr>
        <w:t>du</w:t>
      </w:r>
      <w:r w:rsidR="00FB1DC4" w:rsidRPr="00ED22D1">
        <w:rPr>
          <w:b/>
          <w:lang w:val="fr-CA"/>
        </w:rPr>
        <w:t xml:space="preserve"> présent document</w:t>
      </w:r>
      <w:r w:rsidR="0085675A" w:rsidRPr="00ED22D1">
        <w:rPr>
          <w:b/>
          <w:lang w:val="fr-CA"/>
        </w:rPr>
        <w:t xml:space="preserve">, </w:t>
      </w:r>
      <w:r w:rsidR="00AE1617" w:rsidRPr="00ED22D1">
        <w:rPr>
          <w:b/>
          <w:lang w:val="fr-CA"/>
        </w:rPr>
        <w:t>la</w:t>
      </w:r>
      <w:r w:rsidR="008450A6" w:rsidRPr="00ED22D1">
        <w:rPr>
          <w:b/>
          <w:lang w:val="fr-CA"/>
        </w:rPr>
        <w:t> </w:t>
      </w:r>
      <w:r w:rsidR="00AE1617" w:rsidRPr="00ED22D1">
        <w:rPr>
          <w:b/>
          <w:lang w:val="fr-CA"/>
        </w:rPr>
        <w:t xml:space="preserve">consommation estimative de </w:t>
      </w:r>
      <w:r w:rsidR="0085675A" w:rsidRPr="00ED22D1">
        <w:rPr>
          <w:b/>
          <w:lang w:val="fr-CA"/>
        </w:rPr>
        <w:t xml:space="preserve">2018 </w:t>
      </w:r>
      <w:r w:rsidR="00AE1617" w:rsidRPr="00ED22D1">
        <w:rPr>
          <w:b/>
          <w:lang w:val="fr-CA"/>
        </w:rPr>
        <w:t>du secteur n’était pas disponible</w:t>
      </w:r>
      <w:r w:rsidR="0031390F" w:rsidRPr="00ED22D1">
        <w:rPr>
          <w:b/>
          <w:lang w:val="fr-CA"/>
        </w:rPr>
        <w:t>. Le</w:t>
      </w:r>
      <w:r w:rsidR="00AE1617" w:rsidRPr="00ED22D1">
        <w:rPr>
          <w:b/>
          <w:lang w:val="fr-CA"/>
        </w:rPr>
        <w:t xml:space="preserve"> contingent de </w:t>
      </w:r>
      <w:r w:rsidR="0085675A" w:rsidRPr="00ED22D1">
        <w:rPr>
          <w:b/>
          <w:lang w:val="fr-CA"/>
        </w:rPr>
        <w:t xml:space="preserve">2019 </w:t>
      </w:r>
      <w:r w:rsidR="008450A6" w:rsidRPr="00ED22D1">
        <w:rPr>
          <w:b/>
          <w:lang w:val="fr-CA"/>
        </w:rPr>
        <w:t>d</w:t>
      </w:r>
      <w:r w:rsidR="00AE1617" w:rsidRPr="00ED22D1">
        <w:rPr>
          <w:b/>
          <w:lang w:val="fr-CA"/>
        </w:rPr>
        <w:t>u</w:t>
      </w:r>
      <w:r w:rsidR="008450A6" w:rsidRPr="00ED22D1">
        <w:rPr>
          <w:b/>
          <w:lang w:val="fr-CA"/>
        </w:rPr>
        <w:t> </w:t>
      </w:r>
      <w:r w:rsidR="00AE1617" w:rsidRPr="00ED22D1">
        <w:rPr>
          <w:b/>
          <w:lang w:val="fr-CA"/>
        </w:rPr>
        <w:t xml:space="preserve">secteur a été émis à </w:t>
      </w:r>
      <w:r w:rsidR="0085675A" w:rsidRPr="00ED22D1">
        <w:rPr>
          <w:b/>
          <w:lang w:val="fr-CA"/>
        </w:rPr>
        <w:t>4</w:t>
      </w:r>
      <w:r w:rsidR="004A6828" w:rsidRPr="00ED22D1">
        <w:rPr>
          <w:b/>
          <w:lang w:val="fr-CA"/>
        </w:rPr>
        <w:t>8 </w:t>
      </w:r>
      <w:r w:rsidR="0085675A" w:rsidRPr="00ED22D1">
        <w:rPr>
          <w:b/>
          <w:lang w:val="fr-CA"/>
        </w:rPr>
        <w:t>941</w:t>
      </w:r>
      <w:r w:rsidR="004B666A" w:rsidRPr="00ED22D1">
        <w:rPr>
          <w:b/>
          <w:lang w:val="fr-CA"/>
        </w:rPr>
        <w:t xml:space="preserve"> tm </w:t>
      </w:r>
      <w:r w:rsidR="0085675A" w:rsidRPr="00ED22D1">
        <w:rPr>
          <w:b/>
          <w:lang w:val="fr-CA"/>
        </w:rPr>
        <w:t>(</w:t>
      </w:r>
      <w:r w:rsidR="004A6828" w:rsidRPr="00ED22D1">
        <w:rPr>
          <w:b/>
          <w:lang w:val="fr-CA"/>
        </w:rPr>
        <w:t>2 </w:t>
      </w:r>
      <w:r w:rsidR="0085675A" w:rsidRPr="00ED22D1">
        <w:rPr>
          <w:b/>
          <w:lang w:val="fr-CA"/>
        </w:rPr>
        <w:t>692</w:t>
      </w:r>
      <w:r w:rsidR="0052712E" w:rsidRPr="00ED22D1">
        <w:rPr>
          <w:b/>
          <w:lang w:val="fr-CA"/>
        </w:rPr>
        <w:t xml:space="preserve"> tonnes PAO)</w:t>
      </w:r>
      <w:r w:rsidR="0085675A" w:rsidRPr="00ED22D1">
        <w:rPr>
          <w:b/>
          <w:lang w:val="fr-CA"/>
        </w:rPr>
        <w:t>.</w:t>
      </w:r>
    </w:p>
    <w:p w:rsidR="0085675A" w:rsidRPr="00ED22D1" w:rsidRDefault="00CE7FEC" w:rsidP="0085675A">
      <w:pPr>
        <w:rPr>
          <w:b/>
          <w:lang w:val="fr-CA"/>
        </w:rPr>
      </w:pPr>
      <w:r w:rsidRPr="00ED22D1">
        <w:rPr>
          <w:b/>
          <w:lang w:val="fr-CA"/>
        </w:rPr>
        <w:t xml:space="preserve">Tableau </w:t>
      </w:r>
      <w:r w:rsidR="004A6828" w:rsidRPr="00ED22D1">
        <w:rPr>
          <w:b/>
          <w:lang w:val="fr-CA"/>
        </w:rPr>
        <w:t>4</w:t>
      </w:r>
      <w:r w:rsidR="00AE1617" w:rsidRPr="00ED22D1">
        <w:rPr>
          <w:b/>
          <w:lang w:val="fr-CA"/>
        </w:rPr>
        <w:t>.</w:t>
      </w:r>
      <w:r w:rsidR="0085675A" w:rsidRPr="00ED22D1">
        <w:rPr>
          <w:b/>
          <w:lang w:val="fr-CA"/>
        </w:rPr>
        <w:t xml:space="preserve"> </w:t>
      </w:r>
      <w:r w:rsidR="00DC23B2" w:rsidRPr="00ED22D1">
        <w:rPr>
          <w:b/>
          <w:lang w:val="fr-CA"/>
        </w:rPr>
        <w:t>Consommation</w:t>
      </w:r>
      <w:r w:rsidR="00AE1617" w:rsidRPr="00ED22D1">
        <w:rPr>
          <w:b/>
          <w:lang w:val="fr-CA"/>
        </w:rPr>
        <w:t xml:space="preserve"> de </w:t>
      </w:r>
      <w:r w:rsidR="0085675A" w:rsidRPr="00ED22D1">
        <w:rPr>
          <w:b/>
          <w:lang w:val="fr-CA"/>
        </w:rPr>
        <w:t xml:space="preserve">HCFC-22 </w:t>
      </w:r>
      <w:r w:rsidR="00AE1617" w:rsidRPr="00ED22D1">
        <w:rPr>
          <w:b/>
          <w:lang w:val="fr-CA"/>
        </w:rPr>
        <w:t>et objectifs pour le</w:t>
      </w:r>
      <w:r w:rsidR="004A6828" w:rsidRPr="00ED22D1">
        <w:rPr>
          <w:b/>
          <w:lang w:val="fr-CA"/>
        </w:rPr>
        <w:t xml:space="preserve"> </w:t>
      </w:r>
      <w:r w:rsidR="00DE118B" w:rsidRPr="00ED22D1">
        <w:rPr>
          <w:b/>
          <w:lang w:val="fr-CA"/>
        </w:rPr>
        <w:t>secteur des climatiseurs résidentiels</w:t>
      </w:r>
      <w:r w:rsidR="00AE1617" w:rsidRPr="00ED22D1">
        <w:rPr>
          <w:b/>
          <w:lang w:val="fr-CA"/>
        </w:rPr>
        <w:t xml:space="preserve"> </w:t>
      </w:r>
    </w:p>
    <w:tbl>
      <w:tblPr>
        <w:tblW w:w="5005" w:type="pct"/>
        <w:tblLayout w:type="fixed"/>
        <w:tblLook w:val="04A0" w:firstRow="1" w:lastRow="0" w:firstColumn="1" w:lastColumn="0" w:noHBand="0" w:noVBand="1"/>
      </w:tblPr>
      <w:tblGrid>
        <w:gridCol w:w="1447"/>
        <w:gridCol w:w="838"/>
        <w:gridCol w:w="712"/>
        <w:gridCol w:w="816"/>
        <w:gridCol w:w="816"/>
        <w:gridCol w:w="816"/>
        <w:gridCol w:w="816"/>
        <w:gridCol w:w="816"/>
        <w:gridCol w:w="816"/>
        <w:gridCol w:w="816"/>
        <w:gridCol w:w="718"/>
      </w:tblGrid>
      <w:tr w:rsidR="0085675A" w:rsidRPr="00ED22D1" w:rsidTr="00AE1617">
        <w:tc>
          <w:tcPr>
            <w:tcW w:w="1211" w:type="pct"/>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85675A" w:rsidRPr="00ED22D1" w:rsidRDefault="00AE1617" w:rsidP="00AE1617">
            <w:pPr>
              <w:widowControl w:val="0"/>
              <w:rPr>
                <w:b/>
                <w:sz w:val="19"/>
                <w:szCs w:val="19"/>
                <w:lang w:val="fr-CA"/>
              </w:rPr>
            </w:pPr>
            <w:r w:rsidRPr="00ED22D1">
              <w:rPr>
                <w:b/>
                <w:sz w:val="19"/>
                <w:szCs w:val="19"/>
                <w:lang w:val="fr-CA"/>
              </w:rPr>
              <w:t xml:space="preserve">Plan du secteur des </w:t>
            </w:r>
            <w:r w:rsidR="0085675A" w:rsidRPr="00ED22D1">
              <w:rPr>
                <w:b/>
                <w:sz w:val="19"/>
                <w:szCs w:val="19"/>
                <w:lang w:val="fr-CA"/>
              </w:rPr>
              <w:t xml:space="preserve">RAC </w:t>
            </w:r>
          </w:p>
        </w:tc>
        <w:tc>
          <w:tcPr>
            <w:tcW w:w="377"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2009</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2010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2011</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2012</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2013</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2014</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center"/>
              <w:rPr>
                <w:b/>
                <w:sz w:val="19"/>
                <w:szCs w:val="19"/>
                <w:lang w:val="fr-CA"/>
              </w:rPr>
            </w:pPr>
            <w:r w:rsidRPr="00ED22D1">
              <w:rPr>
                <w:b/>
                <w:sz w:val="19"/>
                <w:szCs w:val="19"/>
                <w:lang w:val="fr-CA"/>
              </w:rPr>
              <w:t>2015</w:t>
            </w:r>
          </w:p>
        </w:tc>
        <w:tc>
          <w:tcPr>
            <w:tcW w:w="433" w:type="pct"/>
            <w:tcBorders>
              <w:top w:val="single" w:sz="4" w:space="0" w:color="auto"/>
              <w:left w:val="nil"/>
              <w:bottom w:val="single" w:sz="4" w:space="0" w:color="auto"/>
              <w:right w:val="single" w:sz="4" w:space="0" w:color="auto"/>
            </w:tcBorders>
            <w:tcMar>
              <w:left w:w="29" w:type="dxa"/>
              <w:right w:w="29" w:type="dxa"/>
            </w:tcMar>
          </w:tcPr>
          <w:p w:rsidR="0085675A" w:rsidRPr="00ED22D1" w:rsidRDefault="0085675A" w:rsidP="0085675A">
            <w:pPr>
              <w:widowControl w:val="0"/>
              <w:jc w:val="center"/>
              <w:rPr>
                <w:b/>
                <w:sz w:val="19"/>
                <w:szCs w:val="19"/>
                <w:lang w:val="fr-CA"/>
              </w:rPr>
            </w:pPr>
            <w:r w:rsidRPr="00ED22D1">
              <w:rPr>
                <w:b/>
                <w:sz w:val="19"/>
                <w:szCs w:val="19"/>
                <w:lang w:val="fr-CA"/>
              </w:rPr>
              <w:t>2016</w:t>
            </w:r>
          </w:p>
        </w:tc>
        <w:tc>
          <w:tcPr>
            <w:tcW w:w="383" w:type="pct"/>
            <w:tcBorders>
              <w:top w:val="single" w:sz="4" w:space="0" w:color="auto"/>
              <w:left w:val="nil"/>
              <w:bottom w:val="single" w:sz="4" w:space="0" w:color="auto"/>
              <w:right w:val="single" w:sz="4" w:space="0" w:color="auto"/>
            </w:tcBorders>
            <w:tcMar>
              <w:left w:w="29" w:type="dxa"/>
              <w:right w:w="29" w:type="dxa"/>
            </w:tcMar>
          </w:tcPr>
          <w:p w:rsidR="0085675A" w:rsidRPr="00ED22D1" w:rsidRDefault="0085675A" w:rsidP="0085675A">
            <w:pPr>
              <w:widowControl w:val="0"/>
              <w:jc w:val="center"/>
              <w:rPr>
                <w:b/>
                <w:sz w:val="19"/>
                <w:szCs w:val="19"/>
                <w:lang w:val="fr-CA"/>
              </w:rPr>
            </w:pPr>
            <w:r w:rsidRPr="00ED22D1">
              <w:rPr>
                <w:b/>
                <w:sz w:val="19"/>
                <w:szCs w:val="19"/>
                <w:lang w:val="fr-CA"/>
              </w:rPr>
              <w:t>2017</w:t>
            </w:r>
          </w:p>
        </w:tc>
      </w:tr>
      <w:tr w:rsidR="0085675A" w:rsidRPr="00ED22D1" w:rsidTr="00AE1617">
        <w:tc>
          <w:tcPr>
            <w:tcW w:w="767" w:type="pct"/>
            <w:vMerge w:val="restart"/>
            <w:tcBorders>
              <w:top w:val="single" w:sz="4" w:space="0" w:color="auto"/>
              <w:left w:val="single" w:sz="4" w:space="0" w:color="auto"/>
              <w:right w:val="single" w:sz="4" w:space="0" w:color="auto"/>
            </w:tcBorders>
            <w:shd w:val="clear" w:color="auto" w:fill="auto"/>
            <w:noWrap/>
            <w:tcMar>
              <w:left w:w="29" w:type="dxa"/>
              <w:right w:w="29" w:type="dxa"/>
            </w:tcMar>
            <w:vAlign w:val="center"/>
            <w:hideMark/>
          </w:tcPr>
          <w:p w:rsidR="0085675A" w:rsidRPr="00ED22D1" w:rsidRDefault="00181884" w:rsidP="0085675A">
            <w:pPr>
              <w:widowControl w:val="0"/>
              <w:jc w:val="left"/>
              <w:rPr>
                <w:sz w:val="19"/>
                <w:szCs w:val="19"/>
                <w:lang w:val="fr-CA"/>
              </w:rPr>
            </w:pPr>
            <w:r w:rsidRPr="00ED22D1">
              <w:rPr>
                <w:sz w:val="19"/>
                <w:szCs w:val="19"/>
                <w:lang w:val="fr-CA"/>
              </w:rPr>
              <w:t>Consommation</w:t>
            </w:r>
            <w:r w:rsidR="0085675A" w:rsidRPr="00ED22D1">
              <w:rPr>
                <w:sz w:val="19"/>
                <w:szCs w:val="19"/>
                <w:lang w:val="fr-CA"/>
              </w:rPr>
              <w:t>*</w:t>
            </w:r>
          </w:p>
        </w:tc>
        <w:tc>
          <w:tcPr>
            <w:tcW w:w="44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5675A" w:rsidRPr="00ED22D1" w:rsidRDefault="008450A6" w:rsidP="008450A6">
            <w:pPr>
              <w:widowControl w:val="0"/>
              <w:jc w:val="left"/>
              <w:rPr>
                <w:sz w:val="19"/>
                <w:szCs w:val="19"/>
                <w:lang w:val="fr-CA"/>
              </w:rPr>
            </w:pPr>
            <w:r w:rsidRPr="00ED22D1">
              <w:rPr>
                <w:sz w:val="19"/>
                <w:szCs w:val="19"/>
                <w:lang w:val="fr-CA"/>
              </w:rPr>
              <w:t>t</w:t>
            </w:r>
            <w:r w:rsidR="00AE1617" w:rsidRPr="00ED22D1">
              <w:rPr>
                <w:sz w:val="19"/>
                <w:szCs w:val="19"/>
                <w:lang w:val="fr-CA"/>
              </w:rPr>
              <w:t>m</w:t>
            </w:r>
          </w:p>
        </w:tc>
        <w:tc>
          <w:tcPr>
            <w:tcW w:w="377"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right"/>
              <w:rPr>
                <w:sz w:val="19"/>
                <w:szCs w:val="19"/>
                <w:lang w:val="fr-CA"/>
              </w:rPr>
            </w:pPr>
            <w:r w:rsidRPr="00ED22D1">
              <w:rPr>
                <w:sz w:val="19"/>
                <w:szCs w:val="19"/>
                <w:lang w:val="fr-CA"/>
              </w:rPr>
              <w:t>7</w:t>
            </w:r>
            <w:r w:rsidR="004A6828" w:rsidRPr="00ED22D1">
              <w:rPr>
                <w:sz w:val="19"/>
                <w:szCs w:val="19"/>
                <w:lang w:val="fr-CA"/>
              </w:rPr>
              <w:t>1 </w:t>
            </w:r>
            <w:r w:rsidRPr="00ED22D1">
              <w:rPr>
                <w:sz w:val="19"/>
                <w:szCs w:val="19"/>
                <w:lang w:val="fr-CA"/>
              </w:rPr>
              <w:t>500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right"/>
              <w:rPr>
                <w:sz w:val="19"/>
                <w:szCs w:val="19"/>
                <w:lang w:val="fr-CA"/>
              </w:rPr>
            </w:pPr>
            <w:r w:rsidRPr="00ED22D1">
              <w:rPr>
                <w:sz w:val="19"/>
                <w:szCs w:val="19"/>
                <w:lang w:val="fr-CA"/>
              </w:rPr>
              <w:t>7</w:t>
            </w:r>
            <w:r w:rsidR="004A6828" w:rsidRPr="00ED22D1">
              <w:rPr>
                <w:sz w:val="19"/>
                <w:szCs w:val="19"/>
                <w:lang w:val="fr-CA"/>
              </w:rPr>
              <w:t>7 </w:t>
            </w:r>
            <w:r w:rsidRPr="00ED22D1">
              <w:rPr>
                <w:sz w:val="19"/>
                <w:szCs w:val="19"/>
                <w:lang w:val="fr-CA"/>
              </w:rPr>
              <w:t>900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right"/>
              <w:rPr>
                <w:sz w:val="19"/>
                <w:szCs w:val="19"/>
                <w:lang w:val="fr-CA"/>
              </w:rPr>
            </w:pPr>
            <w:r w:rsidRPr="00ED22D1">
              <w:rPr>
                <w:sz w:val="19"/>
                <w:szCs w:val="19"/>
                <w:lang w:val="fr-CA"/>
              </w:rPr>
              <w:t>7</w:t>
            </w:r>
            <w:r w:rsidR="004A6828" w:rsidRPr="00ED22D1">
              <w:rPr>
                <w:sz w:val="19"/>
                <w:szCs w:val="19"/>
                <w:lang w:val="fr-CA"/>
              </w:rPr>
              <w:t>4 </w:t>
            </w:r>
            <w:r w:rsidRPr="00ED22D1">
              <w:rPr>
                <w:sz w:val="19"/>
                <w:szCs w:val="19"/>
                <w:lang w:val="fr-CA"/>
              </w:rPr>
              <w:t>700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5675A" w:rsidRPr="00ED22D1" w:rsidRDefault="0085675A" w:rsidP="0085675A">
            <w:pPr>
              <w:widowControl w:val="0"/>
              <w:jc w:val="right"/>
              <w:rPr>
                <w:sz w:val="19"/>
                <w:szCs w:val="19"/>
                <w:lang w:val="fr-CA"/>
              </w:rPr>
            </w:pPr>
            <w:r w:rsidRPr="00ED22D1">
              <w:rPr>
                <w:sz w:val="19"/>
                <w:szCs w:val="19"/>
                <w:lang w:val="fr-CA"/>
              </w:rPr>
              <w:t>7</w:t>
            </w:r>
            <w:r w:rsidR="004A6828" w:rsidRPr="00ED22D1">
              <w:rPr>
                <w:sz w:val="19"/>
                <w:szCs w:val="19"/>
                <w:lang w:val="fr-CA"/>
              </w:rPr>
              <w:t>2 </w:t>
            </w:r>
            <w:r w:rsidRPr="00ED22D1">
              <w:rPr>
                <w:sz w:val="19"/>
                <w:szCs w:val="19"/>
                <w:lang w:val="fr-CA"/>
              </w:rPr>
              <w:t>600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6</w:t>
            </w:r>
            <w:r w:rsidR="004A6828" w:rsidRPr="00ED22D1">
              <w:rPr>
                <w:sz w:val="19"/>
                <w:szCs w:val="19"/>
                <w:lang w:val="fr-CA"/>
              </w:rPr>
              <w:t>8 </w:t>
            </w:r>
            <w:r w:rsidRPr="00ED22D1">
              <w:rPr>
                <w:sz w:val="19"/>
                <w:szCs w:val="19"/>
                <w:lang w:val="fr-CA"/>
              </w:rPr>
              <w:t>900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6</w:t>
            </w:r>
            <w:r w:rsidR="004A6828" w:rsidRPr="00ED22D1">
              <w:rPr>
                <w:sz w:val="19"/>
                <w:szCs w:val="19"/>
                <w:lang w:val="fr-CA"/>
              </w:rPr>
              <w:t>2 </w:t>
            </w:r>
            <w:r w:rsidRPr="00ED22D1">
              <w:rPr>
                <w:sz w:val="19"/>
                <w:szCs w:val="19"/>
                <w:lang w:val="fr-CA"/>
              </w:rPr>
              <w:t>000</w:t>
            </w:r>
          </w:p>
        </w:tc>
        <w:tc>
          <w:tcPr>
            <w:tcW w:w="433" w:type="pct"/>
            <w:tcBorders>
              <w:top w:val="single" w:sz="4" w:space="0" w:color="auto"/>
              <w:left w:val="nil"/>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5</w:t>
            </w:r>
            <w:r w:rsidR="004A6828" w:rsidRPr="00ED22D1">
              <w:rPr>
                <w:sz w:val="19"/>
                <w:szCs w:val="19"/>
                <w:lang w:val="fr-CA"/>
              </w:rPr>
              <w:t>4 </w:t>
            </w:r>
            <w:r w:rsidRPr="00ED22D1">
              <w:rPr>
                <w:sz w:val="19"/>
                <w:szCs w:val="19"/>
                <w:lang w:val="fr-CA"/>
              </w:rPr>
              <w:t>000</w:t>
            </w:r>
          </w:p>
        </w:tc>
        <w:tc>
          <w:tcPr>
            <w:tcW w:w="433" w:type="pct"/>
            <w:tcBorders>
              <w:top w:val="single" w:sz="4" w:space="0" w:color="auto"/>
              <w:left w:val="nil"/>
              <w:bottom w:val="single" w:sz="4" w:space="0" w:color="auto"/>
              <w:right w:val="single" w:sz="4" w:space="0" w:color="auto"/>
            </w:tcBorders>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5</w:t>
            </w:r>
            <w:r w:rsidR="004A6828" w:rsidRPr="00ED22D1">
              <w:rPr>
                <w:sz w:val="19"/>
                <w:szCs w:val="19"/>
                <w:lang w:val="fr-CA"/>
              </w:rPr>
              <w:t>5 </w:t>
            </w:r>
            <w:r w:rsidRPr="00ED22D1">
              <w:rPr>
                <w:sz w:val="19"/>
                <w:szCs w:val="19"/>
                <w:lang w:val="fr-CA"/>
              </w:rPr>
              <w:t>000</w:t>
            </w:r>
          </w:p>
        </w:tc>
        <w:tc>
          <w:tcPr>
            <w:tcW w:w="383" w:type="pct"/>
            <w:tcBorders>
              <w:top w:val="single" w:sz="4" w:space="0" w:color="auto"/>
              <w:left w:val="nil"/>
              <w:bottom w:val="single" w:sz="4" w:space="0" w:color="auto"/>
              <w:right w:val="single" w:sz="4" w:space="0" w:color="auto"/>
            </w:tcBorders>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5</w:t>
            </w:r>
            <w:r w:rsidR="004A6828" w:rsidRPr="00ED22D1">
              <w:rPr>
                <w:sz w:val="19"/>
                <w:szCs w:val="19"/>
                <w:lang w:val="fr-CA"/>
              </w:rPr>
              <w:t>5 </w:t>
            </w:r>
            <w:r w:rsidRPr="00ED22D1">
              <w:rPr>
                <w:sz w:val="19"/>
                <w:szCs w:val="19"/>
                <w:lang w:val="fr-CA"/>
              </w:rPr>
              <w:t>000</w:t>
            </w:r>
          </w:p>
        </w:tc>
      </w:tr>
      <w:tr w:rsidR="0085675A" w:rsidRPr="00ED22D1" w:rsidTr="00AE1617">
        <w:tc>
          <w:tcPr>
            <w:tcW w:w="767" w:type="pct"/>
            <w:vMerge/>
            <w:tcBorders>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5675A" w:rsidRPr="00ED22D1" w:rsidRDefault="0085675A" w:rsidP="0085675A">
            <w:pPr>
              <w:widowControl w:val="0"/>
              <w:jc w:val="left"/>
              <w:rPr>
                <w:sz w:val="19"/>
                <w:szCs w:val="19"/>
                <w:lang w:val="fr-CA"/>
              </w:rPr>
            </w:pPr>
          </w:p>
        </w:tc>
        <w:tc>
          <w:tcPr>
            <w:tcW w:w="443" w:type="pct"/>
            <w:tcBorders>
              <w:top w:val="nil"/>
              <w:left w:val="single" w:sz="4" w:space="0" w:color="auto"/>
              <w:bottom w:val="single" w:sz="4" w:space="0" w:color="auto"/>
              <w:right w:val="single" w:sz="4" w:space="0" w:color="auto"/>
            </w:tcBorders>
            <w:shd w:val="clear" w:color="auto" w:fill="auto"/>
            <w:tcMar>
              <w:left w:w="29" w:type="dxa"/>
              <w:right w:w="29" w:type="dxa"/>
            </w:tcMar>
          </w:tcPr>
          <w:p w:rsidR="0085675A" w:rsidRPr="00ED22D1" w:rsidRDefault="00181884" w:rsidP="0085675A">
            <w:pPr>
              <w:widowControl w:val="0"/>
              <w:jc w:val="left"/>
              <w:rPr>
                <w:sz w:val="19"/>
                <w:szCs w:val="19"/>
                <w:lang w:val="fr-CA"/>
              </w:rPr>
            </w:pPr>
            <w:r w:rsidRPr="00ED22D1">
              <w:rPr>
                <w:sz w:val="19"/>
                <w:szCs w:val="19"/>
                <w:lang w:val="fr-CA"/>
              </w:rPr>
              <w:t>Tonnes PAO</w:t>
            </w:r>
          </w:p>
        </w:tc>
        <w:tc>
          <w:tcPr>
            <w:tcW w:w="37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85675A" w:rsidRPr="00ED22D1" w:rsidRDefault="004A6828" w:rsidP="0085675A">
            <w:pPr>
              <w:widowControl w:val="0"/>
              <w:jc w:val="right"/>
              <w:rPr>
                <w:sz w:val="19"/>
                <w:szCs w:val="19"/>
                <w:lang w:val="fr-CA"/>
              </w:rPr>
            </w:pPr>
            <w:r w:rsidRPr="00ED22D1">
              <w:rPr>
                <w:color w:val="000000"/>
                <w:sz w:val="19"/>
                <w:szCs w:val="19"/>
                <w:lang w:val="fr-CA"/>
              </w:rPr>
              <w:t>3 </w:t>
            </w:r>
            <w:r w:rsidR="0085675A" w:rsidRPr="00ED22D1">
              <w:rPr>
                <w:color w:val="000000"/>
                <w:sz w:val="19"/>
                <w:szCs w:val="19"/>
                <w:lang w:val="fr-CA"/>
              </w:rPr>
              <w:t>93</w:t>
            </w:r>
            <w:r w:rsidRPr="00ED22D1">
              <w:rPr>
                <w:color w:val="000000"/>
                <w:sz w:val="19"/>
                <w:szCs w:val="19"/>
                <w:lang w:val="fr-CA"/>
              </w:rPr>
              <w:t>2,</w:t>
            </w:r>
            <w:r w:rsidR="0085675A" w:rsidRPr="00ED22D1">
              <w:rPr>
                <w:color w:val="000000"/>
                <w:sz w:val="19"/>
                <w:szCs w:val="19"/>
                <w:lang w:val="fr-CA"/>
              </w:rPr>
              <w:t>5</w:t>
            </w:r>
          </w:p>
        </w:tc>
        <w:tc>
          <w:tcPr>
            <w:tcW w:w="433"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85675A" w:rsidRPr="00ED22D1" w:rsidRDefault="004A6828" w:rsidP="0085675A">
            <w:pPr>
              <w:widowControl w:val="0"/>
              <w:jc w:val="right"/>
              <w:rPr>
                <w:sz w:val="19"/>
                <w:szCs w:val="19"/>
                <w:lang w:val="fr-CA"/>
              </w:rPr>
            </w:pPr>
            <w:r w:rsidRPr="00ED22D1">
              <w:rPr>
                <w:color w:val="000000"/>
                <w:sz w:val="19"/>
                <w:szCs w:val="19"/>
                <w:lang w:val="fr-CA"/>
              </w:rPr>
              <w:t>4 </w:t>
            </w:r>
            <w:r w:rsidR="0085675A" w:rsidRPr="00ED22D1">
              <w:rPr>
                <w:color w:val="000000"/>
                <w:sz w:val="19"/>
                <w:szCs w:val="19"/>
                <w:lang w:val="fr-CA"/>
              </w:rPr>
              <w:t>28</w:t>
            </w:r>
            <w:r w:rsidRPr="00ED22D1">
              <w:rPr>
                <w:color w:val="000000"/>
                <w:sz w:val="19"/>
                <w:szCs w:val="19"/>
                <w:lang w:val="fr-CA"/>
              </w:rPr>
              <w:t>4,</w:t>
            </w:r>
            <w:r w:rsidR="0085675A" w:rsidRPr="00ED22D1">
              <w:rPr>
                <w:color w:val="000000"/>
                <w:sz w:val="19"/>
                <w:szCs w:val="19"/>
                <w:lang w:val="fr-CA"/>
              </w:rPr>
              <w:t>5</w:t>
            </w:r>
          </w:p>
        </w:tc>
        <w:tc>
          <w:tcPr>
            <w:tcW w:w="433"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85675A" w:rsidRPr="00ED22D1" w:rsidRDefault="004A6828" w:rsidP="0085675A">
            <w:pPr>
              <w:widowControl w:val="0"/>
              <w:jc w:val="right"/>
              <w:rPr>
                <w:sz w:val="19"/>
                <w:szCs w:val="19"/>
                <w:lang w:val="fr-CA"/>
              </w:rPr>
            </w:pPr>
            <w:r w:rsidRPr="00ED22D1">
              <w:rPr>
                <w:color w:val="000000"/>
                <w:sz w:val="19"/>
                <w:szCs w:val="19"/>
                <w:lang w:val="fr-CA"/>
              </w:rPr>
              <w:t>4 </w:t>
            </w:r>
            <w:r w:rsidR="0085675A" w:rsidRPr="00ED22D1">
              <w:rPr>
                <w:color w:val="000000"/>
                <w:sz w:val="19"/>
                <w:szCs w:val="19"/>
                <w:lang w:val="fr-CA"/>
              </w:rPr>
              <w:t>10</w:t>
            </w:r>
            <w:r w:rsidRPr="00ED22D1">
              <w:rPr>
                <w:color w:val="000000"/>
                <w:sz w:val="19"/>
                <w:szCs w:val="19"/>
                <w:lang w:val="fr-CA"/>
              </w:rPr>
              <w:t>8,</w:t>
            </w:r>
            <w:r w:rsidR="0085675A" w:rsidRPr="00ED22D1">
              <w:rPr>
                <w:color w:val="000000"/>
                <w:sz w:val="19"/>
                <w:szCs w:val="19"/>
                <w:lang w:val="fr-CA"/>
              </w:rPr>
              <w:t>5</w:t>
            </w:r>
          </w:p>
        </w:tc>
        <w:tc>
          <w:tcPr>
            <w:tcW w:w="433"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85675A" w:rsidRPr="00ED22D1" w:rsidRDefault="004A6828" w:rsidP="0085675A">
            <w:pPr>
              <w:widowControl w:val="0"/>
              <w:jc w:val="right"/>
              <w:rPr>
                <w:sz w:val="19"/>
                <w:szCs w:val="19"/>
                <w:lang w:val="fr-CA"/>
              </w:rPr>
            </w:pPr>
            <w:r w:rsidRPr="00ED22D1">
              <w:rPr>
                <w:color w:val="000000"/>
                <w:sz w:val="19"/>
                <w:szCs w:val="19"/>
                <w:lang w:val="fr-CA"/>
              </w:rPr>
              <w:t>3 </w:t>
            </w:r>
            <w:r w:rsidR="0085675A" w:rsidRPr="00ED22D1">
              <w:rPr>
                <w:color w:val="000000"/>
                <w:sz w:val="19"/>
                <w:szCs w:val="19"/>
                <w:lang w:val="fr-CA"/>
              </w:rPr>
              <w:t>99</w:t>
            </w:r>
            <w:r w:rsidRPr="00ED22D1">
              <w:rPr>
                <w:color w:val="000000"/>
                <w:sz w:val="19"/>
                <w:szCs w:val="19"/>
                <w:lang w:val="fr-CA"/>
              </w:rPr>
              <w:t>3,</w:t>
            </w:r>
            <w:r w:rsidR="0085675A" w:rsidRPr="00ED22D1">
              <w:rPr>
                <w:color w:val="000000"/>
                <w:sz w:val="19"/>
                <w:szCs w:val="19"/>
                <w:lang w:val="fr-CA"/>
              </w:rPr>
              <w:t>0</w:t>
            </w:r>
          </w:p>
        </w:tc>
        <w:tc>
          <w:tcPr>
            <w:tcW w:w="433" w:type="pct"/>
            <w:tcBorders>
              <w:top w:val="nil"/>
              <w:left w:val="nil"/>
              <w:bottom w:val="single" w:sz="4" w:space="0" w:color="auto"/>
              <w:right w:val="single" w:sz="4" w:space="0" w:color="auto"/>
            </w:tcBorders>
            <w:shd w:val="clear" w:color="auto" w:fill="auto"/>
            <w:noWrap/>
            <w:tcMar>
              <w:left w:w="29" w:type="dxa"/>
              <w:right w:w="29" w:type="dxa"/>
            </w:tcMar>
            <w:vAlign w:val="bottom"/>
          </w:tcPr>
          <w:p w:rsidR="0085675A" w:rsidRPr="00ED22D1" w:rsidRDefault="004A6828" w:rsidP="0085675A">
            <w:pPr>
              <w:widowControl w:val="0"/>
              <w:jc w:val="right"/>
              <w:rPr>
                <w:sz w:val="19"/>
                <w:szCs w:val="19"/>
                <w:lang w:val="fr-CA"/>
              </w:rPr>
            </w:pPr>
            <w:r w:rsidRPr="00ED22D1">
              <w:rPr>
                <w:color w:val="000000"/>
                <w:sz w:val="19"/>
                <w:szCs w:val="19"/>
                <w:lang w:val="fr-CA"/>
              </w:rPr>
              <w:t>3 </w:t>
            </w:r>
            <w:r w:rsidR="0085675A" w:rsidRPr="00ED22D1">
              <w:rPr>
                <w:color w:val="000000"/>
                <w:sz w:val="19"/>
                <w:szCs w:val="19"/>
                <w:lang w:val="fr-CA"/>
              </w:rPr>
              <w:t>78</w:t>
            </w:r>
            <w:r w:rsidRPr="00ED22D1">
              <w:rPr>
                <w:color w:val="000000"/>
                <w:sz w:val="19"/>
                <w:szCs w:val="19"/>
                <w:lang w:val="fr-CA"/>
              </w:rPr>
              <w:t>9,</w:t>
            </w:r>
            <w:r w:rsidR="0085675A" w:rsidRPr="00ED22D1">
              <w:rPr>
                <w:color w:val="000000"/>
                <w:sz w:val="19"/>
                <w:szCs w:val="19"/>
                <w:lang w:val="fr-CA"/>
              </w:rPr>
              <w:t>5</w:t>
            </w:r>
          </w:p>
        </w:tc>
        <w:tc>
          <w:tcPr>
            <w:tcW w:w="433" w:type="pct"/>
            <w:tcBorders>
              <w:top w:val="nil"/>
              <w:left w:val="nil"/>
              <w:bottom w:val="single" w:sz="4" w:space="0" w:color="auto"/>
              <w:right w:val="single" w:sz="4" w:space="0" w:color="auto"/>
            </w:tcBorders>
            <w:shd w:val="clear" w:color="auto" w:fill="auto"/>
            <w:noWrap/>
            <w:tcMar>
              <w:left w:w="29" w:type="dxa"/>
              <w:right w:w="29" w:type="dxa"/>
            </w:tcMar>
            <w:vAlign w:val="bottom"/>
          </w:tcPr>
          <w:p w:rsidR="0085675A" w:rsidRPr="00ED22D1" w:rsidRDefault="004A6828" w:rsidP="0085675A">
            <w:pPr>
              <w:widowControl w:val="0"/>
              <w:jc w:val="right"/>
              <w:rPr>
                <w:sz w:val="19"/>
                <w:szCs w:val="19"/>
                <w:lang w:val="fr-CA"/>
              </w:rPr>
            </w:pPr>
            <w:r w:rsidRPr="00ED22D1">
              <w:rPr>
                <w:color w:val="000000"/>
                <w:sz w:val="19"/>
                <w:szCs w:val="19"/>
                <w:lang w:val="fr-CA"/>
              </w:rPr>
              <w:t>3 </w:t>
            </w:r>
            <w:r w:rsidR="0085675A" w:rsidRPr="00ED22D1">
              <w:rPr>
                <w:color w:val="000000"/>
                <w:sz w:val="19"/>
                <w:szCs w:val="19"/>
                <w:lang w:val="fr-CA"/>
              </w:rPr>
              <w:t>41</w:t>
            </w:r>
            <w:r w:rsidRPr="00ED22D1">
              <w:rPr>
                <w:color w:val="000000"/>
                <w:sz w:val="19"/>
                <w:szCs w:val="19"/>
                <w:lang w:val="fr-CA"/>
              </w:rPr>
              <w:t>0,</w:t>
            </w:r>
            <w:r w:rsidR="0085675A" w:rsidRPr="00ED22D1">
              <w:rPr>
                <w:color w:val="000000"/>
                <w:sz w:val="19"/>
                <w:szCs w:val="19"/>
                <w:lang w:val="fr-CA"/>
              </w:rPr>
              <w:t>0</w:t>
            </w:r>
          </w:p>
        </w:tc>
        <w:tc>
          <w:tcPr>
            <w:tcW w:w="433" w:type="pct"/>
            <w:tcBorders>
              <w:top w:val="nil"/>
              <w:left w:val="nil"/>
              <w:bottom w:val="single" w:sz="4" w:space="0" w:color="auto"/>
              <w:right w:val="single" w:sz="4" w:space="0" w:color="auto"/>
            </w:tcBorders>
            <w:shd w:val="clear" w:color="auto" w:fill="auto"/>
            <w:noWrap/>
            <w:tcMar>
              <w:left w:w="29" w:type="dxa"/>
              <w:right w:w="29" w:type="dxa"/>
            </w:tcMar>
            <w:vAlign w:val="bottom"/>
          </w:tcPr>
          <w:p w:rsidR="0085675A" w:rsidRPr="00ED22D1" w:rsidRDefault="004A6828" w:rsidP="0085675A">
            <w:pPr>
              <w:widowControl w:val="0"/>
              <w:jc w:val="right"/>
              <w:rPr>
                <w:sz w:val="19"/>
                <w:szCs w:val="19"/>
                <w:lang w:val="fr-CA"/>
              </w:rPr>
            </w:pPr>
            <w:r w:rsidRPr="00ED22D1">
              <w:rPr>
                <w:sz w:val="19"/>
                <w:szCs w:val="19"/>
                <w:lang w:val="fr-CA"/>
              </w:rPr>
              <w:t>2 </w:t>
            </w:r>
            <w:r w:rsidR="0085675A" w:rsidRPr="00ED22D1">
              <w:rPr>
                <w:sz w:val="19"/>
                <w:szCs w:val="19"/>
                <w:lang w:val="fr-CA"/>
              </w:rPr>
              <w:t>97</w:t>
            </w:r>
            <w:r w:rsidRPr="00ED22D1">
              <w:rPr>
                <w:sz w:val="19"/>
                <w:szCs w:val="19"/>
                <w:lang w:val="fr-CA"/>
              </w:rPr>
              <w:t>0,</w:t>
            </w:r>
            <w:r w:rsidR="0085675A" w:rsidRPr="00ED22D1">
              <w:rPr>
                <w:sz w:val="19"/>
                <w:szCs w:val="19"/>
                <w:lang w:val="fr-CA"/>
              </w:rPr>
              <w:t>0</w:t>
            </w:r>
          </w:p>
        </w:tc>
        <w:tc>
          <w:tcPr>
            <w:tcW w:w="433" w:type="pct"/>
            <w:tcBorders>
              <w:top w:val="nil"/>
              <w:left w:val="nil"/>
              <w:bottom w:val="single" w:sz="4" w:space="0" w:color="auto"/>
              <w:right w:val="single" w:sz="4" w:space="0" w:color="auto"/>
            </w:tcBorders>
            <w:tcMar>
              <w:left w:w="29" w:type="dxa"/>
              <w:right w:w="29" w:type="dxa"/>
            </w:tcMar>
            <w:vAlign w:val="bottom"/>
          </w:tcPr>
          <w:p w:rsidR="0085675A" w:rsidRPr="00ED22D1" w:rsidRDefault="004A6828" w:rsidP="0085675A">
            <w:pPr>
              <w:widowControl w:val="0"/>
              <w:jc w:val="right"/>
              <w:rPr>
                <w:sz w:val="19"/>
                <w:szCs w:val="19"/>
                <w:lang w:val="fr-CA"/>
              </w:rPr>
            </w:pPr>
            <w:r w:rsidRPr="00ED22D1">
              <w:rPr>
                <w:sz w:val="19"/>
                <w:szCs w:val="19"/>
                <w:lang w:val="fr-CA"/>
              </w:rPr>
              <w:t>3 </w:t>
            </w:r>
            <w:r w:rsidR="0085675A" w:rsidRPr="00ED22D1">
              <w:rPr>
                <w:sz w:val="19"/>
                <w:szCs w:val="19"/>
                <w:lang w:val="fr-CA"/>
              </w:rPr>
              <w:t>02</w:t>
            </w:r>
            <w:r w:rsidRPr="00ED22D1">
              <w:rPr>
                <w:sz w:val="19"/>
                <w:szCs w:val="19"/>
                <w:lang w:val="fr-CA"/>
              </w:rPr>
              <w:t>5,</w:t>
            </w:r>
            <w:r w:rsidR="0085675A" w:rsidRPr="00ED22D1">
              <w:rPr>
                <w:sz w:val="19"/>
                <w:szCs w:val="19"/>
                <w:lang w:val="fr-CA"/>
              </w:rPr>
              <w:t>0</w:t>
            </w:r>
          </w:p>
        </w:tc>
        <w:tc>
          <w:tcPr>
            <w:tcW w:w="383" w:type="pct"/>
            <w:tcBorders>
              <w:top w:val="nil"/>
              <w:left w:val="nil"/>
              <w:bottom w:val="single" w:sz="4" w:space="0" w:color="auto"/>
              <w:right w:val="single" w:sz="4" w:space="0" w:color="auto"/>
            </w:tcBorders>
            <w:tcMar>
              <w:left w:w="29" w:type="dxa"/>
              <w:right w:w="29" w:type="dxa"/>
            </w:tcMar>
          </w:tcPr>
          <w:p w:rsidR="0085675A" w:rsidRPr="00ED22D1" w:rsidRDefault="004A6828" w:rsidP="0085675A">
            <w:pPr>
              <w:widowControl w:val="0"/>
              <w:jc w:val="right"/>
              <w:rPr>
                <w:sz w:val="19"/>
                <w:szCs w:val="19"/>
                <w:lang w:val="fr-CA"/>
              </w:rPr>
            </w:pPr>
            <w:r w:rsidRPr="00ED22D1">
              <w:rPr>
                <w:sz w:val="19"/>
                <w:szCs w:val="19"/>
                <w:lang w:val="fr-CA"/>
              </w:rPr>
              <w:t>3 </w:t>
            </w:r>
            <w:r w:rsidR="0085675A" w:rsidRPr="00ED22D1">
              <w:rPr>
                <w:sz w:val="19"/>
                <w:szCs w:val="19"/>
                <w:lang w:val="fr-CA"/>
              </w:rPr>
              <w:t>02</w:t>
            </w:r>
            <w:r w:rsidRPr="00ED22D1">
              <w:rPr>
                <w:sz w:val="19"/>
                <w:szCs w:val="19"/>
                <w:lang w:val="fr-CA"/>
              </w:rPr>
              <w:t>5,</w:t>
            </w:r>
            <w:r w:rsidR="0085675A" w:rsidRPr="00ED22D1">
              <w:rPr>
                <w:sz w:val="19"/>
                <w:szCs w:val="19"/>
                <w:lang w:val="fr-CA"/>
              </w:rPr>
              <w:t>0</w:t>
            </w:r>
          </w:p>
        </w:tc>
      </w:tr>
      <w:tr w:rsidR="0085675A" w:rsidRPr="00ED22D1" w:rsidTr="00AE1617">
        <w:tc>
          <w:tcPr>
            <w:tcW w:w="767" w:type="pct"/>
            <w:vMerge w:val="restart"/>
            <w:tcBorders>
              <w:top w:val="nil"/>
              <w:left w:val="single" w:sz="4" w:space="0" w:color="auto"/>
              <w:right w:val="single" w:sz="4" w:space="0" w:color="auto"/>
            </w:tcBorders>
            <w:shd w:val="clear" w:color="auto" w:fill="auto"/>
            <w:noWrap/>
            <w:tcMar>
              <w:left w:w="29" w:type="dxa"/>
              <w:right w:w="0" w:type="dxa"/>
            </w:tcMar>
            <w:vAlign w:val="center"/>
          </w:tcPr>
          <w:p w:rsidR="0085675A" w:rsidRPr="00ED22D1" w:rsidRDefault="00DC23B2" w:rsidP="00AE1617">
            <w:pPr>
              <w:widowControl w:val="0"/>
              <w:jc w:val="left"/>
              <w:rPr>
                <w:sz w:val="19"/>
                <w:szCs w:val="19"/>
                <w:lang w:val="fr-CA"/>
              </w:rPr>
            </w:pPr>
            <w:r w:rsidRPr="00ED22D1">
              <w:rPr>
                <w:sz w:val="19"/>
                <w:szCs w:val="19"/>
                <w:lang w:val="fr-CA"/>
              </w:rPr>
              <w:t>Consommation</w:t>
            </w:r>
            <w:r w:rsidR="00AE1617" w:rsidRPr="00ED22D1">
              <w:rPr>
                <w:sz w:val="19"/>
                <w:szCs w:val="19"/>
                <w:lang w:val="fr-CA"/>
              </w:rPr>
              <w:t xml:space="preserve"> maximale admissible</w:t>
            </w:r>
          </w:p>
        </w:tc>
        <w:tc>
          <w:tcPr>
            <w:tcW w:w="443" w:type="pct"/>
            <w:tcBorders>
              <w:top w:val="nil"/>
              <w:left w:val="single" w:sz="4" w:space="0" w:color="auto"/>
              <w:bottom w:val="single" w:sz="4" w:space="0" w:color="auto"/>
              <w:right w:val="single" w:sz="4" w:space="0" w:color="auto"/>
            </w:tcBorders>
            <w:shd w:val="clear" w:color="auto" w:fill="auto"/>
            <w:tcMar>
              <w:left w:w="29" w:type="dxa"/>
              <w:right w:w="29" w:type="dxa"/>
            </w:tcMar>
          </w:tcPr>
          <w:p w:rsidR="0085675A" w:rsidRPr="00ED22D1" w:rsidRDefault="008450A6" w:rsidP="008450A6">
            <w:pPr>
              <w:widowControl w:val="0"/>
              <w:jc w:val="left"/>
              <w:rPr>
                <w:sz w:val="19"/>
                <w:szCs w:val="19"/>
                <w:lang w:val="fr-CA"/>
              </w:rPr>
            </w:pPr>
            <w:r w:rsidRPr="00ED22D1">
              <w:rPr>
                <w:sz w:val="19"/>
                <w:szCs w:val="19"/>
                <w:lang w:val="fr-CA"/>
              </w:rPr>
              <w:t>t</w:t>
            </w:r>
            <w:r w:rsidR="00AE1617" w:rsidRPr="00ED22D1">
              <w:rPr>
                <w:sz w:val="19"/>
                <w:szCs w:val="19"/>
                <w:lang w:val="fr-CA"/>
              </w:rPr>
              <w:t>m</w:t>
            </w:r>
          </w:p>
        </w:tc>
        <w:tc>
          <w:tcPr>
            <w:tcW w:w="377"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center"/>
              <w:rPr>
                <w:sz w:val="19"/>
                <w:szCs w:val="19"/>
                <w:lang w:val="fr-CA"/>
              </w:rPr>
            </w:pPr>
            <w:r w:rsidRPr="00ED22D1">
              <w:rPr>
                <w:sz w:val="19"/>
                <w:szCs w:val="19"/>
                <w:lang w:val="fr-CA"/>
              </w:rPr>
              <w:t>7</w:t>
            </w:r>
            <w:r w:rsidR="004A6828" w:rsidRPr="00ED22D1">
              <w:rPr>
                <w:sz w:val="19"/>
                <w:szCs w:val="19"/>
                <w:lang w:val="fr-CA"/>
              </w:rPr>
              <w:t>4 </w:t>
            </w:r>
            <w:r w:rsidRPr="00ED22D1">
              <w:rPr>
                <w:sz w:val="19"/>
                <w:szCs w:val="19"/>
                <w:lang w:val="fr-CA"/>
              </w:rPr>
              <w:t>700</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7</w:t>
            </w:r>
            <w:r w:rsidR="004A6828" w:rsidRPr="00ED22D1">
              <w:rPr>
                <w:sz w:val="19"/>
                <w:szCs w:val="19"/>
                <w:lang w:val="fr-CA"/>
              </w:rPr>
              <w:t>4 </w:t>
            </w:r>
            <w:r w:rsidRPr="00ED22D1">
              <w:rPr>
                <w:sz w:val="19"/>
                <w:szCs w:val="19"/>
                <w:lang w:val="fr-CA"/>
              </w:rPr>
              <w:t>700</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6</w:t>
            </w:r>
            <w:r w:rsidR="004A6828" w:rsidRPr="00ED22D1">
              <w:rPr>
                <w:sz w:val="19"/>
                <w:szCs w:val="19"/>
                <w:lang w:val="fr-CA"/>
              </w:rPr>
              <w:t>7 </w:t>
            </w:r>
            <w:r w:rsidRPr="00ED22D1">
              <w:rPr>
                <w:sz w:val="19"/>
                <w:szCs w:val="19"/>
                <w:lang w:val="fr-CA"/>
              </w:rPr>
              <w:t>231</w:t>
            </w:r>
          </w:p>
        </w:tc>
        <w:tc>
          <w:tcPr>
            <w:tcW w:w="433" w:type="pct"/>
            <w:tcBorders>
              <w:top w:val="nil"/>
              <w:left w:val="nil"/>
              <w:bottom w:val="single" w:sz="4" w:space="0" w:color="auto"/>
              <w:right w:val="single" w:sz="4" w:space="0" w:color="auto"/>
            </w:tcBorders>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6</w:t>
            </w:r>
            <w:r w:rsidR="004A6828" w:rsidRPr="00ED22D1">
              <w:rPr>
                <w:sz w:val="19"/>
                <w:szCs w:val="19"/>
                <w:lang w:val="fr-CA"/>
              </w:rPr>
              <w:t>7 </w:t>
            </w:r>
            <w:r w:rsidRPr="00ED22D1">
              <w:rPr>
                <w:sz w:val="19"/>
                <w:szCs w:val="19"/>
                <w:lang w:val="fr-CA"/>
              </w:rPr>
              <w:t>231</w:t>
            </w:r>
          </w:p>
        </w:tc>
        <w:tc>
          <w:tcPr>
            <w:tcW w:w="383" w:type="pct"/>
            <w:tcBorders>
              <w:top w:val="nil"/>
              <w:left w:val="nil"/>
              <w:bottom w:val="single" w:sz="4" w:space="0" w:color="auto"/>
              <w:right w:val="single" w:sz="4" w:space="0" w:color="auto"/>
            </w:tcBorders>
            <w:tcMar>
              <w:left w:w="29" w:type="dxa"/>
              <w:right w:w="29" w:type="dxa"/>
            </w:tcMar>
          </w:tcPr>
          <w:p w:rsidR="0085675A" w:rsidRPr="00ED22D1" w:rsidRDefault="0085675A" w:rsidP="0085675A">
            <w:pPr>
              <w:widowControl w:val="0"/>
              <w:jc w:val="right"/>
              <w:rPr>
                <w:sz w:val="19"/>
                <w:szCs w:val="19"/>
                <w:lang w:val="fr-CA"/>
              </w:rPr>
            </w:pPr>
            <w:r w:rsidRPr="00ED22D1">
              <w:rPr>
                <w:sz w:val="19"/>
                <w:szCs w:val="19"/>
                <w:lang w:val="fr-CA"/>
              </w:rPr>
              <w:t>6</w:t>
            </w:r>
            <w:r w:rsidR="004A6828" w:rsidRPr="00ED22D1">
              <w:rPr>
                <w:sz w:val="19"/>
                <w:szCs w:val="19"/>
                <w:lang w:val="fr-CA"/>
              </w:rPr>
              <w:t>7 </w:t>
            </w:r>
            <w:r w:rsidRPr="00ED22D1">
              <w:rPr>
                <w:sz w:val="19"/>
                <w:szCs w:val="19"/>
                <w:lang w:val="fr-CA"/>
              </w:rPr>
              <w:t>231</w:t>
            </w:r>
          </w:p>
        </w:tc>
      </w:tr>
      <w:tr w:rsidR="0085675A" w:rsidRPr="00ED22D1" w:rsidTr="00AE1617">
        <w:tc>
          <w:tcPr>
            <w:tcW w:w="767" w:type="pct"/>
            <w:vMerge/>
            <w:tcBorders>
              <w:left w:val="single" w:sz="4" w:space="0" w:color="auto"/>
              <w:bottom w:val="single" w:sz="4" w:space="0" w:color="auto"/>
              <w:right w:val="single" w:sz="4" w:space="0" w:color="auto"/>
            </w:tcBorders>
            <w:shd w:val="clear" w:color="auto" w:fill="auto"/>
            <w:noWrap/>
            <w:tcMar>
              <w:left w:w="29" w:type="dxa"/>
              <w:right w:w="29" w:type="dxa"/>
            </w:tcMar>
          </w:tcPr>
          <w:p w:rsidR="0085675A" w:rsidRPr="00ED22D1" w:rsidRDefault="0085675A" w:rsidP="0085675A">
            <w:pPr>
              <w:widowControl w:val="0"/>
              <w:jc w:val="left"/>
              <w:rPr>
                <w:sz w:val="19"/>
                <w:szCs w:val="19"/>
                <w:lang w:val="fr-CA"/>
              </w:rPr>
            </w:pPr>
          </w:p>
        </w:tc>
        <w:tc>
          <w:tcPr>
            <w:tcW w:w="443" w:type="pct"/>
            <w:tcBorders>
              <w:top w:val="nil"/>
              <w:left w:val="single" w:sz="4" w:space="0" w:color="auto"/>
              <w:bottom w:val="single" w:sz="4" w:space="0" w:color="auto"/>
              <w:right w:val="single" w:sz="4" w:space="0" w:color="auto"/>
            </w:tcBorders>
            <w:shd w:val="clear" w:color="auto" w:fill="auto"/>
            <w:tcMar>
              <w:left w:w="29" w:type="dxa"/>
              <w:right w:w="29" w:type="dxa"/>
            </w:tcMar>
          </w:tcPr>
          <w:p w:rsidR="0085675A" w:rsidRPr="00ED22D1" w:rsidRDefault="00181884" w:rsidP="0085675A">
            <w:pPr>
              <w:widowControl w:val="0"/>
              <w:jc w:val="left"/>
              <w:rPr>
                <w:sz w:val="19"/>
                <w:szCs w:val="19"/>
                <w:lang w:val="fr-CA"/>
              </w:rPr>
            </w:pPr>
            <w:r w:rsidRPr="00ED22D1">
              <w:rPr>
                <w:sz w:val="19"/>
                <w:szCs w:val="19"/>
                <w:lang w:val="fr-CA"/>
              </w:rPr>
              <w:t>Tonnes PAO</w:t>
            </w:r>
          </w:p>
        </w:tc>
        <w:tc>
          <w:tcPr>
            <w:tcW w:w="377"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F12D89" w:rsidP="0085675A">
            <w:pPr>
              <w:widowControl w:val="0"/>
              <w:jc w:val="right"/>
              <w:rPr>
                <w:sz w:val="19"/>
                <w:szCs w:val="19"/>
                <w:lang w:val="fr-CA"/>
              </w:rPr>
            </w:pPr>
            <w:r w:rsidRPr="00ED22D1">
              <w:rPr>
                <w:sz w:val="19"/>
                <w:szCs w:val="19"/>
                <w:lang w:val="fr-CA"/>
              </w:rPr>
              <w:t>s.o.</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4A6828" w:rsidP="0085675A">
            <w:pPr>
              <w:widowControl w:val="0"/>
              <w:jc w:val="right"/>
              <w:rPr>
                <w:sz w:val="19"/>
                <w:szCs w:val="19"/>
                <w:lang w:val="fr-CA"/>
              </w:rPr>
            </w:pPr>
            <w:r w:rsidRPr="00ED22D1">
              <w:rPr>
                <w:sz w:val="19"/>
                <w:szCs w:val="19"/>
                <w:lang w:val="fr-CA"/>
              </w:rPr>
              <w:t>4 </w:t>
            </w:r>
            <w:r w:rsidR="0085675A" w:rsidRPr="00ED22D1">
              <w:rPr>
                <w:sz w:val="19"/>
                <w:szCs w:val="19"/>
                <w:lang w:val="fr-CA"/>
              </w:rPr>
              <w:t>10</w:t>
            </w:r>
            <w:r w:rsidRPr="00ED22D1">
              <w:rPr>
                <w:sz w:val="19"/>
                <w:szCs w:val="19"/>
                <w:lang w:val="fr-CA"/>
              </w:rPr>
              <w:t>8,</w:t>
            </w:r>
            <w:r w:rsidR="0085675A" w:rsidRPr="00ED22D1">
              <w:rPr>
                <w:sz w:val="19"/>
                <w:szCs w:val="19"/>
                <w:lang w:val="fr-CA"/>
              </w:rPr>
              <w:t>5</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4A6828" w:rsidP="0085675A">
            <w:pPr>
              <w:widowControl w:val="0"/>
              <w:jc w:val="right"/>
              <w:rPr>
                <w:sz w:val="19"/>
                <w:szCs w:val="19"/>
                <w:lang w:val="fr-CA"/>
              </w:rPr>
            </w:pPr>
            <w:r w:rsidRPr="00ED22D1">
              <w:rPr>
                <w:sz w:val="19"/>
                <w:szCs w:val="19"/>
                <w:lang w:val="fr-CA"/>
              </w:rPr>
              <w:t>4 </w:t>
            </w:r>
            <w:r w:rsidR="0085675A" w:rsidRPr="00ED22D1">
              <w:rPr>
                <w:sz w:val="19"/>
                <w:szCs w:val="19"/>
                <w:lang w:val="fr-CA"/>
              </w:rPr>
              <w:t>10</w:t>
            </w:r>
            <w:r w:rsidRPr="00ED22D1">
              <w:rPr>
                <w:sz w:val="19"/>
                <w:szCs w:val="19"/>
                <w:lang w:val="fr-CA"/>
              </w:rPr>
              <w:t>8,</w:t>
            </w:r>
            <w:r w:rsidR="0085675A" w:rsidRPr="00ED22D1">
              <w:rPr>
                <w:sz w:val="19"/>
                <w:szCs w:val="19"/>
                <w:lang w:val="fr-CA"/>
              </w:rPr>
              <w:t>5</w:t>
            </w:r>
          </w:p>
        </w:tc>
        <w:tc>
          <w:tcPr>
            <w:tcW w:w="433" w:type="pct"/>
            <w:tcBorders>
              <w:top w:val="nil"/>
              <w:left w:val="nil"/>
              <w:bottom w:val="single" w:sz="4" w:space="0" w:color="auto"/>
              <w:right w:val="single" w:sz="4" w:space="0" w:color="auto"/>
            </w:tcBorders>
            <w:shd w:val="clear" w:color="auto" w:fill="auto"/>
            <w:noWrap/>
            <w:tcMar>
              <w:left w:w="29" w:type="dxa"/>
              <w:right w:w="29" w:type="dxa"/>
            </w:tcMar>
          </w:tcPr>
          <w:p w:rsidR="0085675A" w:rsidRPr="00ED22D1" w:rsidRDefault="004A6828" w:rsidP="0085675A">
            <w:pPr>
              <w:widowControl w:val="0"/>
              <w:jc w:val="right"/>
              <w:rPr>
                <w:sz w:val="19"/>
                <w:szCs w:val="19"/>
                <w:lang w:val="fr-CA"/>
              </w:rPr>
            </w:pPr>
            <w:r w:rsidRPr="00ED22D1">
              <w:rPr>
                <w:sz w:val="19"/>
                <w:szCs w:val="19"/>
                <w:lang w:val="fr-CA"/>
              </w:rPr>
              <w:t>3 </w:t>
            </w:r>
            <w:r w:rsidR="0085675A" w:rsidRPr="00ED22D1">
              <w:rPr>
                <w:sz w:val="19"/>
                <w:szCs w:val="19"/>
                <w:lang w:val="fr-CA"/>
              </w:rPr>
              <w:t>69</w:t>
            </w:r>
            <w:r w:rsidRPr="00ED22D1">
              <w:rPr>
                <w:sz w:val="19"/>
                <w:szCs w:val="19"/>
                <w:lang w:val="fr-CA"/>
              </w:rPr>
              <w:t>7,</w:t>
            </w:r>
            <w:r w:rsidR="0085675A" w:rsidRPr="00ED22D1">
              <w:rPr>
                <w:sz w:val="19"/>
                <w:szCs w:val="19"/>
                <w:lang w:val="fr-CA"/>
              </w:rPr>
              <w:t>7</w:t>
            </w:r>
          </w:p>
        </w:tc>
        <w:tc>
          <w:tcPr>
            <w:tcW w:w="433" w:type="pct"/>
            <w:tcBorders>
              <w:top w:val="nil"/>
              <w:left w:val="nil"/>
              <w:bottom w:val="single" w:sz="4" w:space="0" w:color="auto"/>
              <w:right w:val="single" w:sz="4" w:space="0" w:color="auto"/>
            </w:tcBorders>
            <w:tcMar>
              <w:left w:w="29" w:type="dxa"/>
              <w:right w:w="29" w:type="dxa"/>
            </w:tcMar>
          </w:tcPr>
          <w:p w:rsidR="0085675A" w:rsidRPr="00ED22D1" w:rsidRDefault="004A6828" w:rsidP="0085675A">
            <w:pPr>
              <w:widowControl w:val="0"/>
              <w:jc w:val="right"/>
              <w:rPr>
                <w:sz w:val="19"/>
                <w:szCs w:val="19"/>
                <w:lang w:val="fr-CA"/>
              </w:rPr>
            </w:pPr>
            <w:r w:rsidRPr="00ED22D1">
              <w:rPr>
                <w:sz w:val="19"/>
                <w:szCs w:val="19"/>
                <w:lang w:val="fr-CA"/>
              </w:rPr>
              <w:t>3 </w:t>
            </w:r>
            <w:r w:rsidR="0085675A" w:rsidRPr="00ED22D1">
              <w:rPr>
                <w:sz w:val="19"/>
                <w:szCs w:val="19"/>
                <w:lang w:val="fr-CA"/>
              </w:rPr>
              <w:t>69</w:t>
            </w:r>
            <w:r w:rsidRPr="00ED22D1">
              <w:rPr>
                <w:sz w:val="19"/>
                <w:szCs w:val="19"/>
                <w:lang w:val="fr-CA"/>
              </w:rPr>
              <w:t>7,</w:t>
            </w:r>
            <w:r w:rsidR="0085675A" w:rsidRPr="00ED22D1">
              <w:rPr>
                <w:sz w:val="19"/>
                <w:szCs w:val="19"/>
                <w:lang w:val="fr-CA"/>
              </w:rPr>
              <w:t>7</w:t>
            </w:r>
          </w:p>
        </w:tc>
        <w:tc>
          <w:tcPr>
            <w:tcW w:w="383" w:type="pct"/>
            <w:tcBorders>
              <w:top w:val="nil"/>
              <w:left w:val="nil"/>
              <w:bottom w:val="single" w:sz="4" w:space="0" w:color="auto"/>
              <w:right w:val="single" w:sz="4" w:space="0" w:color="auto"/>
            </w:tcBorders>
            <w:tcMar>
              <w:left w:w="29" w:type="dxa"/>
              <w:right w:w="29" w:type="dxa"/>
            </w:tcMar>
          </w:tcPr>
          <w:p w:rsidR="0085675A" w:rsidRPr="00ED22D1" w:rsidRDefault="004A6828" w:rsidP="0085675A">
            <w:pPr>
              <w:widowControl w:val="0"/>
              <w:jc w:val="right"/>
              <w:rPr>
                <w:sz w:val="19"/>
                <w:szCs w:val="19"/>
                <w:lang w:val="fr-CA"/>
              </w:rPr>
            </w:pPr>
            <w:r w:rsidRPr="00ED22D1">
              <w:rPr>
                <w:sz w:val="19"/>
                <w:szCs w:val="19"/>
                <w:lang w:val="fr-CA"/>
              </w:rPr>
              <w:t>3 </w:t>
            </w:r>
            <w:r w:rsidR="0085675A" w:rsidRPr="00ED22D1">
              <w:rPr>
                <w:sz w:val="19"/>
                <w:szCs w:val="19"/>
                <w:lang w:val="fr-CA"/>
              </w:rPr>
              <w:t>69</w:t>
            </w:r>
            <w:r w:rsidRPr="00ED22D1">
              <w:rPr>
                <w:sz w:val="19"/>
                <w:szCs w:val="19"/>
                <w:lang w:val="fr-CA"/>
              </w:rPr>
              <w:t>7,</w:t>
            </w:r>
            <w:r w:rsidR="0085675A" w:rsidRPr="00ED22D1">
              <w:rPr>
                <w:sz w:val="19"/>
                <w:szCs w:val="19"/>
                <w:lang w:val="fr-CA"/>
              </w:rPr>
              <w:t>7</w:t>
            </w:r>
          </w:p>
        </w:tc>
      </w:tr>
    </w:tbl>
    <w:p w:rsidR="0085675A" w:rsidRPr="00ED22D1" w:rsidRDefault="0085675A" w:rsidP="0085675A">
      <w:pPr>
        <w:widowControl w:val="0"/>
        <w:rPr>
          <w:sz w:val="16"/>
          <w:szCs w:val="16"/>
          <w:lang w:val="fr-CA"/>
        </w:rPr>
      </w:pPr>
      <w:r w:rsidRPr="00ED22D1">
        <w:rPr>
          <w:sz w:val="16"/>
          <w:szCs w:val="16"/>
          <w:lang w:val="fr-CA"/>
        </w:rPr>
        <w:t>*D</w:t>
      </w:r>
      <w:r w:rsidR="00DC23B2" w:rsidRPr="00ED22D1">
        <w:rPr>
          <w:sz w:val="16"/>
          <w:szCs w:val="16"/>
          <w:lang w:val="fr-CA"/>
        </w:rPr>
        <w:t>onnées du</w:t>
      </w:r>
      <w:r w:rsidR="00FB1DC4" w:rsidRPr="00ED22D1">
        <w:rPr>
          <w:sz w:val="16"/>
          <w:szCs w:val="16"/>
          <w:lang w:val="fr-CA"/>
        </w:rPr>
        <w:t xml:space="preserve"> rapport</w:t>
      </w:r>
      <w:r w:rsidR="004A6828" w:rsidRPr="00ED22D1">
        <w:rPr>
          <w:sz w:val="16"/>
          <w:szCs w:val="16"/>
          <w:lang w:val="fr-CA"/>
        </w:rPr>
        <w:t xml:space="preserve"> périodique</w:t>
      </w:r>
      <w:r w:rsidRPr="00ED22D1">
        <w:rPr>
          <w:sz w:val="16"/>
          <w:szCs w:val="16"/>
          <w:lang w:val="fr-CA"/>
        </w:rPr>
        <w:t xml:space="preserve"> </w:t>
      </w:r>
    </w:p>
    <w:p w:rsidR="0085675A" w:rsidRPr="00ED22D1" w:rsidRDefault="0085675A" w:rsidP="0085675A">
      <w:pPr>
        <w:widowControl w:val="0"/>
        <w:rPr>
          <w:lang w:val="fr-CA"/>
        </w:rPr>
      </w:pPr>
    </w:p>
    <w:p w:rsidR="0085675A" w:rsidRPr="00ED22D1" w:rsidRDefault="00AE1617" w:rsidP="0085675A">
      <w:pPr>
        <w:widowControl w:val="0"/>
        <w:rPr>
          <w:u w:val="single"/>
          <w:lang w:val="fr-CA"/>
        </w:rPr>
      </w:pPr>
      <w:r w:rsidRPr="00ED22D1">
        <w:rPr>
          <w:u w:val="single"/>
          <w:lang w:val="fr-CA"/>
        </w:rPr>
        <w:t xml:space="preserve">État de la </w:t>
      </w:r>
      <w:r w:rsidR="00921BDE" w:rsidRPr="00ED22D1">
        <w:rPr>
          <w:u w:val="single"/>
          <w:lang w:val="fr-CA"/>
        </w:rPr>
        <w:t xml:space="preserve">mise en oeuvre </w:t>
      </w:r>
    </w:p>
    <w:p w:rsidR="0085675A" w:rsidRPr="00ED22D1" w:rsidRDefault="0085675A" w:rsidP="0085675A">
      <w:pPr>
        <w:widowControl w:val="0"/>
        <w:rPr>
          <w:u w:val="single"/>
          <w:lang w:val="fr-CA"/>
        </w:rPr>
      </w:pPr>
    </w:p>
    <w:p w:rsidR="0085675A" w:rsidRPr="00ED22D1" w:rsidRDefault="00AE1617" w:rsidP="0085675A">
      <w:pPr>
        <w:pStyle w:val="Heading1"/>
        <w:rPr>
          <w:lang w:val="fr-CA"/>
        </w:rPr>
      </w:pPr>
      <w:r w:rsidRPr="00ED22D1">
        <w:rPr>
          <w:lang w:val="fr-CA"/>
        </w:rPr>
        <w:t>Nonobstant les efforts continus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85675A" w:rsidRPr="00ED22D1">
        <w:rPr>
          <w:lang w:val="fr-CA"/>
        </w:rPr>
        <w:t xml:space="preserve">, </w:t>
      </w:r>
      <w:r w:rsidRPr="00ED22D1">
        <w:rPr>
          <w:lang w:val="fr-CA"/>
        </w:rPr>
        <w:t xml:space="preserve">de la </w:t>
      </w:r>
      <w:r w:rsidR="0085675A" w:rsidRPr="00ED22D1">
        <w:rPr>
          <w:lang w:val="fr-CA"/>
        </w:rPr>
        <w:t xml:space="preserve">CHEAA, </w:t>
      </w:r>
      <w:r w:rsidRPr="00ED22D1">
        <w:rPr>
          <w:lang w:val="fr-CA"/>
        </w:rPr>
        <w:t>de l’</w:t>
      </w:r>
      <w:r w:rsidR="0085675A" w:rsidRPr="00ED22D1">
        <w:rPr>
          <w:lang w:val="fr-CA"/>
        </w:rPr>
        <w:t>industr</w:t>
      </w:r>
      <w:r w:rsidRPr="00ED22D1">
        <w:rPr>
          <w:lang w:val="fr-CA"/>
        </w:rPr>
        <w:t>ie</w:t>
      </w:r>
      <w:r w:rsidR="004A6828" w:rsidRPr="00ED22D1">
        <w:rPr>
          <w:lang w:val="fr-CA"/>
        </w:rPr>
        <w:t xml:space="preserve"> et</w:t>
      </w:r>
      <w:r w:rsidR="001F19C1" w:rsidRPr="00ED22D1">
        <w:rPr>
          <w:lang w:val="fr-CA"/>
        </w:rPr>
        <w:t xml:space="preserve"> </w:t>
      </w:r>
      <w:r w:rsidRPr="00ED22D1">
        <w:rPr>
          <w:lang w:val="fr-CA"/>
        </w:rPr>
        <w:t xml:space="preserve">de </w:t>
      </w:r>
      <w:r w:rsidR="001F19C1" w:rsidRPr="00ED22D1">
        <w:rPr>
          <w:lang w:val="fr-CA"/>
        </w:rPr>
        <w:t>l’ONUDI</w:t>
      </w:r>
      <w:r w:rsidR="0085675A" w:rsidRPr="00ED22D1">
        <w:rPr>
          <w:lang w:val="fr-CA"/>
        </w:rPr>
        <w:t xml:space="preserve">, </w:t>
      </w:r>
      <w:r w:rsidRPr="00ED22D1">
        <w:rPr>
          <w:lang w:val="fr-CA"/>
        </w:rPr>
        <w:t>la</w:t>
      </w:r>
      <w:r w:rsidR="0085675A" w:rsidRPr="00ED22D1">
        <w:rPr>
          <w:lang w:val="fr-CA"/>
        </w:rPr>
        <w:t xml:space="preserve"> production </w:t>
      </w:r>
      <w:r w:rsidRPr="00ED22D1">
        <w:rPr>
          <w:lang w:val="fr-CA"/>
        </w:rPr>
        <w:t xml:space="preserve">des équipements avec </w:t>
      </w:r>
      <w:r w:rsidR="0085675A" w:rsidRPr="00ED22D1">
        <w:rPr>
          <w:lang w:val="fr-CA"/>
        </w:rPr>
        <w:t xml:space="preserve">R-290 </w:t>
      </w:r>
      <w:r w:rsidR="004F0823" w:rsidRPr="00ED22D1">
        <w:rPr>
          <w:lang w:val="fr-CA"/>
        </w:rPr>
        <w:t>des circuits reconvertis demeure très faible</w:t>
      </w:r>
      <w:r w:rsidR="0085675A" w:rsidRPr="00ED22D1">
        <w:rPr>
          <w:lang w:val="fr-CA"/>
        </w:rPr>
        <w:t xml:space="preserve">. </w:t>
      </w:r>
      <w:r w:rsidR="004F0823" w:rsidRPr="00ED22D1">
        <w:rPr>
          <w:lang w:val="fr-CA"/>
        </w:rPr>
        <w:t>Pour</w:t>
      </w:r>
      <w:r w:rsidR="008450A6" w:rsidRPr="00ED22D1">
        <w:rPr>
          <w:lang w:val="fr-CA"/>
        </w:rPr>
        <w:t> </w:t>
      </w:r>
      <w:r w:rsidR="004F0823" w:rsidRPr="00ED22D1">
        <w:rPr>
          <w:lang w:val="fr-CA"/>
        </w:rPr>
        <w:t xml:space="preserve">traiter la faiblesse de la </w:t>
      </w:r>
      <w:r w:rsidR="0085675A" w:rsidRPr="00ED22D1">
        <w:rPr>
          <w:lang w:val="fr-CA"/>
        </w:rPr>
        <w:t xml:space="preserve">production, </w:t>
      </w:r>
      <w:r w:rsidR="00921BDE" w:rsidRPr="00ED22D1">
        <w:rPr>
          <w:lang w:val="fr-CA"/>
        </w:rPr>
        <w:t>le 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4F0823" w:rsidRPr="00ED22D1">
        <w:rPr>
          <w:lang w:val="fr-CA"/>
        </w:rPr>
        <w:t xml:space="preserve">a </w:t>
      </w:r>
      <w:r w:rsidR="0085675A" w:rsidRPr="00ED22D1">
        <w:rPr>
          <w:lang w:val="fr-CA"/>
        </w:rPr>
        <w:t>propos</w:t>
      </w:r>
      <w:r w:rsidR="004F0823" w:rsidRPr="00ED22D1">
        <w:rPr>
          <w:lang w:val="fr-CA"/>
        </w:rPr>
        <w:t>é</w:t>
      </w:r>
      <w:r w:rsidR="0085675A" w:rsidRPr="00ED22D1">
        <w:rPr>
          <w:lang w:val="fr-CA"/>
        </w:rPr>
        <w:t xml:space="preserve"> </w:t>
      </w:r>
      <w:r w:rsidR="004F0823" w:rsidRPr="00ED22D1">
        <w:rPr>
          <w:b/>
          <w:lang w:val="fr-CA"/>
        </w:rPr>
        <w:t>à la 82</w:t>
      </w:r>
      <w:r w:rsidR="004F0823" w:rsidRPr="00ED22D1">
        <w:rPr>
          <w:b/>
          <w:vertAlign w:val="superscript"/>
          <w:lang w:val="fr-CA"/>
        </w:rPr>
        <w:t>e</w:t>
      </w:r>
      <w:r w:rsidR="004F0823" w:rsidRPr="00ED22D1">
        <w:rPr>
          <w:b/>
          <w:lang w:val="fr-CA"/>
        </w:rPr>
        <w:t xml:space="preserve"> réunion</w:t>
      </w:r>
      <w:r w:rsidR="004F0823" w:rsidRPr="00ED22D1">
        <w:rPr>
          <w:lang w:val="fr-CA"/>
        </w:rPr>
        <w:t xml:space="preserve"> des</w:t>
      </w:r>
      <w:r w:rsidR="008450A6" w:rsidRPr="00ED22D1">
        <w:rPr>
          <w:lang w:val="fr-CA"/>
        </w:rPr>
        <w:t> </w:t>
      </w:r>
      <w:r w:rsidR="004F0823" w:rsidRPr="00ED22D1">
        <w:rPr>
          <w:lang w:val="fr-CA"/>
        </w:rPr>
        <w:t xml:space="preserve">modifications au plan d’intéressement des </w:t>
      </w:r>
      <w:r w:rsidR="002F6D48" w:rsidRPr="00ED22D1">
        <w:rPr>
          <w:lang w:val="fr-CA"/>
        </w:rPr>
        <w:t xml:space="preserve">surcoûts d’exploitation </w:t>
      </w:r>
      <w:r w:rsidR="004A6828" w:rsidRPr="00ED22D1">
        <w:rPr>
          <w:lang w:val="fr-CA"/>
        </w:rPr>
        <w:t xml:space="preserve">et </w:t>
      </w:r>
      <w:r w:rsidR="004F0823" w:rsidRPr="00ED22D1">
        <w:rPr>
          <w:lang w:val="fr-CA"/>
        </w:rPr>
        <w:t>demandé que les fabricants s’</w:t>
      </w:r>
      <w:r w:rsidR="00DC23B2" w:rsidRPr="00ED22D1">
        <w:rPr>
          <w:lang w:val="fr-CA"/>
        </w:rPr>
        <w:t>engagent</w:t>
      </w:r>
      <w:r w:rsidR="004F0823" w:rsidRPr="00ED22D1">
        <w:rPr>
          <w:lang w:val="fr-CA"/>
        </w:rPr>
        <w:t xml:space="preserve"> à fabriquer et à vendre des équipements avec </w:t>
      </w:r>
      <w:r w:rsidR="0085675A" w:rsidRPr="00ED22D1">
        <w:rPr>
          <w:lang w:val="fr-CA"/>
        </w:rPr>
        <w:t xml:space="preserve">R-290. </w:t>
      </w:r>
      <w:r w:rsidR="004F0823" w:rsidRPr="00ED22D1">
        <w:rPr>
          <w:lang w:val="fr-CA"/>
        </w:rPr>
        <w:t>Huit fabricants se sont donc engagés à</w:t>
      </w:r>
      <w:r w:rsidR="00084790" w:rsidRPr="00ED22D1">
        <w:rPr>
          <w:lang w:val="fr-CA"/>
        </w:rPr>
        <w:t> </w:t>
      </w:r>
      <w:r w:rsidR="004F0823" w:rsidRPr="00ED22D1">
        <w:rPr>
          <w:lang w:val="fr-CA"/>
        </w:rPr>
        <w:t xml:space="preserve">vendre au moins </w:t>
      </w:r>
      <w:r w:rsidR="0085675A" w:rsidRPr="00ED22D1">
        <w:rPr>
          <w:lang w:val="fr-CA"/>
        </w:rPr>
        <w:t>22</w:t>
      </w:r>
      <w:r w:rsidR="004A6828" w:rsidRPr="00ED22D1">
        <w:rPr>
          <w:lang w:val="fr-CA"/>
        </w:rPr>
        <w:t>0 </w:t>
      </w:r>
      <w:r w:rsidR="0085675A" w:rsidRPr="00ED22D1">
        <w:rPr>
          <w:lang w:val="fr-CA"/>
        </w:rPr>
        <w:t xml:space="preserve">000 </w:t>
      </w:r>
      <w:r w:rsidR="004F0823" w:rsidRPr="00ED22D1">
        <w:rPr>
          <w:lang w:val="fr-CA"/>
        </w:rPr>
        <w:t xml:space="preserve">unités avec </w:t>
      </w:r>
      <w:r w:rsidR="0085675A" w:rsidRPr="00ED22D1">
        <w:rPr>
          <w:lang w:val="fr-CA"/>
        </w:rPr>
        <w:t>R-290</w:t>
      </w:r>
      <w:r w:rsidR="004F0823" w:rsidRPr="00ED22D1">
        <w:rPr>
          <w:lang w:val="fr-CA"/>
        </w:rPr>
        <w:t xml:space="preserve"> sur le marché domestique </w:t>
      </w:r>
      <w:r w:rsidR="004A6828" w:rsidRPr="00ED22D1">
        <w:rPr>
          <w:lang w:val="fr-CA"/>
        </w:rPr>
        <w:t xml:space="preserve">et </w:t>
      </w:r>
      <w:r w:rsidR="004F0823" w:rsidRPr="00ED22D1">
        <w:rPr>
          <w:lang w:val="fr-CA"/>
        </w:rPr>
        <w:t>pour exportation à des pays de</w:t>
      </w:r>
      <w:r w:rsidR="00084790" w:rsidRPr="00ED22D1">
        <w:rPr>
          <w:lang w:val="fr-CA"/>
        </w:rPr>
        <w:t> </w:t>
      </w:r>
      <w:r w:rsidR="004F0823" w:rsidRPr="00ED22D1">
        <w:rPr>
          <w:lang w:val="fr-CA"/>
        </w:rPr>
        <w:t>l’</w:t>
      </w:r>
      <w:r w:rsidR="0085675A" w:rsidRPr="00ED22D1">
        <w:rPr>
          <w:lang w:val="fr-CA"/>
        </w:rPr>
        <w:t>Article</w:t>
      </w:r>
      <w:r w:rsidR="00084790" w:rsidRPr="00ED22D1">
        <w:rPr>
          <w:lang w:val="fr-CA"/>
        </w:rPr>
        <w:t> </w:t>
      </w:r>
      <w:r w:rsidR="0085675A" w:rsidRPr="00ED22D1">
        <w:rPr>
          <w:lang w:val="fr-CA"/>
        </w:rPr>
        <w:t xml:space="preserve">5 </w:t>
      </w:r>
      <w:r w:rsidR="004F0823" w:rsidRPr="00ED22D1">
        <w:rPr>
          <w:lang w:val="fr-CA"/>
        </w:rPr>
        <w:t xml:space="preserve">d’ici le milieu de </w:t>
      </w:r>
      <w:r w:rsidR="0085675A" w:rsidRPr="00ED22D1">
        <w:rPr>
          <w:lang w:val="fr-CA"/>
        </w:rPr>
        <w:t>201</w:t>
      </w:r>
      <w:r w:rsidR="004A6828" w:rsidRPr="00ED22D1">
        <w:rPr>
          <w:lang w:val="fr-CA"/>
        </w:rPr>
        <w:t>9</w:t>
      </w:r>
      <w:r w:rsidR="004F0823" w:rsidRPr="00ED22D1">
        <w:rPr>
          <w:lang w:val="fr-CA"/>
        </w:rPr>
        <w:t>.</w:t>
      </w:r>
      <w:r w:rsidR="0085675A" w:rsidRPr="00ED22D1">
        <w:rPr>
          <w:lang w:val="fr-CA"/>
        </w:rPr>
        <w:t xml:space="preserve"> </w:t>
      </w:r>
      <w:r w:rsidR="004F0823" w:rsidRPr="00ED22D1">
        <w:rPr>
          <w:lang w:val="fr-CA"/>
        </w:rPr>
        <w:t>Tout en prenant note de cet</w:t>
      </w:r>
      <w:r w:rsidR="0085675A" w:rsidRPr="00ED22D1">
        <w:rPr>
          <w:lang w:val="fr-CA"/>
        </w:rPr>
        <w:t xml:space="preserve"> </w:t>
      </w:r>
      <w:r w:rsidR="004F0823" w:rsidRPr="00ED22D1">
        <w:rPr>
          <w:lang w:val="fr-CA"/>
        </w:rPr>
        <w:t>engagement</w:t>
      </w:r>
      <w:r w:rsidR="0085675A" w:rsidRPr="00ED22D1">
        <w:rPr>
          <w:lang w:val="fr-CA"/>
        </w:rPr>
        <w:t xml:space="preserve"> </w:t>
      </w:r>
      <w:r w:rsidR="00B84F94" w:rsidRPr="00ED22D1">
        <w:rPr>
          <w:lang w:val="fr-CA"/>
        </w:rPr>
        <w:t xml:space="preserve">avec </w:t>
      </w:r>
      <w:r w:rsidR="0085675A" w:rsidRPr="00ED22D1">
        <w:rPr>
          <w:lang w:val="fr-CA"/>
        </w:rPr>
        <w:t>appr</w:t>
      </w:r>
      <w:r w:rsidR="004F0823" w:rsidRPr="00ED22D1">
        <w:rPr>
          <w:lang w:val="fr-CA"/>
        </w:rPr>
        <w:t>é</w:t>
      </w:r>
      <w:r w:rsidR="0085675A" w:rsidRPr="00ED22D1">
        <w:rPr>
          <w:lang w:val="fr-CA"/>
        </w:rPr>
        <w:t>ciation,</w:t>
      </w:r>
      <w:r w:rsidR="00DD185D" w:rsidRPr="00ED22D1">
        <w:rPr>
          <w:lang w:val="fr-CA"/>
        </w:rPr>
        <w:t xml:space="preserve"> le</w:t>
      </w:r>
      <w:r w:rsidR="00084790" w:rsidRPr="00ED22D1">
        <w:rPr>
          <w:lang w:val="fr-CA"/>
        </w:rPr>
        <w:t> </w:t>
      </w:r>
      <w:r w:rsidR="00DD185D" w:rsidRPr="00ED22D1">
        <w:rPr>
          <w:lang w:val="fr-CA"/>
        </w:rPr>
        <w:t>Secrétariat</w:t>
      </w:r>
      <w:r w:rsidR="0085675A" w:rsidRPr="00ED22D1">
        <w:rPr>
          <w:lang w:val="fr-CA"/>
        </w:rPr>
        <w:t xml:space="preserve"> </w:t>
      </w:r>
      <w:r w:rsidR="004F0823" w:rsidRPr="00ED22D1">
        <w:rPr>
          <w:lang w:val="fr-CA"/>
        </w:rPr>
        <w:t xml:space="preserve">a souligné que les ventes représenteraient environ </w:t>
      </w:r>
      <w:r w:rsidR="0085675A" w:rsidRPr="00ED22D1">
        <w:rPr>
          <w:lang w:val="fr-CA"/>
        </w:rPr>
        <w:t xml:space="preserve">3 </w:t>
      </w:r>
      <w:r w:rsidR="001B31BF" w:rsidRPr="00ED22D1">
        <w:rPr>
          <w:lang w:val="fr-CA"/>
        </w:rPr>
        <w:t>pour cent</w:t>
      </w:r>
      <w:r w:rsidR="0085675A" w:rsidRPr="00ED22D1">
        <w:rPr>
          <w:lang w:val="fr-CA"/>
        </w:rPr>
        <w:t xml:space="preserve"> </w:t>
      </w:r>
      <w:r w:rsidR="004F0823" w:rsidRPr="00ED22D1">
        <w:rPr>
          <w:lang w:val="fr-CA"/>
        </w:rPr>
        <w:t xml:space="preserve">de la capacité reconvertie dans le cadre de la </w:t>
      </w:r>
      <w:r w:rsidR="004A6828" w:rsidRPr="00ED22D1">
        <w:rPr>
          <w:lang w:val="fr-CA"/>
        </w:rPr>
        <w:t xml:space="preserve">phase </w:t>
      </w:r>
      <w:r w:rsidR="0085675A" w:rsidRPr="00ED22D1">
        <w:rPr>
          <w:lang w:val="fr-CA"/>
        </w:rPr>
        <w:t>I,</w:t>
      </w:r>
      <w:r w:rsidR="004A6828" w:rsidRPr="00ED22D1">
        <w:rPr>
          <w:lang w:val="fr-CA"/>
        </w:rPr>
        <w:t xml:space="preserve"> et </w:t>
      </w:r>
      <w:r w:rsidR="004F0823" w:rsidRPr="00ED22D1">
        <w:rPr>
          <w:lang w:val="fr-CA"/>
        </w:rPr>
        <w:t xml:space="preserve">une fraction négligeable des ventes de </w:t>
      </w:r>
      <w:r w:rsidR="0085675A" w:rsidRPr="00ED22D1">
        <w:rPr>
          <w:lang w:val="fr-CA"/>
        </w:rPr>
        <w:t xml:space="preserve">R-410A. </w:t>
      </w:r>
    </w:p>
    <w:p w:rsidR="0085675A" w:rsidRPr="00ED22D1" w:rsidRDefault="004F0823" w:rsidP="0085675A">
      <w:pPr>
        <w:pStyle w:val="Heading1"/>
        <w:rPr>
          <w:lang w:val="fr-CA"/>
        </w:rPr>
      </w:pPr>
      <w:r w:rsidRPr="00ED22D1">
        <w:rPr>
          <w:lang w:val="fr-CA"/>
        </w:rPr>
        <w:t>Parmi les défis qui contribuent à la faible production, on note le temps d’installation plus long pour une unité avec</w:t>
      </w:r>
      <w:r w:rsidR="0085675A" w:rsidRPr="00ED22D1">
        <w:rPr>
          <w:lang w:val="fr-CA"/>
        </w:rPr>
        <w:t xml:space="preserve"> R-290; </w:t>
      </w:r>
      <w:r w:rsidRPr="00ED22D1">
        <w:rPr>
          <w:lang w:val="fr-CA"/>
        </w:rPr>
        <w:t>les normes domestiques et internationales</w:t>
      </w:r>
      <w:r w:rsidR="0085675A" w:rsidRPr="00ED22D1">
        <w:rPr>
          <w:lang w:val="fr-CA"/>
        </w:rPr>
        <w:t>;</w:t>
      </w:r>
      <w:r w:rsidR="004A6828" w:rsidRPr="00ED22D1">
        <w:rPr>
          <w:lang w:val="fr-CA"/>
        </w:rPr>
        <w:t xml:space="preserve"> et </w:t>
      </w:r>
      <w:r w:rsidRPr="00ED22D1">
        <w:rPr>
          <w:lang w:val="fr-CA"/>
        </w:rPr>
        <w:t>le coût plus élevé par rapport à</w:t>
      </w:r>
      <w:r w:rsidR="003A499A" w:rsidRPr="00ED22D1">
        <w:rPr>
          <w:lang w:val="fr-CA"/>
        </w:rPr>
        <w:t> </w:t>
      </w:r>
      <w:r w:rsidRPr="00ED22D1">
        <w:rPr>
          <w:lang w:val="fr-CA"/>
        </w:rPr>
        <w:t>d’</w:t>
      </w:r>
      <w:r w:rsidR="00DC23B2" w:rsidRPr="00ED22D1">
        <w:rPr>
          <w:lang w:val="fr-CA"/>
        </w:rPr>
        <w:t>autres</w:t>
      </w:r>
      <w:r w:rsidRPr="00ED22D1">
        <w:rPr>
          <w:lang w:val="fr-CA"/>
        </w:rPr>
        <w:t xml:space="preserve"> produits qui sont déjà fabriqués en série et l’avantage des é</w:t>
      </w:r>
      <w:r w:rsidR="0085675A" w:rsidRPr="00ED22D1">
        <w:rPr>
          <w:lang w:val="fr-CA"/>
        </w:rPr>
        <w:t xml:space="preserve">conomies </w:t>
      </w:r>
      <w:r w:rsidRPr="00ED22D1">
        <w:rPr>
          <w:lang w:val="fr-CA"/>
        </w:rPr>
        <w:t>d’échelle</w:t>
      </w:r>
      <w:r w:rsidR="00C420BC" w:rsidRPr="00ED22D1">
        <w:rPr>
          <w:lang w:val="fr-CA"/>
        </w:rPr>
        <w:t>. L’</w:t>
      </w:r>
      <w:r w:rsidR="001F19C1" w:rsidRPr="00ED22D1">
        <w:rPr>
          <w:lang w:val="fr-CA"/>
        </w:rPr>
        <w:t>ONUDI</w:t>
      </w:r>
      <w:r w:rsidR="0085675A" w:rsidRPr="00ED22D1">
        <w:rPr>
          <w:lang w:val="fr-CA"/>
        </w:rPr>
        <w:t xml:space="preserve"> </w:t>
      </w:r>
      <w:r w:rsidRPr="00ED22D1">
        <w:rPr>
          <w:lang w:val="fr-CA"/>
        </w:rPr>
        <w:t>a</w:t>
      </w:r>
      <w:r w:rsidR="003A499A" w:rsidRPr="00ED22D1">
        <w:rPr>
          <w:lang w:val="fr-CA"/>
        </w:rPr>
        <w:t> </w:t>
      </w:r>
      <w:r w:rsidRPr="00ED22D1">
        <w:rPr>
          <w:lang w:val="fr-CA"/>
        </w:rPr>
        <w:t xml:space="preserve">souligné que le temps d’installation plus long que pour les équipements avec </w:t>
      </w:r>
      <w:r w:rsidR="0085675A" w:rsidRPr="00ED22D1">
        <w:rPr>
          <w:lang w:val="fr-CA"/>
        </w:rPr>
        <w:t>HCFC-22</w:t>
      </w:r>
      <w:r w:rsidR="004A6828" w:rsidRPr="00ED22D1">
        <w:rPr>
          <w:lang w:val="fr-CA"/>
        </w:rPr>
        <w:t xml:space="preserve"> et </w:t>
      </w:r>
      <w:r w:rsidR="0085675A" w:rsidRPr="00ED22D1">
        <w:rPr>
          <w:lang w:val="fr-CA"/>
        </w:rPr>
        <w:t>R</w:t>
      </w:r>
      <w:r w:rsidR="0085675A" w:rsidRPr="00ED22D1">
        <w:rPr>
          <w:vertAlign w:val="superscript"/>
          <w:lang w:val="fr-CA"/>
        </w:rPr>
        <w:t>_</w:t>
      </w:r>
      <w:r w:rsidR="0085675A" w:rsidRPr="00ED22D1">
        <w:rPr>
          <w:lang w:val="fr-CA"/>
        </w:rPr>
        <w:t>410A</w:t>
      </w:r>
      <w:r w:rsidRPr="00ED22D1">
        <w:rPr>
          <w:lang w:val="fr-CA"/>
        </w:rPr>
        <w:t xml:space="preserve"> était attribuable à la nécessité de prendre des précautions de sécurité supplémentaires</w:t>
      </w:r>
      <w:r w:rsidR="0085675A" w:rsidRPr="00ED22D1">
        <w:rPr>
          <w:lang w:val="fr-CA"/>
        </w:rPr>
        <w:t xml:space="preserve">. </w:t>
      </w:r>
      <w:r w:rsidRPr="00ED22D1">
        <w:rPr>
          <w:lang w:val="fr-CA"/>
        </w:rPr>
        <w:t xml:space="preserve">Du point de vue </w:t>
      </w:r>
      <w:r w:rsidRPr="00ED22D1">
        <w:rPr>
          <w:lang w:val="fr-CA"/>
        </w:rPr>
        <w:lastRenderedPageBreak/>
        <w:t xml:space="preserve">technique, le Secrétariat se demandait pourquoi l’installation d’équipements avec </w:t>
      </w:r>
      <w:r w:rsidR="0085675A" w:rsidRPr="00ED22D1">
        <w:rPr>
          <w:lang w:val="fr-CA"/>
        </w:rPr>
        <w:t>R</w:t>
      </w:r>
      <w:r w:rsidR="0085675A" w:rsidRPr="00ED22D1">
        <w:rPr>
          <w:lang w:val="fr-CA"/>
        </w:rPr>
        <w:noBreakHyphen/>
        <w:t xml:space="preserve">290 AC </w:t>
      </w:r>
      <w:r w:rsidRPr="00ED22D1">
        <w:rPr>
          <w:lang w:val="fr-CA"/>
        </w:rPr>
        <w:t xml:space="preserve">prenait plus de temps, étant donné que les </w:t>
      </w:r>
      <w:r w:rsidR="00921BDE" w:rsidRPr="00ED22D1">
        <w:rPr>
          <w:lang w:val="fr-CA"/>
        </w:rPr>
        <w:t>équipements</w:t>
      </w:r>
      <w:r w:rsidR="0085675A" w:rsidRPr="00ED22D1">
        <w:rPr>
          <w:lang w:val="fr-CA"/>
        </w:rPr>
        <w:t xml:space="preserve"> </w:t>
      </w:r>
      <w:r w:rsidRPr="00ED22D1">
        <w:rPr>
          <w:lang w:val="fr-CA"/>
        </w:rPr>
        <w:t xml:space="preserve">étaient expédiés avec une charge de </w:t>
      </w:r>
      <w:r w:rsidR="002F6D48" w:rsidRPr="00ED22D1">
        <w:rPr>
          <w:lang w:val="fr-CA"/>
        </w:rPr>
        <w:t>frigorigène</w:t>
      </w:r>
      <w:r w:rsidR="0085675A" w:rsidRPr="00ED22D1">
        <w:rPr>
          <w:lang w:val="fr-CA"/>
        </w:rPr>
        <w:t xml:space="preserve"> </w:t>
      </w:r>
      <w:r w:rsidRPr="00ED22D1">
        <w:rPr>
          <w:lang w:val="fr-CA"/>
        </w:rPr>
        <w:t>déjà contenue dans l’unit</w:t>
      </w:r>
      <w:r w:rsidR="003A499A" w:rsidRPr="00ED22D1">
        <w:rPr>
          <w:lang w:val="fr-CA"/>
        </w:rPr>
        <w:t>é</w:t>
      </w:r>
      <w:r w:rsidRPr="00ED22D1">
        <w:rPr>
          <w:lang w:val="fr-CA"/>
        </w:rPr>
        <w:t xml:space="preserve"> extérieure</w:t>
      </w:r>
      <w:r w:rsidR="0085675A" w:rsidRPr="00ED22D1">
        <w:rPr>
          <w:lang w:val="fr-CA"/>
        </w:rPr>
        <w:t>,</w:t>
      </w:r>
      <w:r w:rsidR="004A6828" w:rsidRPr="00ED22D1">
        <w:rPr>
          <w:lang w:val="fr-CA"/>
        </w:rPr>
        <w:t xml:space="preserve"> et </w:t>
      </w:r>
      <w:r w:rsidRPr="00ED22D1">
        <w:rPr>
          <w:lang w:val="fr-CA"/>
        </w:rPr>
        <w:t>que le raccord aux unités intérieures et extérieures</w:t>
      </w:r>
      <w:r w:rsidR="0085675A" w:rsidRPr="00ED22D1">
        <w:rPr>
          <w:lang w:val="fr-CA"/>
        </w:rPr>
        <w:t xml:space="preserve"> </w:t>
      </w:r>
      <w:r w:rsidRPr="00ED22D1">
        <w:rPr>
          <w:lang w:val="fr-CA"/>
        </w:rPr>
        <w:t>s’effectuait sans soudure</w:t>
      </w:r>
      <w:r w:rsidR="0085675A" w:rsidRPr="00ED22D1">
        <w:rPr>
          <w:lang w:val="fr-CA"/>
        </w:rPr>
        <w:t xml:space="preserve">. </w:t>
      </w:r>
      <w:r w:rsidRPr="00ED22D1">
        <w:rPr>
          <w:lang w:val="fr-CA"/>
        </w:rPr>
        <w:t>En</w:t>
      </w:r>
      <w:r w:rsidR="003A499A" w:rsidRPr="00ED22D1">
        <w:rPr>
          <w:lang w:val="fr-CA"/>
        </w:rPr>
        <w:t> </w:t>
      </w:r>
      <w:r w:rsidRPr="00ED22D1">
        <w:rPr>
          <w:lang w:val="fr-CA"/>
        </w:rPr>
        <w:t xml:space="preserve">outre, l’accroissement des normes d’installation des équipements avec </w:t>
      </w:r>
      <w:r w:rsidR="0085675A" w:rsidRPr="00ED22D1">
        <w:rPr>
          <w:lang w:val="fr-CA"/>
        </w:rPr>
        <w:t>HCFC</w:t>
      </w:r>
      <w:r w:rsidR="0085675A" w:rsidRPr="00ED22D1">
        <w:rPr>
          <w:lang w:val="fr-CA"/>
        </w:rPr>
        <w:noBreakHyphen/>
        <w:t>22</w:t>
      </w:r>
      <w:r w:rsidRPr="00ED22D1">
        <w:rPr>
          <w:lang w:val="fr-CA"/>
        </w:rPr>
        <w:t xml:space="preserve"> et</w:t>
      </w:r>
      <w:r w:rsidR="0085675A" w:rsidRPr="00ED22D1">
        <w:rPr>
          <w:lang w:val="fr-CA"/>
        </w:rPr>
        <w:t xml:space="preserve"> R-410A </w:t>
      </w:r>
      <w:r w:rsidR="003A499A" w:rsidRPr="00ED22D1">
        <w:rPr>
          <w:lang w:val="fr-CA"/>
        </w:rPr>
        <w:t xml:space="preserve">afin qu’elle soit </w:t>
      </w:r>
      <w:r w:rsidRPr="00ED22D1">
        <w:rPr>
          <w:lang w:val="fr-CA"/>
        </w:rPr>
        <w:t xml:space="preserve">plus compatible avec celle des équipements avec </w:t>
      </w:r>
      <w:r w:rsidR="0085675A" w:rsidRPr="00ED22D1">
        <w:rPr>
          <w:lang w:val="fr-CA"/>
        </w:rPr>
        <w:t>R</w:t>
      </w:r>
      <w:r w:rsidR="0085675A" w:rsidRPr="00ED22D1">
        <w:rPr>
          <w:lang w:val="fr-CA"/>
        </w:rPr>
        <w:noBreakHyphen/>
        <w:t>290 (</w:t>
      </w:r>
      <w:r w:rsidRPr="00ED22D1">
        <w:rPr>
          <w:lang w:val="fr-CA"/>
        </w:rPr>
        <w:t>par ex., é</w:t>
      </w:r>
      <w:r w:rsidR="0085675A" w:rsidRPr="00ED22D1">
        <w:rPr>
          <w:lang w:val="fr-CA"/>
        </w:rPr>
        <w:t xml:space="preserve">vacuation </w:t>
      </w:r>
      <w:r w:rsidRPr="00ED22D1">
        <w:rPr>
          <w:lang w:val="fr-CA"/>
        </w:rPr>
        <w:t>de l’unité intérieure</w:t>
      </w:r>
      <w:r w:rsidR="0085675A" w:rsidRPr="00ED22D1">
        <w:rPr>
          <w:lang w:val="fr-CA"/>
        </w:rPr>
        <w:t xml:space="preserve">) </w:t>
      </w:r>
      <w:r w:rsidRPr="00ED22D1">
        <w:rPr>
          <w:lang w:val="fr-CA"/>
        </w:rPr>
        <w:t>améliorerait le rendement et l’efficacité énergétique des</w:t>
      </w:r>
      <w:r w:rsidR="0085675A" w:rsidRPr="00ED22D1">
        <w:rPr>
          <w:lang w:val="fr-CA"/>
        </w:rPr>
        <w:t xml:space="preserve"> </w:t>
      </w:r>
      <w:r w:rsidR="00921BDE" w:rsidRPr="00ED22D1">
        <w:rPr>
          <w:lang w:val="fr-CA"/>
        </w:rPr>
        <w:t>équipements</w:t>
      </w:r>
      <w:r w:rsidR="0085675A" w:rsidRPr="00ED22D1">
        <w:rPr>
          <w:lang w:val="fr-CA"/>
        </w:rPr>
        <w:t xml:space="preserve">. </w:t>
      </w:r>
    </w:p>
    <w:p w:rsidR="0085675A" w:rsidRPr="00ED22D1" w:rsidRDefault="000D62EF" w:rsidP="0085675A">
      <w:pPr>
        <w:keepNext/>
        <w:keepLines/>
        <w:rPr>
          <w:u w:val="single"/>
          <w:lang w:val="fr-CA"/>
        </w:rPr>
      </w:pPr>
      <w:r w:rsidRPr="00ED22D1">
        <w:rPr>
          <w:u w:val="single"/>
          <w:lang w:val="fr-CA"/>
        </w:rPr>
        <w:t>Modifications du</w:t>
      </w:r>
      <w:r w:rsidR="002F6D48" w:rsidRPr="00ED22D1">
        <w:rPr>
          <w:u w:val="single"/>
          <w:lang w:val="fr-CA"/>
        </w:rPr>
        <w:t xml:space="preserve"> </w:t>
      </w:r>
      <w:r w:rsidR="004F0823" w:rsidRPr="00ED22D1">
        <w:rPr>
          <w:u w:val="single"/>
          <w:lang w:val="fr-CA"/>
        </w:rPr>
        <w:t>plan d’intéressement</w:t>
      </w:r>
      <w:r w:rsidRPr="00ED22D1">
        <w:rPr>
          <w:u w:val="single"/>
          <w:lang w:val="fr-CA"/>
        </w:rPr>
        <w:t xml:space="preserve"> des surcoûts d’exploitation</w:t>
      </w:r>
    </w:p>
    <w:p w:rsidR="0085675A" w:rsidRPr="00ED22D1" w:rsidRDefault="0085675A" w:rsidP="0085675A">
      <w:pPr>
        <w:keepNext/>
        <w:keepLines/>
        <w:rPr>
          <w:lang w:val="fr-CA"/>
        </w:rPr>
      </w:pPr>
    </w:p>
    <w:p w:rsidR="0085675A" w:rsidRPr="00ED22D1" w:rsidRDefault="000D62EF" w:rsidP="0085675A">
      <w:pPr>
        <w:pStyle w:val="Heading1"/>
        <w:keepNext/>
        <w:keepLines/>
        <w:rPr>
          <w:lang w:val="fr-CA"/>
        </w:rPr>
      </w:pPr>
      <w:r w:rsidRPr="00ED22D1">
        <w:rPr>
          <w:lang w:val="fr-CA"/>
        </w:rPr>
        <w:t xml:space="preserve">Bien que les efforts continus du gouvernement et de tous les intéressés de la </w:t>
      </w:r>
      <w:r w:rsidR="004A6828" w:rsidRPr="00ED22D1">
        <w:rPr>
          <w:lang w:val="fr-CA"/>
        </w:rPr>
        <w:t xml:space="preserve">phase </w:t>
      </w:r>
      <w:r w:rsidR="0085675A" w:rsidRPr="00ED22D1">
        <w:rPr>
          <w:lang w:val="fr-CA"/>
        </w:rPr>
        <w:t>I</w:t>
      </w:r>
      <w:r w:rsidR="004A6828" w:rsidRPr="00ED22D1">
        <w:rPr>
          <w:lang w:val="fr-CA"/>
        </w:rPr>
        <w:t xml:space="preserve"> et </w:t>
      </w:r>
      <w:r w:rsidRPr="00ED22D1">
        <w:rPr>
          <w:lang w:val="fr-CA"/>
        </w:rPr>
        <w:t xml:space="preserve">de la </w:t>
      </w:r>
      <w:r w:rsidR="004A6828" w:rsidRPr="00ED22D1">
        <w:rPr>
          <w:lang w:val="fr-CA"/>
        </w:rPr>
        <w:t>phase</w:t>
      </w:r>
      <w:r w:rsidRPr="00ED22D1">
        <w:rPr>
          <w:lang w:val="fr-CA"/>
        </w:rPr>
        <w:t> </w:t>
      </w:r>
      <w:r w:rsidR="0085675A" w:rsidRPr="00ED22D1">
        <w:rPr>
          <w:lang w:val="fr-CA"/>
        </w:rPr>
        <w:t xml:space="preserve">II </w:t>
      </w:r>
      <w:r w:rsidRPr="00ED22D1">
        <w:rPr>
          <w:lang w:val="fr-CA"/>
        </w:rPr>
        <w:t>d</w:t>
      </w:r>
      <w:r w:rsidR="00055A09" w:rsidRPr="00ED22D1">
        <w:rPr>
          <w:lang w:val="fr-CA"/>
        </w:rPr>
        <w:t>oivent</w:t>
      </w:r>
      <w:r w:rsidRPr="00ED22D1">
        <w:rPr>
          <w:lang w:val="fr-CA"/>
        </w:rPr>
        <w:t xml:space="preserve"> accélérer l’acceptation </w:t>
      </w:r>
      <w:r w:rsidR="003A499A" w:rsidRPr="00ED22D1">
        <w:rPr>
          <w:lang w:val="fr-CA"/>
        </w:rPr>
        <w:t xml:space="preserve">par le marché </w:t>
      </w:r>
      <w:r w:rsidRPr="00ED22D1">
        <w:rPr>
          <w:lang w:val="fr-CA"/>
        </w:rPr>
        <w:t>des équipements avec R-290</w:t>
      </w:r>
      <w:r w:rsidR="0085675A" w:rsidRPr="00ED22D1">
        <w:rPr>
          <w:lang w:val="fr-CA"/>
        </w:rPr>
        <w:t>,</w:t>
      </w:r>
      <w:r w:rsidRPr="00ED22D1">
        <w:rPr>
          <w:lang w:val="fr-CA"/>
        </w:rPr>
        <w:t xml:space="preserve"> le reste des</w:t>
      </w:r>
      <w:r w:rsidR="00AE1617" w:rsidRPr="00ED22D1">
        <w:rPr>
          <w:lang w:val="fr-CA"/>
        </w:rPr>
        <w:t xml:space="preserve"> surcoûts d’investissement</w:t>
      </w:r>
      <w:r w:rsidR="0085675A" w:rsidRPr="00ED22D1">
        <w:rPr>
          <w:lang w:val="fr-CA"/>
        </w:rPr>
        <w:t xml:space="preserve"> (</w:t>
      </w:r>
      <w:r w:rsidRPr="00ED22D1">
        <w:rPr>
          <w:lang w:val="fr-CA"/>
        </w:rPr>
        <w:t xml:space="preserve">soit </w:t>
      </w:r>
      <w:r w:rsidR="0085675A" w:rsidRPr="00ED22D1">
        <w:rPr>
          <w:lang w:val="fr-CA"/>
        </w:rPr>
        <w:t>1</w:t>
      </w:r>
      <w:r w:rsidR="004A6828" w:rsidRPr="00ED22D1">
        <w:rPr>
          <w:lang w:val="fr-CA"/>
        </w:rPr>
        <w:t>8 </w:t>
      </w:r>
      <w:r w:rsidR="0085675A" w:rsidRPr="00ED22D1">
        <w:rPr>
          <w:lang w:val="fr-CA"/>
        </w:rPr>
        <w:t>44</w:t>
      </w:r>
      <w:r w:rsidR="004A6828" w:rsidRPr="00ED22D1">
        <w:rPr>
          <w:lang w:val="fr-CA"/>
        </w:rPr>
        <w:t>8 </w:t>
      </w:r>
      <w:r w:rsidR="0085675A" w:rsidRPr="00ED22D1">
        <w:rPr>
          <w:lang w:val="fr-CA"/>
        </w:rPr>
        <w:t>564</w:t>
      </w:r>
      <w:r w:rsidR="00EC100C" w:rsidRPr="00ED22D1">
        <w:rPr>
          <w:lang w:val="fr-CA"/>
        </w:rPr>
        <w:t> $US</w:t>
      </w:r>
      <w:r w:rsidR="0085675A" w:rsidRPr="00ED22D1">
        <w:rPr>
          <w:lang w:val="fr-CA"/>
        </w:rPr>
        <w:t xml:space="preserve">) </w:t>
      </w:r>
      <w:r w:rsidRPr="00ED22D1">
        <w:rPr>
          <w:lang w:val="fr-CA"/>
        </w:rPr>
        <w:t xml:space="preserve">ne serait pas </w:t>
      </w:r>
      <w:r w:rsidR="003A499A" w:rsidRPr="00ED22D1">
        <w:rPr>
          <w:lang w:val="fr-CA"/>
        </w:rPr>
        <w:t>versé</w:t>
      </w:r>
      <w:r w:rsidRPr="00ED22D1">
        <w:rPr>
          <w:lang w:val="fr-CA"/>
        </w:rPr>
        <w:t xml:space="preserve"> aux </w:t>
      </w:r>
      <w:r w:rsidR="00921BDE" w:rsidRPr="00ED22D1">
        <w:rPr>
          <w:lang w:val="fr-CA"/>
        </w:rPr>
        <w:t>entreprise</w:t>
      </w:r>
      <w:r w:rsidR="0085675A" w:rsidRPr="00ED22D1">
        <w:rPr>
          <w:lang w:val="fr-CA"/>
        </w:rPr>
        <w:t xml:space="preserve">s </w:t>
      </w:r>
      <w:r w:rsidRPr="00ED22D1">
        <w:rPr>
          <w:lang w:val="fr-CA"/>
        </w:rPr>
        <w:t xml:space="preserve">avant que la vente des équipements avec </w:t>
      </w:r>
      <w:r w:rsidR="0085675A" w:rsidRPr="00ED22D1">
        <w:rPr>
          <w:lang w:val="fr-CA"/>
        </w:rPr>
        <w:t>R-290</w:t>
      </w:r>
      <w:r w:rsidRPr="00ED22D1">
        <w:rPr>
          <w:lang w:val="fr-CA"/>
        </w:rPr>
        <w:t xml:space="preserve"> n’ait été réalisée</w:t>
      </w:r>
      <w:r w:rsidR="0085675A" w:rsidRPr="00ED22D1">
        <w:rPr>
          <w:lang w:val="fr-CA"/>
        </w:rPr>
        <w:t xml:space="preserve">. </w:t>
      </w:r>
      <w:r w:rsidRPr="00ED22D1">
        <w:rPr>
          <w:lang w:val="fr-CA"/>
        </w:rPr>
        <w:t xml:space="preserve">Étant donné la </w:t>
      </w:r>
      <w:r w:rsidR="0085675A" w:rsidRPr="00ED22D1">
        <w:rPr>
          <w:lang w:val="fr-CA"/>
        </w:rPr>
        <w:t xml:space="preserve">situation, </w:t>
      </w:r>
      <w:r w:rsidR="00921BDE" w:rsidRPr="00ED22D1">
        <w:rPr>
          <w:lang w:val="fr-CA"/>
        </w:rPr>
        <w:t>le gouvernement</w:t>
      </w:r>
      <w:r w:rsidR="001F19C1" w:rsidRPr="00ED22D1">
        <w:rPr>
          <w:lang w:val="fr-CA"/>
        </w:rPr>
        <w:t xml:space="preserve"> </w:t>
      </w:r>
      <w:r w:rsidR="00181884" w:rsidRPr="00ED22D1">
        <w:rPr>
          <w:lang w:val="fr-CA"/>
        </w:rPr>
        <w:t>de la Chine</w:t>
      </w:r>
      <w:r w:rsidR="0085675A" w:rsidRPr="00ED22D1">
        <w:rPr>
          <w:lang w:val="fr-CA"/>
        </w:rPr>
        <w:t xml:space="preserve"> </w:t>
      </w:r>
      <w:r w:rsidRPr="00ED22D1">
        <w:rPr>
          <w:lang w:val="fr-CA"/>
        </w:rPr>
        <w:t xml:space="preserve">avait proposé à la </w:t>
      </w:r>
      <w:r w:rsidR="0085675A" w:rsidRPr="00ED22D1">
        <w:rPr>
          <w:b/>
          <w:lang w:val="fr-CA"/>
        </w:rPr>
        <w:t>82</w:t>
      </w:r>
      <w:r w:rsidRPr="00ED22D1">
        <w:rPr>
          <w:b/>
          <w:vertAlign w:val="superscript"/>
          <w:lang w:val="fr-CA"/>
        </w:rPr>
        <w:t>e</w:t>
      </w:r>
      <w:r w:rsidRPr="00ED22D1">
        <w:rPr>
          <w:b/>
          <w:lang w:val="fr-CA"/>
        </w:rPr>
        <w:t xml:space="preserve"> réunion</w:t>
      </w:r>
      <w:r w:rsidR="0085675A" w:rsidRPr="00ED22D1">
        <w:rPr>
          <w:lang w:val="fr-CA"/>
        </w:rPr>
        <w:t xml:space="preserve"> </w:t>
      </w:r>
      <w:r w:rsidRPr="00ED22D1">
        <w:rPr>
          <w:lang w:val="fr-CA"/>
        </w:rPr>
        <w:t xml:space="preserve">les modifications suivantes au plan d’intéressement des </w:t>
      </w:r>
      <w:r w:rsidR="002F6D48" w:rsidRPr="00ED22D1">
        <w:rPr>
          <w:lang w:val="fr-CA"/>
        </w:rPr>
        <w:t>surcoûts d’exploitation</w:t>
      </w:r>
      <w:r w:rsidRPr="00ED22D1">
        <w:rPr>
          <w:lang w:val="fr-CA"/>
        </w:rPr>
        <w:t xml:space="preserve"> (IOC)</w:t>
      </w:r>
      <w:r w:rsidR="00791BF7" w:rsidRPr="00ED22D1">
        <w:rPr>
          <w:lang w:val="fr-CA"/>
        </w:rPr>
        <w:t> :</w:t>
      </w:r>
    </w:p>
    <w:p w:rsidR="0085675A" w:rsidRPr="00ED22D1" w:rsidRDefault="000D62EF" w:rsidP="0085675A">
      <w:pPr>
        <w:pStyle w:val="Heading2"/>
        <w:rPr>
          <w:lang w:val="fr-CA"/>
        </w:rPr>
      </w:pPr>
      <w:r w:rsidRPr="00ED22D1">
        <w:rPr>
          <w:lang w:val="fr-CA"/>
        </w:rPr>
        <w:t xml:space="preserve">Les </w:t>
      </w:r>
      <w:r w:rsidR="0085675A" w:rsidRPr="00ED22D1">
        <w:rPr>
          <w:lang w:val="fr-CA"/>
        </w:rPr>
        <w:t xml:space="preserve">IOC </w:t>
      </w:r>
      <w:r w:rsidRPr="00ED22D1">
        <w:rPr>
          <w:lang w:val="fr-CA"/>
        </w:rPr>
        <w:t xml:space="preserve">seront fournis seulement pour </w:t>
      </w:r>
      <w:r w:rsidR="006E1CB9" w:rsidRPr="00ED22D1">
        <w:rPr>
          <w:lang w:val="fr-CA"/>
        </w:rPr>
        <w:t>les conditionneurs d’air à deux bloc</w:t>
      </w:r>
      <w:r w:rsidR="00986C95" w:rsidRPr="00ED22D1">
        <w:rPr>
          <w:lang w:val="fr-CA"/>
        </w:rPr>
        <w:t>s</w:t>
      </w:r>
      <w:r w:rsidR="006E1CB9" w:rsidRPr="00ED22D1">
        <w:rPr>
          <w:lang w:val="fr-CA"/>
        </w:rPr>
        <w:t xml:space="preserve"> </w:t>
      </w:r>
      <w:r w:rsidRPr="00ED22D1">
        <w:rPr>
          <w:lang w:val="fr-CA"/>
        </w:rPr>
        <w:t>à mesure que ces derni</w:t>
      </w:r>
      <w:r w:rsidR="003A499A" w:rsidRPr="00ED22D1">
        <w:rPr>
          <w:lang w:val="fr-CA"/>
        </w:rPr>
        <w:t>ers</w:t>
      </w:r>
      <w:r w:rsidRPr="00ED22D1">
        <w:rPr>
          <w:lang w:val="fr-CA"/>
        </w:rPr>
        <w:t xml:space="preserve"> requièrent une plus grande </w:t>
      </w:r>
      <w:r w:rsidR="0085675A" w:rsidRPr="00ED22D1">
        <w:rPr>
          <w:lang w:val="fr-CA"/>
        </w:rPr>
        <w:t xml:space="preserve">promotion; </w:t>
      </w:r>
      <w:r w:rsidR="006E1CB9" w:rsidRPr="00ED22D1">
        <w:rPr>
          <w:lang w:val="fr-CA"/>
        </w:rPr>
        <w:t>les unités scellées en usine</w:t>
      </w:r>
      <w:r w:rsidR="0085675A" w:rsidRPr="00ED22D1">
        <w:rPr>
          <w:lang w:val="fr-CA"/>
        </w:rPr>
        <w:t xml:space="preserve"> (</w:t>
      </w:r>
      <w:r w:rsidR="006E1CB9" w:rsidRPr="00ED22D1">
        <w:rPr>
          <w:lang w:val="fr-CA"/>
        </w:rPr>
        <w:t>par</w:t>
      </w:r>
      <w:r w:rsidR="003A499A" w:rsidRPr="00ED22D1">
        <w:rPr>
          <w:lang w:val="fr-CA"/>
        </w:rPr>
        <w:t> </w:t>
      </w:r>
      <w:r w:rsidR="006E1CB9" w:rsidRPr="00ED22D1">
        <w:rPr>
          <w:lang w:val="fr-CA"/>
        </w:rPr>
        <w:t>ex., déshumidificateurs, appareils de conditionnement d’air portables</w:t>
      </w:r>
      <w:r w:rsidR="0085675A" w:rsidRPr="00ED22D1">
        <w:rPr>
          <w:lang w:val="fr-CA"/>
        </w:rPr>
        <w:t>)</w:t>
      </w:r>
      <w:r w:rsidR="006E1CB9" w:rsidRPr="00ED22D1">
        <w:rPr>
          <w:lang w:val="fr-CA"/>
        </w:rPr>
        <w:t xml:space="preserve"> sont déjà acceptés par le marché et ne seront </w:t>
      </w:r>
      <w:r w:rsidR="00DC23B2" w:rsidRPr="00ED22D1">
        <w:rPr>
          <w:lang w:val="fr-CA"/>
        </w:rPr>
        <w:t>plus</w:t>
      </w:r>
      <w:r w:rsidR="006E1CB9" w:rsidRPr="00ED22D1">
        <w:rPr>
          <w:lang w:val="fr-CA"/>
        </w:rPr>
        <w:t xml:space="preserve"> compensées par des </w:t>
      </w:r>
      <w:r w:rsidR="00AE1617" w:rsidRPr="00ED22D1">
        <w:rPr>
          <w:lang w:val="fr-CA"/>
        </w:rPr>
        <w:t>surcoûts d’investissement</w:t>
      </w:r>
      <w:r w:rsidR="0085675A" w:rsidRPr="00ED22D1">
        <w:rPr>
          <w:lang w:val="fr-CA"/>
        </w:rPr>
        <w:t xml:space="preserve">; </w:t>
      </w:r>
    </w:p>
    <w:p w:rsidR="0085675A" w:rsidRPr="00ED22D1" w:rsidRDefault="006E1CB9" w:rsidP="0085675A">
      <w:pPr>
        <w:pStyle w:val="Heading2"/>
        <w:rPr>
          <w:lang w:val="fr-CA"/>
        </w:rPr>
      </w:pPr>
      <w:r w:rsidRPr="00ED22D1">
        <w:rPr>
          <w:lang w:val="fr-CA"/>
        </w:rPr>
        <w:t xml:space="preserve">Les </w:t>
      </w:r>
      <w:r w:rsidR="0085675A" w:rsidRPr="00ED22D1">
        <w:rPr>
          <w:lang w:val="fr-CA"/>
        </w:rPr>
        <w:t>IOC</w:t>
      </w:r>
      <w:r w:rsidRPr="00ED22D1">
        <w:rPr>
          <w:lang w:val="fr-CA"/>
        </w:rPr>
        <w:t xml:space="preserve"> d’un bénéficiaire en particulier ne seront pas </w:t>
      </w:r>
      <w:r w:rsidR="00986C95" w:rsidRPr="00ED22D1">
        <w:rPr>
          <w:lang w:val="fr-CA"/>
        </w:rPr>
        <w:t xml:space="preserve">limités à un bénéficiaire en particulier, et ils seront payés selon le montant des ventes </w:t>
      </w:r>
      <w:r w:rsidR="0085675A" w:rsidRPr="00ED22D1">
        <w:rPr>
          <w:lang w:val="fr-CA"/>
        </w:rPr>
        <w:t>(</w:t>
      </w:r>
      <w:r w:rsidR="00986C95" w:rsidRPr="00ED22D1">
        <w:rPr>
          <w:lang w:val="fr-CA"/>
        </w:rPr>
        <w:t xml:space="preserve">soit, une </w:t>
      </w:r>
      <w:r w:rsidR="00921BDE" w:rsidRPr="00ED22D1">
        <w:rPr>
          <w:lang w:val="fr-CA"/>
        </w:rPr>
        <w:t>entreprise</w:t>
      </w:r>
      <w:r w:rsidR="0085675A" w:rsidRPr="00ED22D1">
        <w:rPr>
          <w:lang w:val="fr-CA"/>
        </w:rPr>
        <w:t xml:space="preserve"> </w:t>
      </w:r>
      <w:r w:rsidR="00986C95" w:rsidRPr="00ED22D1">
        <w:rPr>
          <w:lang w:val="fr-CA"/>
        </w:rPr>
        <w:t xml:space="preserve">qui vend des unités de climatisation à deux blocs avec </w:t>
      </w:r>
      <w:r w:rsidR="0085675A" w:rsidRPr="00ED22D1">
        <w:rPr>
          <w:lang w:val="fr-CA"/>
        </w:rPr>
        <w:t xml:space="preserve">R-290 </w:t>
      </w:r>
      <w:r w:rsidR="00986C95" w:rsidRPr="00ED22D1">
        <w:rPr>
          <w:lang w:val="fr-CA"/>
        </w:rPr>
        <w:t>plus rapidement</w:t>
      </w:r>
      <w:r w:rsidR="003A499A" w:rsidRPr="00ED22D1">
        <w:rPr>
          <w:lang w:val="fr-CA"/>
        </w:rPr>
        <w:t xml:space="preserve"> </w:t>
      </w:r>
      <w:r w:rsidR="00986C95" w:rsidRPr="00ED22D1">
        <w:rPr>
          <w:lang w:val="fr-CA"/>
        </w:rPr>
        <w:t>recevra davantage de IOC</w:t>
      </w:r>
      <w:r w:rsidR="0085675A" w:rsidRPr="00ED22D1">
        <w:rPr>
          <w:lang w:val="fr-CA"/>
        </w:rPr>
        <w:t>)</w:t>
      </w:r>
      <w:r w:rsidR="00B84F94" w:rsidRPr="00ED22D1">
        <w:rPr>
          <w:lang w:val="fr-CA"/>
        </w:rPr>
        <w:t xml:space="preserve">; et </w:t>
      </w:r>
    </w:p>
    <w:p w:rsidR="0085675A" w:rsidRPr="00ED22D1" w:rsidRDefault="00986C95" w:rsidP="0085675A">
      <w:pPr>
        <w:pStyle w:val="Heading2"/>
        <w:keepNext/>
        <w:keepLines/>
        <w:rPr>
          <w:lang w:val="fr-CA"/>
        </w:rPr>
      </w:pPr>
      <w:r w:rsidRPr="00ED22D1">
        <w:rPr>
          <w:lang w:val="fr-CA"/>
        </w:rPr>
        <w:t xml:space="preserve">Les </w:t>
      </w:r>
      <w:r w:rsidR="0085675A" w:rsidRPr="00ED22D1">
        <w:rPr>
          <w:lang w:val="fr-CA"/>
        </w:rPr>
        <w:t>IOC</w:t>
      </w:r>
      <w:r w:rsidRPr="00ED22D1">
        <w:rPr>
          <w:lang w:val="fr-CA"/>
        </w:rPr>
        <w:t xml:space="preserve"> seront payés en accord avec les ventes d’unités de climatisation à deux blocs avec </w:t>
      </w:r>
      <w:r w:rsidR="0085675A" w:rsidRPr="00ED22D1">
        <w:rPr>
          <w:lang w:val="fr-CA"/>
        </w:rPr>
        <w:t xml:space="preserve">R-290 </w:t>
      </w:r>
      <w:r w:rsidR="004A6828" w:rsidRPr="00ED22D1">
        <w:rPr>
          <w:lang w:val="fr-CA"/>
        </w:rPr>
        <w:t xml:space="preserve">et </w:t>
      </w:r>
      <w:r w:rsidRPr="00ED22D1">
        <w:rPr>
          <w:lang w:val="fr-CA"/>
        </w:rPr>
        <w:t>selon l’</w:t>
      </w:r>
      <w:r w:rsidR="00DC23B2" w:rsidRPr="00ED22D1">
        <w:rPr>
          <w:lang w:val="fr-CA"/>
        </w:rPr>
        <w:t>efficacité</w:t>
      </w:r>
      <w:r w:rsidRPr="00ED22D1">
        <w:rPr>
          <w:lang w:val="fr-CA"/>
        </w:rPr>
        <w:t xml:space="preserve"> énergétique des </w:t>
      </w:r>
      <w:r w:rsidR="00921BDE" w:rsidRPr="00ED22D1">
        <w:rPr>
          <w:lang w:val="fr-CA"/>
        </w:rPr>
        <w:t>équipements</w:t>
      </w:r>
      <w:r w:rsidRPr="00ED22D1">
        <w:rPr>
          <w:lang w:val="fr-CA"/>
        </w:rPr>
        <w:t xml:space="preserve"> (T</w:t>
      </w:r>
      <w:r w:rsidR="00CE7FEC" w:rsidRPr="00ED22D1">
        <w:rPr>
          <w:lang w:val="fr-CA"/>
        </w:rPr>
        <w:t xml:space="preserve">ableau </w:t>
      </w:r>
      <w:r w:rsidR="004A6828" w:rsidRPr="00ED22D1">
        <w:rPr>
          <w:lang w:val="fr-CA"/>
        </w:rPr>
        <w:t>5</w:t>
      </w:r>
      <w:r w:rsidRPr="00ED22D1">
        <w:rPr>
          <w:lang w:val="fr-CA"/>
        </w:rPr>
        <w:t>).</w:t>
      </w:r>
    </w:p>
    <w:p w:rsidR="0085675A" w:rsidRPr="00ED22D1" w:rsidRDefault="00CE7FEC" w:rsidP="003A79A0">
      <w:pPr>
        <w:keepNext/>
        <w:keepLines/>
        <w:ind w:left="567" w:firstLine="709"/>
        <w:rPr>
          <w:b/>
          <w:lang w:val="fr-CA"/>
        </w:rPr>
      </w:pPr>
      <w:r w:rsidRPr="00ED22D1">
        <w:rPr>
          <w:b/>
          <w:lang w:val="fr-CA"/>
        </w:rPr>
        <w:t xml:space="preserve">Tableau </w:t>
      </w:r>
      <w:r w:rsidR="004A6828" w:rsidRPr="00ED22D1">
        <w:rPr>
          <w:b/>
          <w:lang w:val="fr-CA"/>
        </w:rPr>
        <w:t>5</w:t>
      </w:r>
      <w:r w:rsidR="00986C95" w:rsidRPr="00ED22D1">
        <w:rPr>
          <w:b/>
          <w:lang w:val="fr-CA"/>
        </w:rPr>
        <w:t>.</w:t>
      </w:r>
      <w:r w:rsidR="0085675A" w:rsidRPr="00ED22D1">
        <w:rPr>
          <w:b/>
          <w:lang w:val="fr-CA"/>
        </w:rPr>
        <w:t xml:space="preserve"> </w:t>
      </w:r>
      <w:r w:rsidR="00986C95" w:rsidRPr="00ED22D1">
        <w:rPr>
          <w:b/>
          <w:lang w:val="fr-CA"/>
        </w:rPr>
        <w:t xml:space="preserve">Plan d’intéressement proposé pour </w:t>
      </w:r>
      <w:r w:rsidR="00DC23B2" w:rsidRPr="00ED22D1">
        <w:rPr>
          <w:b/>
          <w:lang w:val="fr-CA"/>
        </w:rPr>
        <w:t>les surcoûts</w:t>
      </w:r>
      <w:r w:rsidR="002F6D48" w:rsidRPr="00ED22D1">
        <w:rPr>
          <w:b/>
          <w:lang w:val="fr-CA"/>
        </w:rPr>
        <w:t xml:space="preserve"> d’exploitation </w:t>
      </w:r>
      <w:r w:rsidR="0085675A" w:rsidRPr="00ED22D1">
        <w:rPr>
          <w:b/>
          <w:lang w:val="fr-CA"/>
        </w:rPr>
        <w:t>(RMB)*</w:t>
      </w:r>
    </w:p>
    <w:tbl>
      <w:tblPr>
        <w:tblW w:w="803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2250"/>
        <w:gridCol w:w="2250"/>
      </w:tblGrid>
      <w:tr w:rsidR="0085675A" w:rsidRPr="00ED22D1" w:rsidTr="0085675A">
        <w:trPr>
          <w:trHeight w:val="107"/>
        </w:trPr>
        <w:tc>
          <w:tcPr>
            <w:tcW w:w="3532" w:type="dxa"/>
            <w:vMerge w:val="restart"/>
            <w:shd w:val="clear" w:color="auto" w:fill="auto"/>
            <w:noWrap/>
            <w:vAlign w:val="center"/>
            <w:hideMark/>
          </w:tcPr>
          <w:p w:rsidR="0085675A" w:rsidRPr="00ED22D1" w:rsidRDefault="004A2F4C" w:rsidP="004A2F4C">
            <w:pPr>
              <w:keepNext/>
              <w:keepLines/>
              <w:jc w:val="left"/>
              <w:rPr>
                <w:b/>
                <w:color w:val="000000"/>
                <w:sz w:val="20"/>
                <w:szCs w:val="20"/>
                <w:lang w:val="fr-CA" w:eastAsia="en-CA"/>
              </w:rPr>
            </w:pPr>
            <w:r w:rsidRPr="00ED22D1">
              <w:rPr>
                <w:b/>
                <w:color w:val="000000"/>
                <w:sz w:val="20"/>
                <w:szCs w:val="20"/>
                <w:lang w:val="fr-CA" w:eastAsia="en-CA"/>
              </w:rPr>
              <w:t>Unités à deux blocs</w:t>
            </w:r>
            <w:r w:rsidR="0085675A" w:rsidRPr="00ED22D1">
              <w:rPr>
                <w:b/>
                <w:color w:val="000000"/>
                <w:sz w:val="20"/>
                <w:szCs w:val="20"/>
                <w:lang w:val="fr-CA" w:eastAsia="en-CA"/>
              </w:rPr>
              <w:t> </w:t>
            </w:r>
          </w:p>
        </w:tc>
        <w:tc>
          <w:tcPr>
            <w:tcW w:w="4500" w:type="dxa"/>
            <w:gridSpan w:val="2"/>
            <w:shd w:val="clear" w:color="auto" w:fill="auto"/>
            <w:noWrap/>
            <w:vAlign w:val="center"/>
            <w:hideMark/>
          </w:tcPr>
          <w:p w:rsidR="0085675A" w:rsidRPr="00ED22D1" w:rsidRDefault="0085675A" w:rsidP="004A2F4C">
            <w:pPr>
              <w:keepNext/>
              <w:keepLines/>
              <w:jc w:val="center"/>
              <w:rPr>
                <w:b/>
                <w:color w:val="000000"/>
                <w:sz w:val="20"/>
                <w:szCs w:val="20"/>
                <w:lang w:val="fr-CA" w:eastAsia="en-CA"/>
              </w:rPr>
            </w:pPr>
            <w:r w:rsidRPr="00ED22D1">
              <w:rPr>
                <w:b/>
                <w:color w:val="000000"/>
                <w:sz w:val="20"/>
                <w:szCs w:val="20"/>
                <w:lang w:val="fr-CA" w:eastAsia="en-CA"/>
              </w:rPr>
              <w:t>Crit</w:t>
            </w:r>
            <w:r w:rsidR="004A2F4C" w:rsidRPr="00ED22D1">
              <w:rPr>
                <w:b/>
                <w:color w:val="000000"/>
                <w:sz w:val="20"/>
                <w:szCs w:val="20"/>
                <w:lang w:val="fr-CA" w:eastAsia="en-CA"/>
              </w:rPr>
              <w:t>ères</w:t>
            </w:r>
          </w:p>
        </w:tc>
      </w:tr>
      <w:tr w:rsidR="0085675A" w:rsidRPr="00ED22D1" w:rsidTr="0085675A">
        <w:tc>
          <w:tcPr>
            <w:tcW w:w="3532" w:type="dxa"/>
            <w:vMerge/>
            <w:shd w:val="clear" w:color="auto" w:fill="auto"/>
            <w:noWrap/>
            <w:vAlign w:val="bottom"/>
            <w:hideMark/>
          </w:tcPr>
          <w:p w:rsidR="0085675A" w:rsidRPr="00ED22D1" w:rsidRDefault="0085675A" w:rsidP="0085675A">
            <w:pPr>
              <w:keepNext/>
              <w:keepLines/>
              <w:jc w:val="left"/>
              <w:rPr>
                <w:color w:val="000000"/>
                <w:sz w:val="20"/>
                <w:szCs w:val="20"/>
                <w:lang w:val="fr-CA" w:eastAsia="en-CA"/>
              </w:rPr>
            </w:pPr>
          </w:p>
        </w:tc>
        <w:tc>
          <w:tcPr>
            <w:tcW w:w="2250" w:type="dxa"/>
            <w:shd w:val="clear" w:color="auto" w:fill="auto"/>
            <w:noWrap/>
            <w:vAlign w:val="center"/>
            <w:hideMark/>
          </w:tcPr>
          <w:p w:rsidR="0085675A" w:rsidRPr="00ED22D1" w:rsidRDefault="00986C95" w:rsidP="0085675A">
            <w:pPr>
              <w:keepNext/>
              <w:keepLines/>
              <w:jc w:val="center"/>
              <w:rPr>
                <w:b/>
                <w:color w:val="000000"/>
                <w:sz w:val="20"/>
                <w:szCs w:val="20"/>
                <w:lang w:val="fr-CA" w:eastAsia="en-CA"/>
              </w:rPr>
            </w:pPr>
            <w:r w:rsidRPr="00ED22D1">
              <w:rPr>
                <w:b/>
                <w:color w:val="000000"/>
                <w:sz w:val="20"/>
                <w:szCs w:val="20"/>
                <w:lang w:val="fr-CA" w:eastAsia="en-CA"/>
              </w:rPr>
              <w:t xml:space="preserve">Invertisseur </w:t>
            </w:r>
            <w:r w:rsidR="0085675A" w:rsidRPr="00ED22D1">
              <w:rPr>
                <w:b/>
                <w:color w:val="000000"/>
                <w:sz w:val="20"/>
                <w:szCs w:val="20"/>
                <w:lang w:val="fr-CA" w:eastAsia="en-CA"/>
              </w:rPr>
              <w:t>(RMB)</w:t>
            </w:r>
          </w:p>
        </w:tc>
        <w:tc>
          <w:tcPr>
            <w:tcW w:w="2250" w:type="dxa"/>
            <w:shd w:val="clear" w:color="auto" w:fill="auto"/>
            <w:noWrap/>
            <w:vAlign w:val="center"/>
            <w:hideMark/>
          </w:tcPr>
          <w:p w:rsidR="0085675A" w:rsidRPr="00ED22D1" w:rsidRDefault="00986C95" w:rsidP="0085675A">
            <w:pPr>
              <w:keepNext/>
              <w:keepLines/>
              <w:jc w:val="center"/>
              <w:rPr>
                <w:b/>
                <w:color w:val="000000"/>
                <w:sz w:val="20"/>
                <w:szCs w:val="20"/>
                <w:lang w:val="fr-CA" w:eastAsia="en-CA"/>
              </w:rPr>
            </w:pPr>
            <w:r w:rsidRPr="00ED22D1">
              <w:rPr>
                <w:b/>
                <w:color w:val="000000"/>
                <w:sz w:val="20"/>
                <w:szCs w:val="20"/>
                <w:lang w:val="fr-CA" w:eastAsia="en-CA"/>
              </w:rPr>
              <w:t xml:space="preserve">Vitesse fixe </w:t>
            </w:r>
            <w:r w:rsidR="0085675A" w:rsidRPr="00ED22D1">
              <w:rPr>
                <w:b/>
                <w:color w:val="000000"/>
                <w:sz w:val="20"/>
                <w:szCs w:val="20"/>
                <w:lang w:val="fr-CA" w:eastAsia="en-CA"/>
              </w:rPr>
              <w:t>(RMB)</w:t>
            </w:r>
          </w:p>
        </w:tc>
      </w:tr>
      <w:tr w:rsidR="0085675A" w:rsidRPr="00ED22D1" w:rsidTr="0085675A">
        <w:tc>
          <w:tcPr>
            <w:tcW w:w="3532" w:type="dxa"/>
            <w:shd w:val="clear" w:color="auto" w:fill="auto"/>
            <w:noWrap/>
            <w:vAlign w:val="bottom"/>
            <w:hideMark/>
          </w:tcPr>
          <w:p w:rsidR="0085675A" w:rsidRPr="00ED22D1" w:rsidRDefault="004A2F4C" w:rsidP="004A2F4C">
            <w:pPr>
              <w:keepNext/>
              <w:keepLines/>
              <w:jc w:val="left"/>
              <w:rPr>
                <w:b/>
                <w:color w:val="000000"/>
                <w:sz w:val="20"/>
                <w:szCs w:val="20"/>
                <w:lang w:val="fr-CA" w:eastAsia="en-CA"/>
              </w:rPr>
            </w:pPr>
            <w:r w:rsidRPr="00ED22D1">
              <w:rPr>
                <w:b/>
                <w:color w:val="000000"/>
                <w:sz w:val="20"/>
                <w:szCs w:val="20"/>
                <w:lang w:val="fr-CA" w:eastAsia="en-CA"/>
              </w:rPr>
              <w:t>Ventes locales</w:t>
            </w:r>
          </w:p>
        </w:tc>
        <w:tc>
          <w:tcPr>
            <w:tcW w:w="2250" w:type="dxa"/>
            <w:shd w:val="clear" w:color="auto" w:fill="auto"/>
            <w:noWrap/>
            <w:vAlign w:val="bottom"/>
            <w:hideMark/>
          </w:tcPr>
          <w:p w:rsidR="0085675A" w:rsidRPr="00ED22D1" w:rsidRDefault="0085675A" w:rsidP="0085675A">
            <w:pPr>
              <w:keepNext/>
              <w:keepLines/>
              <w:jc w:val="left"/>
              <w:rPr>
                <w:color w:val="000000"/>
                <w:sz w:val="20"/>
                <w:szCs w:val="20"/>
                <w:lang w:val="fr-CA" w:eastAsia="en-CA"/>
              </w:rPr>
            </w:pPr>
            <w:r w:rsidRPr="00ED22D1">
              <w:rPr>
                <w:color w:val="000000"/>
                <w:sz w:val="20"/>
                <w:szCs w:val="20"/>
                <w:lang w:val="fr-CA" w:eastAsia="en-CA"/>
              </w:rPr>
              <w:t> </w:t>
            </w:r>
          </w:p>
        </w:tc>
        <w:tc>
          <w:tcPr>
            <w:tcW w:w="2250" w:type="dxa"/>
            <w:shd w:val="clear" w:color="auto" w:fill="auto"/>
            <w:noWrap/>
            <w:vAlign w:val="bottom"/>
            <w:hideMark/>
          </w:tcPr>
          <w:p w:rsidR="0085675A" w:rsidRPr="00ED22D1" w:rsidRDefault="0085675A" w:rsidP="0085675A">
            <w:pPr>
              <w:keepNext/>
              <w:keepLines/>
              <w:jc w:val="left"/>
              <w:rPr>
                <w:color w:val="000000"/>
                <w:sz w:val="20"/>
                <w:szCs w:val="20"/>
                <w:lang w:val="fr-CA" w:eastAsia="en-CA"/>
              </w:rPr>
            </w:pPr>
            <w:r w:rsidRPr="00ED22D1">
              <w:rPr>
                <w:color w:val="000000"/>
                <w:sz w:val="20"/>
                <w:szCs w:val="20"/>
                <w:lang w:val="fr-CA" w:eastAsia="en-CA"/>
              </w:rPr>
              <w:t> </w:t>
            </w:r>
          </w:p>
        </w:tc>
      </w:tr>
      <w:tr w:rsidR="0085675A" w:rsidRPr="00ED22D1" w:rsidTr="0085675A">
        <w:trPr>
          <w:trHeight w:val="50"/>
        </w:trPr>
        <w:tc>
          <w:tcPr>
            <w:tcW w:w="3532" w:type="dxa"/>
            <w:shd w:val="clear" w:color="auto" w:fill="auto"/>
            <w:noWrap/>
            <w:vAlign w:val="bottom"/>
            <w:hideMark/>
          </w:tcPr>
          <w:p w:rsidR="0085675A" w:rsidRPr="00ED22D1" w:rsidRDefault="004A2F4C" w:rsidP="004A2F4C">
            <w:pPr>
              <w:keepNext/>
              <w:keepLines/>
              <w:jc w:val="left"/>
              <w:rPr>
                <w:color w:val="000000"/>
                <w:sz w:val="20"/>
                <w:szCs w:val="20"/>
                <w:lang w:val="fr-CA" w:eastAsia="en-CA"/>
              </w:rPr>
            </w:pPr>
            <w:r w:rsidRPr="00ED22D1">
              <w:rPr>
                <w:color w:val="000000"/>
                <w:sz w:val="20"/>
                <w:szCs w:val="20"/>
                <w:lang w:val="fr-CA" w:eastAsia="en-CA"/>
              </w:rPr>
              <w:t xml:space="preserve">Efficacité énergétique – Catégorie </w:t>
            </w:r>
            <w:r w:rsidR="0085675A" w:rsidRPr="00ED22D1">
              <w:rPr>
                <w:color w:val="000000"/>
                <w:sz w:val="20"/>
                <w:szCs w:val="20"/>
                <w:lang w:val="fr-CA" w:eastAsia="en-CA"/>
              </w:rPr>
              <w:t>1</w:t>
            </w:r>
          </w:p>
        </w:tc>
        <w:tc>
          <w:tcPr>
            <w:tcW w:w="2250" w:type="dxa"/>
            <w:shd w:val="clear" w:color="auto" w:fill="auto"/>
            <w:noWrap/>
            <w:tcMar>
              <w:left w:w="115" w:type="dxa"/>
              <w:right w:w="360" w:type="dxa"/>
            </w:tcMar>
            <w:vAlign w:val="bottom"/>
            <w:hideMark/>
          </w:tcPr>
          <w:p w:rsidR="0085675A" w:rsidRPr="00ED22D1" w:rsidRDefault="0085675A" w:rsidP="0085675A">
            <w:pPr>
              <w:keepNext/>
              <w:keepLines/>
              <w:jc w:val="right"/>
              <w:rPr>
                <w:sz w:val="20"/>
                <w:szCs w:val="20"/>
                <w:lang w:val="fr-CA" w:eastAsia="en-CA"/>
              </w:rPr>
            </w:pPr>
            <w:r w:rsidRPr="00ED22D1">
              <w:rPr>
                <w:sz w:val="20"/>
                <w:szCs w:val="20"/>
                <w:lang w:val="fr-CA" w:eastAsia="en-CA"/>
              </w:rPr>
              <w:t>600</w:t>
            </w:r>
          </w:p>
        </w:tc>
        <w:tc>
          <w:tcPr>
            <w:tcW w:w="2250" w:type="dxa"/>
            <w:shd w:val="clear" w:color="auto" w:fill="auto"/>
            <w:noWrap/>
            <w:tcMar>
              <w:left w:w="115" w:type="dxa"/>
              <w:right w:w="360" w:type="dxa"/>
            </w:tcMar>
            <w:vAlign w:val="bottom"/>
            <w:hideMark/>
          </w:tcPr>
          <w:p w:rsidR="0085675A" w:rsidRPr="00ED22D1" w:rsidRDefault="0085675A" w:rsidP="0085675A">
            <w:pPr>
              <w:keepNext/>
              <w:keepLines/>
              <w:jc w:val="right"/>
              <w:rPr>
                <w:sz w:val="20"/>
                <w:szCs w:val="20"/>
                <w:lang w:val="fr-CA" w:eastAsia="en-CA"/>
              </w:rPr>
            </w:pPr>
            <w:r w:rsidRPr="00ED22D1">
              <w:rPr>
                <w:sz w:val="20"/>
                <w:szCs w:val="20"/>
                <w:lang w:val="fr-CA" w:eastAsia="en-CA"/>
              </w:rPr>
              <w:t>500</w:t>
            </w:r>
          </w:p>
        </w:tc>
      </w:tr>
      <w:tr w:rsidR="004A2F4C" w:rsidRPr="00ED22D1" w:rsidTr="0085675A">
        <w:tc>
          <w:tcPr>
            <w:tcW w:w="3532" w:type="dxa"/>
            <w:shd w:val="clear" w:color="auto" w:fill="auto"/>
            <w:noWrap/>
            <w:vAlign w:val="bottom"/>
            <w:hideMark/>
          </w:tcPr>
          <w:p w:rsidR="004A2F4C" w:rsidRPr="00ED22D1" w:rsidRDefault="004A2F4C" w:rsidP="004A2F4C">
            <w:pPr>
              <w:keepNext/>
              <w:keepLines/>
              <w:jc w:val="left"/>
              <w:rPr>
                <w:color w:val="000000"/>
                <w:sz w:val="20"/>
                <w:szCs w:val="20"/>
                <w:lang w:val="fr-CA" w:eastAsia="en-CA"/>
              </w:rPr>
            </w:pPr>
            <w:r w:rsidRPr="00ED22D1">
              <w:rPr>
                <w:color w:val="000000"/>
                <w:sz w:val="20"/>
                <w:szCs w:val="20"/>
                <w:lang w:val="fr-CA" w:eastAsia="en-CA"/>
              </w:rPr>
              <w:t>Efficacité énergétique – Catégorie 2</w:t>
            </w:r>
          </w:p>
        </w:tc>
        <w:tc>
          <w:tcPr>
            <w:tcW w:w="2250" w:type="dxa"/>
            <w:shd w:val="clear" w:color="auto" w:fill="auto"/>
            <w:noWrap/>
            <w:tcMar>
              <w:left w:w="115" w:type="dxa"/>
              <w:right w:w="360" w:type="dxa"/>
            </w:tcMar>
            <w:vAlign w:val="bottom"/>
            <w:hideMark/>
          </w:tcPr>
          <w:p w:rsidR="004A2F4C" w:rsidRPr="00ED22D1" w:rsidRDefault="004A2F4C" w:rsidP="0085675A">
            <w:pPr>
              <w:keepNext/>
              <w:keepLines/>
              <w:jc w:val="right"/>
              <w:rPr>
                <w:sz w:val="20"/>
                <w:szCs w:val="20"/>
                <w:lang w:val="fr-CA" w:eastAsia="en-CA"/>
              </w:rPr>
            </w:pPr>
            <w:r w:rsidRPr="00ED22D1">
              <w:rPr>
                <w:sz w:val="20"/>
                <w:szCs w:val="20"/>
                <w:lang w:val="fr-CA" w:eastAsia="en-CA"/>
              </w:rPr>
              <w:t>360</w:t>
            </w:r>
          </w:p>
        </w:tc>
        <w:tc>
          <w:tcPr>
            <w:tcW w:w="2250" w:type="dxa"/>
            <w:shd w:val="clear" w:color="auto" w:fill="auto"/>
            <w:noWrap/>
            <w:tcMar>
              <w:left w:w="115" w:type="dxa"/>
              <w:right w:w="360" w:type="dxa"/>
            </w:tcMar>
            <w:vAlign w:val="bottom"/>
            <w:hideMark/>
          </w:tcPr>
          <w:p w:rsidR="004A2F4C" w:rsidRPr="00ED22D1" w:rsidRDefault="004A2F4C" w:rsidP="0085675A">
            <w:pPr>
              <w:keepNext/>
              <w:keepLines/>
              <w:jc w:val="right"/>
              <w:rPr>
                <w:sz w:val="20"/>
                <w:szCs w:val="20"/>
                <w:lang w:val="fr-CA" w:eastAsia="en-CA"/>
              </w:rPr>
            </w:pPr>
            <w:r w:rsidRPr="00ED22D1">
              <w:rPr>
                <w:sz w:val="20"/>
                <w:szCs w:val="20"/>
                <w:lang w:val="fr-CA" w:eastAsia="en-CA"/>
              </w:rPr>
              <w:t>300</w:t>
            </w:r>
          </w:p>
        </w:tc>
      </w:tr>
      <w:tr w:rsidR="004A2F4C" w:rsidRPr="00ED22D1" w:rsidTr="0085675A">
        <w:tc>
          <w:tcPr>
            <w:tcW w:w="3532" w:type="dxa"/>
            <w:shd w:val="clear" w:color="auto" w:fill="auto"/>
            <w:noWrap/>
            <w:vAlign w:val="bottom"/>
            <w:hideMark/>
          </w:tcPr>
          <w:p w:rsidR="004A2F4C" w:rsidRPr="00ED22D1" w:rsidRDefault="004A2F4C" w:rsidP="004A2F4C">
            <w:pPr>
              <w:keepNext/>
              <w:keepLines/>
              <w:jc w:val="left"/>
              <w:rPr>
                <w:color w:val="000000"/>
                <w:sz w:val="20"/>
                <w:szCs w:val="20"/>
                <w:lang w:val="fr-CA" w:eastAsia="en-CA"/>
              </w:rPr>
            </w:pPr>
            <w:r w:rsidRPr="00ED22D1">
              <w:rPr>
                <w:color w:val="000000"/>
                <w:sz w:val="20"/>
                <w:szCs w:val="20"/>
                <w:lang w:val="fr-CA" w:eastAsia="en-CA"/>
              </w:rPr>
              <w:t>Efficacité énergétique – Catégorie 3</w:t>
            </w:r>
          </w:p>
        </w:tc>
        <w:tc>
          <w:tcPr>
            <w:tcW w:w="2250" w:type="dxa"/>
            <w:shd w:val="clear" w:color="auto" w:fill="auto"/>
            <w:noWrap/>
            <w:tcMar>
              <w:left w:w="115" w:type="dxa"/>
              <w:right w:w="360" w:type="dxa"/>
            </w:tcMar>
            <w:vAlign w:val="bottom"/>
            <w:hideMark/>
          </w:tcPr>
          <w:p w:rsidR="004A2F4C" w:rsidRPr="00ED22D1" w:rsidRDefault="004A2F4C" w:rsidP="0085675A">
            <w:pPr>
              <w:keepNext/>
              <w:keepLines/>
              <w:jc w:val="right"/>
              <w:rPr>
                <w:sz w:val="20"/>
                <w:szCs w:val="20"/>
                <w:lang w:val="fr-CA" w:eastAsia="en-CA"/>
              </w:rPr>
            </w:pPr>
            <w:r w:rsidRPr="00ED22D1">
              <w:rPr>
                <w:sz w:val="20"/>
                <w:szCs w:val="20"/>
                <w:lang w:val="fr-CA" w:eastAsia="en-CA"/>
              </w:rPr>
              <w:t>200</w:t>
            </w:r>
          </w:p>
        </w:tc>
        <w:tc>
          <w:tcPr>
            <w:tcW w:w="2250" w:type="dxa"/>
            <w:shd w:val="clear" w:color="auto" w:fill="auto"/>
            <w:noWrap/>
            <w:tcMar>
              <w:left w:w="115" w:type="dxa"/>
              <w:right w:w="360" w:type="dxa"/>
            </w:tcMar>
            <w:vAlign w:val="bottom"/>
            <w:hideMark/>
          </w:tcPr>
          <w:p w:rsidR="004A2F4C" w:rsidRPr="00ED22D1" w:rsidRDefault="004A2F4C" w:rsidP="0085675A">
            <w:pPr>
              <w:keepNext/>
              <w:keepLines/>
              <w:jc w:val="right"/>
              <w:rPr>
                <w:sz w:val="20"/>
                <w:szCs w:val="20"/>
                <w:lang w:val="fr-CA" w:eastAsia="en-CA"/>
              </w:rPr>
            </w:pPr>
            <w:r w:rsidRPr="00ED22D1">
              <w:rPr>
                <w:sz w:val="20"/>
                <w:szCs w:val="20"/>
                <w:lang w:val="fr-CA" w:eastAsia="en-CA"/>
              </w:rPr>
              <w:t>150</w:t>
            </w:r>
          </w:p>
        </w:tc>
      </w:tr>
      <w:tr w:rsidR="0085675A" w:rsidRPr="00ED22D1" w:rsidTr="0085675A">
        <w:tc>
          <w:tcPr>
            <w:tcW w:w="3532" w:type="dxa"/>
            <w:shd w:val="clear" w:color="auto" w:fill="auto"/>
            <w:noWrap/>
            <w:vAlign w:val="bottom"/>
            <w:hideMark/>
          </w:tcPr>
          <w:p w:rsidR="0085675A" w:rsidRPr="00ED22D1" w:rsidRDefault="0085675A" w:rsidP="004A2F4C">
            <w:pPr>
              <w:keepNext/>
              <w:keepLines/>
              <w:jc w:val="left"/>
              <w:rPr>
                <w:color w:val="000000"/>
                <w:sz w:val="20"/>
                <w:szCs w:val="20"/>
                <w:lang w:val="fr-CA" w:eastAsia="en-CA"/>
              </w:rPr>
            </w:pPr>
            <w:r w:rsidRPr="00ED22D1">
              <w:rPr>
                <w:color w:val="000000"/>
                <w:sz w:val="20"/>
                <w:szCs w:val="20"/>
                <w:lang w:val="fr-CA" w:eastAsia="en-CA"/>
              </w:rPr>
              <w:t>Export</w:t>
            </w:r>
            <w:r w:rsidR="004A2F4C" w:rsidRPr="00ED22D1">
              <w:rPr>
                <w:color w:val="000000"/>
                <w:sz w:val="20"/>
                <w:szCs w:val="20"/>
                <w:lang w:val="fr-CA" w:eastAsia="en-CA"/>
              </w:rPr>
              <w:t>ation aux pays de l’</w:t>
            </w:r>
            <w:r w:rsidRPr="00ED22D1">
              <w:rPr>
                <w:color w:val="000000"/>
                <w:sz w:val="20"/>
                <w:szCs w:val="20"/>
                <w:lang w:val="fr-CA" w:eastAsia="en-CA"/>
              </w:rPr>
              <w:t>Article 5</w:t>
            </w:r>
          </w:p>
        </w:tc>
        <w:tc>
          <w:tcPr>
            <w:tcW w:w="2250" w:type="dxa"/>
            <w:shd w:val="clear" w:color="auto" w:fill="auto"/>
            <w:noWrap/>
            <w:tcMar>
              <w:left w:w="115" w:type="dxa"/>
              <w:right w:w="360" w:type="dxa"/>
            </w:tcMar>
            <w:vAlign w:val="bottom"/>
            <w:hideMark/>
          </w:tcPr>
          <w:p w:rsidR="0085675A" w:rsidRPr="00ED22D1" w:rsidRDefault="0085675A" w:rsidP="0085675A">
            <w:pPr>
              <w:keepNext/>
              <w:keepLines/>
              <w:jc w:val="right"/>
              <w:rPr>
                <w:sz w:val="20"/>
                <w:szCs w:val="20"/>
                <w:lang w:val="fr-CA" w:eastAsia="en-CA"/>
              </w:rPr>
            </w:pPr>
            <w:r w:rsidRPr="00ED22D1">
              <w:rPr>
                <w:sz w:val="20"/>
                <w:szCs w:val="20"/>
                <w:lang w:val="fr-CA" w:eastAsia="en-CA"/>
              </w:rPr>
              <w:t>360</w:t>
            </w:r>
          </w:p>
        </w:tc>
        <w:tc>
          <w:tcPr>
            <w:tcW w:w="2250" w:type="dxa"/>
            <w:shd w:val="clear" w:color="auto" w:fill="auto"/>
            <w:noWrap/>
            <w:tcMar>
              <w:left w:w="115" w:type="dxa"/>
              <w:right w:w="360" w:type="dxa"/>
            </w:tcMar>
            <w:vAlign w:val="bottom"/>
            <w:hideMark/>
          </w:tcPr>
          <w:p w:rsidR="0085675A" w:rsidRPr="00ED22D1" w:rsidRDefault="0085675A" w:rsidP="0085675A">
            <w:pPr>
              <w:keepNext/>
              <w:keepLines/>
              <w:jc w:val="right"/>
              <w:rPr>
                <w:sz w:val="20"/>
                <w:szCs w:val="20"/>
                <w:lang w:val="fr-CA" w:eastAsia="en-CA"/>
              </w:rPr>
            </w:pPr>
            <w:r w:rsidRPr="00ED22D1">
              <w:rPr>
                <w:sz w:val="20"/>
                <w:szCs w:val="20"/>
                <w:lang w:val="fr-CA" w:eastAsia="en-CA"/>
              </w:rPr>
              <w:t>300</w:t>
            </w:r>
          </w:p>
        </w:tc>
      </w:tr>
    </w:tbl>
    <w:p w:rsidR="0085675A" w:rsidRPr="00ED22D1" w:rsidRDefault="0085675A" w:rsidP="0085675A">
      <w:pPr>
        <w:keepNext/>
        <w:keepLines/>
        <w:ind w:left="720" w:firstLine="720"/>
        <w:rPr>
          <w:sz w:val="18"/>
          <w:szCs w:val="18"/>
          <w:lang w:val="fr-CA"/>
        </w:rPr>
      </w:pPr>
      <w:r w:rsidRPr="00ED22D1">
        <w:rPr>
          <w:sz w:val="18"/>
          <w:szCs w:val="18"/>
          <w:lang w:val="fr-CA"/>
        </w:rPr>
        <w:t>*RMB= renminbi</w:t>
      </w:r>
    </w:p>
    <w:p w:rsidR="0085675A" w:rsidRPr="00ED22D1" w:rsidRDefault="0085675A" w:rsidP="0085675A">
      <w:pPr>
        <w:keepNext/>
        <w:keepLines/>
        <w:rPr>
          <w:lang w:val="fr-CA"/>
        </w:rPr>
      </w:pPr>
    </w:p>
    <w:p w:rsidR="0085675A" w:rsidRPr="00ED22D1" w:rsidRDefault="00921BDE" w:rsidP="0085675A">
      <w:pPr>
        <w:pStyle w:val="Heading1"/>
        <w:rPr>
          <w:lang w:val="fr-CA"/>
        </w:rPr>
      </w:pPr>
      <w:r w:rsidRPr="00ED22D1">
        <w:rPr>
          <w:b/>
          <w:lang w:val="fr-CA"/>
        </w:rPr>
        <w:t>Le gouvernement</w:t>
      </w:r>
      <w:r w:rsidR="001F19C1" w:rsidRPr="00ED22D1">
        <w:rPr>
          <w:b/>
          <w:lang w:val="fr-CA"/>
        </w:rPr>
        <w:t xml:space="preserve"> </w:t>
      </w:r>
      <w:r w:rsidR="00181884" w:rsidRPr="00ED22D1">
        <w:rPr>
          <w:b/>
          <w:lang w:val="fr-CA"/>
        </w:rPr>
        <w:t>de la Chine</w:t>
      </w:r>
      <w:r w:rsidR="0085675A" w:rsidRPr="00ED22D1">
        <w:rPr>
          <w:b/>
          <w:lang w:val="fr-CA"/>
        </w:rPr>
        <w:t xml:space="preserve"> </w:t>
      </w:r>
      <w:r w:rsidR="004A2F4C" w:rsidRPr="00ED22D1">
        <w:rPr>
          <w:b/>
          <w:lang w:val="fr-CA"/>
        </w:rPr>
        <w:t>a</w:t>
      </w:r>
      <w:r w:rsidR="003A499A" w:rsidRPr="00ED22D1">
        <w:rPr>
          <w:b/>
          <w:lang w:val="fr-CA"/>
        </w:rPr>
        <w:t>vait</w:t>
      </w:r>
      <w:r w:rsidR="004A2F4C" w:rsidRPr="00ED22D1">
        <w:rPr>
          <w:b/>
          <w:lang w:val="fr-CA"/>
        </w:rPr>
        <w:t xml:space="preserve"> </w:t>
      </w:r>
      <w:r w:rsidR="00FB1DC4" w:rsidRPr="00ED22D1">
        <w:rPr>
          <w:b/>
          <w:lang w:val="fr-CA"/>
        </w:rPr>
        <w:t>présenté</w:t>
      </w:r>
      <w:r w:rsidR="004A6828" w:rsidRPr="00ED22D1">
        <w:rPr>
          <w:b/>
          <w:lang w:val="fr-CA"/>
        </w:rPr>
        <w:t xml:space="preserve"> </w:t>
      </w:r>
      <w:r w:rsidR="003A499A" w:rsidRPr="00ED22D1">
        <w:rPr>
          <w:b/>
          <w:lang w:val="fr-CA"/>
        </w:rPr>
        <w:t xml:space="preserve">et </w:t>
      </w:r>
      <w:r w:rsidR="0085675A" w:rsidRPr="00ED22D1">
        <w:rPr>
          <w:b/>
          <w:lang w:val="fr-CA"/>
        </w:rPr>
        <w:t>maint</w:t>
      </w:r>
      <w:r w:rsidR="004A2F4C" w:rsidRPr="00ED22D1">
        <w:rPr>
          <w:b/>
          <w:lang w:val="fr-CA"/>
        </w:rPr>
        <w:t xml:space="preserve">enu </w:t>
      </w:r>
      <w:r w:rsidR="003A499A" w:rsidRPr="00ED22D1">
        <w:rPr>
          <w:b/>
          <w:lang w:val="fr-CA"/>
        </w:rPr>
        <w:t>à la 82</w:t>
      </w:r>
      <w:r w:rsidR="003A499A" w:rsidRPr="00ED22D1">
        <w:rPr>
          <w:b/>
          <w:vertAlign w:val="superscript"/>
          <w:lang w:val="fr-CA"/>
        </w:rPr>
        <w:t>e</w:t>
      </w:r>
      <w:r w:rsidR="003A499A" w:rsidRPr="00ED22D1">
        <w:rPr>
          <w:b/>
          <w:lang w:val="fr-CA"/>
        </w:rPr>
        <w:t xml:space="preserve"> réunion </w:t>
      </w:r>
      <w:r w:rsidR="004A2F4C" w:rsidRPr="00ED22D1">
        <w:rPr>
          <w:b/>
          <w:lang w:val="fr-CA"/>
        </w:rPr>
        <w:t xml:space="preserve">le même plan d’intéressement pour les </w:t>
      </w:r>
      <w:r w:rsidR="002F6D48" w:rsidRPr="00ED22D1">
        <w:rPr>
          <w:b/>
          <w:lang w:val="fr-CA"/>
        </w:rPr>
        <w:t xml:space="preserve">surcoûts d’exploitation </w:t>
      </w:r>
      <w:r w:rsidR="003A499A" w:rsidRPr="00ED22D1">
        <w:rPr>
          <w:b/>
          <w:lang w:val="fr-CA"/>
        </w:rPr>
        <w:t>qu’à la présente réunion</w:t>
      </w:r>
      <w:r w:rsidR="0085675A" w:rsidRPr="00ED22D1">
        <w:rPr>
          <w:b/>
          <w:lang w:val="fr-CA"/>
        </w:rPr>
        <w:t>.</w:t>
      </w:r>
    </w:p>
    <w:p w:rsidR="0085675A" w:rsidRPr="00ED22D1" w:rsidRDefault="004A2F4C" w:rsidP="0085675A">
      <w:pPr>
        <w:pStyle w:val="Heading1"/>
        <w:rPr>
          <w:lang w:val="fr-CA"/>
        </w:rPr>
      </w:pPr>
      <w:r w:rsidRPr="00ED22D1">
        <w:rPr>
          <w:b/>
          <w:lang w:val="fr-CA"/>
        </w:rPr>
        <w:t>Tel que noté à la 82</w:t>
      </w:r>
      <w:r w:rsidRPr="00ED22D1">
        <w:rPr>
          <w:b/>
          <w:vertAlign w:val="superscript"/>
          <w:lang w:val="fr-CA"/>
        </w:rPr>
        <w:t>e</w:t>
      </w:r>
      <w:r w:rsidRPr="00ED22D1">
        <w:rPr>
          <w:b/>
          <w:lang w:val="fr-CA"/>
        </w:rPr>
        <w:t xml:space="preserve"> réunion, </w:t>
      </w:r>
      <w:r w:rsidRPr="00ED22D1">
        <w:rPr>
          <w:lang w:val="fr-CA"/>
        </w:rPr>
        <w:t xml:space="preserve">bien que le </w:t>
      </w:r>
      <w:r w:rsidR="00DD185D" w:rsidRPr="00ED22D1">
        <w:rPr>
          <w:lang w:val="fr-CA"/>
        </w:rPr>
        <w:t>Secrétariat</w:t>
      </w:r>
      <w:r w:rsidR="0085675A" w:rsidRPr="00ED22D1">
        <w:rPr>
          <w:lang w:val="fr-CA"/>
        </w:rPr>
        <w:t xml:space="preserve"> </w:t>
      </w:r>
      <w:r w:rsidRPr="00ED22D1">
        <w:rPr>
          <w:lang w:val="fr-CA"/>
        </w:rPr>
        <w:t xml:space="preserve">considère le plan proposé comme étant une approche </w:t>
      </w:r>
      <w:r w:rsidR="0085675A" w:rsidRPr="00ED22D1">
        <w:rPr>
          <w:lang w:val="fr-CA"/>
        </w:rPr>
        <w:t xml:space="preserve">constructive </w:t>
      </w:r>
      <w:r w:rsidRPr="00ED22D1">
        <w:rPr>
          <w:lang w:val="fr-CA"/>
        </w:rPr>
        <w:t>visant à encourage</w:t>
      </w:r>
      <w:r w:rsidR="002D2C34" w:rsidRPr="00ED22D1">
        <w:rPr>
          <w:lang w:val="fr-CA"/>
        </w:rPr>
        <w:t>r</w:t>
      </w:r>
      <w:r w:rsidRPr="00ED22D1">
        <w:rPr>
          <w:lang w:val="fr-CA"/>
        </w:rPr>
        <w:t xml:space="preserve"> les ventes</w:t>
      </w:r>
      <w:r w:rsidR="0085675A" w:rsidRPr="00ED22D1">
        <w:rPr>
          <w:lang w:val="fr-CA"/>
        </w:rPr>
        <w:t xml:space="preserve">, </w:t>
      </w:r>
      <w:r w:rsidRPr="00ED22D1">
        <w:rPr>
          <w:lang w:val="fr-CA"/>
        </w:rPr>
        <w:t>e</w:t>
      </w:r>
      <w:r w:rsidR="0085675A" w:rsidRPr="00ED22D1">
        <w:rPr>
          <w:lang w:val="fr-CA"/>
        </w:rPr>
        <w:t>n particul</w:t>
      </w:r>
      <w:r w:rsidRPr="00ED22D1">
        <w:rPr>
          <w:lang w:val="fr-CA"/>
        </w:rPr>
        <w:t>ier</w:t>
      </w:r>
      <w:r w:rsidR="0085675A" w:rsidRPr="00ED22D1">
        <w:rPr>
          <w:lang w:val="fr-CA"/>
        </w:rPr>
        <w:t xml:space="preserve"> </w:t>
      </w:r>
      <w:r w:rsidRPr="00ED22D1">
        <w:rPr>
          <w:lang w:val="fr-CA"/>
        </w:rPr>
        <w:t xml:space="preserve">en </w:t>
      </w:r>
      <w:r w:rsidR="0052338F" w:rsidRPr="00ED22D1">
        <w:rPr>
          <w:lang w:val="fr-CA"/>
        </w:rPr>
        <w:t>mettant l’accent sur</w:t>
      </w:r>
      <w:r w:rsidRPr="00ED22D1">
        <w:rPr>
          <w:lang w:val="fr-CA"/>
        </w:rPr>
        <w:t xml:space="preserve"> les </w:t>
      </w:r>
      <w:r w:rsidR="00AE1617" w:rsidRPr="00ED22D1">
        <w:rPr>
          <w:lang w:val="fr-CA"/>
        </w:rPr>
        <w:t>surcoûts d’investissement</w:t>
      </w:r>
      <w:r w:rsidR="0085675A" w:rsidRPr="00ED22D1">
        <w:rPr>
          <w:lang w:val="fr-CA"/>
        </w:rPr>
        <w:t xml:space="preserve"> </w:t>
      </w:r>
      <w:r w:rsidRPr="00ED22D1">
        <w:rPr>
          <w:lang w:val="fr-CA"/>
        </w:rPr>
        <w:t xml:space="preserve">uniquement sur les unités biblocs plutôt que </w:t>
      </w:r>
      <w:r w:rsidR="0052338F" w:rsidRPr="00ED22D1">
        <w:rPr>
          <w:lang w:val="fr-CA"/>
        </w:rPr>
        <w:t>d’inclure</w:t>
      </w:r>
      <w:r w:rsidRPr="00ED22D1">
        <w:rPr>
          <w:lang w:val="fr-CA"/>
        </w:rPr>
        <w:t xml:space="preserve"> les unités scellées à l’usine</w:t>
      </w:r>
      <w:r w:rsidR="0085675A" w:rsidRPr="00ED22D1">
        <w:rPr>
          <w:lang w:val="fr-CA"/>
        </w:rPr>
        <w:t xml:space="preserve">, </w:t>
      </w:r>
      <w:r w:rsidRPr="00ED22D1">
        <w:rPr>
          <w:lang w:val="fr-CA"/>
        </w:rPr>
        <w:t>qui</w:t>
      </w:r>
      <w:r w:rsidR="0052338F" w:rsidRPr="00ED22D1">
        <w:rPr>
          <w:lang w:val="fr-CA"/>
        </w:rPr>
        <w:t> s</w:t>
      </w:r>
      <w:r w:rsidRPr="00ED22D1">
        <w:rPr>
          <w:lang w:val="fr-CA"/>
        </w:rPr>
        <w:t xml:space="preserve">ont déjà </w:t>
      </w:r>
      <w:r w:rsidR="0052338F" w:rsidRPr="00ED22D1">
        <w:rPr>
          <w:lang w:val="fr-CA"/>
        </w:rPr>
        <w:t xml:space="preserve">acceptées par le </w:t>
      </w:r>
      <w:r w:rsidRPr="00ED22D1">
        <w:rPr>
          <w:lang w:val="fr-CA"/>
        </w:rPr>
        <w:t>marché</w:t>
      </w:r>
      <w:r w:rsidR="0085675A" w:rsidRPr="00ED22D1">
        <w:rPr>
          <w:lang w:val="fr-CA"/>
        </w:rPr>
        <w:t>,</w:t>
      </w:r>
      <w:r w:rsidR="004A6828" w:rsidRPr="00ED22D1">
        <w:rPr>
          <w:lang w:val="fr-CA"/>
        </w:rPr>
        <w:t xml:space="preserve"> et </w:t>
      </w:r>
      <w:r w:rsidR="002D2C34" w:rsidRPr="00ED22D1">
        <w:rPr>
          <w:lang w:val="fr-CA"/>
        </w:rPr>
        <w:t>à encourage</w:t>
      </w:r>
      <w:r w:rsidR="0052338F" w:rsidRPr="00ED22D1">
        <w:rPr>
          <w:lang w:val="fr-CA"/>
        </w:rPr>
        <w:t>r</w:t>
      </w:r>
      <w:r w:rsidR="002D2C34" w:rsidRPr="00ED22D1">
        <w:rPr>
          <w:lang w:val="fr-CA"/>
        </w:rPr>
        <w:t xml:space="preserve"> l’emploi par les marchés d’équipements plus efficaces en énergie</w:t>
      </w:r>
      <w:r w:rsidR="0085675A" w:rsidRPr="00ED22D1">
        <w:rPr>
          <w:lang w:val="fr-CA"/>
        </w:rPr>
        <w:t>,</w:t>
      </w:r>
      <w:r w:rsidR="00DD185D" w:rsidRPr="00ED22D1">
        <w:rPr>
          <w:lang w:val="fr-CA"/>
        </w:rPr>
        <w:t xml:space="preserve"> le Secrétariat</w:t>
      </w:r>
      <w:r w:rsidR="0085675A" w:rsidRPr="00ED22D1">
        <w:rPr>
          <w:lang w:val="fr-CA"/>
        </w:rPr>
        <w:t xml:space="preserve"> </w:t>
      </w:r>
      <w:r w:rsidR="002D2C34" w:rsidRPr="00ED22D1">
        <w:rPr>
          <w:lang w:val="fr-CA"/>
        </w:rPr>
        <w:t xml:space="preserve">ne considère pas les valeurs des </w:t>
      </w:r>
      <w:r w:rsidR="002F6D48" w:rsidRPr="00ED22D1">
        <w:rPr>
          <w:lang w:val="fr-CA"/>
        </w:rPr>
        <w:t xml:space="preserve">surcoûts d’exploitation </w:t>
      </w:r>
      <w:r w:rsidR="002D2C34" w:rsidRPr="00ED22D1">
        <w:rPr>
          <w:lang w:val="fr-CA"/>
        </w:rPr>
        <w:t xml:space="preserve">proposées comme conformes à la </w:t>
      </w:r>
      <w:r w:rsidR="00AA6E77" w:rsidRPr="00ED22D1">
        <w:rPr>
          <w:lang w:val="fr-CA"/>
        </w:rPr>
        <w:t>décision</w:t>
      </w:r>
      <w:r w:rsidR="0085675A" w:rsidRPr="00ED22D1">
        <w:rPr>
          <w:lang w:val="fr-CA"/>
        </w:rPr>
        <w:t> 60/44</w:t>
      </w:r>
      <w:r w:rsidR="002D2C34" w:rsidRPr="00ED22D1">
        <w:rPr>
          <w:lang w:val="fr-CA"/>
        </w:rPr>
        <w:t> </w:t>
      </w:r>
      <w:r w:rsidR="0085675A" w:rsidRPr="00ED22D1">
        <w:rPr>
          <w:lang w:val="fr-CA"/>
        </w:rPr>
        <w:t>f)</w:t>
      </w:r>
      <w:r w:rsidR="002D2C34" w:rsidRPr="00ED22D1">
        <w:rPr>
          <w:lang w:val="fr-CA"/>
        </w:rPr>
        <w:t> </w:t>
      </w:r>
      <w:r w:rsidR="0085675A" w:rsidRPr="00ED22D1">
        <w:rPr>
          <w:lang w:val="fr-CA"/>
        </w:rPr>
        <w:t xml:space="preserve">viii). </w:t>
      </w:r>
      <w:r w:rsidR="002D2C34" w:rsidRPr="00ED22D1">
        <w:rPr>
          <w:lang w:val="fr-CA"/>
        </w:rPr>
        <w:t xml:space="preserve">En suivi au </w:t>
      </w:r>
      <w:r w:rsidR="004F0823" w:rsidRPr="00ED22D1">
        <w:rPr>
          <w:lang w:val="fr-CA"/>
        </w:rPr>
        <w:t>plan d’intéressement</w:t>
      </w:r>
      <w:r w:rsidR="002D2C34" w:rsidRPr="00ED22D1">
        <w:rPr>
          <w:lang w:val="fr-CA"/>
        </w:rPr>
        <w:t xml:space="preserve"> proposé</w:t>
      </w:r>
      <w:r w:rsidR="0085675A" w:rsidRPr="00ED22D1">
        <w:rPr>
          <w:lang w:val="fr-CA"/>
        </w:rPr>
        <w:t>,</w:t>
      </w:r>
      <w:r w:rsidR="00AE1617" w:rsidRPr="00ED22D1">
        <w:rPr>
          <w:lang w:val="fr-CA"/>
        </w:rPr>
        <w:t xml:space="preserve"> </w:t>
      </w:r>
      <w:r w:rsidR="002D2C34" w:rsidRPr="00ED22D1">
        <w:rPr>
          <w:lang w:val="fr-CA"/>
        </w:rPr>
        <w:t xml:space="preserve">les </w:t>
      </w:r>
      <w:r w:rsidR="00AE1617" w:rsidRPr="00ED22D1">
        <w:rPr>
          <w:lang w:val="fr-CA"/>
        </w:rPr>
        <w:t>surcoûts d’investissement</w:t>
      </w:r>
      <w:r w:rsidR="0085675A" w:rsidRPr="00ED22D1">
        <w:rPr>
          <w:lang w:val="fr-CA"/>
        </w:rPr>
        <w:t xml:space="preserve"> </w:t>
      </w:r>
      <w:r w:rsidR="002D2C34" w:rsidRPr="00ED22D1">
        <w:rPr>
          <w:lang w:val="fr-CA"/>
        </w:rPr>
        <w:t xml:space="preserve">varieraient de </w:t>
      </w:r>
      <w:r w:rsidR="0085675A" w:rsidRPr="00ED22D1">
        <w:rPr>
          <w:b/>
          <w:lang w:val="fr-CA"/>
        </w:rPr>
        <w:t>7</w:t>
      </w:r>
      <w:r w:rsidR="004A6828" w:rsidRPr="00ED22D1">
        <w:rPr>
          <w:b/>
          <w:lang w:val="fr-CA"/>
        </w:rPr>
        <w:t>7,</w:t>
      </w:r>
      <w:r w:rsidR="0085675A" w:rsidRPr="00ED22D1">
        <w:rPr>
          <w:b/>
          <w:lang w:val="fr-CA"/>
        </w:rPr>
        <w:t>63</w:t>
      </w:r>
      <w:r w:rsidR="00EC100C" w:rsidRPr="00ED22D1">
        <w:rPr>
          <w:lang w:val="fr-CA"/>
        </w:rPr>
        <w:t> $US/kg</w:t>
      </w:r>
      <w:r w:rsidR="004A6828" w:rsidRPr="00ED22D1">
        <w:rPr>
          <w:lang w:val="fr-CA"/>
        </w:rPr>
        <w:t xml:space="preserve"> </w:t>
      </w:r>
      <w:r w:rsidR="002D2C34" w:rsidRPr="00ED22D1">
        <w:rPr>
          <w:lang w:val="fr-CA"/>
        </w:rPr>
        <w:t>à</w:t>
      </w:r>
      <w:r w:rsidR="004A6828" w:rsidRPr="00ED22D1">
        <w:rPr>
          <w:lang w:val="fr-CA"/>
        </w:rPr>
        <w:t xml:space="preserve"> </w:t>
      </w:r>
      <w:r w:rsidR="0085675A" w:rsidRPr="00ED22D1">
        <w:rPr>
          <w:lang w:val="fr-CA"/>
        </w:rPr>
        <w:t>1</w:t>
      </w:r>
      <w:r w:rsidR="004A6828" w:rsidRPr="00ED22D1">
        <w:rPr>
          <w:lang w:val="fr-CA"/>
        </w:rPr>
        <w:t>8,</w:t>
      </w:r>
      <w:r w:rsidR="0085675A" w:rsidRPr="00ED22D1">
        <w:rPr>
          <w:lang w:val="fr-CA"/>
        </w:rPr>
        <w:t>85</w:t>
      </w:r>
      <w:r w:rsidR="00EC100C" w:rsidRPr="00ED22D1">
        <w:rPr>
          <w:lang w:val="fr-CA"/>
        </w:rPr>
        <w:t> $US/kg</w:t>
      </w:r>
      <w:r w:rsidR="0085675A" w:rsidRPr="00ED22D1">
        <w:rPr>
          <w:lang w:val="fr-CA"/>
        </w:rPr>
        <w:t>.</w:t>
      </w:r>
      <w:r w:rsidR="0085675A" w:rsidRPr="00ED22D1">
        <w:rPr>
          <w:rStyle w:val="FootnoteReference"/>
          <w:lang w:val="fr-CA"/>
        </w:rPr>
        <w:footnoteReference w:id="3"/>
      </w:r>
      <w:r w:rsidR="0085675A" w:rsidRPr="00ED22D1">
        <w:rPr>
          <w:lang w:val="fr-CA"/>
        </w:rPr>
        <w:t xml:space="preserve"> </w:t>
      </w:r>
      <w:r w:rsidR="002D2C34" w:rsidRPr="00ED22D1">
        <w:rPr>
          <w:lang w:val="fr-CA"/>
        </w:rPr>
        <w:t>En outre</w:t>
      </w:r>
      <w:r w:rsidR="0085675A" w:rsidRPr="00ED22D1">
        <w:rPr>
          <w:lang w:val="fr-CA"/>
        </w:rPr>
        <w:t>,</w:t>
      </w:r>
      <w:r w:rsidR="002D2C34" w:rsidRPr="00ED22D1">
        <w:rPr>
          <w:lang w:val="fr-CA"/>
        </w:rPr>
        <w:t xml:space="preserve"> si les ventes</w:t>
      </w:r>
      <w:r w:rsidR="0085675A" w:rsidRPr="00ED22D1">
        <w:rPr>
          <w:lang w:val="fr-CA"/>
        </w:rPr>
        <w:t xml:space="preserve"> </w:t>
      </w:r>
      <w:r w:rsidR="002D2C34" w:rsidRPr="00ED22D1">
        <w:rPr>
          <w:lang w:val="fr-CA"/>
        </w:rPr>
        <w:t xml:space="preserve">sont dominées par les modèles les plus efficaces du point de vue énergétique, ce à quoi on s’attend, les ventes </w:t>
      </w:r>
      <w:r w:rsidR="00DE118B" w:rsidRPr="00ED22D1">
        <w:rPr>
          <w:lang w:val="fr-CA"/>
        </w:rPr>
        <w:t>engagé</w:t>
      </w:r>
      <w:r w:rsidR="002D2C34" w:rsidRPr="00ED22D1">
        <w:rPr>
          <w:lang w:val="fr-CA"/>
        </w:rPr>
        <w:t>es de </w:t>
      </w:r>
      <w:r w:rsidR="0085675A" w:rsidRPr="00ED22D1">
        <w:rPr>
          <w:lang w:val="fr-CA"/>
        </w:rPr>
        <w:t>22</w:t>
      </w:r>
      <w:r w:rsidR="004A6828" w:rsidRPr="00ED22D1">
        <w:rPr>
          <w:lang w:val="fr-CA"/>
        </w:rPr>
        <w:t>0 </w:t>
      </w:r>
      <w:r w:rsidR="0085675A" w:rsidRPr="00ED22D1">
        <w:rPr>
          <w:lang w:val="fr-CA"/>
        </w:rPr>
        <w:t>000</w:t>
      </w:r>
      <w:r w:rsidR="002D2C34" w:rsidRPr="00ED22D1">
        <w:rPr>
          <w:lang w:val="fr-CA"/>
        </w:rPr>
        <w:t xml:space="preserve"> unités utiliseraient la totalité des </w:t>
      </w:r>
      <w:r w:rsidR="00AE1617" w:rsidRPr="00ED22D1">
        <w:rPr>
          <w:lang w:val="fr-CA"/>
        </w:rPr>
        <w:t>surcoûts d’investissement</w:t>
      </w:r>
      <w:r w:rsidR="002D2C34" w:rsidRPr="00ED22D1">
        <w:rPr>
          <w:lang w:val="fr-CA"/>
        </w:rPr>
        <w:t xml:space="preserve"> restants. Si les ventes</w:t>
      </w:r>
      <w:r w:rsidR="0085675A" w:rsidRPr="00ED22D1">
        <w:rPr>
          <w:lang w:val="fr-CA"/>
        </w:rPr>
        <w:t xml:space="preserve"> </w:t>
      </w:r>
      <w:r w:rsidR="002D2C34" w:rsidRPr="00ED22D1">
        <w:rPr>
          <w:lang w:val="fr-CA"/>
        </w:rPr>
        <w:t xml:space="preserve">sont </w:t>
      </w:r>
      <w:r w:rsidR="002D2C34" w:rsidRPr="00ED22D1">
        <w:rPr>
          <w:lang w:val="fr-CA"/>
        </w:rPr>
        <w:lastRenderedPageBreak/>
        <w:t xml:space="preserve">également réparties entre les diverses </w:t>
      </w:r>
      <w:r w:rsidR="00DC23B2" w:rsidRPr="00ED22D1">
        <w:rPr>
          <w:lang w:val="fr-CA"/>
        </w:rPr>
        <w:t>catégories</w:t>
      </w:r>
      <w:r w:rsidR="0085675A" w:rsidRPr="00ED22D1">
        <w:rPr>
          <w:lang w:val="fr-CA"/>
        </w:rPr>
        <w:t xml:space="preserve"> </w:t>
      </w:r>
      <w:r w:rsidR="002D2C34" w:rsidRPr="00ED22D1">
        <w:rPr>
          <w:lang w:val="fr-CA"/>
        </w:rPr>
        <w:t>au</w:t>
      </w:r>
      <w:r w:rsidR="00CE7FEC" w:rsidRPr="00ED22D1">
        <w:rPr>
          <w:lang w:val="fr-CA"/>
        </w:rPr>
        <w:t xml:space="preserve"> tableau </w:t>
      </w:r>
      <w:r w:rsidR="004A6828" w:rsidRPr="00ED22D1">
        <w:rPr>
          <w:lang w:val="fr-CA"/>
        </w:rPr>
        <w:t>5</w:t>
      </w:r>
      <w:r w:rsidR="002D2C34" w:rsidRPr="00ED22D1">
        <w:rPr>
          <w:lang w:val="fr-CA"/>
        </w:rPr>
        <w:t>,</w:t>
      </w:r>
      <w:r w:rsidR="004A6828" w:rsidRPr="00ED22D1">
        <w:rPr>
          <w:lang w:val="fr-CA"/>
        </w:rPr>
        <w:t> </w:t>
      </w:r>
      <w:r w:rsidR="002D2C34" w:rsidRPr="00ED22D1">
        <w:rPr>
          <w:lang w:val="fr-CA"/>
        </w:rPr>
        <w:t xml:space="preserve">les circuits reconvertis devraient vendre environ </w:t>
      </w:r>
      <w:r w:rsidR="0085675A" w:rsidRPr="00ED22D1">
        <w:rPr>
          <w:lang w:val="fr-CA"/>
        </w:rPr>
        <w:t>3</w:t>
      </w:r>
      <w:r w:rsidR="0085675A" w:rsidRPr="00ED22D1">
        <w:rPr>
          <w:b/>
          <w:lang w:val="fr-CA"/>
        </w:rPr>
        <w:t>5</w:t>
      </w:r>
      <w:r w:rsidR="004A6828" w:rsidRPr="00ED22D1">
        <w:rPr>
          <w:b/>
          <w:lang w:val="fr-CA"/>
        </w:rPr>
        <w:t>7 </w:t>
      </w:r>
      <w:r w:rsidR="0085675A" w:rsidRPr="00ED22D1">
        <w:rPr>
          <w:lang w:val="fr-CA"/>
        </w:rPr>
        <w:t>000</w:t>
      </w:r>
      <w:r w:rsidR="002D2C34" w:rsidRPr="00ED22D1">
        <w:rPr>
          <w:lang w:val="fr-CA"/>
        </w:rPr>
        <w:t xml:space="preserve"> unités pour décaisser tous les </w:t>
      </w:r>
      <w:r w:rsidR="00AE1617" w:rsidRPr="00ED22D1">
        <w:rPr>
          <w:lang w:val="fr-CA"/>
        </w:rPr>
        <w:t>surcoûts d’investissement</w:t>
      </w:r>
      <w:r w:rsidR="002D2C34" w:rsidRPr="00ED22D1">
        <w:rPr>
          <w:lang w:val="fr-CA"/>
        </w:rPr>
        <w:t xml:space="preserve"> restants</w:t>
      </w:r>
      <w:r w:rsidR="0085675A" w:rsidRPr="00ED22D1">
        <w:rPr>
          <w:lang w:val="fr-CA"/>
        </w:rPr>
        <w:t xml:space="preserve">. </w:t>
      </w:r>
      <w:r w:rsidR="002D2C34" w:rsidRPr="00ED22D1">
        <w:rPr>
          <w:lang w:val="fr-CA"/>
        </w:rPr>
        <w:t>Dans l’un ou l’autre cas, les ventes</w:t>
      </w:r>
      <w:r w:rsidR="0085675A" w:rsidRPr="00ED22D1">
        <w:rPr>
          <w:lang w:val="fr-CA"/>
        </w:rPr>
        <w:t xml:space="preserve"> </w:t>
      </w:r>
      <w:r w:rsidR="002D2C34" w:rsidRPr="00ED22D1">
        <w:rPr>
          <w:lang w:val="fr-CA"/>
        </w:rPr>
        <w:t xml:space="preserve">constitueraient une petite partie de la </w:t>
      </w:r>
      <w:r w:rsidR="0085675A" w:rsidRPr="00ED22D1">
        <w:rPr>
          <w:lang w:val="fr-CA"/>
        </w:rPr>
        <w:t>capacit</w:t>
      </w:r>
      <w:r w:rsidR="002D2C34" w:rsidRPr="00ED22D1">
        <w:rPr>
          <w:lang w:val="fr-CA"/>
        </w:rPr>
        <w:t>é</w:t>
      </w:r>
      <w:r w:rsidR="0085675A" w:rsidRPr="00ED22D1">
        <w:rPr>
          <w:lang w:val="fr-CA"/>
        </w:rPr>
        <w:t xml:space="preserve"> </w:t>
      </w:r>
      <w:r w:rsidR="004B666A" w:rsidRPr="00ED22D1">
        <w:rPr>
          <w:lang w:val="fr-CA"/>
        </w:rPr>
        <w:t>reconverti</w:t>
      </w:r>
      <w:r w:rsidR="002D2C34" w:rsidRPr="00ED22D1">
        <w:rPr>
          <w:lang w:val="fr-CA"/>
        </w:rPr>
        <w:t>e</w:t>
      </w:r>
      <w:r w:rsidR="0085675A" w:rsidRPr="00ED22D1">
        <w:rPr>
          <w:lang w:val="fr-CA"/>
        </w:rPr>
        <w:t xml:space="preserve"> </w:t>
      </w:r>
      <w:r w:rsidR="002D2C34" w:rsidRPr="00ED22D1">
        <w:rPr>
          <w:lang w:val="fr-CA"/>
        </w:rPr>
        <w:t>au</w:t>
      </w:r>
      <w:r w:rsidR="0085675A" w:rsidRPr="00ED22D1">
        <w:rPr>
          <w:lang w:val="fr-CA"/>
        </w:rPr>
        <w:t xml:space="preserve"> R-290 </w:t>
      </w:r>
      <w:r w:rsidR="002D2C34" w:rsidRPr="00ED22D1">
        <w:rPr>
          <w:lang w:val="fr-CA"/>
        </w:rPr>
        <w:t xml:space="preserve">à la </w:t>
      </w:r>
      <w:r w:rsidR="004A6828" w:rsidRPr="00ED22D1">
        <w:rPr>
          <w:lang w:val="fr-CA"/>
        </w:rPr>
        <w:t xml:space="preserve">phase </w:t>
      </w:r>
      <w:r w:rsidR="0085675A" w:rsidRPr="00ED22D1">
        <w:rPr>
          <w:lang w:val="fr-CA"/>
        </w:rPr>
        <w:t>I,</w:t>
      </w:r>
      <w:r w:rsidR="004A6828" w:rsidRPr="00ED22D1">
        <w:rPr>
          <w:lang w:val="fr-CA"/>
        </w:rPr>
        <w:t xml:space="preserve"> et </w:t>
      </w:r>
      <w:r w:rsidR="002D2C34" w:rsidRPr="00ED22D1">
        <w:rPr>
          <w:lang w:val="fr-CA"/>
        </w:rPr>
        <w:t xml:space="preserve">une fraction négligeable des ventes de </w:t>
      </w:r>
      <w:r w:rsidR="0085675A" w:rsidRPr="00ED22D1">
        <w:rPr>
          <w:lang w:val="fr-CA"/>
        </w:rPr>
        <w:t xml:space="preserve">R-410A. </w:t>
      </w:r>
      <w:r w:rsidR="002D2C34" w:rsidRPr="00ED22D1">
        <w:rPr>
          <w:lang w:val="fr-CA"/>
        </w:rPr>
        <w:t xml:space="preserve">Bien que les </w:t>
      </w:r>
      <w:r w:rsidR="00AE1617" w:rsidRPr="00ED22D1">
        <w:rPr>
          <w:lang w:val="fr-CA"/>
        </w:rPr>
        <w:t>surcoûts d’investissement</w:t>
      </w:r>
      <w:r w:rsidR="0085675A" w:rsidRPr="00ED22D1">
        <w:rPr>
          <w:lang w:val="fr-CA"/>
        </w:rPr>
        <w:t xml:space="preserve"> </w:t>
      </w:r>
      <w:r w:rsidR="002D2C34" w:rsidRPr="00ED22D1">
        <w:rPr>
          <w:lang w:val="fr-CA"/>
        </w:rPr>
        <w:t xml:space="preserve">pour les équipements d’une plus grande </w:t>
      </w:r>
      <w:r w:rsidR="00986C95" w:rsidRPr="00ED22D1">
        <w:rPr>
          <w:lang w:val="fr-CA"/>
        </w:rPr>
        <w:t>efficacité énergétique</w:t>
      </w:r>
      <w:r w:rsidR="0085675A" w:rsidRPr="00ED22D1">
        <w:rPr>
          <w:lang w:val="fr-CA"/>
        </w:rPr>
        <w:t xml:space="preserve"> </w:t>
      </w:r>
      <w:r w:rsidR="002D2C34" w:rsidRPr="00ED22D1">
        <w:rPr>
          <w:lang w:val="fr-CA"/>
        </w:rPr>
        <w:t xml:space="preserve">pourraient être supérieurs au seuil de </w:t>
      </w:r>
      <w:r w:rsidR="004A6828" w:rsidRPr="00ED22D1">
        <w:rPr>
          <w:lang w:val="fr-CA"/>
        </w:rPr>
        <w:t>6,</w:t>
      </w:r>
      <w:r w:rsidR="0085675A" w:rsidRPr="00ED22D1">
        <w:rPr>
          <w:lang w:val="fr-CA"/>
        </w:rPr>
        <w:t>30</w:t>
      </w:r>
      <w:r w:rsidR="00EC100C" w:rsidRPr="00ED22D1">
        <w:rPr>
          <w:lang w:val="fr-CA"/>
        </w:rPr>
        <w:t> $US/kg</w:t>
      </w:r>
      <w:r w:rsidR="0085675A" w:rsidRPr="00ED22D1">
        <w:rPr>
          <w:lang w:val="fr-CA"/>
        </w:rPr>
        <w:t xml:space="preserve"> </w:t>
      </w:r>
      <w:r w:rsidR="002D2C34" w:rsidRPr="00ED22D1">
        <w:rPr>
          <w:lang w:val="fr-CA"/>
        </w:rPr>
        <w:t xml:space="preserve">précisé dans la </w:t>
      </w:r>
      <w:r w:rsidR="00AA6E77" w:rsidRPr="00ED22D1">
        <w:rPr>
          <w:lang w:val="fr-CA"/>
        </w:rPr>
        <w:t>décision</w:t>
      </w:r>
      <w:r w:rsidR="0085675A" w:rsidRPr="00ED22D1">
        <w:rPr>
          <w:lang w:val="fr-CA"/>
        </w:rPr>
        <w:t> 60/44</w:t>
      </w:r>
      <w:r w:rsidR="002D2C34" w:rsidRPr="00ED22D1">
        <w:rPr>
          <w:lang w:val="fr-CA"/>
        </w:rPr>
        <w:t> </w:t>
      </w:r>
      <w:r w:rsidR="0085675A" w:rsidRPr="00ED22D1">
        <w:rPr>
          <w:lang w:val="fr-CA"/>
        </w:rPr>
        <w:t>f)</w:t>
      </w:r>
      <w:r w:rsidR="002D2C34" w:rsidRPr="00ED22D1">
        <w:rPr>
          <w:lang w:val="fr-CA"/>
        </w:rPr>
        <w:t> </w:t>
      </w:r>
      <w:r w:rsidR="0085675A" w:rsidRPr="00ED22D1">
        <w:rPr>
          <w:lang w:val="fr-CA"/>
        </w:rPr>
        <w:t>viii),</w:t>
      </w:r>
      <w:r w:rsidR="00AE1617" w:rsidRPr="00ED22D1">
        <w:rPr>
          <w:lang w:val="fr-CA"/>
        </w:rPr>
        <w:t xml:space="preserve"> </w:t>
      </w:r>
      <w:r w:rsidR="002D2C34" w:rsidRPr="00ED22D1">
        <w:rPr>
          <w:lang w:val="fr-CA"/>
        </w:rPr>
        <w:t xml:space="preserve">les </w:t>
      </w:r>
      <w:r w:rsidR="00AE1617" w:rsidRPr="00ED22D1">
        <w:rPr>
          <w:lang w:val="fr-CA"/>
        </w:rPr>
        <w:t>surcoûts d’investissement</w:t>
      </w:r>
      <w:r w:rsidR="0085675A" w:rsidRPr="00ED22D1">
        <w:rPr>
          <w:lang w:val="fr-CA"/>
        </w:rPr>
        <w:t xml:space="preserve"> </w:t>
      </w:r>
      <w:r w:rsidR="002D2C34" w:rsidRPr="00ED22D1">
        <w:rPr>
          <w:lang w:val="fr-CA"/>
        </w:rPr>
        <w:t xml:space="preserve">ont été évalués sur la base de la </w:t>
      </w:r>
      <w:r w:rsidR="00FB1DC4" w:rsidRPr="00ED22D1">
        <w:rPr>
          <w:lang w:val="fr-CA"/>
        </w:rPr>
        <w:t>reconversion</w:t>
      </w:r>
      <w:r w:rsidR="0085675A" w:rsidRPr="00ED22D1">
        <w:rPr>
          <w:lang w:val="fr-CA"/>
        </w:rPr>
        <w:t xml:space="preserve"> </w:t>
      </w:r>
      <w:r w:rsidR="002D2C34" w:rsidRPr="00ED22D1">
        <w:rPr>
          <w:lang w:val="fr-CA"/>
        </w:rPr>
        <w:t>d’environ sept</w:t>
      </w:r>
      <w:r w:rsidR="0085675A" w:rsidRPr="00ED22D1">
        <w:rPr>
          <w:lang w:val="fr-CA"/>
        </w:rPr>
        <w:t> </w:t>
      </w:r>
      <w:r w:rsidR="00DD185D" w:rsidRPr="00ED22D1">
        <w:rPr>
          <w:lang w:val="fr-CA"/>
        </w:rPr>
        <w:t>millions</w:t>
      </w:r>
      <w:r w:rsidR="0085675A" w:rsidRPr="00ED22D1">
        <w:rPr>
          <w:lang w:val="fr-CA"/>
        </w:rPr>
        <w:t> </w:t>
      </w:r>
      <w:r w:rsidR="002D2C34" w:rsidRPr="00ED22D1">
        <w:rPr>
          <w:lang w:val="fr-CA"/>
        </w:rPr>
        <w:t>d’</w:t>
      </w:r>
      <w:r w:rsidR="0085675A" w:rsidRPr="00ED22D1">
        <w:rPr>
          <w:lang w:val="fr-CA"/>
        </w:rPr>
        <w:t>unit</w:t>
      </w:r>
      <w:r w:rsidR="002D2C34" w:rsidRPr="00ED22D1">
        <w:rPr>
          <w:lang w:val="fr-CA"/>
        </w:rPr>
        <w:t>é</w:t>
      </w:r>
      <w:r w:rsidR="0085675A" w:rsidRPr="00ED22D1">
        <w:rPr>
          <w:lang w:val="fr-CA"/>
        </w:rPr>
        <w:t>s</w:t>
      </w:r>
      <w:r w:rsidR="002D2C34" w:rsidRPr="00ED22D1">
        <w:rPr>
          <w:lang w:val="fr-CA"/>
        </w:rPr>
        <w:t xml:space="preserve"> par ann</w:t>
      </w:r>
      <w:r w:rsidR="0052712E" w:rsidRPr="00ED22D1">
        <w:rPr>
          <w:lang w:val="fr-CA"/>
        </w:rPr>
        <w:t>ée</w:t>
      </w:r>
      <w:r w:rsidR="0031390F" w:rsidRPr="00ED22D1">
        <w:rPr>
          <w:lang w:val="fr-CA"/>
        </w:rPr>
        <w:t>. Le</w:t>
      </w:r>
      <w:r w:rsidR="00DD185D" w:rsidRPr="00ED22D1">
        <w:rPr>
          <w:lang w:val="fr-CA"/>
        </w:rPr>
        <w:t xml:space="preserve"> Secrétariat</w:t>
      </w:r>
      <w:r w:rsidR="0085675A" w:rsidRPr="00ED22D1">
        <w:rPr>
          <w:lang w:val="fr-CA"/>
        </w:rPr>
        <w:t xml:space="preserve"> </w:t>
      </w:r>
      <w:r w:rsidR="002D2C34" w:rsidRPr="00ED22D1">
        <w:rPr>
          <w:lang w:val="fr-CA"/>
        </w:rPr>
        <w:t xml:space="preserve">juge donc qu’il est important que les </w:t>
      </w:r>
      <w:r w:rsidR="00AE1617" w:rsidRPr="00ED22D1">
        <w:rPr>
          <w:lang w:val="fr-CA"/>
        </w:rPr>
        <w:t>surcoûts d’investissement</w:t>
      </w:r>
      <w:r w:rsidR="0085675A" w:rsidRPr="00ED22D1">
        <w:rPr>
          <w:lang w:val="fr-CA"/>
        </w:rPr>
        <w:t xml:space="preserve"> </w:t>
      </w:r>
      <w:r w:rsidR="002D2C34" w:rsidRPr="00ED22D1">
        <w:rPr>
          <w:lang w:val="fr-CA"/>
        </w:rPr>
        <w:t>ne soient pas entièrement décaissés avant que la capacité reconvertie ne soit utilisée</w:t>
      </w:r>
      <w:r w:rsidR="0085675A" w:rsidRPr="00ED22D1">
        <w:rPr>
          <w:lang w:val="fr-CA"/>
        </w:rPr>
        <w:t xml:space="preserve">. </w:t>
      </w:r>
    </w:p>
    <w:p w:rsidR="0085675A" w:rsidRPr="00ED22D1" w:rsidRDefault="005A6C23" w:rsidP="00682981">
      <w:pPr>
        <w:pStyle w:val="Heading1"/>
        <w:numPr>
          <w:ilvl w:val="0"/>
          <w:numId w:val="0"/>
        </w:numPr>
        <w:rPr>
          <w:lang w:val="fr-CA"/>
        </w:rPr>
      </w:pPr>
      <w:r w:rsidRPr="00ED22D1">
        <w:rPr>
          <w:lang w:val="fr-CA"/>
        </w:rPr>
        <w:t>22.</w:t>
      </w:r>
      <w:r w:rsidRPr="00ED22D1">
        <w:rPr>
          <w:lang w:val="fr-CA"/>
        </w:rPr>
        <w:tab/>
      </w:r>
      <w:r w:rsidR="002D2C34" w:rsidRPr="00ED22D1">
        <w:rPr>
          <w:lang w:val="fr-CA"/>
        </w:rPr>
        <w:t xml:space="preserve">On pourrait envisager d’autres approches au plan d’intéressement proposé pour les </w:t>
      </w:r>
      <w:r w:rsidR="002F6D48" w:rsidRPr="00ED22D1">
        <w:rPr>
          <w:lang w:val="fr-CA"/>
        </w:rPr>
        <w:t>surcoûts d’exploitation</w:t>
      </w:r>
      <w:r w:rsidR="0052338F" w:rsidRPr="00ED22D1">
        <w:rPr>
          <w:lang w:val="fr-CA"/>
        </w:rPr>
        <w:t>, lesquelles</w:t>
      </w:r>
      <w:r w:rsidR="002D2C34" w:rsidRPr="00ED22D1">
        <w:rPr>
          <w:lang w:val="fr-CA"/>
        </w:rPr>
        <w:t xml:space="preserve"> pourraient rendre plus durable la fabrication des circuits de </w:t>
      </w:r>
      <w:r w:rsidR="0085675A" w:rsidRPr="00ED22D1">
        <w:rPr>
          <w:lang w:val="fr-CA"/>
        </w:rPr>
        <w:t xml:space="preserve">production </w:t>
      </w:r>
      <w:r w:rsidR="002D2C34" w:rsidRPr="00ED22D1">
        <w:rPr>
          <w:lang w:val="fr-CA"/>
        </w:rPr>
        <w:t xml:space="preserve">qui ont été reconvertis </w:t>
      </w:r>
      <w:r w:rsidR="001E32FC" w:rsidRPr="00ED22D1">
        <w:rPr>
          <w:lang w:val="fr-CA"/>
        </w:rPr>
        <w:t>et qui sont actuellement inactifs en raison de la faible pénétration du marché des unités de</w:t>
      </w:r>
      <w:r w:rsidR="0052338F" w:rsidRPr="00ED22D1">
        <w:rPr>
          <w:lang w:val="fr-CA"/>
        </w:rPr>
        <w:t> </w:t>
      </w:r>
      <w:r w:rsidR="001E32FC" w:rsidRPr="00ED22D1">
        <w:rPr>
          <w:lang w:val="fr-CA"/>
        </w:rPr>
        <w:t>climatisation reconverties. Par exemple, les IOC pourraient être fournis à un tiers des valeurs proposées pour les 220</w:t>
      </w:r>
      <w:r w:rsidR="0052338F" w:rsidRPr="00ED22D1">
        <w:rPr>
          <w:lang w:val="fr-CA"/>
        </w:rPr>
        <w:t> </w:t>
      </w:r>
      <w:r w:rsidR="001E32FC" w:rsidRPr="00ED22D1">
        <w:rPr>
          <w:lang w:val="fr-CA"/>
        </w:rPr>
        <w:t>000 premières unités vendues, ce qui entraînerait un décaissement d’environ 3,7 millions $US à 6,4</w:t>
      </w:r>
      <w:r w:rsidR="00BD30CC" w:rsidRPr="00ED22D1">
        <w:rPr>
          <w:lang w:val="fr-CA"/>
        </w:rPr>
        <w:t> </w:t>
      </w:r>
      <w:r w:rsidR="001E32FC" w:rsidRPr="00ED22D1">
        <w:rPr>
          <w:lang w:val="fr-CA"/>
        </w:rPr>
        <w:t>millions $US</w:t>
      </w:r>
      <w:r w:rsidR="00682981" w:rsidRPr="00ED22D1">
        <w:rPr>
          <w:lang w:val="fr-CA"/>
        </w:rPr>
        <w:t xml:space="preserve">; </w:t>
      </w:r>
      <w:r w:rsidR="00BD30CC" w:rsidRPr="00ED22D1">
        <w:rPr>
          <w:lang w:val="fr-CA"/>
        </w:rPr>
        <w:t xml:space="preserve">les prochaines </w:t>
      </w:r>
      <w:r w:rsidR="0085675A" w:rsidRPr="00ED22D1">
        <w:rPr>
          <w:lang w:val="fr-CA"/>
        </w:rPr>
        <w:t>50</w:t>
      </w:r>
      <w:r w:rsidR="004A6828" w:rsidRPr="00ED22D1">
        <w:rPr>
          <w:lang w:val="fr-CA"/>
        </w:rPr>
        <w:t>0 </w:t>
      </w:r>
      <w:r w:rsidR="0085675A" w:rsidRPr="00ED22D1">
        <w:rPr>
          <w:lang w:val="fr-CA"/>
        </w:rPr>
        <w:t>000</w:t>
      </w:r>
      <w:r w:rsidR="002D2C34" w:rsidRPr="00ED22D1">
        <w:rPr>
          <w:lang w:val="fr-CA"/>
        </w:rPr>
        <w:t xml:space="preserve"> unités </w:t>
      </w:r>
      <w:r w:rsidR="00BD30CC" w:rsidRPr="00ED22D1">
        <w:rPr>
          <w:lang w:val="fr-CA"/>
        </w:rPr>
        <w:t>vendues pourraient recevoir des</w:t>
      </w:r>
      <w:r w:rsidR="0052338F" w:rsidRPr="00ED22D1">
        <w:rPr>
          <w:lang w:val="fr-CA"/>
        </w:rPr>
        <w:t> </w:t>
      </w:r>
      <w:r w:rsidR="00AE1617" w:rsidRPr="00ED22D1">
        <w:rPr>
          <w:lang w:val="fr-CA"/>
        </w:rPr>
        <w:t>surcoûts d’investissement</w:t>
      </w:r>
      <w:r w:rsidR="0085675A" w:rsidRPr="00ED22D1">
        <w:rPr>
          <w:lang w:val="fr-CA"/>
        </w:rPr>
        <w:t xml:space="preserve"> </w:t>
      </w:r>
      <w:r w:rsidR="00BD30CC" w:rsidRPr="00ED22D1">
        <w:rPr>
          <w:lang w:val="fr-CA"/>
        </w:rPr>
        <w:t>à un sixième de la valeur proposée</w:t>
      </w:r>
      <w:r w:rsidR="0085675A" w:rsidRPr="00ED22D1">
        <w:rPr>
          <w:lang w:val="fr-CA"/>
        </w:rPr>
        <w:t xml:space="preserve">, </w:t>
      </w:r>
      <w:r w:rsidR="00BD30CC" w:rsidRPr="00ED22D1">
        <w:rPr>
          <w:lang w:val="fr-CA"/>
        </w:rPr>
        <w:t xml:space="preserve">ce qui entraînerait un décaissement supplémentaire d’environ </w:t>
      </w:r>
      <w:r w:rsidR="004A6828" w:rsidRPr="00ED22D1">
        <w:rPr>
          <w:lang w:val="fr-CA"/>
        </w:rPr>
        <w:t>4,</w:t>
      </w:r>
      <w:r w:rsidR="0085675A" w:rsidRPr="00ED22D1">
        <w:rPr>
          <w:lang w:val="fr-CA"/>
        </w:rPr>
        <w:t>2 </w:t>
      </w:r>
      <w:r w:rsidR="00EC100C" w:rsidRPr="00ED22D1">
        <w:rPr>
          <w:lang w:val="fr-CA"/>
        </w:rPr>
        <w:t>millions $US</w:t>
      </w:r>
      <w:r w:rsidR="00BD30CC" w:rsidRPr="00ED22D1">
        <w:rPr>
          <w:lang w:val="fr-CA"/>
        </w:rPr>
        <w:t xml:space="preserve"> </w:t>
      </w:r>
      <w:r w:rsidR="004A6828" w:rsidRPr="00ED22D1">
        <w:rPr>
          <w:lang w:val="fr-CA"/>
        </w:rPr>
        <w:t>et 7,</w:t>
      </w:r>
      <w:r w:rsidR="0085675A" w:rsidRPr="00ED22D1">
        <w:rPr>
          <w:lang w:val="fr-CA"/>
        </w:rPr>
        <w:t xml:space="preserve">2 </w:t>
      </w:r>
      <w:r w:rsidR="00EC100C" w:rsidRPr="00ED22D1">
        <w:rPr>
          <w:lang w:val="fr-CA"/>
        </w:rPr>
        <w:t>millions $US;</w:t>
      </w:r>
      <w:r w:rsidR="0085675A" w:rsidRPr="00ED22D1">
        <w:rPr>
          <w:lang w:val="fr-CA"/>
        </w:rPr>
        <w:t xml:space="preserve"> </w:t>
      </w:r>
      <w:r w:rsidR="00BD30CC" w:rsidRPr="00ED22D1">
        <w:rPr>
          <w:lang w:val="fr-CA"/>
        </w:rPr>
        <w:t xml:space="preserve">les </w:t>
      </w:r>
      <w:r w:rsidR="004A6828" w:rsidRPr="00ED22D1">
        <w:rPr>
          <w:lang w:val="fr-CA"/>
        </w:rPr>
        <w:t>1 </w:t>
      </w:r>
      <w:r w:rsidR="0085675A" w:rsidRPr="00ED22D1">
        <w:rPr>
          <w:lang w:val="fr-CA"/>
        </w:rPr>
        <w:t>00</w:t>
      </w:r>
      <w:r w:rsidR="004A6828" w:rsidRPr="00ED22D1">
        <w:rPr>
          <w:lang w:val="fr-CA"/>
        </w:rPr>
        <w:t>0 </w:t>
      </w:r>
      <w:r w:rsidR="0085675A" w:rsidRPr="00ED22D1">
        <w:rPr>
          <w:lang w:val="fr-CA"/>
        </w:rPr>
        <w:t>000</w:t>
      </w:r>
      <w:r w:rsidR="002D2C34" w:rsidRPr="00ED22D1">
        <w:rPr>
          <w:lang w:val="fr-CA"/>
        </w:rPr>
        <w:t xml:space="preserve"> </w:t>
      </w:r>
      <w:r w:rsidR="00BD30CC" w:rsidRPr="00ED22D1">
        <w:rPr>
          <w:lang w:val="fr-CA"/>
        </w:rPr>
        <w:t>d’</w:t>
      </w:r>
      <w:r w:rsidR="002D2C34" w:rsidRPr="00ED22D1">
        <w:rPr>
          <w:lang w:val="fr-CA"/>
        </w:rPr>
        <w:t xml:space="preserve">unités </w:t>
      </w:r>
      <w:r w:rsidR="00BD30CC" w:rsidRPr="00ED22D1">
        <w:rPr>
          <w:lang w:val="fr-CA"/>
        </w:rPr>
        <w:t xml:space="preserve">suivantes vendues pourraient recevoir des </w:t>
      </w:r>
      <w:r w:rsidR="00AE1617" w:rsidRPr="00ED22D1">
        <w:rPr>
          <w:lang w:val="fr-CA"/>
        </w:rPr>
        <w:t>surcoûts d’investissement</w:t>
      </w:r>
      <w:r w:rsidR="0085675A" w:rsidRPr="00ED22D1">
        <w:rPr>
          <w:lang w:val="fr-CA"/>
        </w:rPr>
        <w:t xml:space="preserve"> </w:t>
      </w:r>
      <w:r w:rsidR="00BD30CC" w:rsidRPr="00ED22D1">
        <w:rPr>
          <w:lang w:val="fr-CA"/>
        </w:rPr>
        <w:t>à un douzième des valeurs proposées</w:t>
      </w:r>
      <w:r w:rsidR="0085675A" w:rsidRPr="00ED22D1">
        <w:rPr>
          <w:lang w:val="fr-CA"/>
        </w:rPr>
        <w:t xml:space="preserve"> (</w:t>
      </w:r>
      <w:r w:rsidR="00BD30CC" w:rsidRPr="00ED22D1">
        <w:rPr>
          <w:lang w:val="fr-CA"/>
        </w:rPr>
        <w:t>soit de</w:t>
      </w:r>
      <w:r w:rsidR="0052338F" w:rsidRPr="00ED22D1">
        <w:rPr>
          <w:lang w:val="fr-CA"/>
        </w:rPr>
        <w:t> </w:t>
      </w:r>
      <w:r w:rsidR="004A6828" w:rsidRPr="00ED22D1">
        <w:rPr>
          <w:lang w:val="fr-CA"/>
        </w:rPr>
        <w:t>6,</w:t>
      </w:r>
      <w:r w:rsidR="0085675A" w:rsidRPr="00ED22D1">
        <w:rPr>
          <w:lang w:val="fr-CA"/>
        </w:rPr>
        <w:t>30</w:t>
      </w:r>
      <w:r w:rsidR="00EC100C" w:rsidRPr="00ED22D1">
        <w:rPr>
          <w:lang w:val="fr-CA"/>
        </w:rPr>
        <w:t> $US/kg</w:t>
      </w:r>
      <w:r w:rsidR="004A6828" w:rsidRPr="00ED22D1">
        <w:rPr>
          <w:lang w:val="fr-CA"/>
        </w:rPr>
        <w:t xml:space="preserve"> </w:t>
      </w:r>
      <w:r w:rsidR="00BD30CC" w:rsidRPr="00ED22D1">
        <w:rPr>
          <w:lang w:val="fr-CA"/>
        </w:rPr>
        <w:t>à </w:t>
      </w:r>
      <w:r w:rsidR="004A6828" w:rsidRPr="00ED22D1">
        <w:rPr>
          <w:lang w:val="fr-CA"/>
        </w:rPr>
        <w:t>1,</w:t>
      </w:r>
      <w:r w:rsidR="0085675A" w:rsidRPr="00ED22D1">
        <w:rPr>
          <w:lang w:val="fr-CA"/>
        </w:rPr>
        <w:t>57</w:t>
      </w:r>
      <w:r w:rsidR="00EC100C" w:rsidRPr="00ED22D1">
        <w:rPr>
          <w:lang w:val="fr-CA"/>
        </w:rPr>
        <w:t> $US/kg</w:t>
      </w:r>
      <w:r w:rsidR="0085675A" w:rsidRPr="00ED22D1">
        <w:rPr>
          <w:lang w:val="fr-CA"/>
        </w:rPr>
        <w:t xml:space="preserve">), </w:t>
      </w:r>
      <w:r w:rsidR="00BD30CC" w:rsidRPr="00ED22D1">
        <w:rPr>
          <w:lang w:val="fr-CA"/>
        </w:rPr>
        <w:t xml:space="preserve">ce qui entraînerait un autre </w:t>
      </w:r>
      <w:r w:rsidR="00181884" w:rsidRPr="00ED22D1">
        <w:rPr>
          <w:lang w:val="fr-CA"/>
        </w:rPr>
        <w:t>décaissement</w:t>
      </w:r>
      <w:r w:rsidR="0085675A" w:rsidRPr="00ED22D1">
        <w:rPr>
          <w:lang w:val="fr-CA"/>
        </w:rPr>
        <w:t xml:space="preserve"> </w:t>
      </w:r>
      <w:r w:rsidR="00BD30CC" w:rsidRPr="00ED22D1">
        <w:rPr>
          <w:lang w:val="fr-CA"/>
        </w:rPr>
        <w:t>d’environ</w:t>
      </w:r>
      <w:r w:rsidR="0085675A" w:rsidRPr="00ED22D1">
        <w:rPr>
          <w:lang w:val="fr-CA"/>
        </w:rPr>
        <w:t xml:space="preserve"> </w:t>
      </w:r>
      <w:r w:rsidR="004A6828" w:rsidRPr="00ED22D1">
        <w:rPr>
          <w:lang w:val="fr-CA"/>
        </w:rPr>
        <w:t>4,</w:t>
      </w:r>
      <w:r w:rsidR="0085675A" w:rsidRPr="00ED22D1">
        <w:rPr>
          <w:lang w:val="fr-CA"/>
        </w:rPr>
        <w:t>2 </w:t>
      </w:r>
      <w:r w:rsidR="00EC100C" w:rsidRPr="00ED22D1">
        <w:rPr>
          <w:lang w:val="fr-CA"/>
        </w:rPr>
        <w:t>millions $US</w:t>
      </w:r>
      <w:r w:rsidR="00682981" w:rsidRPr="00ED22D1">
        <w:rPr>
          <w:lang w:val="fr-CA"/>
        </w:rPr>
        <w:t xml:space="preserve"> </w:t>
      </w:r>
      <w:r w:rsidR="00BD30CC" w:rsidRPr="00ED22D1">
        <w:rPr>
          <w:lang w:val="fr-CA"/>
        </w:rPr>
        <w:t>à </w:t>
      </w:r>
      <w:r w:rsidR="0085675A" w:rsidRPr="00ED22D1">
        <w:rPr>
          <w:lang w:val="fr-CA"/>
        </w:rPr>
        <w:t>US $</w:t>
      </w:r>
      <w:r w:rsidR="004A6828" w:rsidRPr="00ED22D1">
        <w:rPr>
          <w:lang w:val="fr-CA"/>
        </w:rPr>
        <w:t>7,</w:t>
      </w:r>
      <w:r w:rsidR="0085675A" w:rsidRPr="00ED22D1">
        <w:rPr>
          <w:lang w:val="fr-CA"/>
        </w:rPr>
        <w:t>2</w:t>
      </w:r>
      <w:r w:rsidR="00BD30CC" w:rsidRPr="00ED22D1">
        <w:rPr>
          <w:lang w:val="fr-CA"/>
        </w:rPr>
        <w:t> </w:t>
      </w:r>
      <w:r w:rsidR="00EC100C" w:rsidRPr="00ED22D1">
        <w:rPr>
          <w:lang w:val="fr-CA"/>
        </w:rPr>
        <w:t>millions $US;</w:t>
      </w:r>
      <w:r w:rsidR="004A6828" w:rsidRPr="00ED22D1">
        <w:rPr>
          <w:lang w:val="fr-CA"/>
        </w:rPr>
        <w:t xml:space="preserve"> et </w:t>
      </w:r>
      <w:r w:rsidR="00BD30CC" w:rsidRPr="00ED22D1">
        <w:rPr>
          <w:lang w:val="fr-CA"/>
        </w:rPr>
        <w:t xml:space="preserve">le reste des </w:t>
      </w:r>
      <w:r w:rsidR="00AE1617" w:rsidRPr="00ED22D1">
        <w:rPr>
          <w:lang w:val="fr-CA"/>
        </w:rPr>
        <w:t>surcoûts d’investissement</w:t>
      </w:r>
      <w:r w:rsidR="0085675A" w:rsidRPr="00ED22D1">
        <w:rPr>
          <w:lang w:val="fr-CA"/>
        </w:rPr>
        <w:t xml:space="preserve"> </w:t>
      </w:r>
      <w:r w:rsidR="00BD30CC" w:rsidRPr="00ED22D1">
        <w:rPr>
          <w:lang w:val="fr-CA"/>
        </w:rPr>
        <w:t>pourrait être</w:t>
      </w:r>
      <w:r w:rsidR="0085675A" w:rsidRPr="00ED22D1">
        <w:rPr>
          <w:lang w:val="fr-CA"/>
        </w:rPr>
        <w:t xml:space="preserve"> </w:t>
      </w:r>
      <w:r w:rsidR="00181884" w:rsidRPr="00ED22D1">
        <w:rPr>
          <w:lang w:val="fr-CA"/>
        </w:rPr>
        <w:t>décaissé</w:t>
      </w:r>
      <w:r w:rsidR="0085675A" w:rsidRPr="00ED22D1">
        <w:rPr>
          <w:lang w:val="fr-CA"/>
        </w:rPr>
        <w:t xml:space="preserve"> </w:t>
      </w:r>
      <w:r w:rsidR="00BD30CC" w:rsidRPr="00ED22D1">
        <w:rPr>
          <w:lang w:val="fr-CA"/>
        </w:rPr>
        <w:t>en fonction des</w:t>
      </w:r>
      <w:r w:rsidR="0085675A" w:rsidRPr="00ED22D1">
        <w:rPr>
          <w:lang w:val="fr-CA"/>
        </w:rPr>
        <w:t xml:space="preserve"> </w:t>
      </w:r>
      <w:r w:rsidR="002D2C34" w:rsidRPr="00ED22D1">
        <w:rPr>
          <w:lang w:val="fr-CA"/>
        </w:rPr>
        <w:t>ventes</w:t>
      </w:r>
      <w:r w:rsidR="0085675A" w:rsidRPr="00ED22D1">
        <w:rPr>
          <w:lang w:val="fr-CA"/>
        </w:rPr>
        <w:t xml:space="preserve"> </w:t>
      </w:r>
      <w:r w:rsidR="00BD30CC" w:rsidRPr="00ED22D1">
        <w:rPr>
          <w:lang w:val="fr-CA"/>
        </w:rPr>
        <w:t xml:space="preserve">des quelques </w:t>
      </w:r>
      <w:r w:rsidR="0085675A" w:rsidRPr="00ED22D1">
        <w:rPr>
          <w:lang w:val="fr-CA"/>
        </w:rPr>
        <w:t xml:space="preserve">5 </w:t>
      </w:r>
      <w:r w:rsidR="00EC100C" w:rsidRPr="00ED22D1">
        <w:rPr>
          <w:lang w:val="fr-CA"/>
        </w:rPr>
        <w:t>millions </w:t>
      </w:r>
      <w:r w:rsidR="00BD30CC" w:rsidRPr="00ED22D1">
        <w:rPr>
          <w:lang w:val="fr-CA"/>
        </w:rPr>
        <w:t>d’</w:t>
      </w:r>
      <w:r w:rsidR="0085675A" w:rsidRPr="00ED22D1">
        <w:rPr>
          <w:lang w:val="fr-CA"/>
        </w:rPr>
        <w:t>unit</w:t>
      </w:r>
      <w:r w:rsidR="00BD30CC" w:rsidRPr="00ED22D1">
        <w:rPr>
          <w:lang w:val="fr-CA"/>
        </w:rPr>
        <w:t>é</w:t>
      </w:r>
      <w:r w:rsidR="0085675A" w:rsidRPr="00ED22D1">
        <w:rPr>
          <w:lang w:val="fr-CA"/>
        </w:rPr>
        <w:t>s</w:t>
      </w:r>
      <w:r w:rsidR="00BD30CC" w:rsidRPr="00ED22D1">
        <w:rPr>
          <w:lang w:val="fr-CA"/>
        </w:rPr>
        <w:t xml:space="preserve"> restantes</w:t>
      </w:r>
      <w:r w:rsidR="0085675A" w:rsidRPr="00ED22D1">
        <w:rPr>
          <w:lang w:val="fr-CA"/>
        </w:rPr>
        <w:t xml:space="preserve">. </w:t>
      </w:r>
      <w:r w:rsidR="00BD30CC" w:rsidRPr="00ED22D1">
        <w:rPr>
          <w:b/>
          <w:lang w:val="fr-CA"/>
        </w:rPr>
        <w:t>D’autres méthodes pourraient être possibles</w:t>
      </w:r>
      <w:r w:rsidR="0085675A" w:rsidRPr="00ED22D1">
        <w:rPr>
          <w:b/>
          <w:lang w:val="fr-CA"/>
        </w:rPr>
        <w:t>.</w:t>
      </w:r>
      <w:r w:rsidR="0085675A" w:rsidRPr="00ED22D1">
        <w:rPr>
          <w:lang w:val="fr-CA"/>
        </w:rPr>
        <w:t xml:space="preserve"> </w:t>
      </w:r>
    </w:p>
    <w:p w:rsidR="0085675A" w:rsidRPr="00ED22D1" w:rsidRDefault="00BD30CC" w:rsidP="0085675A">
      <w:pPr>
        <w:rPr>
          <w:u w:val="single"/>
          <w:lang w:val="fr-CA"/>
        </w:rPr>
      </w:pPr>
      <w:r w:rsidRPr="00ED22D1">
        <w:rPr>
          <w:u w:val="single"/>
          <w:lang w:val="fr-CA"/>
        </w:rPr>
        <w:t>Prolongement de la date d’achèvement du projet</w:t>
      </w:r>
    </w:p>
    <w:p w:rsidR="0085675A" w:rsidRPr="00ED22D1" w:rsidRDefault="0085675A" w:rsidP="0085675A">
      <w:pPr>
        <w:rPr>
          <w:lang w:val="fr-CA"/>
        </w:rPr>
      </w:pPr>
    </w:p>
    <w:p w:rsidR="0085675A" w:rsidRPr="00ED22D1" w:rsidRDefault="005A6C23" w:rsidP="005A6C23">
      <w:pPr>
        <w:pStyle w:val="Heading1"/>
        <w:numPr>
          <w:ilvl w:val="0"/>
          <w:numId w:val="0"/>
        </w:numPr>
        <w:rPr>
          <w:b/>
          <w:lang w:val="fr-CA"/>
        </w:rPr>
      </w:pPr>
      <w:r w:rsidRPr="00ED22D1">
        <w:rPr>
          <w:lang w:val="fr-CA"/>
        </w:rPr>
        <w:t>23.</w:t>
      </w:r>
      <w:r w:rsidRPr="00ED22D1">
        <w:rPr>
          <w:lang w:val="fr-CA"/>
        </w:rPr>
        <w:tab/>
      </w:r>
      <w:r w:rsidR="00BD30CC" w:rsidRPr="00ED22D1">
        <w:rPr>
          <w:lang w:val="fr-CA"/>
        </w:rPr>
        <w:t>La d</w:t>
      </w:r>
      <w:r w:rsidR="00AA6E77" w:rsidRPr="00ED22D1">
        <w:rPr>
          <w:lang w:val="fr-CA"/>
        </w:rPr>
        <w:t>écision</w:t>
      </w:r>
      <w:r w:rsidR="0085675A" w:rsidRPr="00ED22D1">
        <w:rPr>
          <w:lang w:val="fr-CA"/>
        </w:rPr>
        <w:t> 75/57</w:t>
      </w:r>
      <w:r w:rsidR="00BD30CC" w:rsidRPr="00ED22D1">
        <w:rPr>
          <w:lang w:val="fr-CA"/>
        </w:rPr>
        <w:t> </w:t>
      </w:r>
      <w:r w:rsidR="0085675A" w:rsidRPr="00ED22D1">
        <w:rPr>
          <w:lang w:val="fr-CA"/>
        </w:rPr>
        <w:t xml:space="preserve">b) </w:t>
      </w:r>
      <w:r w:rsidR="00BD30CC" w:rsidRPr="00ED22D1">
        <w:rPr>
          <w:lang w:val="fr-CA"/>
        </w:rPr>
        <w:t xml:space="preserve">exige la présentation de l’achèvement du projet de </w:t>
      </w:r>
      <w:r w:rsidR="004A6828" w:rsidRPr="00ED22D1">
        <w:rPr>
          <w:lang w:val="fr-CA"/>
        </w:rPr>
        <w:t>climatiseurs résidentiels</w:t>
      </w:r>
      <w:r w:rsidR="00BD30CC" w:rsidRPr="00ED22D1">
        <w:rPr>
          <w:lang w:val="fr-CA"/>
        </w:rPr>
        <w:t xml:space="preserve"> de la phase I six mois après l’achèvement opérationnel du plan du secteur, et au plus tard la réunion finale du </w:t>
      </w:r>
      <w:r w:rsidR="00DD185D" w:rsidRPr="00ED22D1">
        <w:rPr>
          <w:lang w:val="fr-CA"/>
        </w:rPr>
        <w:t>Comité exécutif</w:t>
      </w:r>
      <w:r w:rsidR="0085675A" w:rsidRPr="00ED22D1">
        <w:rPr>
          <w:lang w:val="fr-CA"/>
        </w:rPr>
        <w:t xml:space="preserve"> </w:t>
      </w:r>
      <w:r w:rsidR="0052712E" w:rsidRPr="00ED22D1">
        <w:rPr>
          <w:lang w:val="fr-CA"/>
        </w:rPr>
        <w:t>en 20</w:t>
      </w:r>
      <w:r w:rsidR="0085675A" w:rsidRPr="00ED22D1">
        <w:rPr>
          <w:lang w:val="fr-CA"/>
        </w:rPr>
        <w:t>1</w:t>
      </w:r>
      <w:r w:rsidR="004A6828" w:rsidRPr="00ED22D1">
        <w:rPr>
          <w:lang w:val="fr-CA"/>
        </w:rPr>
        <w:t>9</w:t>
      </w:r>
      <w:r w:rsidR="00BD30CC" w:rsidRPr="00ED22D1">
        <w:rPr>
          <w:lang w:val="fr-CA"/>
        </w:rPr>
        <w:t>.</w:t>
      </w:r>
      <w:r w:rsidR="0085675A" w:rsidRPr="00ED22D1">
        <w:rPr>
          <w:lang w:val="fr-CA"/>
        </w:rPr>
        <w:t xml:space="preserve"> </w:t>
      </w:r>
      <w:r w:rsidR="00E71388" w:rsidRPr="00ED22D1">
        <w:rPr>
          <w:lang w:val="fr-CA"/>
        </w:rPr>
        <w:t xml:space="preserve">Sur la base du plan d’intéressement des </w:t>
      </w:r>
      <w:r w:rsidR="002F6D48" w:rsidRPr="00ED22D1">
        <w:rPr>
          <w:lang w:val="fr-CA"/>
        </w:rPr>
        <w:t xml:space="preserve">surcoûts d’exploitation </w:t>
      </w:r>
      <w:r w:rsidR="0085675A" w:rsidRPr="00ED22D1">
        <w:rPr>
          <w:lang w:val="fr-CA"/>
        </w:rPr>
        <w:t>propos</w:t>
      </w:r>
      <w:r w:rsidR="00E71388" w:rsidRPr="00ED22D1">
        <w:rPr>
          <w:lang w:val="fr-CA"/>
        </w:rPr>
        <w:t>é</w:t>
      </w:r>
      <w:r w:rsidR="0085675A" w:rsidRPr="00ED22D1">
        <w:rPr>
          <w:lang w:val="fr-CA"/>
        </w:rPr>
        <w:t xml:space="preserve">, </w:t>
      </w:r>
      <w:r w:rsidR="00921BDE" w:rsidRPr="00ED22D1">
        <w:rPr>
          <w:lang w:val="fr-CA"/>
        </w:rPr>
        <w:t>le</w:t>
      </w:r>
      <w:r w:rsidR="0052338F" w:rsidRPr="00ED22D1">
        <w:rPr>
          <w:lang w:val="fr-CA"/>
        </w:rPr>
        <w:t> </w:t>
      </w:r>
      <w:r w:rsidR="00921BDE" w:rsidRPr="00ED22D1">
        <w:rPr>
          <w:lang w:val="fr-CA"/>
        </w:rPr>
        <w:t>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E71388" w:rsidRPr="00ED22D1">
        <w:rPr>
          <w:lang w:val="fr-CA"/>
        </w:rPr>
        <w:t xml:space="preserve">n’a pas jugé qu’un prolongement </w:t>
      </w:r>
      <w:r w:rsidR="00962539">
        <w:rPr>
          <w:lang w:val="fr-CA"/>
        </w:rPr>
        <w:t>soit</w:t>
      </w:r>
      <w:r w:rsidR="00E71388" w:rsidRPr="00ED22D1">
        <w:rPr>
          <w:lang w:val="fr-CA"/>
        </w:rPr>
        <w:t xml:space="preserve"> requis</w:t>
      </w:r>
      <w:r w:rsidR="0031390F" w:rsidRPr="00ED22D1">
        <w:rPr>
          <w:lang w:val="fr-CA"/>
        </w:rPr>
        <w:t>. Le</w:t>
      </w:r>
      <w:r w:rsidR="00DD185D" w:rsidRPr="00ED22D1">
        <w:rPr>
          <w:lang w:val="fr-CA"/>
        </w:rPr>
        <w:t xml:space="preserve"> Secrétariat</w:t>
      </w:r>
      <w:r w:rsidR="0085675A" w:rsidRPr="00ED22D1">
        <w:rPr>
          <w:lang w:val="fr-CA"/>
        </w:rPr>
        <w:t xml:space="preserve"> </w:t>
      </w:r>
      <w:r w:rsidR="00E71388" w:rsidRPr="00ED22D1">
        <w:rPr>
          <w:lang w:val="fr-CA"/>
        </w:rPr>
        <w:t xml:space="preserve">ne juge pas réaliste que les </w:t>
      </w:r>
      <w:r w:rsidR="002D2C34" w:rsidRPr="00ED22D1">
        <w:rPr>
          <w:lang w:val="fr-CA"/>
        </w:rPr>
        <w:t>ventes</w:t>
      </w:r>
      <w:r w:rsidR="0085675A" w:rsidRPr="00ED22D1">
        <w:rPr>
          <w:lang w:val="fr-CA"/>
        </w:rPr>
        <w:t xml:space="preserve"> </w:t>
      </w:r>
      <w:r w:rsidR="00E71388" w:rsidRPr="00ED22D1">
        <w:rPr>
          <w:lang w:val="fr-CA"/>
        </w:rPr>
        <w:t>de</w:t>
      </w:r>
      <w:r w:rsidR="0085675A" w:rsidRPr="00ED22D1">
        <w:rPr>
          <w:lang w:val="fr-CA"/>
        </w:rPr>
        <w:t xml:space="preserve"> </w:t>
      </w:r>
      <w:r w:rsidR="00E71388" w:rsidRPr="00ED22D1">
        <w:rPr>
          <w:lang w:val="fr-CA"/>
        </w:rPr>
        <w:t xml:space="preserve">climatiseurs biblocs avec </w:t>
      </w:r>
      <w:r w:rsidR="0085675A" w:rsidRPr="00ED22D1">
        <w:rPr>
          <w:lang w:val="fr-CA"/>
        </w:rPr>
        <w:t>R</w:t>
      </w:r>
      <w:r w:rsidR="0085675A" w:rsidRPr="00ED22D1">
        <w:rPr>
          <w:lang w:val="fr-CA"/>
        </w:rPr>
        <w:noBreakHyphen/>
        <w:t xml:space="preserve">290 </w:t>
      </w:r>
      <w:r w:rsidR="00E71388" w:rsidRPr="00ED22D1">
        <w:rPr>
          <w:lang w:val="fr-CA"/>
        </w:rPr>
        <w:t>atteindront sept</w:t>
      </w:r>
      <w:r w:rsidR="0085675A" w:rsidRPr="00ED22D1">
        <w:rPr>
          <w:lang w:val="fr-CA"/>
        </w:rPr>
        <w:t> </w:t>
      </w:r>
      <w:r w:rsidR="00DD185D" w:rsidRPr="00ED22D1">
        <w:rPr>
          <w:lang w:val="fr-CA"/>
        </w:rPr>
        <w:t>millions</w:t>
      </w:r>
      <w:r w:rsidR="0085675A" w:rsidRPr="00ED22D1">
        <w:rPr>
          <w:lang w:val="fr-CA"/>
        </w:rPr>
        <w:t xml:space="preserve"> </w:t>
      </w:r>
      <w:r w:rsidR="00E71388" w:rsidRPr="00ED22D1">
        <w:rPr>
          <w:lang w:val="fr-CA"/>
        </w:rPr>
        <w:t xml:space="preserve">avant la dernière réunion de </w:t>
      </w:r>
      <w:r w:rsidR="0085675A" w:rsidRPr="00ED22D1">
        <w:rPr>
          <w:lang w:val="fr-CA"/>
        </w:rPr>
        <w:t>201</w:t>
      </w:r>
      <w:r w:rsidR="004A6828" w:rsidRPr="00ED22D1">
        <w:rPr>
          <w:lang w:val="fr-CA"/>
        </w:rPr>
        <w:t>9</w:t>
      </w:r>
      <w:r w:rsidR="00E71388" w:rsidRPr="00ED22D1">
        <w:rPr>
          <w:lang w:val="fr-CA"/>
        </w:rPr>
        <w:t>.</w:t>
      </w:r>
      <w:r w:rsidR="0085675A" w:rsidRPr="00ED22D1">
        <w:rPr>
          <w:lang w:val="fr-CA"/>
        </w:rPr>
        <w:t xml:space="preserve"> </w:t>
      </w:r>
      <w:r w:rsidR="00E71388" w:rsidRPr="00ED22D1">
        <w:rPr>
          <w:b/>
          <w:lang w:val="fr-CA"/>
        </w:rPr>
        <w:t>S</w:t>
      </w:r>
      <w:r w:rsidR="0085675A" w:rsidRPr="00ED22D1">
        <w:rPr>
          <w:b/>
          <w:lang w:val="fr-CA"/>
        </w:rPr>
        <w:t>e</w:t>
      </w:r>
      <w:r w:rsidR="00E71388" w:rsidRPr="00ED22D1">
        <w:rPr>
          <w:b/>
          <w:lang w:val="fr-CA"/>
        </w:rPr>
        <w:t xml:space="preserve">lon le plan d’intéressement des </w:t>
      </w:r>
      <w:r w:rsidR="002F6D48" w:rsidRPr="00ED22D1">
        <w:rPr>
          <w:b/>
          <w:lang w:val="fr-CA"/>
        </w:rPr>
        <w:t xml:space="preserve">surcoûts d’exploitation </w:t>
      </w:r>
      <w:r w:rsidR="00E71388" w:rsidRPr="00ED22D1">
        <w:rPr>
          <w:b/>
          <w:lang w:val="fr-CA"/>
        </w:rPr>
        <w:t>utilisé</w:t>
      </w:r>
      <w:r w:rsidR="0085675A" w:rsidRPr="00ED22D1">
        <w:rPr>
          <w:b/>
          <w:lang w:val="fr-CA"/>
        </w:rPr>
        <w:t xml:space="preserve">, </w:t>
      </w:r>
      <w:r w:rsidR="00E71388" w:rsidRPr="00ED22D1">
        <w:rPr>
          <w:b/>
          <w:lang w:val="fr-CA"/>
        </w:rPr>
        <w:t>l’achèvement du</w:t>
      </w:r>
      <w:r w:rsidR="0052338F" w:rsidRPr="00ED22D1">
        <w:rPr>
          <w:b/>
          <w:lang w:val="fr-CA"/>
        </w:rPr>
        <w:t> </w:t>
      </w:r>
      <w:r w:rsidR="00E71388" w:rsidRPr="00ED22D1">
        <w:rPr>
          <w:b/>
          <w:lang w:val="fr-CA"/>
        </w:rPr>
        <w:t>projet pourrait devoir être prolongé</w:t>
      </w:r>
      <w:r w:rsidR="0085675A" w:rsidRPr="00ED22D1">
        <w:rPr>
          <w:b/>
          <w:lang w:val="fr-CA"/>
        </w:rPr>
        <w:t xml:space="preserve">. </w:t>
      </w:r>
    </w:p>
    <w:p w:rsidR="0085675A" w:rsidRPr="00ED22D1" w:rsidRDefault="0085675A" w:rsidP="0085675A">
      <w:pPr>
        <w:rPr>
          <w:u w:val="single"/>
          <w:lang w:val="fr-CA"/>
        </w:rPr>
      </w:pPr>
      <w:r w:rsidRPr="00ED22D1">
        <w:rPr>
          <w:u w:val="single"/>
          <w:lang w:val="fr-CA"/>
        </w:rPr>
        <w:t xml:space="preserve">Conclusion </w:t>
      </w:r>
    </w:p>
    <w:p w:rsidR="0085675A" w:rsidRPr="00ED22D1" w:rsidRDefault="0085675A" w:rsidP="0085675A">
      <w:pPr>
        <w:rPr>
          <w:lang w:val="fr-CA"/>
        </w:rPr>
      </w:pPr>
    </w:p>
    <w:p w:rsidR="0085675A" w:rsidRPr="00ED22D1" w:rsidRDefault="005A6C23" w:rsidP="005A6C23">
      <w:pPr>
        <w:pStyle w:val="Heading1"/>
        <w:numPr>
          <w:ilvl w:val="0"/>
          <w:numId w:val="0"/>
        </w:numPr>
        <w:rPr>
          <w:lang w:val="fr-CA"/>
        </w:rPr>
      </w:pPr>
      <w:r w:rsidRPr="00ED22D1">
        <w:rPr>
          <w:lang w:val="fr-CA"/>
        </w:rPr>
        <w:t>24.</w:t>
      </w:r>
      <w:r w:rsidRPr="00ED22D1">
        <w:rPr>
          <w:lang w:val="fr-CA"/>
        </w:rPr>
        <w:tab/>
      </w:r>
      <w:r w:rsidR="00E71388" w:rsidRPr="00ED22D1">
        <w:rPr>
          <w:lang w:val="fr-CA"/>
        </w:rPr>
        <w:t>Le</w:t>
      </w:r>
      <w:r w:rsidR="004A6828" w:rsidRPr="00ED22D1">
        <w:rPr>
          <w:lang w:val="fr-CA"/>
        </w:rPr>
        <w:t xml:space="preserve"> </w:t>
      </w:r>
      <w:r w:rsidR="00E71388" w:rsidRPr="00ED22D1">
        <w:rPr>
          <w:lang w:val="fr-CA"/>
        </w:rPr>
        <w:t xml:space="preserve">plan du </w:t>
      </w:r>
      <w:r w:rsidR="00DE118B" w:rsidRPr="00ED22D1">
        <w:rPr>
          <w:lang w:val="fr-CA"/>
        </w:rPr>
        <w:t>secteur des climatiseurs résidentiels</w:t>
      </w:r>
      <w:r w:rsidR="0085675A" w:rsidRPr="00ED22D1">
        <w:rPr>
          <w:lang w:val="fr-CA"/>
        </w:rPr>
        <w:t xml:space="preserve"> </w:t>
      </w:r>
      <w:r w:rsidR="00E71388" w:rsidRPr="00ED22D1">
        <w:rPr>
          <w:lang w:val="fr-CA"/>
        </w:rPr>
        <w:t>continue d’avancer</w:t>
      </w:r>
      <w:r w:rsidR="0085675A" w:rsidRPr="00ED22D1">
        <w:rPr>
          <w:lang w:val="fr-CA"/>
        </w:rPr>
        <w:t xml:space="preserve">, </w:t>
      </w:r>
      <w:r w:rsidR="00E71388" w:rsidRPr="00ED22D1">
        <w:rPr>
          <w:lang w:val="fr-CA"/>
        </w:rPr>
        <w:t xml:space="preserve">avec </w:t>
      </w:r>
      <w:r w:rsidR="0052338F" w:rsidRPr="00ED22D1">
        <w:rPr>
          <w:lang w:val="fr-CA"/>
        </w:rPr>
        <w:t xml:space="preserve">la reconstruction achevée de </w:t>
      </w:r>
      <w:r w:rsidR="0085675A" w:rsidRPr="00ED22D1">
        <w:rPr>
          <w:b/>
          <w:lang w:val="fr-CA"/>
        </w:rPr>
        <w:t>17</w:t>
      </w:r>
      <w:r w:rsidR="0052338F" w:rsidRPr="00ED22D1">
        <w:rPr>
          <w:b/>
          <w:lang w:val="fr-CA"/>
        </w:rPr>
        <w:t> </w:t>
      </w:r>
      <w:r w:rsidR="00E71388" w:rsidRPr="00ED22D1">
        <w:rPr>
          <w:lang w:val="fr-CA"/>
        </w:rPr>
        <w:t xml:space="preserve">circuits de climatiseurs avec </w:t>
      </w:r>
      <w:r w:rsidR="0085675A" w:rsidRPr="00ED22D1">
        <w:rPr>
          <w:lang w:val="fr-CA"/>
        </w:rPr>
        <w:t xml:space="preserve">R-290, </w:t>
      </w:r>
      <w:r w:rsidR="00E71388" w:rsidRPr="00ED22D1">
        <w:rPr>
          <w:lang w:val="fr-CA"/>
        </w:rPr>
        <w:t>huit</w:t>
      </w:r>
      <w:r w:rsidR="0085675A" w:rsidRPr="00ED22D1">
        <w:rPr>
          <w:lang w:val="fr-CA"/>
        </w:rPr>
        <w:t xml:space="preserve"> </w:t>
      </w:r>
      <w:r w:rsidR="00E71388" w:rsidRPr="00ED22D1">
        <w:rPr>
          <w:lang w:val="fr-CA"/>
        </w:rPr>
        <w:t xml:space="preserve">circuits de climatiseurs avec </w:t>
      </w:r>
      <w:r w:rsidR="0085675A" w:rsidRPr="00ED22D1">
        <w:rPr>
          <w:lang w:val="fr-CA"/>
        </w:rPr>
        <w:t>R-410A,</w:t>
      </w:r>
      <w:r w:rsidR="004A6828" w:rsidRPr="00ED22D1">
        <w:rPr>
          <w:lang w:val="fr-CA"/>
        </w:rPr>
        <w:t xml:space="preserve"> et </w:t>
      </w:r>
      <w:r w:rsidR="00E71388" w:rsidRPr="00ED22D1">
        <w:rPr>
          <w:lang w:val="fr-CA"/>
        </w:rPr>
        <w:t>trois circuits de compresseurs avec </w:t>
      </w:r>
      <w:r w:rsidR="0085675A" w:rsidRPr="00ED22D1">
        <w:rPr>
          <w:lang w:val="fr-CA"/>
        </w:rPr>
        <w:t>R</w:t>
      </w:r>
      <w:r w:rsidR="0085675A" w:rsidRPr="00ED22D1">
        <w:rPr>
          <w:lang w:val="fr-CA"/>
        </w:rPr>
        <w:noBreakHyphen/>
        <w:t xml:space="preserve">290. </w:t>
      </w:r>
      <w:r w:rsidR="00E71388" w:rsidRPr="00ED22D1">
        <w:rPr>
          <w:lang w:val="fr-CA"/>
        </w:rPr>
        <w:t xml:space="preserve">La quantité totale </w:t>
      </w:r>
      <w:r w:rsidR="0052338F" w:rsidRPr="00ED22D1">
        <w:rPr>
          <w:lang w:val="fr-CA"/>
        </w:rPr>
        <w:t xml:space="preserve">éliminée par </w:t>
      </w:r>
      <w:r w:rsidR="00E71388" w:rsidRPr="00ED22D1">
        <w:rPr>
          <w:lang w:val="fr-CA"/>
        </w:rPr>
        <w:t xml:space="preserve">tous les circuits du secteur qui ont signé des contrats est de </w:t>
      </w:r>
      <w:r w:rsidR="0085675A" w:rsidRPr="00ED22D1">
        <w:rPr>
          <w:lang w:val="fr-CA"/>
        </w:rPr>
        <w:t>1</w:t>
      </w:r>
      <w:r w:rsidR="004A6828" w:rsidRPr="00ED22D1">
        <w:rPr>
          <w:lang w:val="fr-CA"/>
        </w:rPr>
        <w:t>0 </w:t>
      </w:r>
      <w:r w:rsidR="0085675A" w:rsidRPr="00ED22D1">
        <w:rPr>
          <w:lang w:val="fr-CA"/>
        </w:rPr>
        <w:t>81</w:t>
      </w:r>
      <w:r w:rsidR="004A6828" w:rsidRPr="00ED22D1">
        <w:rPr>
          <w:lang w:val="fr-CA"/>
        </w:rPr>
        <w:t>3,</w:t>
      </w:r>
      <w:r w:rsidR="0085675A" w:rsidRPr="00ED22D1">
        <w:rPr>
          <w:lang w:val="fr-CA"/>
        </w:rPr>
        <w:t>8</w:t>
      </w:r>
      <w:r w:rsidR="004B666A" w:rsidRPr="00ED22D1">
        <w:rPr>
          <w:lang w:val="fr-CA"/>
        </w:rPr>
        <w:t xml:space="preserve"> tm </w:t>
      </w:r>
      <w:r w:rsidR="00E71388" w:rsidRPr="00ED22D1">
        <w:rPr>
          <w:lang w:val="fr-CA"/>
        </w:rPr>
        <w:t>de</w:t>
      </w:r>
      <w:r w:rsidR="0085675A" w:rsidRPr="00ED22D1">
        <w:rPr>
          <w:lang w:val="fr-CA"/>
        </w:rPr>
        <w:t xml:space="preserve"> HCFC-2</w:t>
      </w:r>
      <w:r w:rsidR="004A6828" w:rsidRPr="00ED22D1">
        <w:rPr>
          <w:lang w:val="fr-CA"/>
        </w:rPr>
        <w:t>2</w:t>
      </w:r>
      <w:r w:rsidR="00E71388" w:rsidRPr="00ED22D1">
        <w:rPr>
          <w:lang w:val="fr-CA"/>
        </w:rPr>
        <w:t>,</w:t>
      </w:r>
      <w:r w:rsidR="004A6828" w:rsidRPr="00ED22D1">
        <w:rPr>
          <w:lang w:val="fr-CA"/>
        </w:rPr>
        <w:t> </w:t>
      </w:r>
      <w:r w:rsidR="00E71388" w:rsidRPr="00ED22D1">
        <w:rPr>
          <w:lang w:val="fr-CA"/>
        </w:rPr>
        <w:t xml:space="preserve">ce qui est supérieur à l’élimination anticipée de </w:t>
      </w:r>
      <w:r w:rsidR="0085675A" w:rsidRPr="00ED22D1">
        <w:rPr>
          <w:lang w:val="fr-CA"/>
        </w:rPr>
        <w:t>1</w:t>
      </w:r>
      <w:r w:rsidR="004A6828" w:rsidRPr="00ED22D1">
        <w:rPr>
          <w:lang w:val="fr-CA"/>
        </w:rPr>
        <w:t>0 </w:t>
      </w:r>
      <w:r w:rsidR="0085675A" w:rsidRPr="00ED22D1">
        <w:rPr>
          <w:lang w:val="fr-CA"/>
        </w:rPr>
        <w:t>670</w:t>
      </w:r>
      <w:r w:rsidR="0052338F" w:rsidRPr="00ED22D1">
        <w:rPr>
          <w:lang w:val="fr-CA"/>
        </w:rPr>
        <w:t> </w:t>
      </w:r>
      <w:r w:rsidR="004B666A" w:rsidRPr="00ED22D1">
        <w:rPr>
          <w:lang w:val="fr-CA"/>
        </w:rPr>
        <w:t xml:space="preserve">tm </w:t>
      </w:r>
      <w:r w:rsidR="00E71388" w:rsidRPr="00ED22D1">
        <w:rPr>
          <w:lang w:val="fr-CA"/>
        </w:rPr>
        <w:t xml:space="preserve">de la </w:t>
      </w:r>
      <w:r w:rsidR="004A6828" w:rsidRPr="00ED22D1">
        <w:rPr>
          <w:lang w:val="fr-CA"/>
        </w:rPr>
        <w:t xml:space="preserve">phase </w:t>
      </w:r>
      <w:r w:rsidR="0085675A" w:rsidRPr="00ED22D1">
        <w:rPr>
          <w:lang w:val="fr-CA"/>
        </w:rPr>
        <w:t>I</w:t>
      </w:r>
      <w:r w:rsidR="0031390F" w:rsidRPr="00ED22D1">
        <w:rPr>
          <w:lang w:val="fr-CA"/>
        </w:rPr>
        <w:t>. Le</w:t>
      </w:r>
      <w:r w:rsidR="00E71388" w:rsidRPr="00ED22D1">
        <w:rPr>
          <w:lang w:val="fr-CA"/>
        </w:rPr>
        <w:t xml:space="preserve"> projet de démonstration</w:t>
      </w:r>
      <w:r w:rsidR="0085675A" w:rsidRPr="00ED22D1">
        <w:rPr>
          <w:lang w:val="fr-CA"/>
        </w:rPr>
        <w:t xml:space="preserve"> </w:t>
      </w:r>
      <w:r w:rsidR="00E71388" w:rsidRPr="00ED22D1">
        <w:rPr>
          <w:lang w:val="fr-CA"/>
        </w:rPr>
        <w:t>à</w:t>
      </w:r>
      <w:r w:rsidR="0085675A" w:rsidRPr="00ED22D1">
        <w:rPr>
          <w:lang w:val="fr-CA"/>
        </w:rPr>
        <w:t xml:space="preserve"> Midea </w:t>
      </w:r>
      <w:r w:rsidR="00E71388" w:rsidRPr="00ED22D1">
        <w:rPr>
          <w:lang w:val="fr-CA"/>
        </w:rPr>
        <w:t xml:space="preserve">a </w:t>
      </w:r>
      <w:r w:rsidR="00DC23B2" w:rsidRPr="00ED22D1">
        <w:rPr>
          <w:lang w:val="fr-CA"/>
        </w:rPr>
        <w:t>éliminé</w:t>
      </w:r>
      <w:r w:rsidR="00E71388" w:rsidRPr="00ED22D1">
        <w:rPr>
          <w:lang w:val="fr-CA"/>
        </w:rPr>
        <w:t xml:space="preserve"> </w:t>
      </w:r>
      <w:r w:rsidR="0085675A" w:rsidRPr="00ED22D1">
        <w:rPr>
          <w:lang w:val="fr-CA"/>
        </w:rPr>
        <w:t>240</w:t>
      </w:r>
      <w:r w:rsidR="004B666A" w:rsidRPr="00ED22D1">
        <w:rPr>
          <w:lang w:val="fr-CA"/>
        </w:rPr>
        <w:t xml:space="preserve"> tm </w:t>
      </w:r>
      <w:r w:rsidR="00E71388" w:rsidRPr="00ED22D1">
        <w:rPr>
          <w:lang w:val="fr-CA"/>
        </w:rPr>
        <w:t>supplémentaires de</w:t>
      </w:r>
      <w:r w:rsidR="0085675A" w:rsidRPr="00ED22D1">
        <w:rPr>
          <w:lang w:val="fr-CA"/>
        </w:rPr>
        <w:t xml:space="preserve"> HCFC</w:t>
      </w:r>
      <w:r w:rsidR="0052338F" w:rsidRPr="00ED22D1">
        <w:rPr>
          <w:lang w:val="fr-CA"/>
        </w:rPr>
        <w:noBreakHyphen/>
      </w:r>
      <w:r w:rsidR="0085675A" w:rsidRPr="00ED22D1">
        <w:rPr>
          <w:lang w:val="fr-CA"/>
        </w:rPr>
        <w:t>2</w:t>
      </w:r>
      <w:r w:rsidR="004A6828" w:rsidRPr="00ED22D1">
        <w:rPr>
          <w:lang w:val="fr-CA"/>
        </w:rPr>
        <w:t>2</w:t>
      </w:r>
      <w:r w:rsidR="0031390F" w:rsidRPr="00ED22D1">
        <w:rPr>
          <w:lang w:val="fr-CA"/>
        </w:rPr>
        <w:t>. Le</w:t>
      </w:r>
      <w:r w:rsidR="00E71388" w:rsidRPr="00ED22D1">
        <w:rPr>
          <w:lang w:val="fr-CA"/>
        </w:rPr>
        <w:t xml:space="preserve"> </w:t>
      </w:r>
      <w:r w:rsidR="00181884" w:rsidRPr="00ED22D1">
        <w:rPr>
          <w:lang w:val="fr-CA"/>
        </w:rPr>
        <w:t>décaissement</w:t>
      </w:r>
      <w:r w:rsidR="0085675A" w:rsidRPr="00ED22D1">
        <w:rPr>
          <w:lang w:val="fr-CA"/>
        </w:rPr>
        <w:t xml:space="preserve"> </w:t>
      </w:r>
      <w:r w:rsidR="00E71388" w:rsidRPr="00ED22D1">
        <w:rPr>
          <w:lang w:val="fr-CA"/>
        </w:rPr>
        <w:t>d</w:t>
      </w:r>
      <w:r w:rsidR="00F320D6" w:rsidRPr="00ED22D1">
        <w:rPr>
          <w:lang w:val="fr-CA"/>
        </w:rPr>
        <w:t>u</w:t>
      </w:r>
      <w:r w:rsidR="00E71388" w:rsidRPr="00ED22D1">
        <w:rPr>
          <w:lang w:val="fr-CA"/>
        </w:rPr>
        <w:t xml:space="preserve"> </w:t>
      </w:r>
      <w:r w:rsidR="0085675A" w:rsidRPr="00ED22D1">
        <w:rPr>
          <w:lang w:val="fr-CA"/>
        </w:rPr>
        <w:t xml:space="preserve">FECO </w:t>
      </w:r>
      <w:r w:rsidR="00E71388" w:rsidRPr="00ED22D1">
        <w:rPr>
          <w:lang w:val="fr-CA"/>
        </w:rPr>
        <w:t xml:space="preserve">aux bénéficiaires finals est de </w:t>
      </w:r>
      <w:r w:rsidR="0085675A" w:rsidRPr="00ED22D1">
        <w:rPr>
          <w:lang w:val="fr-CA"/>
        </w:rPr>
        <w:t>62 </w:t>
      </w:r>
      <w:r w:rsidR="001B31BF" w:rsidRPr="00ED22D1">
        <w:rPr>
          <w:lang w:val="fr-CA"/>
        </w:rPr>
        <w:t>pour cent</w:t>
      </w:r>
      <w:r w:rsidR="0085675A" w:rsidRPr="00ED22D1">
        <w:rPr>
          <w:lang w:val="fr-CA"/>
        </w:rPr>
        <w:t xml:space="preserve">. </w:t>
      </w:r>
      <w:r w:rsidR="00E71388" w:rsidRPr="00ED22D1">
        <w:rPr>
          <w:lang w:val="fr-CA"/>
        </w:rPr>
        <w:t xml:space="preserve">Nonobstant les efforts continus et louables du </w:t>
      </w:r>
      <w:r w:rsidR="00921BDE" w:rsidRPr="00ED22D1">
        <w:rPr>
          <w:lang w:val="fr-CA"/>
        </w:rPr>
        <w:t>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E71388" w:rsidRPr="00ED22D1">
        <w:rPr>
          <w:lang w:val="fr-CA"/>
        </w:rPr>
        <w:t xml:space="preserve">la </w:t>
      </w:r>
      <w:r w:rsidR="0085675A" w:rsidRPr="00ED22D1">
        <w:rPr>
          <w:lang w:val="fr-CA"/>
        </w:rPr>
        <w:t xml:space="preserve">CHEAA, </w:t>
      </w:r>
      <w:r w:rsidR="00E71388" w:rsidRPr="00ED22D1">
        <w:rPr>
          <w:lang w:val="fr-CA"/>
        </w:rPr>
        <w:t>l’industrie</w:t>
      </w:r>
      <w:r w:rsidR="004A6828" w:rsidRPr="00ED22D1">
        <w:rPr>
          <w:lang w:val="fr-CA"/>
        </w:rPr>
        <w:t xml:space="preserve"> et</w:t>
      </w:r>
      <w:r w:rsidR="001F19C1" w:rsidRPr="00ED22D1">
        <w:rPr>
          <w:lang w:val="fr-CA"/>
        </w:rPr>
        <w:t xml:space="preserve"> l’ONUDI</w:t>
      </w:r>
      <w:r w:rsidR="0085675A" w:rsidRPr="00ED22D1">
        <w:rPr>
          <w:lang w:val="fr-CA"/>
        </w:rPr>
        <w:t xml:space="preserve">, </w:t>
      </w:r>
      <w:r w:rsidR="00E71388" w:rsidRPr="00ED22D1">
        <w:rPr>
          <w:lang w:val="fr-CA"/>
        </w:rPr>
        <w:t>la</w:t>
      </w:r>
      <w:r w:rsidR="0085675A" w:rsidRPr="00ED22D1">
        <w:rPr>
          <w:lang w:val="fr-CA"/>
        </w:rPr>
        <w:t xml:space="preserve"> production </w:t>
      </w:r>
      <w:r w:rsidR="00E71388" w:rsidRPr="00ED22D1">
        <w:rPr>
          <w:lang w:val="fr-CA"/>
        </w:rPr>
        <w:t xml:space="preserve">d’équipements avec </w:t>
      </w:r>
      <w:r w:rsidR="0085675A" w:rsidRPr="00ED22D1">
        <w:rPr>
          <w:lang w:val="fr-CA"/>
        </w:rPr>
        <w:t>R</w:t>
      </w:r>
      <w:r w:rsidR="0085675A" w:rsidRPr="00ED22D1">
        <w:rPr>
          <w:lang w:val="fr-CA"/>
        </w:rPr>
        <w:noBreakHyphen/>
        <w:t xml:space="preserve">290 </w:t>
      </w:r>
      <w:r w:rsidR="00E71388" w:rsidRPr="00ED22D1">
        <w:rPr>
          <w:lang w:val="fr-CA"/>
        </w:rPr>
        <w:t>dans les circuits reconvertis demeure faible</w:t>
      </w:r>
      <w:r w:rsidR="0085675A" w:rsidRPr="00ED22D1">
        <w:rPr>
          <w:lang w:val="fr-CA"/>
        </w:rPr>
        <w:t xml:space="preserve">, </w:t>
      </w:r>
      <w:r w:rsidR="00E71388" w:rsidRPr="00ED22D1">
        <w:rPr>
          <w:lang w:val="fr-CA"/>
        </w:rPr>
        <w:t xml:space="preserve">et </w:t>
      </w:r>
      <w:r w:rsidR="0052338F" w:rsidRPr="00ED22D1">
        <w:rPr>
          <w:lang w:val="fr-CA"/>
        </w:rPr>
        <w:t xml:space="preserve">représente </w:t>
      </w:r>
      <w:r w:rsidR="002950EB" w:rsidRPr="00ED22D1">
        <w:rPr>
          <w:lang w:val="fr-CA"/>
        </w:rPr>
        <w:t>la</w:t>
      </w:r>
      <w:r w:rsidR="00E71388" w:rsidRPr="00ED22D1">
        <w:rPr>
          <w:lang w:val="fr-CA"/>
        </w:rPr>
        <w:t xml:space="preserve"> pénétration des marchés locaux et globaux</w:t>
      </w:r>
      <w:r w:rsidR="0085675A" w:rsidRPr="00ED22D1">
        <w:rPr>
          <w:lang w:val="fr-CA"/>
        </w:rPr>
        <w:t xml:space="preserve">. </w:t>
      </w:r>
    </w:p>
    <w:p w:rsidR="0085675A" w:rsidRPr="00ED22D1" w:rsidRDefault="005A6C23" w:rsidP="005A6C23">
      <w:pPr>
        <w:pStyle w:val="Heading1"/>
        <w:numPr>
          <w:ilvl w:val="0"/>
          <w:numId w:val="0"/>
        </w:numPr>
        <w:rPr>
          <w:lang w:val="fr-CA"/>
        </w:rPr>
      </w:pPr>
      <w:r w:rsidRPr="00ED22D1">
        <w:rPr>
          <w:lang w:val="fr-CA"/>
        </w:rPr>
        <w:t>25.</w:t>
      </w:r>
      <w:r w:rsidRPr="00ED22D1">
        <w:rPr>
          <w:lang w:val="fr-CA"/>
        </w:rPr>
        <w:tab/>
      </w:r>
      <w:r w:rsidR="00E71388" w:rsidRPr="00ED22D1">
        <w:rPr>
          <w:lang w:val="fr-CA"/>
        </w:rPr>
        <w:t>Le Secré</w:t>
      </w:r>
      <w:r w:rsidR="00DD185D" w:rsidRPr="00ED22D1">
        <w:rPr>
          <w:lang w:val="fr-CA"/>
        </w:rPr>
        <w:t>tariat</w:t>
      </w:r>
      <w:r w:rsidR="0085675A" w:rsidRPr="00ED22D1">
        <w:rPr>
          <w:lang w:val="fr-CA"/>
        </w:rPr>
        <w:t xml:space="preserve"> </w:t>
      </w:r>
      <w:r w:rsidR="00E71388" w:rsidRPr="00ED22D1">
        <w:rPr>
          <w:lang w:val="fr-CA"/>
        </w:rPr>
        <w:t xml:space="preserve">a rappelé que </w:t>
      </w:r>
      <w:r w:rsidR="00921BDE" w:rsidRPr="00ED22D1">
        <w:rPr>
          <w:lang w:val="fr-CA"/>
        </w:rPr>
        <w:t>le 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E71388" w:rsidRPr="00ED22D1">
        <w:rPr>
          <w:lang w:val="fr-CA"/>
        </w:rPr>
        <w:t xml:space="preserve">plutôt que d’assurer </w:t>
      </w:r>
      <w:r w:rsidR="002950EB" w:rsidRPr="00ED22D1">
        <w:rPr>
          <w:lang w:val="fr-CA"/>
        </w:rPr>
        <w:t>leur</w:t>
      </w:r>
      <w:r w:rsidR="00E71388" w:rsidRPr="00ED22D1">
        <w:rPr>
          <w:lang w:val="fr-CA"/>
        </w:rPr>
        <w:t xml:space="preserve"> reconversion au </w:t>
      </w:r>
      <w:r w:rsidR="0085675A" w:rsidRPr="00ED22D1">
        <w:rPr>
          <w:lang w:val="fr-CA"/>
        </w:rPr>
        <w:t xml:space="preserve">R-410A, </w:t>
      </w:r>
      <w:r w:rsidR="00E71388" w:rsidRPr="00ED22D1">
        <w:rPr>
          <w:lang w:val="fr-CA"/>
        </w:rPr>
        <w:t xml:space="preserve">avait choisi de reconvertir au R-290 les </w:t>
      </w:r>
      <w:r w:rsidR="0085675A" w:rsidRPr="00ED22D1">
        <w:rPr>
          <w:lang w:val="fr-CA"/>
        </w:rPr>
        <w:t xml:space="preserve">18 </w:t>
      </w:r>
      <w:r w:rsidR="00E71388" w:rsidRPr="00ED22D1">
        <w:rPr>
          <w:lang w:val="fr-CA"/>
        </w:rPr>
        <w:t xml:space="preserve">conduits dans le cadre de la </w:t>
      </w:r>
      <w:r w:rsidR="004A6828" w:rsidRPr="00ED22D1">
        <w:rPr>
          <w:lang w:val="fr-CA"/>
        </w:rPr>
        <w:t xml:space="preserve">phase </w:t>
      </w:r>
      <w:r w:rsidR="0085675A" w:rsidRPr="00ED22D1">
        <w:rPr>
          <w:lang w:val="fr-CA"/>
        </w:rPr>
        <w:t>I</w:t>
      </w:r>
      <w:r w:rsidR="00E71388" w:rsidRPr="00ED22D1">
        <w:rPr>
          <w:lang w:val="fr-CA"/>
        </w:rPr>
        <w:t>,</w:t>
      </w:r>
      <w:r w:rsidR="0085675A" w:rsidRPr="00ED22D1">
        <w:rPr>
          <w:lang w:val="fr-CA"/>
        </w:rPr>
        <w:t xml:space="preserve"> </w:t>
      </w:r>
      <w:r w:rsidR="00E71388" w:rsidRPr="00ED22D1">
        <w:rPr>
          <w:lang w:val="fr-CA"/>
        </w:rPr>
        <w:t xml:space="preserve">ce qui est une technologie plus compliquée et qui exige du travail considérable en </w:t>
      </w:r>
      <w:r w:rsidR="009827D2" w:rsidRPr="00ED22D1">
        <w:rPr>
          <w:lang w:val="fr-CA"/>
        </w:rPr>
        <w:t xml:space="preserve">ce qui a trait à </w:t>
      </w:r>
      <w:r w:rsidR="00E71388" w:rsidRPr="00ED22D1">
        <w:rPr>
          <w:lang w:val="fr-CA"/>
        </w:rPr>
        <w:t xml:space="preserve">l’acceptation </w:t>
      </w:r>
      <w:r w:rsidR="002950EB" w:rsidRPr="00ED22D1">
        <w:rPr>
          <w:lang w:val="fr-CA"/>
        </w:rPr>
        <w:t>par l</w:t>
      </w:r>
      <w:r w:rsidR="00E71388" w:rsidRPr="00ED22D1">
        <w:rPr>
          <w:lang w:val="fr-CA"/>
        </w:rPr>
        <w:t>es marchés</w:t>
      </w:r>
      <w:r w:rsidR="00C420BC" w:rsidRPr="00ED22D1">
        <w:rPr>
          <w:lang w:val="fr-CA"/>
        </w:rPr>
        <w:t>. L’</w:t>
      </w:r>
      <w:r w:rsidR="004F0823" w:rsidRPr="00ED22D1">
        <w:rPr>
          <w:lang w:val="fr-CA"/>
        </w:rPr>
        <w:t>engagement</w:t>
      </w:r>
      <w:r w:rsidR="00DE118B" w:rsidRPr="00ED22D1">
        <w:rPr>
          <w:lang w:val="fr-CA"/>
        </w:rPr>
        <w:t xml:space="preserve"> </w:t>
      </w:r>
      <w:r w:rsidR="00E71388" w:rsidRPr="00ED22D1">
        <w:rPr>
          <w:lang w:val="fr-CA"/>
        </w:rPr>
        <w:t xml:space="preserve">des fabricants à vendre un nombre minimum d’unités avec </w:t>
      </w:r>
      <w:r w:rsidR="0085675A" w:rsidRPr="00ED22D1">
        <w:rPr>
          <w:lang w:val="fr-CA"/>
        </w:rPr>
        <w:t>R-290</w:t>
      </w:r>
      <w:r w:rsidR="002D2C34" w:rsidRPr="00ED22D1">
        <w:rPr>
          <w:lang w:val="fr-CA"/>
        </w:rPr>
        <w:t xml:space="preserve"> </w:t>
      </w:r>
      <w:r w:rsidR="00E71388" w:rsidRPr="00ED22D1">
        <w:rPr>
          <w:lang w:val="fr-CA"/>
        </w:rPr>
        <w:t>d’ici l</w:t>
      </w:r>
      <w:r w:rsidR="00DC23B2" w:rsidRPr="00ED22D1">
        <w:rPr>
          <w:lang w:val="fr-CA"/>
        </w:rPr>
        <w:t xml:space="preserve">e milieu de </w:t>
      </w:r>
      <w:r w:rsidR="0085675A" w:rsidRPr="00ED22D1">
        <w:rPr>
          <w:lang w:val="fr-CA"/>
        </w:rPr>
        <w:t xml:space="preserve">2019 </w:t>
      </w:r>
      <w:r w:rsidR="00E71388" w:rsidRPr="00ED22D1">
        <w:rPr>
          <w:lang w:val="fr-CA"/>
        </w:rPr>
        <w:t xml:space="preserve">est une étape significative qui aidera à introduire les équipements avec </w:t>
      </w:r>
      <w:r w:rsidR="0085675A" w:rsidRPr="00ED22D1">
        <w:rPr>
          <w:lang w:val="fr-CA"/>
        </w:rPr>
        <w:t>R</w:t>
      </w:r>
      <w:r w:rsidR="0085675A" w:rsidRPr="00ED22D1">
        <w:rPr>
          <w:lang w:val="fr-CA"/>
        </w:rPr>
        <w:noBreakHyphen/>
        <w:t>290</w:t>
      </w:r>
      <w:r w:rsidR="00E71388" w:rsidRPr="00ED22D1">
        <w:rPr>
          <w:lang w:val="fr-CA"/>
        </w:rPr>
        <w:t xml:space="preserve"> sur les marchés. </w:t>
      </w:r>
      <w:r w:rsidR="00E71388" w:rsidRPr="00ED22D1">
        <w:rPr>
          <w:b/>
          <w:lang w:val="fr-CA"/>
        </w:rPr>
        <w:t>Toutefois</w:t>
      </w:r>
      <w:r w:rsidR="0085675A" w:rsidRPr="00ED22D1">
        <w:rPr>
          <w:b/>
          <w:lang w:val="fr-CA"/>
        </w:rPr>
        <w:t xml:space="preserve">, </w:t>
      </w:r>
      <w:r w:rsidR="00E71388" w:rsidRPr="00ED22D1">
        <w:rPr>
          <w:b/>
          <w:lang w:val="fr-CA"/>
        </w:rPr>
        <w:t>les fabricants devront augmenter leur</w:t>
      </w:r>
      <w:r w:rsidR="009827D2" w:rsidRPr="00ED22D1">
        <w:rPr>
          <w:b/>
          <w:lang w:val="fr-CA"/>
        </w:rPr>
        <w:t>s</w:t>
      </w:r>
      <w:r w:rsidR="00E71388" w:rsidRPr="00ED22D1">
        <w:rPr>
          <w:b/>
          <w:lang w:val="fr-CA"/>
        </w:rPr>
        <w:t xml:space="preserve"> </w:t>
      </w:r>
      <w:r w:rsidR="002D2C34" w:rsidRPr="00ED22D1">
        <w:rPr>
          <w:b/>
          <w:lang w:val="fr-CA"/>
        </w:rPr>
        <w:t>vente</w:t>
      </w:r>
      <w:r w:rsidR="009827D2" w:rsidRPr="00ED22D1">
        <w:rPr>
          <w:b/>
          <w:lang w:val="fr-CA"/>
        </w:rPr>
        <w:t>s</w:t>
      </w:r>
      <w:r w:rsidR="0085675A" w:rsidRPr="00ED22D1">
        <w:rPr>
          <w:b/>
          <w:lang w:val="fr-CA"/>
        </w:rPr>
        <w:t xml:space="preserve"> </w:t>
      </w:r>
      <w:r w:rsidR="00E71388" w:rsidRPr="00ED22D1">
        <w:rPr>
          <w:b/>
          <w:lang w:val="fr-CA"/>
        </w:rPr>
        <w:t xml:space="preserve">s’ils veulent respecter leur </w:t>
      </w:r>
      <w:r w:rsidR="004F0823" w:rsidRPr="00ED22D1">
        <w:rPr>
          <w:b/>
          <w:lang w:val="fr-CA"/>
        </w:rPr>
        <w:t>engagement</w:t>
      </w:r>
      <w:r w:rsidR="0031390F" w:rsidRPr="00ED22D1">
        <w:rPr>
          <w:lang w:val="fr-CA"/>
        </w:rPr>
        <w:t>. Le</w:t>
      </w:r>
      <w:r w:rsidR="00DD185D" w:rsidRPr="00ED22D1">
        <w:rPr>
          <w:lang w:val="fr-CA"/>
        </w:rPr>
        <w:t xml:space="preserve"> Secrétariat</w:t>
      </w:r>
      <w:r w:rsidR="0085675A" w:rsidRPr="00ED22D1">
        <w:rPr>
          <w:lang w:val="fr-CA"/>
        </w:rPr>
        <w:t xml:space="preserve"> </w:t>
      </w:r>
      <w:r w:rsidR="00E71388" w:rsidRPr="00ED22D1">
        <w:rPr>
          <w:lang w:val="fr-CA"/>
        </w:rPr>
        <w:t xml:space="preserve">croit qu’il est </w:t>
      </w:r>
      <w:r w:rsidR="0085675A" w:rsidRPr="00ED22D1">
        <w:rPr>
          <w:lang w:val="fr-CA"/>
        </w:rPr>
        <w:t xml:space="preserve">important </w:t>
      </w:r>
      <w:r w:rsidR="00E71388" w:rsidRPr="00ED22D1">
        <w:rPr>
          <w:lang w:val="fr-CA"/>
        </w:rPr>
        <w:t>de ne pas ralentir la cadence</w:t>
      </w:r>
      <w:r w:rsidR="0085675A" w:rsidRPr="00ED22D1">
        <w:rPr>
          <w:lang w:val="fr-CA"/>
        </w:rPr>
        <w:t>,</w:t>
      </w:r>
      <w:r w:rsidR="004A6828" w:rsidRPr="00ED22D1">
        <w:rPr>
          <w:lang w:val="fr-CA"/>
        </w:rPr>
        <w:t xml:space="preserve"> et </w:t>
      </w:r>
      <w:r w:rsidR="00E71388" w:rsidRPr="00ED22D1">
        <w:rPr>
          <w:lang w:val="fr-CA"/>
        </w:rPr>
        <w:t xml:space="preserve">il appuie donc l’utilisation du plan d’intéressement novateur des </w:t>
      </w:r>
      <w:r w:rsidR="002F6D48" w:rsidRPr="00ED22D1">
        <w:rPr>
          <w:lang w:val="fr-CA"/>
        </w:rPr>
        <w:t xml:space="preserve">surcoûts d’exploitation </w:t>
      </w:r>
      <w:r w:rsidR="00E71388" w:rsidRPr="00ED22D1">
        <w:rPr>
          <w:lang w:val="fr-CA"/>
        </w:rPr>
        <w:t>afin d’encourager la vente d’équipement</w:t>
      </w:r>
      <w:r w:rsidR="009827D2" w:rsidRPr="00ED22D1">
        <w:rPr>
          <w:lang w:val="fr-CA"/>
        </w:rPr>
        <w:t>s</w:t>
      </w:r>
      <w:r w:rsidR="00E71388" w:rsidRPr="00ED22D1">
        <w:rPr>
          <w:lang w:val="fr-CA"/>
        </w:rPr>
        <w:t xml:space="preserve"> </w:t>
      </w:r>
      <w:r w:rsidR="009827D2" w:rsidRPr="00ED22D1">
        <w:rPr>
          <w:lang w:val="fr-CA"/>
        </w:rPr>
        <w:t xml:space="preserve">d’une plus grande </w:t>
      </w:r>
      <w:r w:rsidR="00E71388" w:rsidRPr="00ED22D1">
        <w:rPr>
          <w:lang w:val="fr-CA"/>
        </w:rPr>
        <w:t>efficac</w:t>
      </w:r>
      <w:r w:rsidR="009827D2" w:rsidRPr="00ED22D1">
        <w:rPr>
          <w:lang w:val="fr-CA"/>
        </w:rPr>
        <w:t>ité</w:t>
      </w:r>
      <w:r w:rsidR="00E71388" w:rsidRPr="00ED22D1">
        <w:rPr>
          <w:lang w:val="fr-CA"/>
        </w:rPr>
        <w:t xml:space="preserve"> sur le plan énergétique</w:t>
      </w:r>
      <w:r w:rsidR="0085675A" w:rsidRPr="00ED22D1">
        <w:rPr>
          <w:lang w:val="fr-CA"/>
        </w:rPr>
        <w:t xml:space="preserve">. </w:t>
      </w:r>
      <w:r w:rsidR="00E71388" w:rsidRPr="00ED22D1">
        <w:rPr>
          <w:lang w:val="fr-CA"/>
        </w:rPr>
        <w:t xml:space="preserve">Enfin, </w:t>
      </w:r>
      <w:r w:rsidR="00DD185D" w:rsidRPr="00ED22D1">
        <w:rPr>
          <w:lang w:val="fr-CA"/>
        </w:rPr>
        <w:t>le Secrétariat</w:t>
      </w:r>
      <w:r w:rsidR="0085675A" w:rsidRPr="00ED22D1">
        <w:rPr>
          <w:lang w:val="fr-CA"/>
        </w:rPr>
        <w:t xml:space="preserve"> appr</w:t>
      </w:r>
      <w:r w:rsidR="00E71388" w:rsidRPr="00ED22D1">
        <w:rPr>
          <w:lang w:val="fr-CA"/>
        </w:rPr>
        <w:t>écie que les fabricants</w:t>
      </w:r>
      <w:r w:rsidR="0085675A" w:rsidRPr="00ED22D1">
        <w:rPr>
          <w:lang w:val="fr-CA"/>
        </w:rPr>
        <w:t xml:space="preserve"> </w:t>
      </w:r>
      <w:r w:rsidR="002950EB" w:rsidRPr="00ED22D1">
        <w:rPr>
          <w:lang w:val="fr-CA"/>
        </w:rPr>
        <w:t>se montrent prudents lors</w:t>
      </w:r>
      <w:r w:rsidR="00E71388" w:rsidRPr="00ED22D1">
        <w:rPr>
          <w:lang w:val="fr-CA"/>
        </w:rPr>
        <w:t xml:space="preserve"> </w:t>
      </w:r>
      <w:r w:rsidR="002950EB" w:rsidRPr="00ED22D1">
        <w:rPr>
          <w:lang w:val="fr-CA"/>
        </w:rPr>
        <w:t>d</w:t>
      </w:r>
      <w:r w:rsidR="00E71388" w:rsidRPr="00ED22D1">
        <w:rPr>
          <w:lang w:val="fr-CA"/>
        </w:rPr>
        <w:t xml:space="preserve">es installations initiales. On s’attend à ce </w:t>
      </w:r>
      <w:r w:rsidR="00483CCD" w:rsidRPr="00ED22D1">
        <w:rPr>
          <w:lang w:val="fr-CA"/>
        </w:rPr>
        <w:t>qu</w:t>
      </w:r>
      <w:r w:rsidR="002950EB" w:rsidRPr="00ED22D1">
        <w:rPr>
          <w:lang w:val="fr-CA"/>
        </w:rPr>
        <w:t xml:space="preserve">e, </w:t>
      </w:r>
      <w:r w:rsidR="00483CCD" w:rsidRPr="00ED22D1">
        <w:rPr>
          <w:lang w:val="fr-CA"/>
        </w:rPr>
        <w:t xml:space="preserve">à mesure </w:t>
      </w:r>
      <w:r w:rsidR="00E71388" w:rsidRPr="00ED22D1">
        <w:rPr>
          <w:lang w:val="fr-CA"/>
        </w:rPr>
        <w:t xml:space="preserve">que les installateurs se familiarisent </w:t>
      </w:r>
      <w:r w:rsidR="00E71388" w:rsidRPr="00ED22D1">
        <w:rPr>
          <w:lang w:val="fr-CA"/>
        </w:rPr>
        <w:lastRenderedPageBreak/>
        <w:t xml:space="preserve">avec les équipements avec </w:t>
      </w:r>
      <w:r w:rsidR="0085675A" w:rsidRPr="00ED22D1">
        <w:rPr>
          <w:lang w:val="fr-CA"/>
        </w:rPr>
        <w:t xml:space="preserve">R-290, </w:t>
      </w:r>
      <w:r w:rsidR="004B666A" w:rsidRPr="00ED22D1">
        <w:rPr>
          <w:lang w:val="fr-CA"/>
        </w:rPr>
        <w:t>y compris</w:t>
      </w:r>
      <w:r w:rsidR="0085675A" w:rsidRPr="00ED22D1">
        <w:rPr>
          <w:lang w:val="fr-CA"/>
        </w:rPr>
        <w:t xml:space="preserve"> </w:t>
      </w:r>
      <w:r w:rsidR="00483CCD" w:rsidRPr="00ED22D1">
        <w:rPr>
          <w:lang w:val="fr-CA"/>
        </w:rPr>
        <w:t xml:space="preserve">par les </w:t>
      </w:r>
      <w:r w:rsidR="00E71388" w:rsidRPr="00ED22D1">
        <w:rPr>
          <w:lang w:val="fr-CA"/>
        </w:rPr>
        <w:t>activités de formation</w:t>
      </w:r>
      <w:r w:rsidR="009827D2" w:rsidRPr="00ED22D1">
        <w:rPr>
          <w:lang w:val="fr-CA"/>
        </w:rPr>
        <w:t xml:space="preserve"> </w:t>
      </w:r>
      <w:r w:rsidR="00483CCD" w:rsidRPr="00ED22D1">
        <w:rPr>
          <w:lang w:val="fr-CA"/>
        </w:rPr>
        <w:t xml:space="preserve">dispensées </w:t>
      </w:r>
      <w:r w:rsidR="009827D2" w:rsidRPr="00ED22D1">
        <w:rPr>
          <w:lang w:val="fr-CA"/>
        </w:rPr>
        <w:t>à</w:t>
      </w:r>
      <w:r w:rsidR="00E71388" w:rsidRPr="00ED22D1">
        <w:rPr>
          <w:lang w:val="fr-CA"/>
        </w:rPr>
        <w:t xml:space="preserve"> la fois aux phases</w:t>
      </w:r>
      <w:r w:rsidR="00F54BD3" w:rsidRPr="00ED22D1">
        <w:rPr>
          <w:lang w:val="fr-CA"/>
        </w:rPr>
        <w:t> </w:t>
      </w:r>
      <w:r w:rsidR="0085675A" w:rsidRPr="00ED22D1">
        <w:rPr>
          <w:lang w:val="fr-CA"/>
        </w:rPr>
        <w:t>I</w:t>
      </w:r>
      <w:r w:rsidR="004A6828" w:rsidRPr="00ED22D1">
        <w:rPr>
          <w:lang w:val="fr-CA"/>
        </w:rPr>
        <w:t xml:space="preserve"> et </w:t>
      </w:r>
      <w:r w:rsidR="0085675A" w:rsidRPr="00ED22D1">
        <w:rPr>
          <w:lang w:val="fr-CA"/>
        </w:rPr>
        <w:t xml:space="preserve">II, </w:t>
      </w:r>
      <w:r w:rsidR="00E71388" w:rsidRPr="00ED22D1">
        <w:rPr>
          <w:lang w:val="fr-CA"/>
        </w:rPr>
        <w:t>l</w:t>
      </w:r>
      <w:r w:rsidR="00F54BD3" w:rsidRPr="00ED22D1">
        <w:rPr>
          <w:lang w:val="fr-CA"/>
        </w:rPr>
        <w:t>a différence entre l</w:t>
      </w:r>
      <w:r w:rsidR="00483CCD" w:rsidRPr="00ED22D1">
        <w:rPr>
          <w:lang w:val="fr-CA"/>
        </w:rPr>
        <w:t>e</w:t>
      </w:r>
      <w:r w:rsidR="00E71388" w:rsidRPr="00ED22D1">
        <w:rPr>
          <w:lang w:val="fr-CA"/>
        </w:rPr>
        <w:t xml:space="preserve"> temps d’installation </w:t>
      </w:r>
      <w:r w:rsidR="00F54BD3" w:rsidRPr="00ED22D1">
        <w:rPr>
          <w:lang w:val="fr-CA"/>
        </w:rPr>
        <w:t>d</w:t>
      </w:r>
      <w:r w:rsidR="00E71388" w:rsidRPr="00ED22D1">
        <w:rPr>
          <w:lang w:val="fr-CA"/>
        </w:rPr>
        <w:t xml:space="preserve">es équipements avec </w:t>
      </w:r>
      <w:r w:rsidR="0085675A" w:rsidRPr="00ED22D1">
        <w:rPr>
          <w:lang w:val="fr-CA"/>
        </w:rPr>
        <w:t>R-290</w:t>
      </w:r>
      <w:r w:rsidR="004A6828" w:rsidRPr="00ED22D1">
        <w:rPr>
          <w:lang w:val="fr-CA"/>
        </w:rPr>
        <w:t xml:space="preserve"> et </w:t>
      </w:r>
      <w:r w:rsidR="002950EB" w:rsidRPr="00ED22D1">
        <w:rPr>
          <w:lang w:val="fr-CA"/>
        </w:rPr>
        <w:t xml:space="preserve">celui </w:t>
      </w:r>
      <w:r w:rsidR="00F54BD3" w:rsidRPr="00ED22D1">
        <w:rPr>
          <w:lang w:val="fr-CA"/>
        </w:rPr>
        <w:t>d</w:t>
      </w:r>
      <w:r w:rsidR="00483CCD" w:rsidRPr="00ED22D1">
        <w:rPr>
          <w:lang w:val="fr-CA"/>
        </w:rPr>
        <w:t xml:space="preserve">es </w:t>
      </w:r>
      <w:r w:rsidR="00E71388" w:rsidRPr="00ED22D1">
        <w:rPr>
          <w:lang w:val="fr-CA"/>
        </w:rPr>
        <w:t>é</w:t>
      </w:r>
      <w:r w:rsidR="0001150D" w:rsidRPr="00ED22D1">
        <w:rPr>
          <w:lang w:val="fr-CA"/>
        </w:rPr>
        <w:t>q</w:t>
      </w:r>
      <w:r w:rsidR="00E71388" w:rsidRPr="00ED22D1">
        <w:rPr>
          <w:lang w:val="fr-CA"/>
        </w:rPr>
        <w:t>uipements avec</w:t>
      </w:r>
      <w:r w:rsidR="00F54BD3" w:rsidRPr="00ED22D1">
        <w:rPr>
          <w:lang w:val="fr-CA"/>
        </w:rPr>
        <w:t> </w:t>
      </w:r>
      <w:r w:rsidR="0085675A" w:rsidRPr="00ED22D1">
        <w:rPr>
          <w:lang w:val="fr-CA"/>
        </w:rPr>
        <w:t>HCFC</w:t>
      </w:r>
      <w:r w:rsidR="00F54BD3" w:rsidRPr="00ED22D1">
        <w:rPr>
          <w:lang w:val="fr-CA"/>
        </w:rPr>
        <w:noBreakHyphen/>
      </w:r>
      <w:r w:rsidR="0085675A" w:rsidRPr="00ED22D1">
        <w:rPr>
          <w:lang w:val="fr-CA"/>
        </w:rPr>
        <w:t>22</w:t>
      </w:r>
      <w:r w:rsidR="00F54BD3" w:rsidRPr="00ED22D1">
        <w:rPr>
          <w:lang w:val="fr-CA"/>
        </w:rPr>
        <w:t xml:space="preserve"> e</w:t>
      </w:r>
      <w:r w:rsidR="004A6828" w:rsidRPr="00ED22D1">
        <w:rPr>
          <w:lang w:val="fr-CA"/>
        </w:rPr>
        <w:t>t</w:t>
      </w:r>
      <w:r w:rsidR="002950EB" w:rsidRPr="00ED22D1">
        <w:rPr>
          <w:lang w:val="fr-CA"/>
        </w:rPr>
        <w:t> </w:t>
      </w:r>
      <w:r w:rsidR="0085675A" w:rsidRPr="00ED22D1">
        <w:rPr>
          <w:lang w:val="fr-CA"/>
        </w:rPr>
        <w:t>R</w:t>
      </w:r>
      <w:r w:rsidR="002950EB" w:rsidRPr="00ED22D1">
        <w:rPr>
          <w:lang w:val="fr-CA"/>
        </w:rPr>
        <w:noBreakHyphen/>
      </w:r>
      <w:r w:rsidR="0085675A" w:rsidRPr="00ED22D1">
        <w:rPr>
          <w:lang w:val="fr-CA"/>
        </w:rPr>
        <w:t>410A</w:t>
      </w:r>
      <w:r w:rsidR="00483CCD" w:rsidRPr="00ED22D1">
        <w:rPr>
          <w:lang w:val="fr-CA"/>
        </w:rPr>
        <w:t xml:space="preserve"> diminue</w:t>
      </w:r>
      <w:r w:rsidR="0085675A" w:rsidRPr="00ED22D1">
        <w:rPr>
          <w:lang w:val="fr-CA"/>
        </w:rPr>
        <w:t xml:space="preserve">. </w:t>
      </w:r>
      <w:r w:rsidR="0001150D" w:rsidRPr="00ED22D1">
        <w:rPr>
          <w:lang w:val="fr-CA"/>
        </w:rPr>
        <w:t xml:space="preserve">Par conséquent, le </w:t>
      </w:r>
      <w:r w:rsidR="00DD185D" w:rsidRPr="00ED22D1">
        <w:rPr>
          <w:lang w:val="fr-CA"/>
        </w:rPr>
        <w:t>Secrétariat</w:t>
      </w:r>
      <w:r w:rsidR="0085675A" w:rsidRPr="00ED22D1">
        <w:rPr>
          <w:lang w:val="fr-CA"/>
        </w:rPr>
        <w:t xml:space="preserve"> </w:t>
      </w:r>
      <w:r w:rsidR="0001150D" w:rsidRPr="00ED22D1">
        <w:rPr>
          <w:lang w:val="fr-CA"/>
        </w:rPr>
        <w:t xml:space="preserve">juge approprié que les </w:t>
      </w:r>
      <w:r w:rsidR="00AE1617" w:rsidRPr="00ED22D1">
        <w:rPr>
          <w:lang w:val="fr-CA"/>
        </w:rPr>
        <w:t>surcoûts d’investissement</w:t>
      </w:r>
      <w:r w:rsidR="0085675A" w:rsidRPr="00ED22D1">
        <w:rPr>
          <w:lang w:val="fr-CA"/>
        </w:rPr>
        <w:t xml:space="preserve"> </w:t>
      </w:r>
      <w:r w:rsidR="0001150D" w:rsidRPr="00ED22D1">
        <w:rPr>
          <w:lang w:val="fr-CA"/>
        </w:rPr>
        <w:t xml:space="preserve">supérieurs au niveau précisé dans la </w:t>
      </w:r>
      <w:r w:rsidR="00AA6E77" w:rsidRPr="00ED22D1">
        <w:rPr>
          <w:lang w:val="fr-CA"/>
        </w:rPr>
        <w:t>décision</w:t>
      </w:r>
      <w:r w:rsidR="0085675A" w:rsidRPr="00ED22D1">
        <w:rPr>
          <w:lang w:val="fr-CA"/>
        </w:rPr>
        <w:t> 60/44</w:t>
      </w:r>
      <w:r w:rsidR="0001150D" w:rsidRPr="00ED22D1">
        <w:rPr>
          <w:lang w:val="fr-CA"/>
        </w:rPr>
        <w:t> </w:t>
      </w:r>
      <w:r w:rsidR="0085675A" w:rsidRPr="00ED22D1">
        <w:rPr>
          <w:lang w:val="fr-CA"/>
        </w:rPr>
        <w:t>f)</w:t>
      </w:r>
      <w:r w:rsidR="0001150D" w:rsidRPr="00ED22D1">
        <w:rPr>
          <w:lang w:val="fr-CA"/>
        </w:rPr>
        <w:t> </w:t>
      </w:r>
      <w:r w:rsidR="0085675A" w:rsidRPr="00ED22D1">
        <w:rPr>
          <w:lang w:val="fr-CA"/>
        </w:rPr>
        <w:t xml:space="preserve">viii) </w:t>
      </w:r>
      <w:r w:rsidR="00483CCD" w:rsidRPr="00ED22D1">
        <w:rPr>
          <w:lang w:val="fr-CA"/>
        </w:rPr>
        <w:t xml:space="preserve">puissent être </w:t>
      </w:r>
      <w:r w:rsidR="0001150D" w:rsidRPr="00ED22D1">
        <w:rPr>
          <w:lang w:val="fr-CA"/>
        </w:rPr>
        <w:t>fourni</w:t>
      </w:r>
      <w:r w:rsidR="00483CCD" w:rsidRPr="00ED22D1">
        <w:rPr>
          <w:lang w:val="fr-CA"/>
        </w:rPr>
        <w:t>s</w:t>
      </w:r>
      <w:r w:rsidR="0001150D" w:rsidRPr="00ED22D1">
        <w:rPr>
          <w:lang w:val="fr-CA"/>
        </w:rPr>
        <w:t xml:space="preserve"> pour un nombre limité de </w:t>
      </w:r>
      <w:r w:rsidR="002D2C34" w:rsidRPr="00ED22D1">
        <w:rPr>
          <w:lang w:val="fr-CA"/>
        </w:rPr>
        <w:t>ventes</w:t>
      </w:r>
      <w:r w:rsidR="0085675A" w:rsidRPr="00ED22D1">
        <w:rPr>
          <w:lang w:val="fr-CA"/>
        </w:rPr>
        <w:t xml:space="preserve">, </w:t>
      </w:r>
      <w:r w:rsidR="00AA49F6" w:rsidRPr="00ED22D1">
        <w:rPr>
          <w:lang w:val="fr-CA"/>
        </w:rPr>
        <w:t xml:space="preserve">et que les </w:t>
      </w:r>
      <w:r w:rsidR="00AE1617" w:rsidRPr="00ED22D1">
        <w:rPr>
          <w:lang w:val="fr-CA"/>
        </w:rPr>
        <w:t>surcoûts d’investissement</w:t>
      </w:r>
      <w:r w:rsidR="0085675A" w:rsidRPr="00ED22D1">
        <w:rPr>
          <w:lang w:val="fr-CA"/>
        </w:rPr>
        <w:t xml:space="preserve"> </w:t>
      </w:r>
      <w:r w:rsidR="00AA49F6" w:rsidRPr="00ED22D1">
        <w:rPr>
          <w:lang w:val="fr-CA"/>
        </w:rPr>
        <w:t xml:space="preserve">diminuent </w:t>
      </w:r>
      <w:r w:rsidR="0001150D" w:rsidRPr="00ED22D1">
        <w:rPr>
          <w:lang w:val="fr-CA"/>
        </w:rPr>
        <w:t xml:space="preserve">graduellement </w:t>
      </w:r>
      <w:r w:rsidR="00AA49F6" w:rsidRPr="00ED22D1">
        <w:rPr>
          <w:lang w:val="fr-CA"/>
        </w:rPr>
        <w:t xml:space="preserve">lors de </w:t>
      </w:r>
      <w:r w:rsidR="0001150D" w:rsidRPr="00ED22D1">
        <w:rPr>
          <w:lang w:val="fr-CA"/>
        </w:rPr>
        <w:t xml:space="preserve">l’accroissement des ventes, afin que tous les </w:t>
      </w:r>
      <w:r w:rsidR="00AE1617" w:rsidRPr="00ED22D1">
        <w:rPr>
          <w:lang w:val="fr-CA"/>
        </w:rPr>
        <w:t>surcoûts d’investissement</w:t>
      </w:r>
      <w:r w:rsidR="0085675A" w:rsidRPr="00ED22D1">
        <w:rPr>
          <w:lang w:val="fr-CA"/>
        </w:rPr>
        <w:t xml:space="preserve"> </w:t>
      </w:r>
      <w:r w:rsidR="00AA49F6" w:rsidRPr="00ED22D1">
        <w:rPr>
          <w:lang w:val="fr-CA"/>
        </w:rPr>
        <w:t>aient été</w:t>
      </w:r>
      <w:r w:rsidR="0001150D" w:rsidRPr="00ED22D1">
        <w:rPr>
          <w:lang w:val="fr-CA"/>
        </w:rPr>
        <w:t xml:space="preserve"> décaissés lorsque la capacité reconvertie est utilisée</w:t>
      </w:r>
      <w:r w:rsidR="0031390F" w:rsidRPr="00ED22D1">
        <w:rPr>
          <w:lang w:val="fr-CA"/>
        </w:rPr>
        <w:t>. Le</w:t>
      </w:r>
      <w:r w:rsidR="0001150D" w:rsidRPr="00ED22D1">
        <w:rPr>
          <w:b/>
          <w:lang w:val="fr-CA"/>
        </w:rPr>
        <w:t xml:space="preserve"> gouvernement entend élaborer un nouveau plan d’intéressement pour les </w:t>
      </w:r>
      <w:r w:rsidR="002F6D48" w:rsidRPr="00ED22D1">
        <w:rPr>
          <w:b/>
          <w:lang w:val="fr-CA"/>
        </w:rPr>
        <w:t xml:space="preserve">surcoûts d’exploitation </w:t>
      </w:r>
      <w:r w:rsidR="0001150D" w:rsidRPr="00ED22D1">
        <w:rPr>
          <w:b/>
          <w:lang w:val="fr-CA"/>
        </w:rPr>
        <w:t>e</w:t>
      </w:r>
      <w:r w:rsidR="0085675A" w:rsidRPr="00ED22D1">
        <w:rPr>
          <w:b/>
          <w:lang w:val="fr-CA"/>
        </w:rPr>
        <w:t>n</w:t>
      </w:r>
      <w:r w:rsidR="00B53D8B" w:rsidRPr="00ED22D1">
        <w:rPr>
          <w:b/>
          <w:lang w:val="fr-CA"/>
        </w:rPr>
        <w:t xml:space="preserve"> juillet</w:t>
      </w:r>
      <w:r w:rsidR="0085675A" w:rsidRPr="00ED22D1">
        <w:rPr>
          <w:b/>
          <w:lang w:val="fr-CA"/>
        </w:rPr>
        <w:t xml:space="preserve"> 2019</w:t>
      </w:r>
      <w:r w:rsidR="0001150D" w:rsidRPr="00ED22D1">
        <w:rPr>
          <w:b/>
          <w:lang w:val="fr-CA"/>
        </w:rPr>
        <w:t>,</w:t>
      </w:r>
      <w:r w:rsidR="0085675A" w:rsidRPr="00ED22D1">
        <w:rPr>
          <w:b/>
          <w:lang w:val="fr-CA"/>
        </w:rPr>
        <w:t xml:space="preserve"> </w:t>
      </w:r>
      <w:r w:rsidR="0001150D" w:rsidRPr="00ED22D1">
        <w:rPr>
          <w:b/>
          <w:lang w:val="fr-CA"/>
        </w:rPr>
        <w:t>après avoir examiné les progrès dans la vente des climatiseurs avec</w:t>
      </w:r>
      <w:r w:rsidR="0085675A" w:rsidRPr="00ED22D1">
        <w:rPr>
          <w:b/>
          <w:lang w:val="fr-CA"/>
        </w:rPr>
        <w:t xml:space="preserve"> R-290</w:t>
      </w:r>
      <w:r w:rsidR="0031390F" w:rsidRPr="00ED22D1">
        <w:rPr>
          <w:b/>
          <w:lang w:val="fr-CA"/>
        </w:rPr>
        <w:t>. Le</w:t>
      </w:r>
      <w:r w:rsidR="00DD185D" w:rsidRPr="00ED22D1">
        <w:rPr>
          <w:b/>
          <w:lang w:val="fr-CA"/>
        </w:rPr>
        <w:t xml:space="preserve"> Comité exécutif</w:t>
      </w:r>
      <w:r w:rsidR="0085675A" w:rsidRPr="00ED22D1">
        <w:rPr>
          <w:b/>
          <w:lang w:val="fr-CA"/>
        </w:rPr>
        <w:t xml:space="preserve"> </w:t>
      </w:r>
      <w:r w:rsidR="0001150D" w:rsidRPr="00ED22D1">
        <w:rPr>
          <w:b/>
          <w:lang w:val="fr-CA"/>
        </w:rPr>
        <w:t>peut souhaiter fournir des conseils sur la façon dont le</w:t>
      </w:r>
      <w:r w:rsidR="00F54BD3" w:rsidRPr="00ED22D1">
        <w:rPr>
          <w:b/>
          <w:lang w:val="fr-CA"/>
        </w:rPr>
        <w:t> </w:t>
      </w:r>
      <w:r w:rsidR="0001150D" w:rsidRPr="00ED22D1">
        <w:rPr>
          <w:b/>
          <w:lang w:val="fr-CA"/>
        </w:rPr>
        <w:t xml:space="preserve">plan d’intéressement des </w:t>
      </w:r>
      <w:r w:rsidR="002F6D48" w:rsidRPr="00ED22D1">
        <w:rPr>
          <w:b/>
          <w:lang w:val="fr-CA"/>
        </w:rPr>
        <w:t xml:space="preserve">surcoûts d’exploitation </w:t>
      </w:r>
      <w:r w:rsidR="0001150D" w:rsidRPr="00ED22D1">
        <w:rPr>
          <w:b/>
          <w:lang w:val="fr-CA"/>
        </w:rPr>
        <w:t xml:space="preserve">devrait </w:t>
      </w:r>
      <w:r w:rsidR="00DC23B2" w:rsidRPr="00ED22D1">
        <w:rPr>
          <w:b/>
          <w:lang w:val="fr-CA"/>
        </w:rPr>
        <w:t>ê</w:t>
      </w:r>
      <w:r w:rsidR="0001150D" w:rsidRPr="00ED22D1">
        <w:rPr>
          <w:b/>
          <w:lang w:val="fr-CA"/>
        </w:rPr>
        <w:t>tre modifié</w:t>
      </w:r>
      <w:r w:rsidR="0085675A" w:rsidRPr="00ED22D1">
        <w:rPr>
          <w:b/>
          <w:lang w:val="fr-CA"/>
        </w:rPr>
        <w:t xml:space="preserve">. </w:t>
      </w:r>
    </w:p>
    <w:p w:rsidR="0085675A" w:rsidRPr="00ED22D1" w:rsidRDefault="00DC23B2" w:rsidP="0085675A">
      <w:pPr>
        <w:keepNext/>
        <w:keepLines/>
        <w:rPr>
          <w:b/>
          <w:lang w:val="fr-CA"/>
        </w:rPr>
      </w:pPr>
      <w:r w:rsidRPr="00ED22D1">
        <w:rPr>
          <w:b/>
          <w:lang w:val="fr-CA"/>
        </w:rPr>
        <w:t xml:space="preserve">Recommandation du </w:t>
      </w:r>
      <w:r w:rsidR="00DD185D" w:rsidRPr="00ED22D1">
        <w:rPr>
          <w:b/>
          <w:lang w:val="fr-CA"/>
        </w:rPr>
        <w:t>Secrétariat</w:t>
      </w:r>
    </w:p>
    <w:p w:rsidR="0085675A" w:rsidRPr="00ED22D1" w:rsidRDefault="0085675A" w:rsidP="0085675A">
      <w:pPr>
        <w:keepNext/>
        <w:keepLines/>
        <w:rPr>
          <w:lang w:val="fr-CA"/>
        </w:rPr>
      </w:pPr>
    </w:p>
    <w:p w:rsidR="0085675A" w:rsidRPr="00ED22D1" w:rsidRDefault="005A6C23" w:rsidP="005A6C23">
      <w:pPr>
        <w:pStyle w:val="Heading1"/>
        <w:keepNext/>
        <w:keepLines/>
        <w:numPr>
          <w:ilvl w:val="0"/>
          <w:numId w:val="0"/>
        </w:numPr>
        <w:rPr>
          <w:lang w:val="fr-CA"/>
        </w:rPr>
      </w:pPr>
      <w:r w:rsidRPr="00ED22D1">
        <w:rPr>
          <w:lang w:val="fr-CA"/>
        </w:rPr>
        <w:t>26.</w:t>
      </w:r>
      <w:r w:rsidRPr="00ED22D1">
        <w:rPr>
          <w:lang w:val="fr-CA"/>
        </w:rPr>
        <w:tab/>
      </w:r>
      <w:r w:rsidR="001B45EC" w:rsidRPr="00ED22D1">
        <w:rPr>
          <w:lang w:val="fr-CA"/>
        </w:rPr>
        <w:t>Le Comité exécutif peut envisager</w:t>
      </w:r>
      <w:r w:rsidR="00791BF7" w:rsidRPr="00ED22D1">
        <w:rPr>
          <w:lang w:val="fr-CA"/>
        </w:rPr>
        <w:t> :</w:t>
      </w:r>
      <w:r w:rsidR="0085675A" w:rsidRPr="00ED22D1">
        <w:rPr>
          <w:lang w:val="fr-CA"/>
        </w:rPr>
        <w:t xml:space="preserve"> </w:t>
      </w:r>
    </w:p>
    <w:p w:rsidR="0085675A" w:rsidRPr="00ED22D1" w:rsidRDefault="00AA49F6" w:rsidP="0085675A">
      <w:pPr>
        <w:pStyle w:val="Heading2"/>
        <w:rPr>
          <w:lang w:val="fr-CA"/>
        </w:rPr>
      </w:pPr>
      <w:r w:rsidRPr="00ED22D1">
        <w:rPr>
          <w:lang w:val="fr-CA"/>
        </w:rPr>
        <w:t>De prendre note du</w:t>
      </w:r>
      <w:r w:rsidR="00F54BD3" w:rsidRPr="00ED22D1">
        <w:rPr>
          <w:lang w:val="fr-CA"/>
        </w:rPr>
        <w:t xml:space="preserve"> rapport</w:t>
      </w:r>
      <w:r w:rsidRPr="00ED22D1">
        <w:rPr>
          <w:lang w:val="fr-CA"/>
        </w:rPr>
        <w:t xml:space="preserve"> </w:t>
      </w:r>
      <w:r w:rsidR="004A6828" w:rsidRPr="00ED22D1">
        <w:rPr>
          <w:b/>
          <w:lang w:val="fr-CA"/>
        </w:rPr>
        <w:t>périodique révisé</w:t>
      </w:r>
      <w:r w:rsidR="0085675A" w:rsidRPr="00ED22D1">
        <w:rPr>
          <w:lang w:val="fr-CA"/>
        </w:rPr>
        <w:t xml:space="preserve"> </w:t>
      </w:r>
      <w:r w:rsidR="00921BDE" w:rsidRPr="00ED22D1">
        <w:rPr>
          <w:lang w:val="fr-CA"/>
        </w:rPr>
        <w:t xml:space="preserve">sur la mise en oeuvre </w:t>
      </w:r>
      <w:r w:rsidRPr="00ED22D1">
        <w:rPr>
          <w:lang w:val="fr-CA"/>
        </w:rPr>
        <w:t xml:space="preserve">du plan du secteur des </w:t>
      </w:r>
      <w:r w:rsidR="004A6828" w:rsidRPr="00ED22D1">
        <w:rPr>
          <w:lang w:val="fr-CA"/>
        </w:rPr>
        <w:t>climatiseurs résidentiels</w:t>
      </w:r>
      <w:r w:rsidR="0085675A" w:rsidRPr="00ED22D1">
        <w:rPr>
          <w:lang w:val="fr-CA"/>
        </w:rPr>
        <w:t xml:space="preserve"> (RAC) </w:t>
      </w:r>
      <w:r w:rsidR="00921BDE" w:rsidRPr="00ED22D1">
        <w:rPr>
          <w:lang w:val="fr-CA"/>
        </w:rPr>
        <w:t>de la phase</w:t>
      </w:r>
      <w:r w:rsidR="004A6828" w:rsidRPr="00ED22D1">
        <w:rPr>
          <w:lang w:val="fr-CA"/>
        </w:rPr>
        <w:t xml:space="preserve"> </w:t>
      </w:r>
      <w:r w:rsidR="0085675A" w:rsidRPr="00ED22D1">
        <w:rPr>
          <w:lang w:val="fr-CA"/>
        </w:rPr>
        <w:t xml:space="preserve">I </w:t>
      </w:r>
      <w:r w:rsidR="00921BDE" w:rsidRPr="00ED22D1">
        <w:rPr>
          <w:lang w:val="fr-CA"/>
        </w:rPr>
        <w:t>du plan d’élimination</w:t>
      </w:r>
      <w:r w:rsidR="004A6828" w:rsidRPr="00ED22D1">
        <w:rPr>
          <w:lang w:val="fr-CA"/>
        </w:rPr>
        <w:t xml:space="preserve"> des HCFC</w:t>
      </w:r>
      <w:r w:rsidR="0085675A" w:rsidRPr="00ED22D1">
        <w:rPr>
          <w:lang w:val="fr-CA"/>
        </w:rPr>
        <w:t xml:space="preserve"> (</w:t>
      </w:r>
      <w:r w:rsidR="00DD185D" w:rsidRPr="00ED22D1">
        <w:rPr>
          <w:lang w:val="fr-CA"/>
        </w:rPr>
        <w:t>PGEH</w:t>
      </w:r>
      <w:r w:rsidR="0085675A" w:rsidRPr="00ED22D1">
        <w:rPr>
          <w:lang w:val="fr-CA"/>
        </w:rPr>
        <w:t xml:space="preserve">) </w:t>
      </w:r>
      <w:r w:rsidR="00181884" w:rsidRPr="00ED22D1">
        <w:rPr>
          <w:lang w:val="fr-CA"/>
        </w:rPr>
        <w:t>en</w:t>
      </w:r>
      <w:r w:rsidRPr="00ED22D1">
        <w:rPr>
          <w:lang w:val="fr-CA"/>
        </w:rPr>
        <w:t> </w:t>
      </w:r>
      <w:r w:rsidR="00181884" w:rsidRPr="00ED22D1">
        <w:rPr>
          <w:lang w:val="fr-CA"/>
        </w:rPr>
        <w:t>Chine</w:t>
      </w:r>
      <w:r w:rsidR="0085675A" w:rsidRPr="00ED22D1">
        <w:rPr>
          <w:lang w:val="fr-CA"/>
        </w:rPr>
        <w:t xml:space="preserve"> </w:t>
      </w:r>
      <w:r w:rsidR="00FB1DC4" w:rsidRPr="00ED22D1">
        <w:rPr>
          <w:lang w:val="fr-CA"/>
        </w:rPr>
        <w:t>présenté</w:t>
      </w:r>
      <w:r w:rsidR="00DE118B" w:rsidRPr="00ED22D1">
        <w:rPr>
          <w:lang w:val="fr-CA"/>
        </w:rPr>
        <w:t xml:space="preserve"> par </w:t>
      </w:r>
      <w:r w:rsidR="001F19C1" w:rsidRPr="00ED22D1">
        <w:rPr>
          <w:lang w:val="fr-CA"/>
        </w:rPr>
        <w:t>l’ONUDI</w:t>
      </w:r>
      <w:r w:rsidR="0085675A" w:rsidRPr="00ED22D1">
        <w:rPr>
          <w:lang w:val="fr-CA"/>
        </w:rPr>
        <w:t xml:space="preserve">; </w:t>
      </w:r>
    </w:p>
    <w:p w:rsidR="0085675A" w:rsidRPr="00ED22D1" w:rsidRDefault="0085675A" w:rsidP="0085675A">
      <w:pPr>
        <w:pStyle w:val="Heading2"/>
        <w:rPr>
          <w:b/>
          <w:lang w:val="fr-CA"/>
        </w:rPr>
      </w:pPr>
      <w:r w:rsidRPr="00ED22D1">
        <w:rPr>
          <w:b/>
          <w:lang w:val="fr-CA"/>
        </w:rPr>
        <w:t xml:space="preserve"> </w:t>
      </w:r>
      <w:r w:rsidR="00AA49F6" w:rsidRPr="00ED22D1">
        <w:rPr>
          <w:b/>
          <w:lang w:val="fr-CA"/>
        </w:rPr>
        <w:t>S’il doit endosser le plan d’intéressement pour la hausse des coûts d’exploitation</w:t>
      </w:r>
      <w:r w:rsidRPr="00ED22D1">
        <w:rPr>
          <w:b/>
          <w:lang w:val="fr-CA"/>
        </w:rPr>
        <w:t xml:space="preserve"> </w:t>
      </w:r>
      <w:r w:rsidR="00AA49F6" w:rsidRPr="00ED22D1">
        <w:rPr>
          <w:b/>
          <w:lang w:val="fr-CA"/>
        </w:rPr>
        <w:t>proposé</w:t>
      </w:r>
      <w:r w:rsidR="00DE118B" w:rsidRPr="00ED22D1">
        <w:rPr>
          <w:b/>
          <w:lang w:val="fr-CA"/>
        </w:rPr>
        <w:t xml:space="preserve"> par </w:t>
      </w:r>
      <w:r w:rsidR="00921BDE" w:rsidRPr="00ED22D1">
        <w:rPr>
          <w:b/>
          <w:lang w:val="fr-CA"/>
        </w:rPr>
        <w:t>le gouvernement</w:t>
      </w:r>
      <w:r w:rsidR="001F19C1" w:rsidRPr="00ED22D1">
        <w:rPr>
          <w:b/>
          <w:lang w:val="fr-CA"/>
        </w:rPr>
        <w:t xml:space="preserve"> </w:t>
      </w:r>
      <w:r w:rsidR="00181884" w:rsidRPr="00ED22D1">
        <w:rPr>
          <w:b/>
          <w:lang w:val="fr-CA"/>
        </w:rPr>
        <w:t>de la Chine</w:t>
      </w:r>
      <w:r w:rsidRPr="00ED22D1">
        <w:rPr>
          <w:b/>
          <w:lang w:val="fr-CA"/>
        </w:rPr>
        <w:t>,</w:t>
      </w:r>
      <w:r w:rsidR="004A6828" w:rsidRPr="00ED22D1">
        <w:rPr>
          <w:b/>
          <w:lang w:val="fr-CA"/>
        </w:rPr>
        <w:t xml:space="preserve"> ou </w:t>
      </w:r>
      <w:r w:rsidR="00AA49F6" w:rsidRPr="00ED22D1">
        <w:rPr>
          <w:b/>
          <w:lang w:val="fr-CA"/>
        </w:rPr>
        <w:t>proposer un plan révisé</w:t>
      </w:r>
      <w:r w:rsidRPr="00ED22D1">
        <w:rPr>
          <w:b/>
          <w:lang w:val="fr-CA"/>
        </w:rPr>
        <w:t>.</w:t>
      </w:r>
    </w:p>
    <w:p w:rsidR="0085675A" w:rsidRPr="00ED22D1" w:rsidRDefault="00DD185D" w:rsidP="0085675A">
      <w:pPr>
        <w:keepNext/>
        <w:keepLines/>
        <w:rPr>
          <w:b/>
          <w:lang w:val="fr-CA"/>
        </w:rPr>
      </w:pPr>
      <w:r w:rsidRPr="00ED22D1">
        <w:rPr>
          <w:b/>
          <w:lang w:val="fr-CA"/>
        </w:rPr>
        <w:t>PGEH</w:t>
      </w:r>
      <w:r w:rsidR="0085675A" w:rsidRPr="00ED22D1">
        <w:rPr>
          <w:b/>
          <w:lang w:val="fr-CA"/>
        </w:rPr>
        <w:t xml:space="preserve"> </w:t>
      </w:r>
      <w:r w:rsidR="004A6828" w:rsidRPr="00ED22D1">
        <w:rPr>
          <w:b/>
          <w:lang w:val="fr-CA"/>
        </w:rPr>
        <w:t>(phase</w:t>
      </w:r>
      <w:r w:rsidR="0085675A" w:rsidRPr="00ED22D1">
        <w:rPr>
          <w:b/>
          <w:lang w:val="fr-CA"/>
        </w:rPr>
        <w:t> I)</w:t>
      </w:r>
      <w:r w:rsidR="00791BF7" w:rsidRPr="00ED22D1">
        <w:rPr>
          <w:b/>
          <w:lang w:val="fr-CA"/>
        </w:rPr>
        <w:t> :</w:t>
      </w:r>
      <w:r w:rsidR="0085675A" w:rsidRPr="00ED22D1">
        <w:rPr>
          <w:b/>
          <w:lang w:val="fr-CA"/>
        </w:rPr>
        <w:t xml:space="preserve"> </w:t>
      </w:r>
      <w:r w:rsidR="00AA49F6" w:rsidRPr="00ED22D1">
        <w:rPr>
          <w:b/>
          <w:lang w:val="fr-CA"/>
        </w:rPr>
        <w:t>S</w:t>
      </w:r>
      <w:r w:rsidR="00181884" w:rsidRPr="00ED22D1">
        <w:rPr>
          <w:b/>
          <w:lang w:val="fr-CA"/>
        </w:rPr>
        <w:t>ecteur de l’entretien en réfrigération</w:t>
      </w:r>
      <w:r w:rsidR="0085675A" w:rsidRPr="00ED22D1">
        <w:rPr>
          <w:b/>
          <w:lang w:val="fr-CA"/>
        </w:rPr>
        <w:t xml:space="preserve"> (</w:t>
      </w:r>
      <w:r w:rsidR="001C722B" w:rsidRPr="00ED22D1">
        <w:rPr>
          <w:b/>
          <w:lang w:val="fr-CA"/>
        </w:rPr>
        <w:t>PNUE</w:t>
      </w:r>
      <w:r w:rsidR="0085675A" w:rsidRPr="00ED22D1">
        <w:rPr>
          <w:b/>
          <w:lang w:val="fr-CA"/>
        </w:rPr>
        <w:t xml:space="preserve">, </w:t>
      </w:r>
      <w:r w:rsidR="004A6828" w:rsidRPr="00ED22D1">
        <w:rPr>
          <w:b/>
          <w:lang w:val="fr-CA"/>
        </w:rPr>
        <w:t>Japon</w:t>
      </w:r>
      <w:r w:rsidR="0085675A" w:rsidRPr="00ED22D1">
        <w:rPr>
          <w:b/>
          <w:lang w:val="fr-CA"/>
        </w:rPr>
        <w:t>)</w:t>
      </w:r>
    </w:p>
    <w:p w:rsidR="0085675A" w:rsidRPr="00ED22D1" w:rsidRDefault="0085675A" w:rsidP="0085675A">
      <w:pPr>
        <w:keepNext/>
        <w:keepLines/>
        <w:tabs>
          <w:tab w:val="left" w:pos="8280"/>
        </w:tabs>
        <w:rPr>
          <w:lang w:val="fr-CA"/>
        </w:rPr>
      </w:pPr>
    </w:p>
    <w:p w:rsidR="0085675A" w:rsidRPr="00ED22D1" w:rsidRDefault="005A6C23" w:rsidP="005A6C23">
      <w:pPr>
        <w:pStyle w:val="Heading1"/>
        <w:keepNext/>
        <w:keepLines/>
        <w:numPr>
          <w:ilvl w:val="0"/>
          <w:numId w:val="0"/>
        </w:numPr>
        <w:rPr>
          <w:lang w:val="fr-CA"/>
        </w:rPr>
      </w:pPr>
      <w:r w:rsidRPr="00ED22D1">
        <w:rPr>
          <w:lang w:val="fr-CA"/>
        </w:rPr>
        <w:t>27.</w:t>
      </w:r>
      <w:r w:rsidRPr="00ED22D1">
        <w:rPr>
          <w:lang w:val="fr-CA"/>
        </w:rPr>
        <w:tab/>
      </w:r>
      <w:r w:rsidR="00AA49F6" w:rsidRPr="00ED22D1">
        <w:rPr>
          <w:lang w:val="fr-CA"/>
        </w:rPr>
        <w:t xml:space="preserve">Conformément à la </w:t>
      </w:r>
      <w:r w:rsidR="00AA6E77" w:rsidRPr="00ED22D1">
        <w:rPr>
          <w:lang w:val="fr-CA"/>
        </w:rPr>
        <w:t>décision</w:t>
      </w:r>
      <w:r w:rsidR="0085675A" w:rsidRPr="00ED22D1">
        <w:rPr>
          <w:lang w:val="fr-CA"/>
        </w:rPr>
        <w:t> 82/70(c)</w:t>
      </w:r>
      <w:r w:rsidR="001F19C1" w:rsidRPr="00ED22D1">
        <w:rPr>
          <w:lang w:val="fr-CA"/>
        </w:rPr>
        <w:t>, le PNUE</w:t>
      </w:r>
      <w:r w:rsidR="0085675A" w:rsidRPr="00ED22D1">
        <w:rPr>
          <w:lang w:val="fr-CA"/>
        </w:rPr>
        <w:t xml:space="preserve"> </w:t>
      </w:r>
      <w:r w:rsidR="00AA49F6" w:rsidRPr="00ED22D1">
        <w:rPr>
          <w:lang w:val="fr-CA"/>
        </w:rPr>
        <w:t xml:space="preserve">a </w:t>
      </w:r>
      <w:r w:rsidR="00FB1DC4" w:rsidRPr="00ED22D1">
        <w:rPr>
          <w:lang w:val="fr-CA"/>
        </w:rPr>
        <w:t>présenté</w:t>
      </w:r>
      <w:r w:rsidR="0085675A" w:rsidRPr="00ED22D1">
        <w:rPr>
          <w:lang w:val="fr-CA"/>
        </w:rPr>
        <w:t xml:space="preserve"> </w:t>
      </w:r>
      <w:r w:rsidR="00FB1DC4" w:rsidRPr="00ED22D1">
        <w:rPr>
          <w:lang w:val="fr-CA"/>
        </w:rPr>
        <w:t xml:space="preserve">le rapport d’achèvement de projet </w:t>
      </w:r>
      <w:r w:rsidR="00AA49F6" w:rsidRPr="00ED22D1">
        <w:rPr>
          <w:lang w:val="fr-CA"/>
        </w:rPr>
        <w:t>pour la</w:t>
      </w:r>
      <w:r w:rsidR="004A6828" w:rsidRPr="00ED22D1">
        <w:rPr>
          <w:lang w:val="fr-CA"/>
        </w:rPr>
        <w:t xml:space="preserve"> phase </w:t>
      </w:r>
      <w:r w:rsidR="0085675A" w:rsidRPr="00ED22D1">
        <w:rPr>
          <w:lang w:val="fr-CA"/>
        </w:rPr>
        <w:t xml:space="preserve">I </w:t>
      </w:r>
      <w:r w:rsidR="00AA49F6" w:rsidRPr="00ED22D1">
        <w:rPr>
          <w:lang w:val="fr-CA"/>
        </w:rPr>
        <w:t>du</w:t>
      </w:r>
      <w:r w:rsidR="0085675A" w:rsidRPr="00ED22D1">
        <w:rPr>
          <w:lang w:val="fr-CA"/>
        </w:rPr>
        <w:t xml:space="preserve"> </w:t>
      </w:r>
      <w:r w:rsidR="00AA49F6" w:rsidRPr="00ED22D1">
        <w:rPr>
          <w:lang w:val="fr-CA"/>
        </w:rPr>
        <w:t xml:space="preserve">plan du </w:t>
      </w:r>
      <w:r w:rsidR="00181884" w:rsidRPr="00ED22D1">
        <w:rPr>
          <w:lang w:val="fr-CA"/>
        </w:rPr>
        <w:t>secteur de l’entretien en réfrigération</w:t>
      </w:r>
      <w:r w:rsidR="0031390F" w:rsidRPr="00ED22D1">
        <w:rPr>
          <w:lang w:val="fr-CA"/>
        </w:rPr>
        <w:t>. Le</w:t>
      </w:r>
      <w:r w:rsidR="00FB1DC4" w:rsidRPr="00ED22D1">
        <w:rPr>
          <w:lang w:val="fr-CA"/>
        </w:rPr>
        <w:t xml:space="preserve"> rapport d’achèvement de projet </w:t>
      </w:r>
      <w:r w:rsidR="00AA49F6" w:rsidRPr="00ED22D1">
        <w:rPr>
          <w:lang w:val="fr-CA"/>
        </w:rPr>
        <w:t xml:space="preserve">examiné par </w:t>
      </w:r>
      <w:r w:rsidR="00DD185D" w:rsidRPr="00ED22D1">
        <w:rPr>
          <w:lang w:val="fr-CA"/>
        </w:rPr>
        <w:t>le Secrétariat</w:t>
      </w:r>
      <w:r w:rsidR="0085675A" w:rsidRPr="00ED22D1">
        <w:rPr>
          <w:lang w:val="fr-CA"/>
        </w:rPr>
        <w:t xml:space="preserve"> </w:t>
      </w:r>
      <w:r w:rsidR="002B7FD8" w:rsidRPr="00ED22D1">
        <w:rPr>
          <w:lang w:val="fr-CA"/>
        </w:rPr>
        <w:t>a confirmé son achèvement opérationnel en</w:t>
      </w:r>
      <w:r w:rsidR="001B31BF" w:rsidRPr="00ED22D1">
        <w:rPr>
          <w:lang w:val="fr-CA"/>
        </w:rPr>
        <w:t xml:space="preserve"> décembre</w:t>
      </w:r>
      <w:r w:rsidR="0085675A" w:rsidRPr="00ED22D1">
        <w:rPr>
          <w:lang w:val="fr-CA"/>
        </w:rPr>
        <w:t xml:space="preserve"> 201</w:t>
      </w:r>
      <w:r w:rsidR="004A6828" w:rsidRPr="00ED22D1">
        <w:rPr>
          <w:lang w:val="fr-CA"/>
        </w:rPr>
        <w:t>8</w:t>
      </w:r>
      <w:r w:rsidR="002B7FD8" w:rsidRPr="00ED22D1">
        <w:rPr>
          <w:lang w:val="fr-CA"/>
        </w:rPr>
        <w:t>, et que</w:t>
      </w:r>
      <w:r w:rsidR="0085675A" w:rsidRPr="00ED22D1">
        <w:rPr>
          <w:lang w:val="fr-CA"/>
        </w:rPr>
        <w:t xml:space="preserve"> </w:t>
      </w:r>
      <w:r w:rsidR="00FB1DC4" w:rsidRPr="00ED22D1">
        <w:rPr>
          <w:lang w:val="fr-CA"/>
        </w:rPr>
        <w:t xml:space="preserve">le rapport d’achèvement de projet </w:t>
      </w:r>
      <w:r w:rsidR="002B7FD8" w:rsidRPr="00ED22D1">
        <w:rPr>
          <w:lang w:val="fr-CA"/>
        </w:rPr>
        <w:t>a été jugé satisfaisant</w:t>
      </w:r>
      <w:r w:rsidR="0031390F" w:rsidRPr="00ED22D1">
        <w:rPr>
          <w:lang w:val="fr-CA"/>
        </w:rPr>
        <w:t>. Le</w:t>
      </w:r>
      <w:r w:rsidR="002B7FD8" w:rsidRPr="00ED22D1">
        <w:rPr>
          <w:lang w:val="fr-CA"/>
        </w:rPr>
        <w:t xml:space="preserve"> </w:t>
      </w:r>
      <w:r w:rsidR="00DD185D" w:rsidRPr="00ED22D1">
        <w:rPr>
          <w:lang w:val="fr-CA"/>
        </w:rPr>
        <w:t>Secrétariat</w:t>
      </w:r>
      <w:r w:rsidR="004A6828" w:rsidRPr="00ED22D1">
        <w:rPr>
          <w:lang w:val="fr-CA"/>
        </w:rPr>
        <w:t xml:space="preserve"> </w:t>
      </w:r>
      <w:r w:rsidR="002B7FD8" w:rsidRPr="00ED22D1">
        <w:rPr>
          <w:lang w:val="fr-CA"/>
        </w:rPr>
        <w:t xml:space="preserve">a pris note </w:t>
      </w:r>
      <w:r w:rsidR="004A6828" w:rsidRPr="00ED22D1">
        <w:rPr>
          <w:lang w:val="fr-CA"/>
        </w:rPr>
        <w:t>et</w:t>
      </w:r>
      <w:r w:rsidR="002B7FD8" w:rsidRPr="00ED22D1">
        <w:rPr>
          <w:lang w:val="fr-CA"/>
        </w:rPr>
        <w:t xml:space="preserve"> le PNUE a expliqué</w:t>
      </w:r>
      <w:r w:rsidR="00DE118B" w:rsidRPr="00ED22D1">
        <w:rPr>
          <w:lang w:val="fr-CA"/>
        </w:rPr>
        <w:t xml:space="preserve"> </w:t>
      </w:r>
      <w:r w:rsidR="002B7FD8" w:rsidRPr="00ED22D1">
        <w:rPr>
          <w:lang w:val="fr-CA"/>
        </w:rPr>
        <w:t>que les</w:t>
      </w:r>
      <w:r w:rsidR="00F54BD3" w:rsidRPr="00ED22D1">
        <w:rPr>
          <w:lang w:val="fr-CA"/>
        </w:rPr>
        <w:t> </w:t>
      </w:r>
      <w:r w:rsidR="002B7FD8" w:rsidRPr="00ED22D1">
        <w:rPr>
          <w:lang w:val="fr-CA"/>
        </w:rPr>
        <w:t xml:space="preserve">données financières du </w:t>
      </w:r>
      <w:r w:rsidR="00FB1DC4" w:rsidRPr="00ED22D1">
        <w:rPr>
          <w:lang w:val="fr-CA"/>
        </w:rPr>
        <w:t>rapport d’achèvement de projet</w:t>
      </w:r>
      <w:r w:rsidR="002B7FD8" w:rsidRPr="00ED22D1">
        <w:rPr>
          <w:lang w:val="fr-CA"/>
        </w:rPr>
        <w:t xml:space="preserve"> sont préliminaires</w:t>
      </w:r>
      <w:r w:rsidR="0085675A" w:rsidRPr="00ED22D1">
        <w:rPr>
          <w:lang w:val="fr-CA"/>
        </w:rPr>
        <w:t xml:space="preserve">, </w:t>
      </w:r>
      <w:r w:rsidR="002B7FD8" w:rsidRPr="00ED22D1">
        <w:rPr>
          <w:lang w:val="fr-CA"/>
        </w:rPr>
        <w:t>parce qu’il reste encore en</w:t>
      </w:r>
      <w:r w:rsidR="00F54BD3" w:rsidRPr="00ED22D1">
        <w:rPr>
          <w:lang w:val="fr-CA"/>
        </w:rPr>
        <w:t> </w:t>
      </w:r>
      <w:r w:rsidR="002B7FD8" w:rsidRPr="00ED22D1">
        <w:rPr>
          <w:lang w:val="fr-CA"/>
        </w:rPr>
        <w:t>instance des paiements engagés à effectuer</w:t>
      </w:r>
      <w:r w:rsidR="0031390F" w:rsidRPr="00ED22D1">
        <w:rPr>
          <w:lang w:val="fr-CA"/>
        </w:rPr>
        <w:t>. Le</w:t>
      </w:r>
      <w:r w:rsidR="001F19C1" w:rsidRPr="00ED22D1">
        <w:rPr>
          <w:lang w:val="fr-CA"/>
        </w:rPr>
        <w:t xml:space="preserve"> PNUE</w:t>
      </w:r>
      <w:r w:rsidR="0085675A" w:rsidRPr="00ED22D1">
        <w:rPr>
          <w:lang w:val="fr-CA"/>
        </w:rPr>
        <w:t xml:space="preserve"> </w:t>
      </w:r>
      <w:r w:rsidR="002B7FD8" w:rsidRPr="00ED22D1">
        <w:rPr>
          <w:lang w:val="fr-CA"/>
        </w:rPr>
        <w:t>fournira un rapport financier complet d’ici</w:t>
      </w:r>
      <w:r w:rsidR="00DE118B" w:rsidRPr="00ED22D1">
        <w:rPr>
          <w:lang w:val="fr-CA"/>
        </w:rPr>
        <w:t xml:space="preserve"> </w:t>
      </w:r>
      <w:r w:rsidR="001B31BF" w:rsidRPr="00ED22D1">
        <w:rPr>
          <w:lang w:val="fr-CA"/>
        </w:rPr>
        <w:t>décembre</w:t>
      </w:r>
      <w:r w:rsidR="0085675A" w:rsidRPr="00ED22D1">
        <w:rPr>
          <w:lang w:val="fr-CA"/>
        </w:rPr>
        <w:t xml:space="preserve"> 2019 </w:t>
      </w:r>
      <w:r w:rsidR="002B7FD8" w:rsidRPr="00ED22D1">
        <w:rPr>
          <w:lang w:val="fr-CA"/>
        </w:rPr>
        <w:t>selon les lignes directrices pour l’achèvement financier, à quel moment les soldes de la</w:t>
      </w:r>
      <w:r w:rsidR="00F54BD3" w:rsidRPr="00ED22D1">
        <w:rPr>
          <w:lang w:val="fr-CA"/>
        </w:rPr>
        <w:t> </w:t>
      </w:r>
      <w:r w:rsidR="004A6828" w:rsidRPr="00ED22D1">
        <w:rPr>
          <w:lang w:val="fr-CA"/>
        </w:rPr>
        <w:t xml:space="preserve">phase </w:t>
      </w:r>
      <w:r w:rsidR="0085675A" w:rsidRPr="00ED22D1">
        <w:rPr>
          <w:lang w:val="fr-CA"/>
        </w:rPr>
        <w:t xml:space="preserve">I </w:t>
      </w:r>
      <w:r w:rsidR="001F19C1" w:rsidRPr="00ED22D1">
        <w:rPr>
          <w:lang w:val="fr-CA"/>
        </w:rPr>
        <w:t>du PGEH</w:t>
      </w:r>
      <w:r w:rsidR="0085675A" w:rsidRPr="00ED22D1">
        <w:rPr>
          <w:lang w:val="fr-CA"/>
        </w:rPr>
        <w:t xml:space="preserve"> </w:t>
      </w:r>
      <w:r w:rsidR="002B7FD8" w:rsidRPr="00ED22D1">
        <w:rPr>
          <w:lang w:val="fr-CA"/>
        </w:rPr>
        <w:t>seront connus</w:t>
      </w:r>
      <w:r w:rsidR="0085675A" w:rsidRPr="00ED22D1">
        <w:rPr>
          <w:lang w:val="fr-CA"/>
        </w:rPr>
        <w:t>.</w:t>
      </w:r>
    </w:p>
    <w:p w:rsidR="0085675A" w:rsidRPr="00ED22D1" w:rsidRDefault="002B7FD8" w:rsidP="0085675A">
      <w:pPr>
        <w:keepNext/>
        <w:keepLines/>
        <w:rPr>
          <w:b/>
          <w:lang w:val="fr-CA"/>
        </w:rPr>
      </w:pPr>
      <w:r w:rsidRPr="00ED22D1">
        <w:rPr>
          <w:b/>
          <w:lang w:val="fr-CA"/>
        </w:rPr>
        <w:t xml:space="preserve">Recommandation du </w:t>
      </w:r>
      <w:r w:rsidR="00DD185D" w:rsidRPr="00ED22D1">
        <w:rPr>
          <w:b/>
          <w:lang w:val="fr-CA"/>
        </w:rPr>
        <w:t>Secrétariat</w:t>
      </w:r>
    </w:p>
    <w:p w:rsidR="0085675A" w:rsidRPr="00ED22D1" w:rsidRDefault="0085675A" w:rsidP="0085675A">
      <w:pPr>
        <w:rPr>
          <w:lang w:val="fr-CA"/>
        </w:rPr>
      </w:pPr>
    </w:p>
    <w:p w:rsidR="0085675A" w:rsidRPr="00ED22D1" w:rsidRDefault="005A6C23" w:rsidP="005A6C23">
      <w:pPr>
        <w:pStyle w:val="Heading1"/>
        <w:numPr>
          <w:ilvl w:val="0"/>
          <w:numId w:val="0"/>
        </w:numPr>
        <w:rPr>
          <w:lang w:val="fr-CA"/>
        </w:rPr>
      </w:pPr>
      <w:r w:rsidRPr="00ED22D1">
        <w:rPr>
          <w:lang w:val="fr-CA"/>
        </w:rPr>
        <w:t>28.</w:t>
      </w:r>
      <w:r w:rsidRPr="00ED22D1">
        <w:rPr>
          <w:lang w:val="fr-CA"/>
        </w:rPr>
        <w:tab/>
      </w:r>
      <w:r w:rsidR="00DD185D" w:rsidRPr="00ED22D1">
        <w:rPr>
          <w:lang w:val="fr-CA"/>
        </w:rPr>
        <w:t>Le Comité exécutif</w:t>
      </w:r>
      <w:r w:rsidR="0085675A" w:rsidRPr="00ED22D1">
        <w:rPr>
          <w:lang w:val="fr-CA"/>
        </w:rPr>
        <w:t xml:space="preserve"> </w:t>
      </w:r>
      <w:r w:rsidR="002B7FD8" w:rsidRPr="00ED22D1">
        <w:rPr>
          <w:lang w:val="fr-CA"/>
        </w:rPr>
        <w:t xml:space="preserve">peut souhaiter demander au </w:t>
      </w:r>
      <w:r w:rsidR="00921BDE" w:rsidRPr="00ED22D1">
        <w:rPr>
          <w:lang w:val="fr-CA"/>
        </w:rPr>
        <w:t>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2B7FD8" w:rsidRPr="00ED22D1">
        <w:rPr>
          <w:lang w:val="fr-CA"/>
        </w:rPr>
        <w:t xml:space="preserve">au </w:t>
      </w:r>
      <w:r w:rsidR="001C722B" w:rsidRPr="00ED22D1">
        <w:rPr>
          <w:lang w:val="fr-CA"/>
        </w:rPr>
        <w:t>PNUE</w:t>
      </w:r>
      <w:r w:rsidR="00F00D2D">
        <w:rPr>
          <w:lang w:val="fr-CA"/>
        </w:rPr>
        <w:t xml:space="preserve"> </w:t>
      </w:r>
      <w:r w:rsidR="002B7FD8" w:rsidRPr="00ED22D1">
        <w:rPr>
          <w:lang w:val="fr-CA"/>
        </w:rPr>
        <w:t>de</w:t>
      </w:r>
      <w:r w:rsidR="00F54BD3" w:rsidRPr="00ED22D1">
        <w:rPr>
          <w:lang w:val="fr-CA"/>
        </w:rPr>
        <w:t> </w:t>
      </w:r>
      <w:r w:rsidR="002B7FD8" w:rsidRPr="00ED22D1">
        <w:rPr>
          <w:lang w:val="fr-CA"/>
        </w:rPr>
        <w:t xml:space="preserve">présenter à la </w:t>
      </w:r>
      <w:r w:rsidR="0085675A" w:rsidRPr="00ED22D1">
        <w:rPr>
          <w:lang w:val="fr-CA"/>
        </w:rPr>
        <w:t>84</w:t>
      </w:r>
      <w:r w:rsidR="002B7FD8" w:rsidRPr="00ED22D1">
        <w:rPr>
          <w:vertAlign w:val="superscript"/>
          <w:lang w:val="fr-CA"/>
        </w:rPr>
        <w:t>e</w:t>
      </w:r>
      <w:r w:rsidR="002B7FD8" w:rsidRPr="00ED22D1">
        <w:rPr>
          <w:lang w:val="fr-CA"/>
        </w:rPr>
        <w:t xml:space="preserve"> réunion les données sur la mise</w:t>
      </w:r>
      <w:r w:rsidR="00CA0808" w:rsidRPr="00ED22D1">
        <w:rPr>
          <w:lang w:val="fr-CA"/>
        </w:rPr>
        <w:t xml:space="preserve"> à jour</w:t>
      </w:r>
      <w:r w:rsidR="0085675A" w:rsidRPr="00ED22D1">
        <w:rPr>
          <w:lang w:val="fr-CA"/>
        </w:rPr>
        <w:t xml:space="preserve"> </w:t>
      </w:r>
      <w:r w:rsidR="002B7FD8" w:rsidRPr="00ED22D1">
        <w:rPr>
          <w:lang w:val="fr-CA"/>
        </w:rPr>
        <w:t xml:space="preserve">du niveau de </w:t>
      </w:r>
      <w:r w:rsidR="00905638" w:rsidRPr="00ED22D1">
        <w:rPr>
          <w:lang w:val="fr-CA"/>
        </w:rPr>
        <w:t>financement</w:t>
      </w:r>
      <w:r w:rsidR="0085675A" w:rsidRPr="00ED22D1">
        <w:rPr>
          <w:lang w:val="fr-CA"/>
        </w:rPr>
        <w:t xml:space="preserve"> </w:t>
      </w:r>
      <w:r w:rsidR="00181884" w:rsidRPr="00ED22D1">
        <w:rPr>
          <w:lang w:val="fr-CA"/>
        </w:rPr>
        <w:t>décaissé</w:t>
      </w:r>
      <w:r w:rsidR="004A6828" w:rsidRPr="00ED22D1">
        <w:rPr>
          <w:lang w:val="fr-CA"/>
        </w:rPr>
        <w:t xml:space="preserve"> et </w:t>
      </w:r>
      <w:r w:rsidR="002B7FD8" w:rsidRPr="00ED22D1">
        <w:rPr>
          <w:lang w:val="fr-CA"/>
        </w:rPr>
        <w:t xml:space="preserve">des soldes potentiels à retourner au </w:t>
      </w:r>
      <w:r w:rsidR="004B666A" w:rsidRPr="00ED22D1">
        <w:rPr>
          <w:lang w:val="fr-CA"/>
        </w:rPr>
        <w:t>Fonds multilatéral</w:t>
      </w:r>
      <w:r w:rsidR="00DE118B" w:rsidRPr="00ED22D1">
        <w:rPr>
          <w:lang w:val="fr-CA"/>
        </w:rPr>
        <w:t xml:space="preserve"> </w:t>
      </w:r>
      <w:r w:rsidR="002B7FD8" w:rsidRPr="00ED22D1">
        <w:rPr>
          <w:lang w:val="fr-CA"/>
        </w:rPr>
        <w:t xml:space="preserve">d’ici la </w:t>
      </w:r>
      <w:r w:rsidR="0085675A" w:rsidRPr="00ED22D1">
        <w:rPr>
          <w:lang w:val="fr-CA"/>
        </w:rPr>
        <w:t>85</w:t>
      </w:r>
      <w:r w:rsidR="00DC23B2" w:rsidRPr="00ED22D1">
        <w:rPr>
          <w:vertAlign w:val="superscript"/>
          <w:lang w:val="fr-CA"/>
        </w:rPr>
        <w:t>e</w:t>
      </w:r>
      <w:r w:rsidR="00DC23B2" w:rsidRPr="00ED22D1">
        <w:rPr>
          <w:lang w:val="fr-CA"/>
        </w:rPr>
        <w:t xml:space="preserve"> </w:t>
      </w:r>
      <w:r w:rsidR="00DD185D" w:rsidRPr="00ED22D1">
        <w:rPr>
          <w:lang w:val="fr-CA"/>
        </w:rPr>
        <w:t>réunion</w:t>
      </w:r>
      <w:r w:rsidR="0085675A" w:rsidRPr="00ED22D1">
        <w:rPr>
          <w:lang w:val="fr-CA"/>
        </w:rPr>
        <w:t>.</w:t>
      </w:r>
    </w:p>
    <w:p w:rsidR="0085675A" w:rsidRPr="00ED22D1" w:rsidRDefault="0085675A" w:rsidP="0085675A">
      <w:pPr>
        <w:jc w:val="left"/>
        <w:rPr>
          <w:lang w:val="fr-CA"/>
        </w:rPr>
      </w:pPr>
      <w:r w:rsidRPr="00ED22D1">
        <w:rPr>
          <w:lang w:val="fr-CA"/>
        </w:rPr>
        <w:br w:type="page"/>
      </w:r>
    </w:p>
    <w:p w:rsidR="0085675A" w:rsidRPr="00ED22D1" w:rsidRDefault="004A6828" w:rsidP="0085675A">
      <w:pPr>
        <w:rPr>
          <w:b/>
          <w:lang w:val="fr-CA"/>
        </w:rPr>
      </w:pPr>
      <w:r w:rsidRPr="00ED22D1">
        <w:rPr>
          <w:b/>
          <w:lang w:val="fr-CA"/>
        </w:rPr>
        <w:lastRenderedPageBreak/>
        <w:t>PLAN D’ÉLIMINATION DES HCFC</w:t>
      </w:r>
      <w:r w:rsidR="0085675A" w:rsidRPr="00ED22D1">
        <w:rPr>
          <w:b/>
          <w:lang w:val="fr-CA"/>
        </w:rPr>
        <w:t xml:space="preserve"> </w:t>
      </w:r>
      <w:r w:rsidRPr="00ED22D1">
        <w:rPr>
          <w:b/>
          <w:lang w:val="fr-CA"/>
        </w:rPr>
        <w:t>(phase</w:t>
      </w:r>
      <w:r w:rsidR="0085675A" w:rsidRPr="00ED22D1">
        <w:rPr>
          <w:b/>
          <w:lang w:val="fr-CA"/>
        </w:rPr>
        <w:t xml:space="preserve"> II, </w:t>
      </w:r>
      <w:r w:rsidR="00921BDE" w:rsidRPr="00ED22D1">
        <w:rPr>
          <w:b/>
          <w:lang w:val="fr-CA"/>
        </w:rPr>
        <w:t>DEUXIÈME</w:t>
      </w:r>
      <w:r w:rsidR="0085675A" w:rsidRPr="00ED22D1">
        <w:rPr>
          <w:b/>
          <w:lang w:val="fr-CA"/>
        </w:rPr>
        <w:t xml:space="preserve"> TRANCHE) (</w:t>
      </w:r>
      <w:r w:rsidR="001C722B" w:rsidRPr="00ED22D1">
        <w:rPr>
          <w:b/>
          <w:lang w:val="fr-CA"/>
        </w:rPr>
        <w:t>PNUD</w:t>
      </w:r>
      <w:r w:rsidR="001F19C1" w:rsidRPr="00ED22D1">
        <w:rPr>
          <w:b/>
          <w:lang w:val="fr-CA"/>
        </w:rPr>
        <w:t>, ONUDI</w:t>
      </w:r>
      <w:r w:rsidR="0085675A" w:rsidRPr="00ED22D1">
        <w:rPr>
          <w:b/>
          <w:lang w:val="fr-CA"/>
        </w:rPr>
        <w:t xml:space="preserve">, </w:t>
      </w:r>
      <w:r w:rsidRPr="00ED22D1">
        <w:rPr>
          <w:b/>
          <w:lang w:val="fr-CA"/>
        </w:rPr>
        <w:t>Allemagne et Italie</w:t>
      </w:r>
      <w:r w:rsidR="0085675A" w:rsidRPr="00ED22D1">
        <w:rPr>
          <w:b/>
          <w:lang w:val="fr-CA"/>
        </w:rPr>
        <w:t>)</w:t>
      </w:r>
    </w:p>
    <w:p w:rsidR="0085675A" w:rsidRPr="00ED22D1" w:rsidRDefault="0085675A" w:rsidP="0085675A">
      <w:pPr>
        <w:rPr>
          <w:lang w:val="fr-CA"/>
        </w:rPr>
      </w:pPr>
    </w:p>
    <w:p w:rsidR="0085675A" w:rsidRPr="00ED22D1" w:rsidRDefault="00F9643B" w:rsidP="0085675A">
      <w:pPr>
        <w:jc w:val="center"/>
        <w:rPr>
          <w:b/>
          <w:lang w:val="fr-CA"/>
        </w:rPr>
      </w:pPr>
      <w:r w:rsidRPr="00ED22D1">
        <w:rPr>
          <w:b/>
          <w:lang w:val="fr-CA"/>
        </w:rPr>
        <w:t xml:space="preserve">Stratégie globale </w:t>
      </w:r>
      <w:r w:rsidR="00921BDE" w:rsidRPr="00ED22D1">
        <w:rPr>
          <w:b/>
          <w:lang w:val="fr-CA"/>
        </w:rPr>
        <w:t>de la phase</w:t>
      </w:r>
      <w:r w:rsidR="004A6828" w:rsidRPr="00ED22D1">
        <w:rPr>
          <w:b/>
          <w:lang w:val="fr-CA"/>
        </w:rPr>
        <w:t xml:space="preserve"> </w:t>
      </w:r>
      <w:r w:rsidR="0085675A" w:rsidRPr="00ED22D1">
        <w:rPr>
          <w:b/>
          <w:lang w:val="fr-CA"/>
        </w:rPr>
        <w:t xml:space="preserve">II </w:t>
      </w:r>
      <w:r w:rsidR="001F19C1" w:rsidRPr="00ED22D1">
        <w:rPr>
          <w:b/>
          <w:lang w:val="fr-CA"/>
        </w:rPr>
        <w:t>du PGEH</w:t>
      </w:r>
      <w:r w:rsidR="0085675A" w:rsidRPr="00ED22D1">
        <w:rPr>
          <w:b/>
          <w:lang w:val="fr-CA"/>
        </w:rPr>
        <w:t xml:space="preserve"> </w:t>
      </w:r>
      <w:r w:rsidR="001B31BF" w:rsidRPr="00ED22D1">
        <w:rPr>
          <w:b/>
          <w:lang w:val="fr-CA"/>
        </w:rPr>
        <w:t>de la Chine</w:t>
      </w:r>
    </w:p>
    <w:p w:rsidR="0085675A" w:rsidRPr="00ED22D1" w:rsidRDefault="0085675A" w:rsidP="0085675A">
      <w:pPr>
        <w:jc w:val="left"/>
        <w:rPr>
          <w:lang w:val="fr-CA"/>
        </w:rPr>
      </w:pPr>
    </w:p>
    <w:p w:rsidR="0085675A" w:rsidRPr="00ED22D1" w:rsidRDefault="00AA6E77" w:rsidP="0085675A">
      <w:pPr>
        <w:rPr>
          <w:u w:val="single"/>
          <w:lang w:val="fr-CA"/>
        </w:rPr>
      </w:pPr>
      <w:r w:rsidRPr="00ED22D1">
        <w:rPr>
          <w:u w:val="single"/>
          <w:lang w:val="fr-CA"/>
        </w:rPr>
        <w:t>Contexte</w:t>
      </w:r>
    </w:p>
    <w:p w:rsidR="0085675A" w:rsidRPr="00ED22D1" w:rsidRDefault="0085675A" w:rsidP="0085675A">
      <w:pPr>
        <w:rPr>
          <w:lang w:val="fr-CA"/>
        </w:rPr>
      </w:pPr>
    </w:p>
    <w:p w:rsidR="0085675A" w:rsidRPr="00ED22D1" w:rsidRDefault="005A6C23" w:rsidP="005A6C23">
      <w:pPr>
        <w:pStyle w:val="Heading1"/>
        <w:numPr>
          <w:ilvl w:val="0"/>
          <w:numId w:val="0"/>
        </w:numPr>
        <w:rPr>
          <w:lang w:val="fr-CA"/>
        </w:rPr>
      </w:pPr>
      <w:r w:rsidRPr="00ED22D1">
        <w:rPr>
          <w:lang w:val="fr-CA"/>
        </w:rPr>
        <w:t>29.</w:t>
      </w:r>
      <w:r w:rsidRPr="00ED22D1">
        <w:rPr>
          <w:lang w:val="fr-CA"/>
        </w:rPr>
        <w:tab/>
      </w:r>
      <w:r w:rsidR="004A6828" w:rsidRPr="00ED22D1">
        <w:rPr>
          <w:lang w:val="fr-CA"/>
        </w:rPr>
        <w:t>Entre</w:t>
      </w:r>
      <w:r w:rsidR="0085675A" w:rsidRPr="00ED22D1">
        <w:rPr>
          <w:lang w:val="fr-CA"/>
        </w:rPr>
        <w:t xml:space="preserve"> </w:t>
      </w:r>
      <w:r w:rsidR="00F9643B" w:rsidRPr="00ED22D1">
        <w:rPr>
          <w:lang w:val="fr-CA"/>
        </w:rPr>
        <w:t>les</w:t>
      </w:r>
      <w:r w:rsidR="0085675A" w:rsidRPr="00ED22D1">
        <w:rPr>
          <w:lang w:val="fr-CA"/>
        </w:rPr>
        <w:t xml:space="preserve"> </w:t>
      </w:r>
      <w:r w:rsidR="00F9643B" w:rsidRPr="00ED22D1">
        <w:rPr>
          <w:lang w:val="fr-CA"/>
        </w:rPr>
        <w:t>7</w:t>
      </w:r>
      <w:r w:rsidR="0085675A" w:rsidRPr="00ED22D1">
        <w:rPr>
          <w:lang w:val="fr-CA"/>
        </w:rPr>
        <w:t>6</w:t>
      </w:r>
      <w:r w:rsidR="00F9643B" w:rsidRPr="00ED22D1">
        <w:rPr>
          <w:vertAlign w:val="superscript"/>
          <w:lang w:val="fr-CA"/>
        </w:rPr>
        <w:t>e</w:t>
      </w:r>
      <w:r w:rsidR="00F9643B" w:rsidRPr="00ED22D1">
        <w:rPr>
          <w:lang w:val="fr-CA"/>
        </w:rPr>
        <w:t xml:space="preserve"> </w:t>
      </w:r>
      <w:r w:rsidR="004A6828" w:rsidRPr="00ED22D1">
        <w:rPr>
          <w:lang w:val="fr-CA"/>
        </w:rPr>
        <w:t xml:space="preserve">et </w:t>
      </w:r>
      <w:r w:rsidR="00F9643B" w:rsidRPr="00ED22D1">
        <w:rPr>
          <w:lang w:val="fr-CA"/>
        </w:rPr>
        <w:t>7</w:t>
      </w:r>
      <w:r w:rsidR="0085675A" w:rsidRPr="00ED22D1">
        <w:rPr>
          <w:lang w:val="fr-CA"/>
        </w:rPr>
        <w:t>9</w:t>
      </w:r>
      <w:r w:rsidR="00F9643B" w:rsidRPr="00ED22D1">
        <w:rPr>
          <w:vertAlign w:val="superscript"/>
          <w:lang w:val="fr-CA"/>
        </w:rPr>
        <w:t>e</w:t>
      </w:r>
      <w:r w:rsidR="00F9643B" w:rsidRPr="00ED22D1">
        <w:rPr>
          <w:lang w:val="fr-CA"/>
        </w:rPr>
        <w:t xml:space="preserve"> </w:t>
      </w:r>
      <w:r w:rsidR="00DD185D" w:rsidRPr="00ED22D1">
        <w:rPr>
          <w:lang w:val="fr-CA"/>
        </w:rPr>
        <w:t>réunion</w:t>
      </w:r>
      <w:r w:rsidR="0085675A" w:rsidRPr="00ED22D1">
        <w:rPr>
          <w:lang w:val="fr-CA"/>
        </w:rPr>
        <w:t xml:space="preserve">s, </w:t>
      </w:r>
      <w:r w:rsidR="00DD185D" w:rsidRPr="00ED22D1">
        <w:rPr>
          <w:lang w:val="fr-CA"/>
        </w:rPr>
        <w:t>le Comité exécutif</w:t>
      </w:r>
      <w:r w:rsidR="0085675A" w:rsidRPr="00ED22D1">
        <w:rPr>
          <w:lang w:val="fr-CA"/>
        </w:rPr>
        <w:t xml:space="preserve"> </w:t>
      </w:r>
      <w:r w:rsidR="00AA6E77" w:rsidRPr="00ED22D1">
        <w:rPr>
          <w:lang w:val="fr-CA"/>
        </w:rPr>
        <w:t>a approuvé</w:t>
      </w:r>
      <w:r w:rsidR="004A6828" w:rsidRPr="00ED22D1">
        <w:rPr>
          <w:lang w:val="fr-CA"/>
        </w:rPr>
        <w:t xml:space="preserve"> </w:t>
      </w:r>
      <w:r w:rsidR="00F9643B" w:rsidRPr="00ED22D1">
        <w:rPr>
          <w:lang w:val="fr-CA"/>
        </w:rPr>
        <w:t xml:space="preserve">la </w:t>
      </w:r>
      <w:r w:rsidR="004A6828" w:rsidRPr="00ED22D1">
        <w:rPr>
          <w:lang w:val="fr-CA"/>
        </w:rPr>
        <w:t xml:space="preserve">phase </w:t>
      </w:r>
      <w:r w:rsidR="0085675A" w:rsidRPr="00ED22D1">
        <w:rPr>
          <w:lang w:val="fr-CA"/>
        </w:rPr>
        <w:t xml:space="preserve">II </w:t>
      </w:r>
      <w:r w:rsidR="00921BDE" w:rsidRPr="00ED22D1">
        <w:rPr>
          <w:lang w:val="fr-CA"/>
        </w:rPr>
        <w:t>du plan d’élimination</w:t>
      </w:r>
      <w:r w:rsidR="004A6828" w:rsidRPr="00ED22D1">
        <w:rPr>
          <w:lang w:val="fr-CA"/>
        </w:rPr>
        <w:t xml:space="preserve"> des</w:t>
      </w:r>
      <w:r w:rsidR="00F54BD3" w:rsidRPr="00ED22D1">
        <w:rPr>
          <w:lang w:val="fr-CA"/>
        </w:rPr>
        <w:t> </w:t>
      </w:r>
      <w:r w:rsidR="004A6828" w:rsidRPr="00ED22D1">
        <w:rPr>
          <w:lang w:val="fr-CA"/>
        </w:rPr>
        <w:t>HCFC</w:t>
      </w:r>
      <w:r w:rsidR="0085675A" w:rsidRPr="00ED22D1">
        <w:rPr>
          <w:lang w:val="fr-CA"/>
        </w:rPr>
        <w:t xml:space="preserve"> (</w:t>
      </w:r>
      <w:r w:rsidR="00DD185D" w:rsidRPr="00ED22D1">
        <w:rPr>
          <w:lang w:val="fr-CA"/>
        </w:rPr>
        <w:t>PGEH</w:t>
      </w:r>
      <w:r w:rsidR="0085675A" w:rsidRPr="00ED22D1">
        <w:rPr>
          <w:lang w:val="fr-CA"/>
        </w:rPr>
        <w:t xml:space="preserve">) </w:t>
      </w:r>
      <w:r w:rsidR="001B31BF" w:rsidRPr="00ED22D1">
        <w:rPr>
          <w:lang w:val="fr-CA"/>
        </w:rPr>
        <w:t>de la Chine</w:t>
      </w:r>
      <w:r w:rsidR="0085675A" w:rsidRPr="00ED22D1">
        <w:rPr>
          <w:lang w:val="fr-CA"/>
        </w:rPr>
        <w:t xml:space="preserve"> </w:t>
      </w:r>
      <w:r w:rsidR="00B84F94" w:rsidRPr="00ED22D1">
        <w:rPr>
          <w:lang w:val="fr-CA"/>
        </w:rPr>
        <w:t xml:space="preserve">avec </w:t>
      </w:r>
      <w:r w:rsidRPr="00ED22D1">
        <w:rPr>
          <w:lang w:val="fr-CA"/>
        </w:rPr>
        <w:t>les plans sectoriels associés, comme suit</w:t>
      </w:r>
      <w:r w:rsidR="00791BF7" w:rsidRPr="00ED22D1">
        <w:rPr>
          <w:lang w:val="fr-CA"/>
        </w:rPr>
        <w:t> :</w:t>
      </w:r>
    </w:p>
    <w:p w:rsidR="0085675A" w:rsidRPr="00ED22D1" w:rsidRDefault="00733306" w:rsidP="00733306">
      <w:pPr>
        <w:pStyle w:val="Heading2"/>
        <w:numPr>
          <w:ilvl w:val="0"/>
          <w:numId w:val="0"/>
        </w:numPr>
        <w:ind w:left="720"/>
        <w:rPr>
          <w:lang w:val="fr-CA"/>
        </w:rPr>
      </w:pPr>
      <w:r w:rsidRPr="00ED22D1">
        <w:rPr>
          <w:lang w:val="fr-CA"/>
        </w:rPr>
        <w:t>(a)</w:t>
      </w:r>
      <w:r w:rsidRPr="00ED22D1">
        <w:rPr>
          <w:lang w:val="fr-CA"/>
        </w:rPr>
        <w:tab/>
      </w:r>
      <w:r w:rsidR="005A6C23" w:rsidRPr="00ED22D1">
        <w:rPr>
          <w:lang w:val="fr-CA"/>
        </w:rPr>
        <w:t>À la</w:t>
      </w:r>
      <w:r w:rsidR="0085675A" w:rsidRPr="00ED22D1">
        <w:rPr>
          <w:lang w:val="fr-CA"/>
        </w:rPr>
        <w:t xml:space="preserve"> 7</w:t>
      </w:r>
      <w:r w:rsidR="00AA6E77" w:rsidRPr="00ED22D1">
        <w:rPr>
          <w:lang w:val="fr-CA"/>
        </w:rPr>
        <w:t>6</w:t>
      </w:r>
      <w:r w:rsidR="00AA6E77" w:rsidRPr="00ED22D1">
        <w:rPr>
          <w:vertAlign w:val="superscript"/>
          <w:lang w:val="fr-CA"/>
        </w:rPr>
        <w:t>e</w:t>
      </w:r>
      <w:r w:rsidR="00AA6E77" w:rsidRPr="00ED22D1">
        <w:rPr>
          <w:lang w:val="fr-CA"/>
        </w:rPr>
        <w:t xml:space="preserve"> réunion</w:t>
      </w:r>
      <w:r w:rsidR="0085675A" w:rsidRPr="00ED22D1">
        <w:rPr>
          <w:lang w:val="fr-CA"/>
        </w:rPr>
        <w:t xml:space="preserve">, </w:t>
      </w:r>
      <w:r w:rsidR="00AA6E77" w:rsidRPr="00ED22D1">
        <w:rPr>
          <w:lang w:val="fr-CA"/>
        </w:rPr>
        <w:t>approuvé</w:t>
      </w:r>
      <w:r w:rsidR="0085675A" w:rsidRPr="00ED22D1">
        <w:rPr>
          <w:lang w:val="fr-CA"/>
        </w:rPr>
        <w:t xml:space="preserve"> </w:t>
      </w:r>
      <w:r w:rsidR="00AA6E77" w:rsidRPr="00ED22D1">
        <w:rPr>
          <w:lang w:val="fr-CA"/>
        </w:rPr>
        <w:t>en principe</w:t>
      </w:r>
      <w:r w:rsidR="0085675A" w:rsidRPr="00ED22D1">
        <w:rPr>
          <w:lang w:val="fr-CA"/>
        </w:rPr>
        <w:t xml:space="preserve"> </w:t>
      </w:r>
      <w:r w:rsidR="005A6C23" w:rsidRPr="00ED22D1">
        <w:rPr>
          <w:lang w:val="fr-CA"/>
        </w:rPr>
        <w:t xml:space="preserve">le </w:t>
      </w:r>
      <w:r w:rsidR="004A6828" w:rsidRPr="00ED22D1">
        <w:rPr>
          <w:lang w:val="fr-CA"/>
        </w:rPr>
        <w:t>plan du secteur des solvants</w:t>
      </w:r>
      <w:r w:rsidR="0085675A" w:rsidRPr="00ED22D1">
        <w:rPr>
          <w:lang w:val="fr-CA"/>
        </w:rPr>
        <w:t xml:space="preserve"> </w:t>
      </w:r>
      <w:r w:rsidR="00921BDE" w:rsidRPr="00ED22D1">
        <w:rPr>
          <w:lang w:val="fr-CA"/>
        </w:rPr>
        <w:t>pour la</w:t>
      </w:r>
      <w:r w:rsidR="001F19C1" w:rsidRPr="00ED22D1">
        <w:rPr>
          <w:lang w:val="fr-CA"/>
        </w:rPr>
        <w:t xml:space="preserve"> période </w:t>
      </w:r>
      <w:r w:rsidRPr="00ED22D1">
        <w:rPr>
          <w:lang w:val="fr-CA"/>
        </w:rPr>
        <w:tab/>
      </w:r>
      <w:r w:rsidR="0085675A" w:rsidRPr="00ED22D1">
        <w:rPr>
          <w:lang w:val="fr-CA"/>
        </w:rPr>
        <w:t xml:space="preserve">2016 </w:t>
      </w:r>
      <w:r w:rsidRPr="00ED22D1">
        <w:rPr>
          <w:lang w:val="fr-CA"/>
        </w:rPr>
        <w:t>à</w:t>
      </w:r>
      <w:r w:rsidR="0085675A" w:rsidRPr="00ED22D1">
        <w:rPr>
          <w:lang w:val="fr-CA"/>
        </w:rPr>
        <w:t xml:space="preserve"> 202</w:t>
      </w:r>
      <w:r w:rsidR="004A6828" w:rsidRPr="00ED22D1">
        <w:rPr>
          <w:lang w:val="fr-CA"/>
        </w:rPr>
        <w:t>6</w:t>
      </w:r>
      <w:r w:rsidR="00F54BD3" w:rsidRPr="00ED22D1">
        <w:rPr>
          <w:lang w:val="fr-CA"/>
        </w:rPr>
        <w:t>,</w:t>
      </w:r>
      <w:r w:rsidR="004A6828" w:rsidRPr="00ED22D1">
        <w:rPr>
          <w:lang w:val="fr-CA"/>
        </w:rPr>
        <w:t> </w:t>
      </w:r>
      <w:r w:rsidRPr="00ED22D1">
        <w:rPr>
          <w:lang w:val="fr-CA"/>
        </w:rPr>
        <w:t>pour l’élimination totale</w:t>
      </w:r>
      <w:r w:rsidR="0085675A" w:rsidRPr="00ED22D1">
        <w:rPr>
          <w:lang w:val="fr-CA"/>
        </w:rPr>
        <w:t xml:space="preserve"> </w:t>
      </w:r>
      <w:r w:rsidRPr="00ED22D1">
        <w:rPr>
          <w:lang w:val="fr-CA"/>
        </w:rPr>
        <w:t xml:space="preserve">de tous les </w:t>
      </w:r>
      <w:r w:rsidR="00181884" w:rsidRPr="00ED22D1">
        <w:rPr>
          <w:lang w:val="fr-CA"/>
        </w:rPr>
        <w:t>HCFC</w:t>
      </w:r>
      <w:r w:rsidR="0085675A" w:rsidRPr="00ED22D1">
        <w:rPr>
          <w:lang w:val="fr-CA"/>
        </w:rPr>
        <w:t xml:space="preserve"> </w:t>
      </w:r>
      <w:r w:rsidRPr="00ED22D1">
        <w:rPr>
          <w:lang w:val="fr-CA"/>
        </w:rPr>
        <w:t>de ce secteur,</w:t>
      </w:r>
      <w:r w:rsidR="0085675A" w:rsidRPr="00ED22D1">
        <w:rPr>
          <w:lang w:val="fr-CA"/>
        </w:rPr>
        <w:t xml:space="preserve"> </w:t>
      </w:r>
      <w:r w:rsidR="001B31BF" w:rsidRPr="00ED22D1">
        <w:rPr>
          <w:lang w:val="fr-CA"/>
        </w:rPr>
        <w:t xml:space="preserve">au montant </w:t>
      </w:r>
      <w:r w:rsidR="00F54BD3" w:rsidRPr="00ED22D1">
        <w:rPr>
          <w:lang w:val="fr-CA"/>
        </w:rPr>
        <w:tab/>
      </w:r>
      <w:r w:rsidR="001B31BF" w:rsidRPr="00ED22D1">
        <w:rPr>
          <w:lang w:val="fr-CA"/>
        </w:rPr>
        <w:t>de</w:t>
      </w:r>
      <w:r w:rsidR="00F54BD3" w:rsidRPr="00ED22D1">
        <w:rPr>
          <w:lang w:val="fr-CA"/>
        </w:rPr>
        <w:t> </w:t>
      </w:r>
      <w:r w:rsidR="0085675A" w:rsidRPr="00ED22D1">
        <w:rPr>
          <w:lang w:val="fr-CA"/>
        </w:rPr>
        <w:t>4</w:t>
      </w:r>
      <w:r w:rsidR="004A6828" w:rsidRPr="00ED22D1">
        <w:rPr>
          <w:lang w:val="fr-CA"/>
        </w:rPr>
        <w:t>4,</w:t>
      </w:r>
      <w:r w:rsidR="0085675A" w:rsidRPr="00ED22D1">
        <w:rPr>
          <w:lang w:val="fr-CA"/>
        </w:rPr>
        <w:t>8 </w:t>
      </w:r>
      <w:r w:rsidR="00EC100C" w:rsidRPr="00ED22D1">
        <w:rPr>
          <w:lang w:val="fr-CA"/>
        </w:rPr>
        <w:t>millions $US,</w:t>
      </w:r>
      <w:r w:rsidR="0085675A" w:rsidRPr="00ED22D1">
        <w:rPr>
          <w:lang w:val="fr-CA"/>
        </w:rPr>
        <w:t xml:space="preserve"> </w:t>
      </w:r>
      <w:r w:rsidR="001B31BF" w:rsidRPr="00ED22D1">
        <w:rPr>
          <w:lang w:val="fr-CA"/>
        </w:rPr>
        <w:t>plus des coûts</w:t>
      </w:r>
      <w:r w:rsidR="00DD185D" w:rsidRPr="00ED22D1">
        <w:rPr>
          <w:lang w:val="fr-CA"/>
        </w:rPr>
        <w:t xml:space="preserve"> d’appui d’agence</w:t>
      </w:r>
      <w:r w:rsidR="0085675A" w:rsidRPr="00ED22D1">
        <w:rPr>
          <w:lang w:val="fr-CA"/>
        </w:rPr>
        <w:t>;</w:t>
      </w:r>
    </w:p>
    <w:p w:rsidR="0085675A" w:rsidRPr="00ED22D1" w:rsidRDefault="00733306" w:rsidP="00733306">
      <w:pPr>
        <w:pStyle w:val="Heading2"/>
        <w:numPr>
          <w:ilvl w:val="0"/>
          <w:numId w:val="0"/>
        </w:numPr>
        <w:ind w:left="1418" w:hanging="698"/>
        <w:rPr>
          <w:lang w:val="fr-CA"/>
        </w:rPr>
      </w:pPr>
      <w:r w:rsidRPr="00ED22D1">
        <w:rPr>
          <w:lang w:val="fr-CA"/>
        </w:rPr>
        <w:t>(b)</w:t>
      </w:r>
      <w:r w:rsidRPr="00ED22D1">
        <w:rPr>
          <w:lang w:val="fr-CA"/>
        </w:rPr>
        <w:tab/>
        <w:t xml:space="preserve">À la </w:t>
      </w:r>
      <w:r w:rsidR="0085675A" w:rsidRPr="00ED22D1">
        <w:rPr>
          <w:lang w:val="fr-CA"/>
        </w:rPr>
        <w:t>76</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00AA6E77" w:rsidRPr="00ED22D1">
        <w:rPr>
          <w:lang w:val="fr-CA"/>
        </w:rPr>
        <w:t>approuvé</w:t>
      </w:r>
      <w:r w:rsidR="0085675A" w:rsidRPr="00ED22D1">
        <w:rPr>
          <w:lang w:val="fr-CA"/>
        </w:rPr>
        <w:t xml:space="preserve"> </w:t>
      </w:r>
      <w:r w:rsidR="00AA6E77" w:rsidRPr="00ED22D1">
        <w:rPr>
          <w:lang w:val="fr-CA"/>
        </w:rPr>
        <w:t>en principe</w:t>
      </w:r>
      <w:r w:rsidRPr="00ED22D1">
        <w:rPr>
          <w:lang w:val="fr-CA"/>
        </w:rPr>
        <w:t xml:space="preserve"> le secteur de l’entretien en réfrigération et</w:t>
      </w:r>
      <w:r w:rsidR="00F54BD3" w:rsidRPr="00ED22D1">
        <w:rPr>
          <w:lang w:val="fr-CA"/>
        </w:rPr>
        <w:t> </w:t>
      </w:r>
      <w:r w:rsidRPr="00ED22D1">
        <w:rPr>
          <w:lang w:val="fr-CA"/>
        </w:rPr>
        <w:t xml:space="preserve">climatisation et l’élément du programme habilitant </w:t>
      </w:r>
      <w:r w:rsidR="00921BDE" w:rsidRPr="00ED22D1">
        <w:rPr>
          <w:lang w:val="fr-CA"/>
        </w:rPr>
        <w:t>pour la</w:t>
      </w:r>
      <w:r w:rsidR="001F19C1" w:rsidRPr="00ED22D1">
        <w:rPr>
          <w:lang w:val="fr-CA"/>
        </w:rPr>
        <w:t xml:space="preserve"> période </w:t>
      </w:r>
      <w:r w:rsidR="0085675A" w:rsidRPr="00ED22D1">
        <w:rPr>
          <w:lang w:val="fr-CA"/>
        </w:rPr>
        <w:t xml:space="preserve">2016 </w:t>
      </w:r>
      <w:r w:rsidRPr="00ED22D1">
        <w:rPr>
          <w:lang w:val="fr-CA"/>
        </w:rPr>
        <w:t>à</w:t>
      </w:r>
      <w:r w:rsidR="0085675A" w:rsidRPr="00ED22D1">
        <w:rPr>
          <w:lang w:val="fr-CA"/>
        </w:rPr>
        <w:t xml:space="preserve"> 202</w:t>
      </w:r>
      <w:r w:rsidR="004A6828" w:rsidRPr="00ED22D1">
        <w:rPr>
          <w:lang w:val="fr-CA"/>
        </w:rPr>
        <w:t>0</w:t>
      </w:r>
      <w:r w:rsidRPr="00ED22D1">
        <w:rPr>
          <w:lang w:val="fr-CA"/>
        </w:rPr>
        <w:t>,</w:t>
      </w:r>
      <w:r w:rsidR="004A6828" w:rsidRPr="00ED22D1">
        <w:rPr>
          <w:lang w:val="fr-CA"/>
        </w:rPr>
        <w:t> </w:t>
      </w:r>
      <w:r w:rsidRPr="00ED22D1">
        <w:rPr>
          <w:lang w:val="fr-CA"/>
        </w:rPr>
        <w:t>afin</w:t>
      </w:r>
      <w:r w:rsidR="00F54BD3" w:rsidRPr="00ED22D1">
        <w:rPr>
          <w:lang w:val="fr-CA"/>
        </w:rPr>
        <w:t> </w:t>
      </w:r>
      <w:r w:rsidRPr="00ED22D1">
        <w:rPr>
          <w:lang w:val="fr-CA"/>
        </w:rPr>
        <w:t>de</w:t>
      </w:r>
      <w:r w:rsidR="00F54BD3" w:rsidRPr="00ED22D1">
        <w:rPr>
          <w:lang w:val="fr-CA"/>
        </w:rPr>
        <w:t> </w:t>
      </w:r>
      <w:r w:rsidRPr="00ED22D1">
        <w:rPr>
          <w:lang w:val="fr-CA"/>
        </w:rPr>
        <w:t xml:space="preserve">réduire la </w:t>
      </w:r>
      <w:r w:rsidR="00921BDE" w:rsidRPr="00ED22D1">
        <w:rPr>
          <w:lang w:val="fr-CA"/>
        </w:rPr>
        <w:t xml:space="preserve">consommation </w:t>
      </w:r>
      <w:r w:rsidRPr="00ED22D1">
        <w:rPr>
          <w:lang w:val="fr-CA"/>
        </w:rPr>
        <w:t>de HCFC de</w:t>
      </w:r>
      <w:r w:rsidR="00DE118B" w:rsidRPr="00ED22D1">
        <w:rPr>
          <w:lang w:val="fr-CA"/>
        </w:rPr>
        <w:t xml:space="preserve"> </w:t>
      </w:r>
      <w:r w:rsidR="0085675A" w:rsidRPr="00ED22D1">
        <w:rPr>
          <w:lang w:val="fr-CA"/>
        </w:rPr>
        <w:t>73</w:t>
      </w:r>
      <w:r w:rsidR="004A6828" w:rsidRPr="00ED22D1">
        <w:rPr>
          <w:lang w:val="fr-CA"/>
        </w:rPr>
        <w:t>4,</w:t>
      </w:r>
      <w:r w:rsidR="0085675A" w:rsidRPr="00ED22D1">
        <w:rPr>
          <w:lang w:val="fr-CA"/>
        </w:rPr>
        <w:t>0</w:t>
      </w:r>
      <w:r w:rsidR="00F96C70" w:rsidRPr="00ED22D1">
        <w:rPr>
          <w:lang w:val="fr-CA"/>
        </w:rPr>
        <w:t xml:space="preserve"> tonnes PAO</w:t>
      </w:r>
      <w:r w:rsidR="0085675A" w:rsidRPr="00ED22D1">
        <w:rPr>
          <w:lang w:val="fr-CA"/>
        </w:rPr>
        <w:t xml:space="preserve">, </w:t>
      </w:r>
      <w:r w:rsidR="001B31BF" w:rsidRPr="00ED22D1">
        <w:rPr>
          <w:lang w:val="fr-CA"/>
        </w:rPr>
        <w:t>au montant de</w:t>
      </w:r>
      <w:r w:rsidR="00F54BD3" w:rsidRPr="00ED22D1">
        <w:rPr>
          <w:lang w:val="fr-CA"/>
        </w:rPr>
        <w:t> </w:t>
      </w:r>
      <w:r w:rsidR="0085675A" w:rsidRPr="00ED22D1">
        <w:rPr>
          <w:lang w:val="fr-CA"/>
        </w:rPr>
        <w:t>2</w:t>
      </w:r>
      <w:r w:rsidR="004A6828" w:rsidRPr="00ED22D1">
        <w:rPr>
          <w:lang w:val="fr-CA"/>
        </w:rPr>
        <w:t>0,</w:t>
      </w:r>
      <w:r w:rsidR="0085675A" w:rsidRPr="00ED22D1">
        <w:rPr>
          <w:lang w:val="fr-CA"/>
        </w:rPr>
        <w:t>29 </w:t>
      </w:r>
      <w:r w:rsidR="00EC100C" w:rsidRPr="00ED22D1">
        <w:rPr>
          <w:lang w:val="fr-CA"/>
        </w:rPr>
        <w:t>millions $US,</w:t>
      </w:r>
      <w:r w:rsidR="0085675A" w:rsidRPr="00ED22D1">
        <w:rPr>
          <w:lang w:val="fr-CA"/>
        </w:rPr>
        <w:t xml:space="preserve"> </w:t>
      </w:r>
      <w:r w:rsidR="001B31BF" w:rsidRPr="00ED22D1">
        <w:rPr>
          <w:lang w:val="fr-CA"/>
        </w:rPr>
        <w:t>plus des coûts</w:t>
      </w:r>
      <w:r w:rsidR="00DD185D" w:rsidRPr="00ED22D1">
        <w:rPr>
          <w:lang w:val="fr-CA"/>
        </w:rPr>
        <w:t xml:space="preserve"> d’appui d’agence</w:t>
      </w:r>
      <w:r w:rsidR="0085675A" w:rsidRPr="00ED22D1">
        <w:rPr>
          <w:lang w:val="fr-CA"/>
        </w:rPr>
        <w:t>;</w:t>
      </w:r>
    </w:p>
    <w:p w:rsidR="0085675A" w:rsidRPr="00ED22D1" w:rsidRDefault="00733306" w:rsidP="0085675A">
      <w:pPr>
        <w:pStyle w:val="Heading2"/>
        <w:rPr>
          <w:lang w:val="fr-CA"/>
        </w:rPr>
      </w:pPr>
      <w:r w:rsidRPr="00ED22D1">
        <w:rPr>
          <w:lang w:val="fr-CA"/>
        </w:rPr>
        <w:t xml:space="preserve">À la </w:t>
      </w:r>
      <w:r w:rsidR="0085675A" w:rsidRPr="00ED22D1">
        <w:rPr>
          <w:lang w:val="fr-CA"/>
        </w:rPr>
        <w:t>7</w:t>
      </w:r>
      <w:r w:rsidR="00AA6E77" w:rsidRPr="00ED22D1">
        <w:rPr>
          <w:lang w:val="fr-CA"/>
        </w:rPr>
        <w:t>7</w:t>
      </w:r>
      <w:r w:rsidR="00AA6E77" w:rsidRPr="00ED22D1">
        <w:rPr>
          <w:vertAlign w:val="superscript"/>
          <w:lang w:val="fr-CA"/>
        </w:rPr>
        <w:t>e</w:t>
      </w:r>
      <w:r w:rsidR="00AA6E77" w:rsidRPr="00ED22D1">
        <w:rPr>
          <w:lang w:val="fr-CA"/>
        </w:rPr>
        <w:t xml:space="preserve"> réunion</w:t>
      </w:r>
      <w:r w:rsidR="0085675A" w:rsidRPr="00ED22D1">
        <w:rPr>
          <w:lang w:val="fr-CA"/>
        </w:rPr>
        <w:t xml:space="preserve">, </w:t>
      </w:r>
      <w:r w:rsidR="00AA6E77" w:rsidRPr="00ED22D1">
        <w:rPr>
          <w:lang w:val="fr-CA"/>
        </w:rPr>
        <w:t>approuvé</w:t>
      </w:r>
      <w:r w:rsidR="0085675A" w:rsidRPr="00ED22D1">
        <w:rPr>
          <w:lang w:val="fr-CA"/>
        </w:rPr>
        <w:t xml:space="preserve"> </w:t>
      </w:r>
      <w:r w:rsidR="00AA6E77" w:rsidRPr="00ED22D1">
        <w:rPr>
          <w:lang w:val="fr-CA"/>
        </w:rPr>
        <w:t>en principe</w:t>
      </w:r>
      <w:r w:rsidR="004A6828" w:rsidRPr="00ED22D1">
        <w:rPr>
          <w:lang w:val="fr-CA"/>
        </w:rPr>
        <w:t xml:space="preserve"> </w:t>
      </w:r>
      <w:r w:rsidRPr="00ED22D1">
        <w:rPr>
          <w:lang w:val="fr-CA"/>
        </w:rPr>
        <w:t xml:space="preserve">la </w:t>
      </w:r>
      <w:r w:rsidR="004A6828" w:rsidRPr="00ED22D1">
        <w:rPr>
          <w:lang w:val="fr-CA"/>
        </w:rPr>
        <w:t xml:space="preserve">phase </w:t>
      </w:r>
      <w:r w:rsidR="0085675A" w:rsidRPr="00ED22D1">
        <w:rPr>
          <w:lang w:val="fr-CA"/>
        </w:rPr>
        <w:t xml:space="preserve">II </w:t>
      </w:r>
      <w:r w:rsidR="001F19C1" w:rsidRPr="00ED22D1">
        <w:rPr>
          <w:lang w:val="fr-CA"/>
        </w:rPr>
        <w:t>du PGEH</w:t>
      </w:r>
      <w:r w:rsidR="0085675A" w:rsidRPr="00ED22D1">
        <w:rPr>
          <w:lang w:val="fr-CA"/>
        </w:rPr>
        <w:t xml:space="preserve"> </w:t>
      </w:r>
      <w:r w:rsidR="001B31BF" w:rsidRPr="00ED22D1">
        <w:rPr>
          <w:lang w:val="fr-CA"/>
        </w:rPr>
        <w:t>de la Chine</w:t>
      </w:r>
      <w:r w:rsidR="0085675A" w:rsidRPr="00ED22D1">
        <w:rPr>
          <w:lang w:val="fr-CA"/>
        </w:rPr>
        <w:t xml:space="preserve"> </w:t>
      </w:r>
      <w:r w:rsidR="00921BDE" w:rsidRPr="00ED22D1">
        <w:rPr>
          <w:lang w:val="fr-CA"/>
        </w:rPr>
        <w:t>pour la</w:t>
      </w:r>
      <w:r w:rsidR="001F19C1" w:rsidRPr="00ED22D1">
        <w:rPr>
          <w:lang w:val="fr-CA"/>
        </w:rPr>
        <w:t xml:space="preserve"> période </w:t>
      </w:r>
      <w:r w:rsidR="0085675A" w:rsidRPr="00ED22D1">
        <w:rPr>
          <w:lang w:val="fr-CA"/>
        </w:rPr>
        <w:t xml:space="preserve">2016 </w:t>
      </w:r>
      <w:r w:rsidRPr="00ED22D1">
        <w:rPr>
          <w:lang w:val="fr-CA"/>
        </w:rPr>
        <w:t>à</w:t>
      </w:r>
      <w:r w:rsidR="0085675A" w:rsidRPr="00ED22D1">
        <w:rPr>
          <w:lang w:val="fr-CA"/>
        </w:rPr>
        <w:t xml:space="preserve"> 2026 </w:t>
      </w:r>
      <w:r w:rsidR="001B31BF" w:rsidRPr="00ED22D1">
        <w:rPr>
          <w:lang w:val="fr-CA"/>
        </w:rPr>
        <w:t xml:space="preserve">au montant de </w:t>
      </w:r>
      <w:r w:rsidR="0085675A" w:rsidRPr="00ED22D1">
        <w:rPr>
          <w:lang w:val="fr-CA"/>
        </w:rPr>
        <w:t>50</w:t>
      </w:r>
      <w:r w:rsidR="004A6828" w:rsidRPr="00ED22D1">
        <w:rPr>
          <w:lang w:val="fr-CA"/>
        </w:rPr>
        <w:t>0 </w:t>
      </w:r>
      <w:r w:rsidR="0085675A" w:rsidRPr="00ED22D1">
        <w:rPr>
          <w:lang w:val="fr-CA"/>
        </w:rPr>
        <w:t>10</w:t>
      </w:r>
      <w:r w:rsidR="004A6828" w:rsidRPr="00ED22D1">
        <w:rPr>
          <w:lang w:val="fr-CA"/>
        </w:rPr>
        <w:t>0</w:t>
      </w:r>
      <w:r w:rsidR="00BA42C0" w:rsidRPr="00ED22D1">
        <w:rPr>
          <w:lang w:val="fr-CA"/>
        </w:rPr>
        <w:t> 000 $US</w:t>
      </w:r>
      <w:r w:rsidRPr="00ED22D1">
        <w:rPr>
          <w:lang w:val="fr-CA"/>
        </w:rPr>
        <w:t>,</w:t>
      </w:r>
      <w:r w:rsidR="004A6828" w:rsidRPr="00ED22D1">
        <w:rPr>
          <w:lang w:val="fr-CA"/>
        </w:rPr>
        <w:t> </w:t>
      </w:r>
      <w:r w:rsidR="001B31BF" w:rsidRPr="00ED22D1">
        <w:rPr>
          <w:lang w:val="fr-CA"/>
        </w:rPr>
        <w:t>plus des coûts</w:t>
      </w:r>
      <w:r w:rsidR="00DD185D" w:rsidRPr="00ED22D1">
        <w:rPr>
          <w:lang w:val="fr-CA"/>
        </w:rPr>
        <w:t xml:space="preserve"> d’appui d’agence</w:t>
      </w:r>
      <w:r w:rsidR="0085675A" w:rsidRPr="00ED22D1">
        <w:rPr>
          <w:lang w:val="fr-CA"/>
        </w:rPr>
        <w:t xml:space="preserve">, </w:t>
      </w:r>
      <w:r w:rsidRPr="00ED22D1">
        <w:rPr>
          <w:lang w:val="fr-CA"/>
        </w:rPr>
        <w:t xml:space="preserve">afin de réduire la </w:t>
      </w:r>
      <w:r w:rsidR="00921BDE" w:rsidRPr="00ED22D1">
        <w:rPr>
          <w:lang w:val="fr-CA"/>
        </w:rPr>
        <w:t>consommation de HCFC</w:t>
      </w:r>
      <w:r w:rsidR="00DE118B" w:rsidRPr="00ED22D1">
        <w:rPr>
          <w:lang w:val="fr-CA"/>
        </w:rPr>
        <w:t xml:space="preserve"> </w:t>
      </w:r>
      <w:r w:rsidRPr="00ED22D1">
        <w:rPr>
          <w:lang w:val="fr-CA"/>
        </w:rPr>
        <w:t>de</w:t>
      </w:r>
      <w:r w:rsidR="00DE118B" w:rsidRPr="00ED22D1">
        <w:rPr>
          <w:lang w:val="fr-CA"/>
        </w:rPr>
        <w:t xml:space="preserve"> </w:t>
      </w:r>
      <w:r w:rsidR="0085675A" w:rsidRPr="00ED22D1">
        <w:rPr>
          <w:lang w:val="fr-CA"/>
        </w:rPr>
        <w:t>3</w:t>
      </w:r>
      <w:r w:rsidR="004A6828" w:rsidRPr="00ED22D1">
        <w:rPr>
          <w:lang w:val="fr-CA"/>
        </w:rPr>
        <w:t>7,</w:t>
      </w:r>
      <w:r w:rsidR="0085675A" w:rsidRPr="00ED22D1">
        <w:rPr>
          <w:lang w:val="fr-CA"/>
        </w:rPr>
        <w:t>6 </w:t>
      </w:r>
      <w:r w:rsidR="001B31BF" w:rsidRPr="00ED22D1">
        <w:rPr>
          <w:lang w:val="fr-CA"/>
        </w:rPr>
        <w:t>pour cent</w:t>
      </w:r>
      <w:r w:rsidR="0085675A" w:rsidRPr="00ED22D1">
        <w:rPr>
          <w:lang w:val="fr-CA"/>
        </w:rPr>
        <w:t xml:space="preserve"> </w:t>
      </w:r>
      <w:r w:rsidRPr="00ED22D1">
        <w:rPr>
          <w:lang w:val="fr-CA"/>
        </w:rPr>
        <w:t xml:space="preserve">de la valeur de référence </w:t>
      </w:r>
      <w:r w:rsidR="002D6976" w:rsidRPr="00ED22D1">
        <w:rPr>
          <w:lang w:val="fr-CA"/>
        </w:rPr>
        <w:t>d’ici 20</w:t>
      </w:r>
      <w:r w:rsidR="0085675A" w:rsidRPr="00ED22D1">
        <w:rPr>
          <w:lang w:val="fr-CA"/>
        </w:rPr>
        <w:t>2</w:t>
      </w:r>
      <w:r w:rsidR="004A6828" w:rsidRPr="00ED22D1">
        <w:rPr>
          <w:lang w:val="fr-CA"/>
        </w:rPr>
        <w:t>0</w:t>
      </w:r>
      <w:r w:rsidRPr="00ED22D1">
        <w:rPr>
          <w:lang w:val="fr-CA"/>
        </w:rPr>
        <w:t>,</w:t>
      </w:r>
      <w:r w:rsidR="004A6828" w:rsidRPr="00ED22D1">
        <w:rPr>
          <w:lang w:val="fr-CA"/>
        </w:rPr>
        <w:t> </w:t>
      </w:r>
      <w:r w:rsidRPr="00ED22D1">
        <w:rPr>
          <w:lang w:val="fr-CA"/>
        </w:rPr>
        <w:t>qui comprend</w:t>
      </w:r>
      <w:r w:rsidR="00791BF7" w:rsidRPr="00ED22D1">
        <w:rPr>
          <w:lang w:val="fr-CA"/>
        </w:rPr>
        <w:t> :</w:t>
      </w:r>
      <w:r w:rsidR="0085675A" w:rsidRPr="00ED22D1">
        <w:rPr>
          <w:lang w:val="fr-CA"/>
        </w:rPr>
        <w:t xml:space="preserve"> </w:t>
      </w:r>
      <w:r w:rsidRPr="00ED22D1">
        <w:rPr>
          <w:lang w:val="fr-CA"/>
        </w:rPr>
        <w:t xml:space="preserve">le plan du secteur de la </w:t>
      </w:r>
      <w:r w:rsidR="00905638" w:rsidRPr="00ED22D1">
        <w:rPr>
          <w:lang w:val="fr-CA"/>
        </w:rPr>
        <w:t xml:space="preserve">climatisation et de </w:t>
      </w:r>
      <w:r w:rsidRPr="00ED22D1">
        <w:rPr>
          <w:lang w:val="fr-CA"/>
        </w:rPr>
        <w:t xml:space="preserve">la </w:t>
      </w:r>
      <w:r w:rsidR="00905638" w:rsidRPr="00ED22D1">
        <w:rPr>
          <w:lang w:val="fr-CA"/>
        </w:rPr>
        <w:t>réfrigération industrielle et commerciale</w:t>
      </w:r>
      <w:r w:rsidR="0085675A" w:rsidRPr="00ED22D1">
        <w:rPr>
          <w:lang w:val="fr-CA"/>
        </w:rPr>
        <w:t xml:space="preserve"> </w:t>
      </w:r>
      <w:r w:rsidR="00AD0203" w:rsidRPr="00ED22D1">
        <w:rPr>
          <w:lang w:val="fr-CA"/>
        </w:rPr>
        <w:t xml:space="preserve">pour </w:t>
      </w:r>
      <w:r w:rsidRPr="00ED22D1">
        <w:rPr>
          <w:lang w:val="fr-CA"/>
        </w:rPr>
        <w:t xml:space="preserve">réduire la </w:t>
      </w:r>
      <w:r w:rsidR="00921BDE" w:rsidRPr="00ED22D1">
        <w:rPr>
          <w:lang w:val="fr-CA"/>
        </w:rPr>
        <w:t>consommation de HCFC</w:t>
      </w:r>
      <w:r w:rsidR="0085675A" w:rsidRPr="00ED22D1">
        <w:rPr>
          <w:lang w:val="fr-CA"/>
        </w:rPr>
        <w:t xml:space="preserve"> </w:t>
      </w:r>
      <w:r w:rsidRPr="00ED22D1">
        <w:rPr>
          <w:lang w:val="fr-CA"/>
        </w:rPr>
        <w:t>du secteur de</w:t>
      </w:r>
      <w:r w:rsidR="00F54BD3" w:rsidRPr="00ED22D1">
        <w:rPr>
          <w:lang w:val="fr-CA"/>
        </w:rPr>
        <w:t> </w:t>
      </w:r>
      <w:r w:rsidR="0085675A" w:rsidRPr="00ED22D1">
        <w:rPr>
          <w:lang w:val="fr-CA"/>
        </w:rPr>
        <w:t>33 </w:t>
      </w:r>
      <w:r w:rsidR="001B31BF" w:rsidRPr="00ED22D1">
        <w:rPr>
          <w:lang w:val="fr-CA"/>
        </w:rPr>
        <w:t>pour cent</w:t>
      </w:r>
      <w:r w:rsidR="0085675A" w:rsidRPr="00ED22D1">
        <w:rPr>
          <w:lang w:val="fr-CA"/>
        </w:rPr>
        <w:t xml:space="preserve"> </w:t>
      </w:r>
      <w:r w:rsidR="002D6976" w:rsidRPr="00ED22D1">
        <w:rPr>
          <w:lang w:val="fr-CA"/>
        </w:rPr>
        <w:t>d’ici 20</w:t>
      </w:r>
      <w:r w:rsidR="0085675A" w:rsidRPr="00ED22D1">
        <w:rPr>
          <w:lang w:val="fr-CA"/>
        </w:rPr>
        <w:t xml:space="preserve">20; </w:t>
      </w:r>
      <w:r w:rsidRPr="00ED22D1">
        <w:rPr>
          <w:lang w:val="fr-CA"/>
        </w:rPr>
        <w:t xml:space="preserve">le plan du </w:t>
      </w:r>
      <w:r w:rsidR="00DE118B" w:rsidRPr="00ED22D1">
        <w:rPr>
          <w:lang w:val="fr-CA"/>
        </w:rPr>
        <w:t>secteur des climatiseurs résidentiels</w:t>
      </w:r>
      <w:r w:rsidR="0085675A" w:rsidRPr="00ED22D1">
        <w:rPr>
          <w:lang w:val="fr-CA"/>
        </w:rPr>
        <w:t xml:space="preserve"> </w:t>
      </w:r>
      <w:r w:rsidR="00AD0203" w:rsidRPr="00ED22D1">
        <w:rPr>
          <w:lang w:val="fr-CA"/>
        </w:rPr>
        <w:t>pour</w:t>
      </w:r>
      <w:r w:rsidR="0085675A" w:rsidRPr="00ED22D1">
        <w:rPr>
          <w:lang w:val="fr-CA"/>
        </w:rPr>
        <w:t xml:space="preserve"> </w:t>
      </w:r>
      <w:r w:rsidRPr="00ED22D1">
        <w:rPr>
          <w:lang w:val="fr-CA"/>
        </w:rPr>
        <w:t>réduire la</w:t>
      </w:r>
      <w:r w:rsidR="00F54BD3" w:rsidRPr="00ED22D1">
        <w:rPr>
          <w:lang w:val="fr-CA"/>
        </w:rPr>
        <w:t> </w:t>
      </w:r>
      <w:r w:rsidR="00921BDE" w:rsidRPr="00ED22D1">
        <w:rPr>
          <w:lang w:val="fr-CA"/>
        </w:rPr>
        <w:t>consommation de HCFC</w:t>
      </w:r>
      <w:r w:rsidR="0085675A" w:rsidRPr="00ED22D1">
        <w:rPr>
          <w:lang w:val="fr-CA"/>
        </w:rPr>
        <w:t xml:space="preserve"> </w:t>
      </w:r>
      <w:r w:rsidRPr="00ED22D1">
        <w:rPr>
          <w:lang w:val="fr-CA"/>
        </w:rPr>
        <w:t>du secteur de</w:t>
      </w:r>
      <w:r w:rsidR="00DE118B" w:rsidRPr="00ED22D1">
        <w:rPr>
          <w:lang w:val="fr-CA"/>
        </w:rPr>
        <w:t xml:space="preserve"> </w:t>
      </w:r>
      <w:r w:rsidR="0085675A" w:rsidRPr="00ED22D1">
        <w:rPr>
          <w:lang w:val="fr-CA"/>
        </w:rPr>
        <w:t>45 </w:t>
      </w:r>
      <w:r w:rsidR="001B31BF" w:rsidRPr="00ED22D1">
        <w:rPr>
          <w:lang w:val="fr-CA"/>
        </w:rPr>
        <w:t>pour cent</w:t>
      </w:r>
      <w:r w:rsidR="0085675A" w:rsidRPr="00ED22D1">
        <w:rPr>
          <w:lang w:val="fr-CA"/>
        </w:rPr>
        <w:t xml:space="preserve"> </w:t>
      </w:r>
      <w:r w:rsidR="002D6976" w:rsidRPr="00ED22D1">
        <w:rPr>
          <w:lang w:val="fr-CA"/>
        </w:rPr>
        <w:t>d’ici 20</w:t>
      </w:r>
      <w:r w:rsidR="0085675A" w:rsidRPr="00ED22D1">
        <w:rPr>
          <w:lang w:val="fr-CA"/>
        </w:rPr>
        <w:t>20;</w:t>
      </w:r>
      <w:r w:rsidR="004A6828" w:rsidRPr="00ED22D1">
        <w:rPr>
          <w:lang w:val="fr-CA"/>
        </w:rPr>
        <w:t xml:space="preserve"> et </w:t>
      </w:r>
      <w:r w:rsidRPr="00ED22D1">
        <w:rPr>
          <w:lang w:val="fr-CA"/>
        </w:rPr>
        <w:t xml:space="preserve">le </w:t>
      </w:r>
      <w:r w:rsidR="00AD0203" w:rsidRPr="00ED22D1">
        <w:rPr>
          <w:lang w:val="fr-CA"/>
        </w:rPr>
        <w:t xml:space="preserve">plan du </w:t>
      </w:r>
      <w:r w:rsidRPr="00ED22D1">
        <w:rPr>
          <w:lang w:val="fr-CA"/>
        </w:rPr>
        <w:t>secteur</w:t>
      </w:r>
      <w:r w:rsidR="00AD0203" w:rsidRPr="00ED22D1">
        <w:rPr>
          <w:lang w:val="fr-CA"/>
        </w:rPr>
        <w:t xml:space="preserve"> des </w:t>
      </w:r>
      <w:r w:rsidRPr="00ED22D1">
        <w:rPr>
          <w:lang w:val="fr-CA"/>
        </w:rPr>
        <w:t xml:space="preserve"> </w:t>
      </w:r>
      <w:r w:rsidR="00CA0808" w:rsidRPr="00ED22D1">
        <w:rPr>
          <w:lang w:val="fr-CA"/>
        </w:rPr>
        <w:t>mousse</w:t>
      </w:r>
      <w:r w:rsidR="00AD0203" w:rsidRPr="00ED22D1">
        <w:rPr>
          <w:lang w:val="fr-CA"/>
        </w:rPr>
        <w:t>s</w:t>
      </w:r>
      <w:r w:rsidR="00CA0808" w:rsidRPr="00ED22D1">
        <w:rPr>
          <w:lang w:val="fr-CA"/>
        </w:rPr>
        <w:t xml:space="preserve"> de polyuréthane</w:t>
      </w:r>
      <w:r w:rsidR="0085675A" w:rsidRPr="00ED22D1">
        <w:rPr>
          <w:lang w:val="fr-CA"/>
        </w:rPr>
        <w:t xml:space="preserve"> </w:t>
      </w:r>
      <w:r w:rsidR="00AD0203" w:rsidRPr="00ED22D1">
        <w:rPr>
          <w:lang w:val="fr-CA"/>
        </w:rPr>
        <w:t xml:space="preserve">et du </w:t>
      </w:r>
      <w:r w:rsidRPr="00ED22D1">
        <w:rPr>
          <w:lang w:val="fr-CA"/>
        </w:rPr>
        <w:t xml:space="preserve">secteur </w:t>
      </w:r>
      <w:r w:rsidR="00AD0203" w:rsidRPr="00ED22D1">
        <w:rPr>
          <w:lang w:val="fr-CA"/>
        </w:rPr>
        <w:t xml:space="preserve">des mousses </w:t>
      </w:r>
      <w:r w:rsidR="00921BDE" w:rsidRPr="00ED22D1">
        <w:rPr>
          <w:lang w:val="fr-CA"/>
        </w:rPr>
        <w:t>extrudée</w:t>
      </w:r>
      <w:r w:rsidR="00AD0203" w:rsidRPr="00ED22D1">
        <w:rPr>
          <w:lang w:val="fr-CA"/>
        </w:rPr>
        <w:t>s</w:t>
      </w:r>
      <w:r w:rsidR="00921BDE" w:rsidRPr="00ED22D1">
        <w:rPr>
          <w:lang w:val="fr-CA"/>
        </w:rPr>
        <w:t xml:space="preserve"> (XPS)</w:t>
      </w:r>
      <w:r w:rsidR="0085675A" w:rsidRPr="00ED22D1">
        <w:rPr>
          <w:lang w:val="fr-CA"/>
        </w:rPr>
        <w:t xml:space="preserve"> </w:t>
      </w:r>
      <w:r w:rsidR="00AD0203" w:rsidRPr="00ED22D1">
        <w:rPr>
          <w:lang w:val="fr-CA"/>
        </w:rPr>
        <w:t>afin de réaliser l’</w:t>
      </w:r>
      <w:r w:rsidR="004A6828" w:rsidRPr="00ED22D1">
        <w:rPr>
          <w:lang w:val="fr-CA"/>
        </w:rPr>
        <w:t>élimination</w:t>
      </w:r>
      <w:r w:rsidR="0085675A" w:rsidRPr="00ED22D1">
        <w:rPr>
          <w:lang w:val="fr-CA"/>
        </w:rPr>
        <w:t xml:space="preserve"> </w:t>
      </w:r>
      <w:r w:rsidR="00AD0203" w:rsidRPr="00ED22D1">
        <w:rPr>
          <w:lang w:val="fr-CA"/>
        </w:rPr>
        <w:t>totale des</w:t>
      </w:r>
      <w:r w:rsidR="0085675A" w:rsidRPr="00ED22D1">
        <w:rPr>
          <w:lang w:val="fr-CA"/>
        </w:rPr>
        <w:t xml:space="preserve"> </w:t>
      </w:r>
      <w:r w:rsidR="00181884" w:rsidRPr="00ED22D1">
        <w:rPr>
          <w:lang w:val="fr-CA"/>
        </w:rPr>
        <w:t>HCFC</w:t>
      </w:r>
      <w:r w:rsidR="0085675A" w:rsidRPr="00ED22D1">
        <w:rPr>
          <w:lang w:val="fr-CA"/>
        </w:rPr>
        <w:t xml:space="preserve"> </w:t>
      </w:r>
      <w:r w:rsidR="00AD0203" w:rsidRPr="00ED22D1">
        <w:rPr>
          <w:lang w:val="fr-CA"/>
        </w:rPr>
        <w:t>dans ces</w:t>
      </w:r>
      <w:r w:rsidR="0085675A" w:rsidRPr="00ED22D1">
        <w:rPr>
          <w:lang w:val="fr-CA"/>
        </w:rPr>
        <w:t xml:space="preserve"> </w:t>
      </w:r>
      <w:r w:rsidRPr="00ED22D1">
        <w:rPr>
          <w:lang w:val="fr-CA"/>
        </w:rPr>
        <w:t>secteurs</w:t>
      </w:r>
      <w:r w:rsidR="0085675A" w:rsidRPr="00ED22D1">
        <w:rPr>
          <w:lang w:val="fr-CA"/>
        </w:rPr>
        <w:t xml:space="preserve"> </w:t>
      </w:r>
      <w:r w:rsidR="002D6976" w:rsidRPr="00ED22D1">
        <w:rPr>
          <w:lang w:val="fr-CA"/>
        </w:rPr>
        <w:t>d’ici 20</w:t>
      </w:r>
      <w:r w:rsidR="0085675A" w:rsidRPr="00ED22D1">
        <w:rPr>
          <w:lang w:val="fr-CA"/>
        </w:rPr>
        <w:t>26</w:t>
      </w:r>
      <w:r w:rsidR="00B84F94" w:rsidRPr="00ED22D1">
        <w:rPr>
          <w:lang w:val="fr-CA"/>
        </w:rPr>
        <w:t xml:space="preserve">; et </w:t>
      </w:r>
    </w:p>
    <w:p w:rsidR="0085675A" w:rsidRPr="00ED22D1" w:rsidRDefault="00733306" w:rsidP="0085675A">
      <w:pPr>
        <w:pStyle w:val="Heading2"/>
        <w:rPr>
          <w:lang w:val="fr-CA"/>
        </w:rPr>
      </w:pPr>
      <w:r w:rsidRPr="00ED22D1">
        <w:rPr>
          <w:lang w:val="fr-CA"/>
        </w:rPr>
        <w:t xml:space="preserve">À la </w:t>
      </w:r>
      <w:r w:rsidR="00055A09" w:rsidRPr="00ED22D1">
        <w:rPr>
          <w:lang w:val="fr-CA"/>
        </w:rPr>
        <w:t>7</w:t>
      </w:r>
      <w:r w:rsidR="0085675A" w:rsidRPr="00ED22D1">
        <w:rPr>
          <w:lang w:val="fr-CA"/>
        </w:rPr>
        <w:t>9</w:t>
      </w:r>
      <w:r w:rsidR="00055A09" w:rsidRPr="00ED22D1">
        <w:rPr>
          <w:vertAlign w:val="superscript"/>
          <w:lang w:val="fr-CA"/>
        </w:rPr>
        <w:t>e</w:t>
      </w:r>
      <w:r w:rsidR="00055A09" w:rsidRPr="00ED22D1">
        <w:rPr>
          <w:lang w:val="fr-CA"/>
        </w:rPr>
        <w:t xml:space="preserve"> </w:t>
      </w:r>
      <w:r w:rsidR="00DD185D" w:rsidRPr="00ED22D1">
        <w:rPr>
          <w:lang w:val="fr-CA"/>
        </w:rPr>
        <w:t>réunion</w:t>
      </w:r>
      <w:r w:rsidR="0085675A" w:rsidRPr="00ED22D1">
        <w:rPr>
          <w:lang w:val="fr-CA"/>
        </w:rPr>
        <w:t xml:space="preserve">, </w:t>
      </w:r>
      <w:r w:rsidR="00F54BD3" w:rsidRPr="00ED22D1">
        <w:rPr>
          <w:lang w:val="fr-CA"/>
        </w:rPr>
        <w:t xml:space="preserve">a </w:t>
      </w:r>
      <w:r w:rsidR="00AA6E77" w:rsidRPr="00ED22D1">
        <w:rPr>
          <w:lang w:val="fr-CA"/>
        </w:rPr>
        <w:t>approuvé</w:t>
      </w:r>
      <w:r w:rsidR="0085675A" w:rsidRPr="00ED22D1">
        <w:rPr>
          <w:lang w:val="fr-CA"/>
        </w:rPr>
        <w:t xml:space="preserve"> </w:t>
      </w:r>
      <w:r w:rsidR="00CE7FEC" w:rsidRPr="00ED22D1">
        <w:rPr>
          <w:lang w:val="fr-CA"/>
        </w:rPr>
        <w:t>l’accord</w:t>
      </w:r>
      <w:r w:rsidR="0085675A" w:rsidRPr="00ED22D1">
        <w:rPr>
          <w:lang w:val="fr-CA"/>
        </w:rPr>
        <w:t xml:space="preserve"> </w:t>
      </w:r>
      <w:r w:rsidR="004A6828" w:rsidRPr="00ED22D1">
        <w:rPr>
          <w:lang w:val="fr-CA"/>
        </w:rPr>
        <w:t>entre</w:t>
      </w:r>
      <w:r w:rsidR="0085675A"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 Comité exécutif</w:t>
      </w:r>
      <w:r w:rsidR="0085675A" w:rsidRPr="00ED22D1">
        <w:rPr>
          <w:lang w:val="fr-CA"/>
        </w:rPr>
        <w:t xml:space="preserve"> </w:t>
      </w:r>
      <w:r w:rsidR="00921BDE" w:rsidRPr="00ED22D1">
        <w:rPr>
          <w:lang w:val="fr-CA"/>
        </w:rPr>
        <w:t>pour la mise en oeuvre de la phase</w:t>
      </w:r>
      <w:r w:rsidR="004A6828" w:rsidRPr="00ED22D1">
        <w:rPr>
          <w:lang w:val="fr-CA"/>
        </w:rPr>
        <w:t xml:space="preserve"> </w:t>
      </w:r>
      <w:r w:rsidR="0085675A" w:rsidRPr="00ED22D1">
        <w:rPr>
          <w:lang w:val="fr-CA"/>
        </w:rPr>
        <w:t xml:space="preserve">II </w:t>
      </w:r>
      <w:r w:rsidR="001F19C1" w:rsidRPr="00ED22D1">
        <w:rPr>
          <w:lang w:val="fr-CA"/>
        </w:rPr>
        <w:t>du PGEH</w:t>
      </w:r>
      <w:r w:rsidR="0085675A" w:rsidRPr="00ED22D1">
        <w:rPr>
          <w:lang w:val="fr-CA"/>
        </w:rPr>
        <w:t>,</w:t>
      </w:r>
      <w:r w:rsidR="004A6828" w:rsidRPr="00ED22D1">
        <w:rPr>
          <w:lang w:val="fr-CA"/>
        </w:rPr>
        <w:t xml:space="preserve"> et </w:t>
      </w:r>
      <w:r w:rsidR="00AD0203" w:rsidRPr="00ED22D1">
        <w:rPr>
          <w:lang w:val="fr-CA"/>
        </w:rPr>
        <w:t>établi à 6,5 pour cent les</w:t>
      </w:r>
      <w:r w:rsidR="0085675A" w:rsidRPr="00ED22D1">
        <w:rPr>
          <w:lang w:val="fr-CA"/>
        </w:rPr>
        <w:t xml:space="preserve"> </w:t>
      </w:r>
      <w:r w:rsidR="00DD185D" w:rsidRPr="00ED22D1">
        <w:rPr>
          <w:lang w:val="fr-CA"/>
        </w:rPr>
        <w:t>coûts d’appui d’agence</w:t>
      </w:r>
      <w:r w:rsidR="0085675A" w:rsidRPr="00ED22D1">
        <w:rPr>
          <w:lang w:val="fr-CA"/>
        </w:rPr>
        <w:t xml:space="preserve"> </w:t>
      </w:r>
      <w:r w:rsidR="00921BDE" w:rsidRPr="00ED22D1">
        <w:rPr>
          <w:lang w:val="fr-CA"/>
        </w:rPr>
        <w:t xml:space="preserve">pour le </w:t>
      </w:r>
      <w:r w:rsidR="001F19C1" w:rsidRPr="00ED22D1">
        <w:rPr>
          <w:lang w:val="fr-CA"/>
        </w:rPr>
        <w:t>PNUD, l’ONUDI</w:t>
      </w:r>
      <w:r w:rsidR="0085675A" w:rsidRPr="00ED22D1">
        <w:rPr>
          <w:lang w:val="fr-CA"/>
        </w:rPr>
        <w:t>,</w:t>
      </w:r>
      <w:r w:rsidR="004A6828" w:rsidRPr="00ED22D1">
        <w:rPr>
          <w:lang w:val="fr-CA"/>
        </w:rPr>
        <w:t xml:space="preserve"> et</w:t>
      </w:r>
      <w:r w:rsidR="001F19C1" w:rsidRPr="00ED22D1">
        <w:rPr>
          <w:lang w:val="fr-CA"/>
        </w:rPr>
        <w:t xml:space="preserve"> la Banque mondiale</w:t>
      </w:r>
      <w:r w:rsidR="0085675A" w:rsidRPr="00ED22D1">
        <w:rPr>
          <w:lang w:val="fr-CA"/>
        </w:rPr>
        <w:t xml:space="preserve">, </w:t>
      </w:r>
      <w:r w:rsidR="00AD0203" w:rsidRPr="00ED22D1">
        <w:rPr>
          <w:lang w:val="fr-CA"/>
        </w:rPr>
        <w:t>en étant entendu que les coûts</w:t>
      </w:r>
      <w:r w:rsidR="00DD185D" w:rsidRPr="00ED22D1">
        <w:rPr>
          <w:lang w:val="fr-CA"/>
        </w:rPr>
        <w:t xml:space="preserve"> d’appui d’agence</w:t>
      </w:r>
      <w:r w:rsidR="0085675A" w:rsidRPr="00ED22D1">
        <w:rPr>
          <w:lang w:val="fr-CA"/>
        </w:rPr>
        <w:t xml:space="preserve"> </w:t>
      </w:r>
      <w:r w:rsidR="00AD0203" w:rsidRPr="00ED22D1">
        <w:rPr>
          <w:lang w:val="fr-CA"/>
        </w:rPr>
        <w:t xml:space="preserve">pourraient être réévalués </w:t>
      </w:r>
      <w:r w:rsidRPr="00ED22D1">
        <w:rPr>
          <w:lang w:val="fr-CA"/>
        </w:rPr>
        <w:t xml:space="preserve">à la </w:t>
      </w:r>
      <w:r w:rsidR="00055A09" w:rsidRPr="00ED22D1">
        <w:rPr>
          <w:lang w:val="fr-CA"/>
        </w:rPr>
        <w:t>8</w:t>
      </w:r>
      <w:r w:rsidR="0085675A" w:rsidRPr="00ED22D1">
        <w:rPr>
          <w:lang w:val="fr-CA"/>
        </w:rPr>
        <w:t>1</w:t>
      </w:r>
      <w:r w:rsidR="00055A09" w:rsidRPr="00ED22D1">
        <w:rPr>
          <w:vertAlign w:val="superscript"/>
          <w:lang w:val="fr-CA"/>
        </w:rPr>
        <w:t>e</w:t>
      </w:r>
      <w:r w:rsidR="00055A09" w:rsidRPr="00ED22D1">
        <w:rPr>
          <w:lang w:val="fr-CA"/>
        </w:rPr>
        <w:t xml:space="preserve"> </w:t>
      </w:r>
      <w:r w:rsidR="00DD185D" w:rsidRPr="00ED22D1">
        <w:rPr>
          <w:lang w:val="fr-CA"/>
        </w:rPr>
        <w:t>réunion</w:t>
      </w:r>
      <w:r w:rsidR="00F54BD3" w:rsidRPr="00ED22D1">
        <w:rPr>
          <w:lang w:val="fr-CA"/>
        </w:rPr>
        <w:t>;</w:t>
      </w:r>
      <w:r w:rsidR="004A6828" w:rsidRPr="00ED22D1">
        <w:rPr>
          <w:lang w:val="fr-CA"/>
        </w:rPr>
        <w:t xml:space="preserve"> et </w:t>
      </w:r>
      <w:r w:rsidR="00AD0203" w:rsidRPr="00ED22D1">
        <w:rPr>
          <w:lang w:val="fr-CA"/>
        </w:rPr>
        <w:t xml:space="preserve">maintenu en place le niveau des </w:t>
      </w:r>
      <w:r w:rsidR="00DD185D" w:rsidRPr="00ED22D1">
        <w:rPr>
          <w:lang w:val="fr-CA"/>
        </w:rPr>
        <w:t>coûts d’appui d’agence</w:t>
      </w:r>
      <w:r w:rsidR="0085675A" w:rsidRPr="00ED22D1">
        <w:rPr>
          <w:lang w:val="fr-CA"/>
        </w:rPr>
        <w:t xml:space="preserve"> </w:t>
      </w:r>
      <w:r w:rsidR="00AD0203" w:rsidRPr="00ED22D1">
        <w:rPr>
          <w:lang w:val="fr-CA"/>
        </w:rPr>
        <w:t>du PNUE et des agences bilatérales dans le</w:t>
      </w:r>
      <w:r w:rsidR="00F54BD3" w:rsidRPr="00ED22D1">
        <w:rPr>
          <w:lang w:val="fr-CA"/>
        </w:rPr>
        <w:t> </w:t>
      </w:r>
      <w:r w:rsidR="00AD0203" w:rsidRPr="00ED22D1">
        <w:rPr>
          <w:lang w:val="fr-CA"/>
        </w:rPr>
        <w:t>cadre du régime actuel des coûts administratifs</w:t>
      </w:r>
      <w:r w:rsidR="0085675A" w:rsidRPr="00ED22D1">
        <w:rPr>
          <w:lang w:val="fr-CA"/>
        </w:rPr>
        <w:t>.</w:t>
      </w:r>
    </w:p>
    <w:p w:rsidR="0085675A" w:rsidRPr="00ED22D1" w:rsidRDefault="005A6C23" w:rsidP="005A6C23">
      <w:pPr>
        <w:pStyle w:val="Heading1"/>
        <w:numPr>
          <w:ilvl w:val="0"/>
          <w:numId w:val="0"/>
        </w:numPr>
        <w:rPr>
          <w:lang w:val="fr-CA"/>
        </w:rPr>
      </w:pPr>
      <w:r w:rsidRPr="00ED22D1">
        <w:rPr>
          <w:lang w:val="fr-CA"/>
        </w:rPr>
        <w:t>30.</w:t>
      </w:r>
      <w:r w:rsidRPr="00ED22D1">
        <w:rPr>
          <w:lang w:val="fr-CA"/>
        </w:rPr>
        <w:tab/>
      </w:r>
      <w:r w:rsidR="00AD0203" w:rsidRPr="00ED22D1">
        <w:rPr>
          <w:lang w:val="fr-CA"/>
        </w:rPr>
        <w:t>Les limites de consommation</w:t>
      </w:r>
      <w:r w:rsidR="00921BDE" w:rsidRPr="00ED22D1">
        <w:rPr>
          <w:lang w:val="fr-CA"/>
        </w:rPr>
        <w:t xml:space="preserve"> </w:t>
      </w:r>
      <w:r w:rsidR="008D5B5F" w:rsidRPr="00ED22D1">
        <w:rPr>
          <w:lang w:val="fr-CA"/>
        </w:rPr>
        <w:t>de HCFC</w:t>
      </w:r>
      <w:r w:rsidR="0085675A" w:rsidRPr="00ED22D1">
        <w:rPr>
          <w:lang w:val="fr-CA"/>
        </w:rPr>
        <w:t xml:space="preserve"> </w:t>
      </w:r>
      <w:r w:rsidR="004A6828" w:rsidRPr="00ED22D1">
        <w:rPr>
          <w:lang w:val="fr-CA"/>
        </w:rPr>
        <w:t xml:space="preserve">et </w:t>
      </w:r>
      <w:r w:rsidR="00AD0203" w:rsidRPr="00ED22D1">
        <w:rPr>
          <w:lang w:val="fr-CA"/>
        </w:rPr>
        <w:t xml:space="preserve">l’élimination visée des quantités </w:t>
      </w:r>
      <w:r w:rsidR="00921BDE" w:rsidRPr="00ED22D1">
        <w:rPr>
          <w:lang w:val="fr-CA"/>
        </w:rPr>
        <w:t>pour la</w:t>
      </w:r>
      <w:r w:rsidR="001F19C1" w:rsidRPr="00ED22D1">
        <w:rPr>
          <w:lang w:val="fr-CA"/>
        </w:rPr>
        <w:t xml:space="preserve"> période </w:t>
      </w:r>
      <w:r w:rsidR="00AD0203" w:rsidRPr="00ED22D1">
        <w:rPr>
          <w:lang w:val="fr-CA"/>
        </w:rPr>
        <w:t>de</w:t>
      </w:r>
      <w:r w:rsidR="009A6A82" w:rsidRPr="00ED22D1">
        <w:rPr>
          <w:lang w:val="fr-CA"/>
        </w:rPr>
        <w:t> </w:t>
      </w:r>
      <w:r w:rsidR="0085675A" w:rsidRPr="00ED22D1">
        <w:rPr>
          <w:lang w:val="fr-CA"/>
        </w:rPr>
        <w:t>2016</w:t>
      </w:r>
      <w:r w:rsidR="00AD0203" w:rsidRPr="00ED22D1">
        <w:rPr>
          <w:lang w:val="fr-CA"/>
        </w:rPr>
        <w:t xml:space="preserve"> à</w:t>
      </w:r>
      <w:r w:rsidR="0085675A" w:rsidRPr="00ED22D1">
        <w:rPr>
          <w:lang w:val="fr-CA"/>
        </w:rPr>
        <w:t xml:space="preserve"> 2026</w:t>
      </w:r>
      <w:r w:rsidR="0085675A" w:rsidRPr="00ED22D1">
        <w:rPr>
          <w:rStyle w:val="FootnoteReference"/>
          <w:lang w:val="fr-CA"/>
        </w:rPr>
        <w:footnoteReference w:id="4"/>
      </w:r>
      <w:r w:rsidR="0085675A" w:rsidRPr="00ED22D1">
        <w:rPr>
          <w:lang w:val="fr-CA"/>
        </w:rPr>
        <w:t xml:space="preserve"> </w:t>
      </w:r>
      <w:r w:rsidR="00AD0203" w:rsidRPr="00ED22D1">
        <w:rPr>
          <w:lang w:val="fr-CA"/>
        </w:rPr>
        <w:t xml:space="preserve">dans les six secteurs sont indiquées au </w:t>
      </w:r>
      <w:r w:rsidR="00CE7FEC" w:rsidRPr="00ED22D1">
        <w:rPr>
          <w:lang w:val="fr-CA"/>
        </w:rPr>
        <w:t xml:space="preserve">tableau </w:t>
      </w:r>
      <w:r w:rsidR="004A6828" w:rsidRPr="00ED22D1">
        <w:rPr>
          <w:lang w:val="fr-CA"/>
        </w:rPr>
        <w:t>1</w:t>
      </w:r>
      <w:r w:rsidR="00D05BD1" w:rsidRPr="00ED22D1">
        <w:rPr>
          <w:lang w:val="fr-CA"/>
        </w:rPr>
        <w:t>.</w:t>
      </w:r>
    </w:p>
    <w:p w:rsidR="0085675A" w:rsidRPr="00ED22D1" w:rsidRDefault="00CE7FEC" w:rsidP="009C7324">
      <w:pPr>
        <w:rPr>
          <w:b/>
          <w:lang w:val="fr-CA"/>
        </w:rPr>
      </w:pPr>
      <w:r w:rsidRPr="00ED22D1">
        <w:rPr>
          <w:b/>
          <w:lang w:val="fr-CA"/>
        </w:rPr>
        <w:t xml:space="preserve">Tableau </w:t>
      </w:r>
      <w:r w:rsidR="004A6828" w:rsidRPr="00ED22D1">
        <w:rPr>
          <w:b/>
          <w:lang w:val="fr-CA"/>
        </w:rPr>
        <w:t>1</w:t>
      </w:r>
      <w:r w:rsidR="00D05BD1" w:rsidRPr="00ED22D1">
        <w:rPr>
          <w:b/>
          <w:lang w:val="fr-CA"/>
        </w:rPr>
        <w:t>.</w:t>
      </w:r>
      <w:r w:rsidR="00921BDE" w:rsidRPr="00ED22D1">
        <w:rPr>
          <w:b/>
          <w:lang w:val="fr-CA"/>
        </w:rPr>
        <w:t xml:space="preserve"> </w:t>
      </w:r>
      <w:r w:rsidR="00AD0203" w:rsidRPr="00ED22D1">
        <w:rPr>
          <w:b/>
          <w:lang w:val="fr-CA"/>
        </w:rPr>
        <w:t>Limites de c</w:t>
      </w:r>
      <w:r w:rsidR="00921BDE" w:rsidRPr="00ED22D1">
        <w:rPr>
          <w:b/>
          <w:lang w:val="fr-CA"/>
        </w:rPr>
        <w:t>onsommation de HCFC</w:t>
      </w:r>
      <w:r w:rsidR="0085675A" w:rsidRPr="00ED22D1">
        <w:rPr>
          <w:b/>
          <w:lang w:val="fr-CA"/>
        </w:rPr>
        <w:t xml:space="preserve"> </w:t>
      </w:r>
      <w:r w:rsidR="004A6828" w:rsidRPr="00ED22D1">
        <w:rPr>
          <w:b/>
          <w:lang w:val="fr-CA"/>
        </w:rPr>
        <w:t>et élimination</w:t>
      </w:r>
      <w:r w:rsidR="0085675A" w:rsidRPr="00ED22D1">
        <w:rPr>
          <w:b/>
          <w:lang w:val="fr-CA"/>
        </w:rPr>
        <w:t xml:space="preserve"> </w:t>
      </w:r>
      <w:r w:rsidR="00AD0203" w:rsidRPr="00ED22D1">
        <w:rPr>
          <w:b/>
          <w:lang w:val="fr-CA"/>
        </w:rPr>
        <w:t xml:space="preserve">dans les secteurs de la </w:t>
      </w:r>
      <w:r w:rsidR="00181884" w:rsidRPr="00ED22D1">
        <w:rPr>
          <w:b/>
          <w:lang w:val="fr-CA"/>
        </w:rPr>
        <w:t>consommation</w:t>
      </w:r>
      <w:r w:rsidR="0085675A" w:rsidRPr="00ED22D1">
        <w:rPr>
          <w:b/>
          <w:lang w:val="fr-CA"/>
        </w:rPr>
        <w:t xml:space="preserve"> </w:t>
      </w:r>
      <w:r w:rsidR="00AD0203" w:rsidRPr="00ED22D1">
        <w:rPr>
          <w:b/>
          <w:lang w:val="fr-CA"/>
        </w:rPr>
        <w:t>pour l</w:t>
      </w:r>
      <w:r w:rsidR="00616B46" w:rsidRPr="00ED22D1">
        <w:rPr>
          <w:b/>
          <w:lang w:val="fr-CA"/>
        </w:rPr>
        <w:t>a</w:t>
      </w:r>
      <w:r w:rsidR="004A6828" w:rsidRPr="00ED22D1">
        <w:rPr>
          <w:b/>
          <w:lang w:val="fr-CA"/>
        </w:rPr>
        <w:t xml:space="preserve"> phase </w:t>
      </w:r>
      <w:r w:rsidR="0085675A" w:rsidRPr="00ED22D1">
        <w:rPr>
          <w:b/>
          <w:lang w:val="fr-CA"/>
        </w:rPr>
        <w:t xml:space="preserve">II </w:t>
      </w:r>
      <w:r w:rsidR="001F19C1" w:rsidRPr="00ED22D1">
        <w:rPr>
          <w:b/>
          <w:lang w:val="fr-CA"/>
        </w:rPr>
        <w:t>du PGEH</w:t>
      </w:r>
      <w:r w:rsidR="0085675A" w:rsidRPr="00ED22D1">
        <w:rPr>
          <w:b/>
          <w:lang w:val="fr-CA"/>
        </w:rPr>
        <w:t xml:space="preserve"> </w:t>
      </w:r>
      <w:r w:rsidR="001B31BF" w:rsidRPr="00ED22D1">
        <w:rPr>
          <w:b/>
          <w:lang w:val="fr-CA"/>
        </w:rPr>
        <w:t xml:space="preserve">de </w:t>
      </w:r>
      <w:r w:rsidR="00055A09" w:rsidRPr="00ED22D1">
        <w:rPr>
          <w:b/>
          <w:lang w:val="fr-CA"/>
        </w:rPr>
        <w:t xml:space="preserve">la </w:t>
      </w:r>
      <w:r w:rsidR="001B31BF" w:rsidRPr="00ED22D1">
        <w:rPr>
          <w:b/>
          <w:lang w:val="fr-CA"/>
        </w:rPr>
        <w:t>Chine</w:t>
      </w:r>
      <w:r w:rsidR="0085675A" w:rsidRPr="00ED22D1">
        <w:rPr>
          <w:b/>
          <w:lang w:val="fr-CA"/>
        </w:rPr>
        <w:t xml:space="preserve"> </w:t>
      </w:r>
      <w:r w:rsidR="0052712E" w:rsidRPr="00ED22D1">
        <w:rPr>
          <w:b/>
          <w:lang w:val="fr-CA"/>
        </w:rPr>
        <w:t>(tonnes PAO)</w:t>
      </w:r>
    </w:p>
    <w:tbl>
      <w:tblPr>
        <w:tblStyle w:val="TableGrid"/>
        <w:tblW w:w="9334" w:type="dxa"/>
        <w:tblInd w:w="108" w:type="dxa"/>
        <w:tblLayout w:type="fixed"/>
        <w:tblLook w:val="04A0" w:firstRow="1" w:lastRow="0" w:firstColumn="1" w:lastColumn="0" w:noHBand="0" w:noVBand="1"/>
      </w:tblPr>
      <w:tblGrid>
        <w:gridCol w:w="1447"/>
        <w:gridCol w:w="83"/>
        <w:gridCol w:w="976"/>
        <w:gridCol w:w="325"/>
        <w:gridCol w:w="813"/>
        <w:gridCol w:w="487"/>
        <w:gridCol w:w="651"/>
        <w:gridCol w:w="650"/>
        <w:gridCol w:w="488"/>
        <w:gridCol w:w="812"/>
        <w:gridCol w:w="326"/>
        <w:gridCol w:w="975"/>
        <w:gridCol w:w="163"/>
        <w:gridCol w:w="1138"/>
      </w:tblGrid>
      <w:tr w:rsidR="0085675A" w:rsidRPr="00ED22D1" w:rsidTr="00C80221">
        <w:trPr>
          <w:tblHeader/>
        </w:trPr>
        <w:tc>
          <w:tcPr>
            <w:tcW w:w="9334" w:type="dxa"/>
            <w:gridSpan w:val="14"/>
          </w:tcPr>
          <w:p w:rsidR="0085675A" w:rsidRPr="00ED22D1" w:rsidRDefault="001B45EC" w:rsidP="0085675A">
            <w:pPr>
              <w:jc w:val="center"/>
              <w:rPr>
                <w:b/>
                <w:sz w:val="20"/>
                <w:szCs w:val="20"/>
                <w:lang w:val="fr-CA"/>
              </w:rPr>
            </w:pPr>
            <w:r w:rsidRPr="00ED22D1">
              <w:rPr>
                <w:b/>
                <w:sz w:val="20"/>
                <w:szCs w:val="20"/>
                <w:lang w:val="fr-CA"/>
              </w:rPr>
              <w:t>Consommation maximale admissible</w:t>
            </w:r>
          </w:p>
        </w:tc>
      </w:tr>
      <w:tr w:rsidR="0085675A" w:rsidRPr="00ED22D1" w:rsidTr="00C80221">
        <w:trPr>
          <w:tblHeader/>
        </w:trPr>
        <w:tc>
          <w:tcPr>
            <w:tcW w:w="1447" w:type="dxa"/>
          </w:tcPr>
          <w:p w:rsidR="0085675A" w:rsidRPr="00ED22D1" w:rsidRDefault="0085675A" w:rsidP="0085675A">
            <w:pPr>
              <w:jc w:val="center"/>
              <w:rPr>
                <w:b/>
                <w:sz w:val="20"/>
                <w:szCs w:val="20"/>
                <w:lang w:val="fr-CA"/>
              </w:rPr>
            </w:pPr>
          </w:p>
        </w:tc>
        <w:tc>
          <w:tcPr>
            <w:tcW w:w="1059" w:type="dxa"/>
            <w:gridSpan w:val="2"/>
          </w:tcPr>
          <w:p w:rsidR="0085675A" w:rsidRPr="00ED22D1" w:rsidRDefault="0085675A" w:rsidP="0085675A">
            <w:pPr>
              <w:jc w:val="center"/>
              <w:rPr>
                <w:b/>
                <w:sz w:val="20"/>
                <w:szCs w:val="20"/>
                <w:lang w:val="fr-CA"/>
              </w:rPr>
            </w:pPr>
            <w:r w:rsidRPr="00ED22D1">
              <w:rPr>
                <w:b/>
                <w:sz w:val="20"/>
                <w:szCs w:val="20"/>
                <w:lang w:val="fr-CA"/>
              </w:rPr>
              <w:t>2016-17</w:t>
            </w:r>
          </w:p>
        </w:tc>
        <w:tc>
          <w:tcPr>
            <w:tcW w:w="1138" w:type="dxa"/>
            <w:gridSpan w:val="2"/>
          </w:tcPr>
          <w:p w:rsidR="0085675A" w:rsidRPr="00ED22D1" w:rsidRDefault="0085675A" w:rsidP="0085675A">
            <w:pPr>
              <w:jc w:val="center"/>
              <w:rPr>
                <w:b/>
                <w:sz w:val="20"/>
                <w:szCs w:val="20"/>
                <w:lang w:val="fr-CA"/>
              </w:rPr>
            </w:pPr>
            <w:r w:rsidRPr="00ED22D1">
              <w:rPr>
                <w:b/>
                <w:sz w:val="20"/>
                <w:szCs w:val="20"/>
                <w:lang w:val="fr-CA"/>
              </w:rPr>
              <w:t>2018-19</w:t>
            </w:r>
          </w:p>
        </w:tc>
        <w:tc>
          <w:tcPr>
            <w:tcW w:w="1138" w:type="dxa"/>
            <w:gridSpan w:val="2"/>
          </w:tcPr>
          <w:p w:rsidR="0085675A" w:rsidRPr="00ED22D1" w:rsidRDefault="0085675A" w:rsidP="0085675A">
            <w:pPr>
              <w:jc w:val="center"/>
              <w:rPr>
                <w:b/>
                <w:sz w:val="20"/>
                <w:szCs w:val="20"/>
                <w:lang w:val="fr-CA"/>
              </w:rPr>
            </w:pPr>
            <w:r w:rsidRPr="00ED22D1">
              <w:rPr>
                <w:b/>
                <w:sz w:val="20"/>
                <w:szCs w:val="20"/>
                <w:lang w:val="fr-CA"/>
              </w:rPr>
              <w:t>2020-21</w:t>
            </w:r>
          </w:p>
        </w:tc>
        <w:tc>
          <w:tcPr>
            <w:tcW w:w="1138" w:type="dxa"/>
            <w:gridSpan w:val="2"/>
          </w:tcPr>
          <w:p w:rsidR="0085675A" w:rsidRPr="00ED22D1" w:rsidRDefault="0085675A" w:rsidP="0085675A">
            <w:pPr>
              <w:jc w:val="center"/>
              <w:rPr>
                <w:b/>
                <w:sz w:val="20"/>
                <w:szCs w:val="20"/>
                <w:lang w:val="fr-CA"/>
              </w:rPr>
            </w:pPr>
            <w:r w:rsidRPr="00ED22D1">
              <w:rPr>
                <w:b/>
                <w:sz w:val="20"/>
                <w:szCs w:val="20"/>
                <w:lang w:val="fr-CA"/>
              </w:rPr>
              <w:t>2022</w:t>
            </w:r>
          </w:p>
        </w:tc>
        <w:tc>
          <w:tcPr>
            <w:tcW w:w="1138" w:type="dxa"/>
            <w:gridSpan w:val="2"/>
          </w:tcPr>
          <w:p w:rsidR="0085675A" w:rsidRPr="00ED22D1" w:rsidRDefault="0085675A" w:rsidP="0085675A">
            <w:pPr>
              <w:jc w:val="center"/>
              <w:rPr>
                <w:b/>
                <w:sz w:val="20"/>
                <w:szCs w:val="20"/>
                <w:lang w:val="fr-CA"/>
              </w:rPr>
            </w:pPr>
            <w:r w:rsidRPr="00ED22D1">
              <w:rPr>
                <w:b/>
                <w:sz w:val="20"/>
                <w:szCs w:val="20"/>
                <w:lang w:val="fr-CA"/>
              </w:rPr>
              <w:t>2023-24</w:t>
            </w:r>
          </w:p>
        </w:tc>
        <w:tc>
          <w:tcPr>
            <w:tcW w:w="1138" w:type="dxa"/>
            <w:gridSpan w:val="2"/>
          </w:tcPr>
          <w:p w:rsidR="0085675A" w:rsidRPr="00ED22D1" w:rsidRDefault="0085675A" w:rsidP="0085675A">
            <w:pPr>
              <w:jc w:val="center"/>
              <w:rPr>
                <w:b/>
                <w:sz w:val="20"/>
                <w:szCs w:val="20"/>
                <w:lang w:val="fr-CA"/>
              </w:rPr>
            </w:pPr>
            <w:r w:rsidRPr="00ED22D1">
              <w:rPr>
                <w:b/>
                <w:sz w:val="20"/>
                <w:szCs w:val="20"/>
                <w:lang w:val="fr-CA"/>
              </w:rPr>
              <w:t>2025</w:t>
            </w:r>
          </w:p>
        </w:tc>
        <w:tc>
          <w:tcPr>
            <w:tcW w:w="1138" w:type="dxa"/>
          </w:tcPr>
          <w:p w:rsidR="0085675A" w:rsidRPr="00ED22D1" w:rsidRDefault="0085675A" w:rsidP="0085675A">
            <w:pPr>
              <w:jc w:val="center"/>
              <w:rPr>
                <w:b/>
                <w:sz w:val="20"/>
                <w:szCs w:val="20"/>
                <w:lang w:val="fr-CA"/>
              </w:rPr>
            </w:pPr>
            <w:r w:rsidRPr="00ED22D1">
              <w:rPr>
                <w:b/>
                <w:sz w:val="20"/>
                <w:szCs w:val="20"/>
                <w:lang w:val="fr-CA"/>
              </w:rPr>
              <w:t>2026</w:t>
            </w:r>
          </w:p>
        </w:tc>
      </w:tr>
      <w:tr w:rsidR="0085675A" w:rsidRPr="00ED22D1" w:rsidTr="009C7324">
        <w:tc>
          <w:tcPr>
            <w:tcW w:w="1447" w:type="dxa"/>
          </w:tcPr>
          <w:p w:rsidR="0085675A" w:rsidRPr="007A6DB7" w:rsidRDefault="0085675A" w:rsidP="0085675A">
            <w:pPr>
              <w:jc w:val="left"/>
              <w:rPr>
                <w:sz w:val="20"/>
                <w:szCs w:val="20"/>
                <w:lang w:val="fr-CA"/>
              </w:rPr>
            </w:pPr>
            <w:r w:rsidRPr="007A6DB7">
              <w:rPr>
                <w:sz w:val="20"/>
                <w:szCs w:val="20"/>
                <w:lang w:val="fr-CA"/>
              </w:rPr>
              <w:t>National</w:t>
            </w:r>
          </w:p>
        </w:tc>
        <w:tc>
          <w:tcPr>
            <w:tcW w:w="1059" w:type="dxa"/>
            <w:gridSpan w:val="2"/>
          </w:tcPr>
          <w:p w:rsidR="0085675A" w:rsidRPr="007A6DB7" w:rsidRDefault="0085675A" w:rsidP="0085675A">
            <w:pPr>
              <w:jc w:val="right"/>
              <w:rPr>
                <w:sz w:val="20"/>
                <w:szCs w:val="20"/>
                <w:lang w:val="fr-CA"/>
              </w:rPr>
            </w:pPr>
            <w:r w:rsidRPr="007A6DB7">
              <w:rPr>
                <w:sz w:val="20"/>
                <w:szCs w:val="20"/>
                <w:lang w:val="fr-CA"/>
              </w:rPr>
              <w:t>1</w:t>
            </w:r>
            <w:r w:rsidR="004A6828" w:rsidRPr="007A6DB7">
              <w:rPr>
                <w:sz w:val="20"/>
                <w:szCs w:val="20"/>
                <w:lang w:val="fr-CA"/>
              </w:rPr>
              <w:t>6 </w:t>
            </w:r>
            <w:r w:rsidRPr="007A6DB7">
              <w:rPr>
                <w:sz w:val="20"/>
                <w:szCs w:val="20"/>
                <w:lang w:val="fr-CA"/>
              </w:rPr>
              <w:t>97</w:t>
            </w:r>
            <w:r w:rsidR="004A6828" w:rsidRPr="007A6DB7">
              <w:rPr>
                <w:sz w:val="20"/>
                <w:szCs w:val="20"/>
                <w:lang w:val="fr-CA"/>
              </w:rPr>
              <w:t>8,</w:t>
            </w:r>
            <w:r w:rsidRPr="007A6DB7">
              <w:rPr>
                <w:sz w:val="20"/>
                <w:szCs w:val="20"/>
                <w:lang w:val="fr-CA"/>
              </w:rPr>
              <w:t>9</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1</w:t>
            </w:r>
            <w:r w:rsidR="004A6828" w:rsidRPr="007A6DB7">
              <w:rPr>
                <w:sz w:val="20"/>
                <w:szCs w:val="20"/>
                <w:lang w:val="fr-CA"/>
              </w:rPr>
              <w:t>5 </w:t>
            </w:r>
            <w:r w:rsidRPr="007A6DB7">
              <w:rPr>
                <w:sz w:val="20"/>
                <w:szCs w:val="20"/>
                <w:lang w:val="fr-CA"/>
              </w:rPr>
              <w:t>04</w:t>
            </w:r>
            <w:r w:rsidR="004A6828" w:rsidRPr="007A6DB7">
              <w:rPr>
                <w:sz w:val="20"/>
                <w:szCs w:val="20"/>
                <w:lang w:val="fr-CA"/>
              </w:rPr>
              <w:t>8,</w:t>
            </w:r>
            <w:r w:rsidRPr="007A6DB7">
              <w:rPr>
                <w:sz w:val="20"/>
                <w:szCs w:val="20"/>
                <w:lang w:val="fr-CA"/>
              </w:rPr>
              <w:t>1</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1</w:t>
            </w:r>
            <w:r w:rsidR="004A6828" w:rsidRPr="007A6DB7">
              <w:rPr>
                <w:sz w:val="20"/>
                <w:szCs w:val="20"/>
                <w:lang w:val="fr-CA"/>
              </w:rPr>
              <w:t>1 </w:t>
            </w:r>
            <w:r w:rsidRPr="007A6DB7">
              <w:rPr>
                <w:sz w:val="20"/>
                <w:szCs w:val="20"/>
                <w:lang w:val="fr-CA"/>
              </w:rPr>
              <w:t>77</w:t>
            </w:r>
            <w:r w:rsidR="004A6828" w:rsidRPr="007A6DB7">
              <w:rPr>
                <w:sz w:val="20"/>
                <w:szCs w:val="20"/>
                <w:lang w:val="fr-CA"/>
              </w:rPr>
              <w:t>2,</w:t>
            </w:r>
            <w:r w:rsidRPr="007A6DB7">
              <w:rPr>
                <w:sz w:val="20"/>
                <w:szCs w:val="20"/>
                <w:lang w:val="fr-CA"/>
              </w:rPr>
              <w:t>0*</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tcPr>
          <w:p w:rsidR="0085675A" w:rsidRPr="007A6DB7" w:rsidRDefault="00F12D89" w:rsidP="0085675A">
            <w:pPr>
              <w:jc w:val="right"/>
              <w:rPr>
                <w:sz w:val="20"/>
                <w:szCs w:val="20"/>
                <w:lang w:val="fr-CA"/>
              </w:rPr>
            </w:pPr>
            <w:r w:rsidRPr="007A6DB7">
              <w:rPr>
                <w:sz w:val="20"/>
                <w:szCs w:val="20"/>
                <w:lang w:val="fr-CA"/>
              </w:rPr>
              <w:t>s.o.</w:t>
            </w:r>
          </w:p>
        </w:tc>
      </w:tr>
      <w:tr w:rsidR="0085675A" w:rsidRPr="00ED22D1" w:rsidTr="009C7324">
        <w:tc>
          <w:tcPr>
            <w:tcW w:w="1447" w:type="dxa"/>
          </w:tcPr>
          <w:p w:rsidR="0085675A" w:rsidRPr="007A6DB7" w:rsidRDefault="0085675A" w:rsidP="0085675A">
            <w:pPr>
              <w:jc w:val="left"/>
              <w:rPr>
                <w:sz w:val="20"/>
                <w:szCs w:val="20"/>
                <w:lang w:val="fr-CA"/>
              </w:rPr>
            </w:pPr>
            <w:r w:rsidRPr="007A6DB7">
              <w:rPr>
                <w:sz w:val="20"/>
                <w:szCs w:val="20"/>
                <w:lang w:val="fr-CA"/>
              </w:rPr>
              <w:t>XPS</w:t>
            </w:r>
          </w:p>
        </w:tc>
        <w:tc>
          <w:tcPr>
            <w:tcW w:w="1059"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28</w:t>
            </w:r>
            <w:r w:rsidRPr="007A6DB7">
              <w:rPr>
                <w:sz w:val="20"/>
                <w:szCs w:val="20"/>
                <w:lang w:val="fr-CA"/>
              </w:rPr>
              <w:t>6,</w:t>
            </w:r>
            <w:r w:rsidR="0085675A" w:rsidRPr="007A6DB7">
              <w:rPr>
                <w:sz w:val="20"/>
                <w:szCs w:val="20"/>
                <w:lang w:val="fr-CA"/>
              </w:rPr>
              <w:t>0</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03</w:t>
            </w:r>
            <w:r w:rsidRPr="007A6DB7">
              <w:rPr>
                <w:sz w:val="20"/>
                <w:szCs w:val="20"/>
                <w:lang w:val="fr-CA"/>
              </w:rPr>
              <w:t>2,</w:t>
            </w:r>
            <w:r w:rsidR="0085675A" w:rsidRPr="007A6DB7">
              <w:rPr>
                <w:sz w:val="20"/>
                <w:szCs w:val="20"/>
                <w:lang w:val="fr-CA"/>
              </w:rPr>
              <w:t>0</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1 </w:t>
            </w:r>
            <w:r w:rsidR="0085675A" w:rsidRPr="007A6DB7">
              <w:rPr>
                <w:sz w:val="20"/>
                <w:szCs w:val="20"/>
                <w:lang w:val="fr-CA"/>
              </w:rPr>
              <w:t>39</w:t>
            </w:r>
            <w:r w:rsidRPr="007A6DB7">
              <w:rPr>
                <w:sz w:val="20"/>
                <w:szCs w:val="20"/>
                <w:lang w:val="fr-CA"/>
              </w:rPr>
              <w:t>7,</w:t>
            </w:r>
            <w:r w:rsidR="0085675A" w:rsidRPr="007A6DB7">
              <w:rPr>
                <w:sz w:val="20"/>
                <w:szCs w:val="20"/>
                <w:lang w:val="fr-CA"/>
              </w:rPr>
              <w:t>0</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1 </w:t>
            </w:r>
            <w:r w:rsidR="0085675A" w:rsidRPr="007A6DB7">
              <w:rPr>
                <w:sz w:val="20"/>
                <w:szCs w:val="20"/>
                <w:lang w:val="fr-CA"/>
              </w:rPr>
              <w:t>39</w:t>
            </w:r>
            <w:r w:rsidRPr="007A6DB7">
              <w:rPr>
                <w:sz w:val="20"/>
                <w:szCs w:val="20"/>
                <w:lang w:val="fr-CA"/>
              </w:rPr>
              <w:t>7,</w:t>
            </w:r>
            <w:r w:rsidR="0085675A" w:rsidRPr="007A6DB7">
              <w:rPr>
                <w:sz w:val="20"/>
                <w:szCs w:val="20"/>
                <w:lang w:val="fr-CA"/>
              </w:rPr>
              <w:t>0</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76</w:t>
            </w:r>
            <w:r w:rsidR="004A6828" w:rsidRPr="007A6DB7">
              <w:rPr>
                <w:sz w:val="20"/>
                <w:szCs w:val="20"/>
                <w:lang w:val="fr-CA"/>
              </w:rPr>
              <w:t>2,</w:t>
            </w:r>
            <w:r w:rsidRPr="007A6DB7">
              <w:rPr>
                <w:sz w:val="20"/>
                <w:szCs w:val="20"/>
                <w:lang w:val="fr-CA"/>
              </w:rPr>
              <w:t>0</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16</w:t>
            </w:r>
            <w:r w:rsidR="004A6828" w:rsidRPr="007A6DB7">
              <w:rPr>
                <w:sz w:val="20"/>
                <w:szCs w:val="20"/>
                <w:lang w:val="fr-CA"/>
              </w:rPr>
              <w:t>5,</w:t>
            </w:r>
            <w:r w:rsidRPr="007A6DB7">
              <w:rPr>
                <w:sz w:val="20"/>
                <w:szCs w:val="20"/>
                <w:lang w:val="fr-CA"/>
              </w:rPr>
              <w:t>0</w:t>
            </w:r>
          </w:p>
        </w:tc>
        <w:tc>
          <w:tcPr>
            <w:tcW w:w="1138" w:type="dxa"/>
          </w:tcPr>
          <w:p w:rsidR="0085675A" w:rsidRPr="007A6DB7" w:rsidRDefault="004A6828" w:rsidP="0085675A">
            <w:pPr>
              <w:jc w:val="right"/>
              <w:rPr>
                <w:sz w:val="20"/>
                <w:szCs w:val="20"/>
                <w:lang w:val="fr-CA"/>
              </w:rPr>
            </w:pPr>
            <w:r w:rsidRPr="007A6DB7">
              <w:rPr>
                <w:sz w:val="20"/>
                <w:szCs w:val="20"/>
                <w:lang w:val="fr-CA"/>
              </w:rPr>
              <w:t>0,</w:t>
            </w:r>
            <w:r w:rsidR="0085675A" w:rsidRPr="007A6DB7">
              <w:rPr>
                <w:sz w:val="20"/>
                <w:szCs w:val="20"/>
                <w:lang w:val="fr-CA"/>
              </w:rPr>
              <w:t>0</w:t>
            </w:r>
          </w:p>
        </w:tc>
      </w:tr>
      <w:tr w:rsidR="0085675A" w:rsidRPr="00ED22D1" w:rsidTr="009C7324">
        <w:tc>
          <w:tcPr>
            <w:tcW w:w="1447" w:type="dxa"/>
          </w:tcPr>
          <w:p w:rsidR="0085675A" w:rsidRPr="007A6DB7" w:rsidRDefault="0085675A" w:rsidP="0085675A">
            <w:pPr>
              <w:jc w:val="left"/>
              <w:rPr>
                <w:sz w:val="20"/>
                <w:szCs w:val="20"/>
                <w:lang w:val="fr-CA"/>
              </w:rPr>
            </w:pPr>
            <w:r w:rsidRPr="007A6DB7">
              <w:rPr>
                <w:sz w:val="20"/>
                <w:szCs w:val="20"/>
                <w:lang w:val="fr-CA"/>
              </w:rPr>
              <w:t>PU</w:t>
            </w:r>
          </w:p>
        </w:tc>
        <w:tc>
          <w:tcPr>
            <w:tcW w:w="1059" w:type="dxa"/>
            <w:gridSpan w:val="2"/>
          </w:tcPr>
          <w:p w:rsidR="0085675A" w:rsidRPr="007A6DB7" w:rsidRDefault="004A6828" w:rsidP="0085675A">
            <w:pPr>
              <w:jc w:val="right"/>
              <w:rPr>
                <w:sz w:val="20"/>
                <w:szCs w:val="20"/>
                <w:lang w:val="fr-CA"/>
              </w:rPr>
            </w:pPr>
            <w:r w:rsidRPr="007A6DB7">
              <w:rPr>
                <w:sz w:val="20"/>
                <w:szCs w:val="20"/>
                <w:lang w:val="fr-CA"/>
              </w:rPr>
              <w:t>4 </w:t>
            </w:r>
            <w:r w:rsidR="0085675A" w:rsidRPr="007A6DB7">
              <w:rPr>
                <w:sz w:val="20"/>
                <w:szCs w:val="20"/>
                <w:lang w:val="fr-CA"/>
              </w:rPr>
              <w:t>44</w:t>
            </w:r>
            <w:r w:rsidRPr="007A6DB7">
              <w:rPr>
                <w:sz w:val="20"/>
                <w:szCs w:val="20"/>
                <w:lang w:val="fr-CA"/>
              </w:rPr>
              <w:t>9,</w:t>
            </w:r>
            <w:r w:rsidR="0085675A" w:rsidRPr="007A6DB7">
              <w:rPr>
                <w:sz w:val="20"/>
                <w:szCs w:val="20"/>
                <w:lang w:val="fr-CA"/>
              </w:rPr>
              <w:t>6</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3 </w:t>
            </w:r>
            <w:r w:rsidR="0085675A" w:rsidRPr="007A6DB7">
              <w:rPr>
                <w:sz w:val="20"/>
                <w:szCs w:val="20"/>
                <w:lang w:val="fr-CA"/>
              </w:rPr>
              <w:t>77</w:t>
            </w:r>
            <w:r w:rsidRPr="007A6DB7">
              <w:rPr>
                <w:sz w:val="20"/>
                <w:szCs w:val="20"/>
                <w:lang w:val="fr-CA"/>
              </w:rPr>
              <w:t>4,</w:t>
            </w:r>
            <w:r w:rsidR="0085675A" w:rsidRPr="007A6DB7">
              <w:rPr>
                <w:sz w:val="20"/>
                <w:szCs w:val="20"/>
                <w:lang w:val="fr-CA"/>
              </w:rPr>
              <w:t>5</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96</w:t>
            </w:r>
            <w:r w:rsidRPr="007A6DB7">
              <w:rPr>
                <w:sz w:val="20"/>
                <w:szCs w:val="20"/>
                <w:lang w:val="fr-CA"/>
              </w:rPr>
              <w:t>5,</w:t>
            </w:r>
            <w:r w:rsidR="0085675A" w:rsidRPr="007A6DB7">
              <w:rPr>
                <w:sz w:val="20"/>
                <w:szCs w:val="20"/>
                <w:lang w:val="fr-CA"/>
              </w:rPr>
              <w:t>7</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96</w:t>
            </w:r>
            <w:r w:rsidRPr="007A6DB7">
              <w:rPr>
                <w:sz w:val="20"/>
                <w:szCs w:val="20"/>
                <w:lang w:val="fr-CA"/>
              </w:rPr>
              <w:t>5,</w:t>
            </w:r>
            <w:r w:rsidR="0085675A" w:rsidRPr="007A6DB7">
              <w:rPr>
                <w:sz w:val="20"/>
                <w:szCs w:val="20"/>
                <w:lang w:val="fr-CA"/>
              </w:rPr>
              <w:t>7</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1 </w:t>
            </w:r>
            <w:r w:rsidR="0085675A" w:rsidRPr="007A6DB7">
              <w:rPr>
                <w:sz w:val="20"/>
                <w:szCs w:val="20"/>
                <w:lang w:val="fr-CA"/>
              </w:rPr>
              <w:t>07</w:t>
            </w:r>
            <w:r w:rsidRPr="007A6DB7">
              <w:rPr>
                <w:sz w:val="20"/>
                <w:szCs w:val="20"/>
                <w:lang w:val="fr-CA"/>
              </w:rPr>
              <w:t>8,</w:t>
            </w:r>
            <w:r w:rsidR="0085675A" w:rsidRPr="007A6DB7">
              <w:rPr>
                <w:sz w:val="20"/>
                <w:szCs w:val="20"/>
                <w:lang w:val="fr-CA"/>
              </w:rPr>
              <w:t>4</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33</w:t>
            </w:r>
            <w:r w:rsidR="004A6828" w:rsidRPr="007A6DB7">
              <w:rPr>
                <w:sz w:val="20"/>
                <w:szCs w:val="20"/>
                <w:lang w:val="fr-CA"/>
              </w:rPr>
              <w:t>0,</w:t>
            </w:r>
            <w:r w:rsidRPr="007A6DB7">
              <w:rPr>
                <w:sz w:val="20"/>
                <w:szCs w:val="20"/>
                <w:lang w:val="fr-CA"/>
              </w:rPr>
              <w:t>0</w:t>
            </w:r>
          </w:p>
        </w:tc>
        <w:tc>
          <w:tcPr>
            <w:tcW w:w="1138" w:type="dxa"/>
          </w:tcPr>
          <w:p w:rsidR="0085675A" w:rsidRPr="007A6DB7" w:rsidRDefault="004A6828" w:rsidP="0085675A">
            <w:pPr>
              <w:jc w:val="right"/>
              <w:rPr>
                <w:sz w:val="20"/>
                <w:szCs w:val="20"/>
                <w:lang w:val="fr-CA"/>
              </w:rPr>
            </w:pPr>
            <w:r w:rsidRPr="007A6DB7">
              <w:rPr>
                <w:sz w:val="20"/>
                <w:szCs w:val="20"/>
                <w:lang w:val="fr-CA"/>
              </w:rPr>
              <w:t>0,</w:t>
            </w:r>
            <w:r w:rsidR="0085675A" w:rsidRPr="007A6DB7">
              <w:rPr>
                <w:sz w:val="20"/>
                <w:szCs w:val="20"/>
                <w:lang w:val="fr-CA"/>
              </w:rPr>
              <w:t>0</w:t>
            </w:r>
          </w:p>
        </w:tc>
      </w:tr>
      <w:tr w:rsidR="0085675A" w:rsidRPr="00ED22D1" w:rsidTr="009C7324">
        <w:tc>
          <w:tcPr>
            <w:tcW w:w="1447" w:type="dxa"/>
          </w:tcPr>
          <w:p w:rsidR="0085675A" w:rsidRPr="007A6DB7" w:rsidRDefault="0085675A" w:rsidP="0085675A">
            <w:pPr>
              <w:jc w:val="left"/>
              <w:rPr>
                <w:sz w:val="20"/>
                <w:szCs w:val="20"/>
                <w:lang w:val="fr-CA"/>
              </w:rPr>
            </w:pPr>
            <w:r w:rsidRPr="007A6DB7">
              <w:rPr>
                <w:sz w:val="20"/>
                <w:szCs w:val="20"/>
                <w:lang w:val="fr-CA"/>
              </w:rPr>
              <w:t>ICR</w:t>
            </w:r>
          </w:p>
        </w:tc>
        <w:tc>
          <w:tcPr>
            <w:tcW w:w="1059"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16</w:t>
            </w:r>
            <w:r w:rsidRPr="007A6DB7">
              <w:rPr>
                <w:sz w:val="20"/>
                <w:szCs w:val="20"/>
                <w:lang w:val="fr-CA"/>
              </w:rPr>
              <w:t>2,</w:t>
            </w:r>
            <w:r w:rsidR="0085675A" w:rsidRPr="007A6DB7">
              <w:rPr>
                <w:sz w:val="20"/>
                <w:szCs w:val="20"/>
                <w:lang w:val="fr-CA"/>
              </w:rPr>
              <w:t>5</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04</w:t>
            </w:r>
            <w:r w:rsidRPr="007A6DB7">
              <w:rPr>
                <w:sz w:val="20"/>
                <w:szCs w:val="20"/>
                <w:lang w:val="fr-CA"/>
              </w:rPr>
              <w:t>2,</w:t>
            </w:r>
            <w:r w:rsidR="0085675A" w:rsidRPr="007A6DB7">
              <w:rPr>
                <w:sz w:val="20"/>
                <w:szCs w:val="20"/>
                <w:lang w:val="fr-CA"/>
              </w:rPr>
              <w:t>4</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1 </w:t>
            </w:r>
            <w:r w:rsidR="0085675A" w:rsidRPr="007A6DB7">
              <w:rPr>
                <w:sz w:val="20"/>
                <w:szCs w:val="20"/>
                <w:lang w:val="fr-CA"/>
              </w:rPr>
              <w:t>60</w:t>
            </w:r>
            <w:r w:rsidRPr="007A6DB7">
              <w:rPr>
                <w:sz w:val="20"/>
                <w:szCs w:val="20"/>
                <w:lang w:val="fr-CA"/>
              </w:rPr>
              <w:t>9,</w:t>
            </w:r>
            <w:r w:rsidR="0085675A" w:rsidRPr="007A6DB7">
              <w:rPr>
                <w:sz w:val="20"/>
                <w:szCs w:val="20"/>
                <w:lang w:val="fr-CA"/>
              </w:rPr>
              <w:t>9*</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tcPr>
          <w:p w:rsidR="0085675A" w:rsidRPr="007A6DB7" w:rsidRDefault="00F12D89" w:rsidP="0085675A">
            <w:pPr>
              <w:jc w:val="right"/>
              <w:rPr>
                <w:sz w:val="20"/>
                <w:szCs w:val="20"/>
                <w:lang w:val="fr-CA"/>
              </w:rPr>
            </w:pPr>
            <w:r w:rsidRPr="007A6DB7">
              <w:rPr>
                <w:sz w:val="20"/>
                <w:szCs w:val="20"/>
                <w:lang w:val="fr-CA"/>
              </w:rPr>
              <w:t>s.o.</w:t>
            </w:r>
          </w:p>
        </w:tc>
      </w:tr>
      <w:tr w:rsidR="0085675A" w:rsidRPr="00ED22D1" w:rsidTr="009C7324">
        <w:tc>
          <w:tcPr>
            <w:tcW w:w="1447" w:type="dxa"/>
          </w:tcPr>
          <w:p w:rsidR="0085675A" w:rsidRPr="007A6DB7" w:rsidRDefault="0085675A" w:rsidP="0085675A">
            <w:pPr>
              <w:jc w:val="left"/>
              <w:rPr>
                <w:sz w:val="20"/>
                <w:szCs w:val="20"/>
                <w:lang w:val="fr-CA"/>
              </w:rPr>
            </w:pPr>
            <w:r w:rsidRPr="007A6DB7">
              <w:rPr>
                <w:sz w:val="20"/>
                <w:szCs w:val="20"/>
                <w:lang w:val="fr-CA"/>
              </w:rPr>
              <w:t>RAC</w:t>
            </w:r>
          </w:p>
        </w:tc>
        <w:tc>
          <w:tcPr>
            <w:tcW w:w="1059" w:type="dxa"/>
            <w:gridSpan w:val="2"/>
          </w:tcPr>
          <w:p w:rsidR="0085675A" w:rsidRPr="007A6DB7" w:rsidRDefault="004A6828" w:rsidP="0085675A">
            <w:pPr>
              <w:jc w:val="right"/>
              <w:rPr>
                <w:sz w:val="20"/>
                <w:szCs w:val="20"/>
                <w:lang w:val="fr-CA"/>
              </w:rPr>
            </w:pPr>
            <w:r w:rsidRPr="007A6DB7">
              <w:rPr>
                <w:sz w:val="20"/>
                <w:szCs w:val="20"/>
                <w:lang w:val="fr-CA"/>
              </w:rPr>
              <w:t>3 </w:t>
            </w:r>
            <w:r w:rsidR="0085675A" w:rsidRPr="007A6DB7">
              <w:rPr>
                <w:sz w:val="20"/>
                <w:szCs w:val="20"/>
                <w:lang w:val="fr-CA"/>
              </w:rPr>
              <w:t>69</w:t>
            </w:r>
            <w:r w:rsidRPr="007A6DB7">
              <w:rPr>
                <w:sz w:val="20"/>
                <w:szCs w:val="20"/>
                <w:lang w:val="fr-CA"/>
              </w:rPr>
              <w:t>7,</w:t>
            </w:r>
            <w:r w:rsidR="0085675A" w:rsidRPr="007A6DB7">
              <w:rPr>
                <w:sz w:val="20"/>
                <w:szCs w:val="20"/>
                <w:lang w:val="fr-CA"/>
              </w:rPr>
              <w:t>7</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87</w:t>
            </w:r>
            <w:r w:rsidRPr="007A6DB7">
              <w:rPr>
                <w:sz w:val="20"/>
                <w:szCs w:val="20"/>
                <w:lang w:val="fr-CA"/>
              </w:rPr>
              <w:t>6,</w:t>
            </w:r>
            <w:r w:rsidR="0085675A" w:rsidRPr="007A6DB7">
              <w:rPr>
                <w:sz w:val="20"/>
                <w:szCs w:val="20"/>
                <w:lang w:val="fr-CA"/>
              </w:rPr>
              <w:t>0</w:t>
            </w:r>
          </w:p>
        </w:tc>
        <w:tc>
          <w:tcPr>
            <w:tcW w:w="1138" w:type="dxa"/>
            <w:gridSpan w:val="2"/>
          </w:tcPr>
          <w:p w:rsidR="0085675A" w:rsidRPr="007A6DB7" w:rsidRDefault="004A6828" w:rsidP="0085675A">
            <w:pPr>
              <w:jc w:val="right"/>
              <w:rPr>
                <w:sz w:val="20"/>
                <w:szCs w:val="20"/>
                <w:lang w:val="fr-CA"/>
              </w:rPr>
            </w:pPr>
            <w:r w:rsidRPr="007A6DB7">
              <w:rPr>
                <w:sz w:val="20"/>
                <w:szCs w:val="20"/>
                <w:lang w:val="fr-CA"/>
              </w:rPr>
              <w:t>2 </w:t>
            </w:r>
            <w:r w:rsidR="0085675A" w:rsidRPr="007A6DB7">
              <w:rPr>
                <w:sz w:val="20"/>
                <w:szCs w:val="20"/>
                <w:lang w:val="fr-CA"/>
              </w:rPr>
              <w:t>25</w:t>
            </w:r>
            <w:r w:rsidRPr="007A6DB7">
              <w:rPr>
                <w:sz w:val="20"/>
                <w:szCs w:val="20"/>
                <w:lang w:val="fr-CA"/>
              </w:rPr>
              <w:t>9,</w:t>
            </w:r>
            <w:r w:rsidR="0085675A" w:rsidRPr="007A6DB7">
              <w:rPr>
                <w:sz w:val="20"/>
                <w:szCs w:val="20"/>
                <w:lang w:val="fr-CA"/>
              </w:rPr>
              <w:t>7*</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tcPr>
          <w:p w:rsidR="0085675A" w:rsidRPr="007A6DB7" w:rsidRDefault="00F12D89" w:rsidP="0085675A">
            <w:pPr>
              <w:jc w:val="right"/>
              <w:rPr>
                <w:sz w:val="20"/>
                <w:szCs w:val="20"/>
                <w:lang w:val="fr-CA"/>
              </w:rPr>
            </w:pPr>
            <w:r w:rsidRPr="007A6DB7">
              <w:rPr>
                <w:sz w:val="20"/>
                <w:szCs w:val="20"/>
                <w:lang w:val="fr-CA"/>
              </w:rPr>
              <w:t>s.o.</w:t>
            </w:r>
          </w:p>
        </w:tc>
      </w:tr>
      <w:tr w:rsidR="0085675A" w:rsidRPr="00ED22D1" w:rsidTr="009C7324">
        <w:tc>
          <w:tcPr>
            <w:tcW w:w="1447" w:type="dxa"/>
          </w:tcPr>
          <w:p w:rsidR="0085675A" w:rsidRDefault="0052712E" w:rsidP="0085675A">
            <w:pPr>
              <w:jc w:val="left"/>
              <w:rPr>
                <w:sz w:val="20"/>
                <w:szCs w:val="20"/>
                <w:lang w:val="fr-CA"/>
              </w:rPr>
            </w:pPr>
            <w:r w:rsidRPr="007A6DB7">
              <w:rPr>
                <w:sz w:val="20"/>
                <w:szCs w:val="20"/>
                <w:lang w:val="fr-CA"/>
              </w:rPr>
              <w:t>Solvant</w:t>
            </w:r>
          </w:p>
          <w:p w:rsidR="00C80221" w:rsidRPr="007A6DB7" w:rsidRDefault="00C80221" w:rsidP="0085675A">
            <w:pPr>
              <w:jc w:val="left"/>
              <w:rPr>
                <w:sz w:val="20"/>
                <w:szCs w:val="20"/>
                <w:lang w:val="fr-CA"/>
              </w:rPr>
            </w:pPr>
          </w:p>
        </w:tc>
        <w:tc>
          <w:tcPr>
            <w:tcW w:w="1059" w:type="dxa"/>
            <w:gridSpan w:val="2"/>
          </w:tcPr>
          <w:p w:rsidR="0085675A" w:rsidRPr="007A6DB7" w:rsidRDefault="0085675A" w:rsidP="0085675A">
            <w:pPr>
              <w:jc w:val="right"/>
              <w:rPr>
                <w:sz w:val="20"/>
                <w:szCs w:val="20"/>
                <w:lang w:val="fr-CA"/>
              </w:rPr>
            </w:pPr>
            <w:r w:rsidRPr="007A6DB7">
              <w:rPr>
                <w:sz w:val="20"/>
                <w:szCs w:val="20"/>
                <w:lang w:val="fr-CA"/>
              </w:rPr>
              <w:t>45</w:t>
            </w:r>
            <w:r w:rsidR="004A6828" w:rsidRPr="007A6DB7">
              <w:rPr>
                <w:sz w:val="20"/>
                <w:szCs w:val="20"/>
                <w:lang w:val="fr-CA"/>
              </w:rPr>
              <w:t>5,</w:t>
            </w:r>
            <w:r w:rsidRPr="007A6DB7">
              <w:rPr>
                <w:sz w:val="20"/>
                <w:szCs w:val="20"/>
                <w:lang w:val="fr-CA"/>
              </w:rPr>
              <w:t>2</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39</w:t>
            </w:r>
            <w:r w:rsidR="004A6828" w:rsidRPr="007A6DB7">
              <w:rPr>
                <w:sz w:val="20"/>
                <w:szCs w:val="20"/>
                <w:lang w:val="fr-CA"/>
              </w:rPr>
              <w:t>5,</w:t>
            </w:r>
            <w:r w:rsidRPr="007A6DB7">
              <w:rPr>
                <w:sz w:val="20"/>
                <w:szCs w:val="20"/>
                <w:lang w:val="fr-CA"/>
              </w:rPr>
              <w:t>4</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32</w:t>
            </w:r>
            <w:r w:rsidR="004A6828" w:rsidRPr="007A6DB7">
              <w:rPr>
                <w:sz w:val="20"/>
                <w:szCs w:val="20"/>
                <w:lang w:val="fr-CA"/>
              </w:rPr>
              <w:t>1,</w:t>
            </w:r>
            <w:r w:rsidRPr="007A6DB7">
              <w:rPr>
                <w:sz w:val="20"/>
                <w:szCs w:val="20"/>
                <w:lang w:val="fr-CA"/>
              </w:rPr>
              <w:t>2</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32</w:t>
            </w:r>
            <w:r w:rsidR="004A6828" w:rsidRPr="007A6DB7">
              <w:rPr>
                <w:sz w:val="20"/>
                <w:szCs w:val="20"/>
                <w:lang w:val="fr-CA"/>
              </w:rPr>
              <w:t>1,</w:t>
            </w:r>
            <w:r w:rsidRPr="007A6DB7">
              <w:rPr>
                <w:sz w:val="20"/>
                <w:szCs w:val="20"/>
                <w:lang w:val="fr-CA"/>
              </w:rPr>
              <w:t>2</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14</w:t>
            </w:r>
            <w:r w:rsidR="004A6828" w:rsidRPr="007A6DB7">
              <w:rPr>
                <w:sz w:val="20"/>
                <w:szCs w:val="20"/>
                <w:lang w:val="fr-CA"/>
              </w:rPr>
              <w:t>8,</w:t>
            </w:r>
            <w:r w:rsidRPr="007A6DB7">
              <w:rPr>
                <w:sz w:val="20"/>
                <w:szCs w:val="20"/>
                <w:lang w:val="fr-CA"/>
              </w:rPr>
              <w:t>3</w:t>
            </w:r>
          </w:p>
        </w:tc>
        <w:tc>
          <w:tcPr>
            <w:tcW w:w="1138" w:type="dxa"/>
            <w:gridSpan w:val="2"/>
          </w:tcPr>
          <w:p w:rsidR="0085675A" w:rsidRPr="007A6DB7" w:rsidRDefault="0085675A" w:rsidP="0085675A">
            <w:pPr>
              <w:jc w:val="right"/>
              <w:rPr>
                <w:sz w:val="20"/>
                <w:szCs w:val="20"/>
                <w:lang w:val="fr-CA"/>
              </w:rPr>
            </w:pPr>
            <w:r w:rsidRPr="007A6DB7">
              <w:rPr>
                <w:sz w:val="20"/>
                <w:szCs w:val="20"/>
                <w:lang w:val="fr-CA"/>
              </w:rPr>
              <w:t>5</w:t>
            </w:r>
            <w:r w:rsidR="004A6828" w:rsidRPr="007A6DB7">
              <w:rPr>
                <w:sz w:val="20"/>
                <w:szCs w:val="20"/>
                <w:lang w:val="fr-CA"/>
              </w:rPr>
              <w:t>5,</w:t>
            </w:r>
            <w:r w:rsidRPr="007A6DB7">
              <w:rPr>
                <w:sz w:val="20"/>
                <w:szCs w:val="20"/>
                <w:lang w:val="fr-CA"/>
              </w:rPr>
              <w:t>0</w:t>
            </w:r>
          </w:p>
        </w:tc>
        <w:tc>
          <w:tcPr>
            <w:tcW w:w="1138" w:type="dxa"/>
          </w:tcPr>
          <w:p w:rsidR="0085675A" w:rsidRPr="007A6DB7" w:rsidRDefault="004A6828" w:rsidP="0085675A">
            <w:pPr>
              <w:jc w:val="right"/>
              <w:rPr>
                <w:sz w:val="20"/>
                <w:szCs w:val="20"/>
                <w:lang w:val="fr-CA"/>
              </w:rPr>
            </w:pPr>
            <w:r w:rsidRPr="007A6DB7">
              <w:rPr>
                <w:sz w:val="20"/>
                <w:szCs w:val="20"/>
                <w:lang w:val="fr-CA"/>
              </w:rPr>
              <w:t>0,</w:t>
            </w:r>
            <w:r w:rsidR="0085675A" w:rsidRPr="007A6DB7">
              <w:rPr>
                <w:sz w:val="20"/>
                <w:szCs w:val="20"/>
                <w:lang w:val="fr-CA"/>
              </w:rPr>
              <w:t>0</w:t>
            </w:r>
          </w:p>
        </w:tc>
      </w:tr>
      <w:tr w:rsidR="0085675A" w:rsidRPr="00ED22D1" w:rsidTr="009C7324">
        <w:tc>
          <w:tcPr>
            <w:tcW w:w="1447" w:type="dxa"/>
          </w:tcPr>
          <w:p w:rsidR="0085675A" w:rsidRPr="007A6DB7" w:rsidRDefault="00A250FD" w:rsidP="00A250FD">
            <w:pPr>
              <w:jc w:val="left"/>
              <w:rPr>
                <w:sz w:val="20"/>
                <w:szCs w:val="20"/>
                <w:lang w:val="fr-CA"/>
              </w:rPr>
            </w:pPr>
            <w:r w:rsidRPr="007A6DB7">
              <w:rPr>
                <w:sz w:val="20"/>
                <w:szCs w:val="20"/>
                <w:lang w:val="fr-CA"/>
              </w:rPr>
              <w:lastRenderedPageBreak/>
              <w:t>E</w:t>
            </w:r>
            <w:r w:rsidR="00AD0203" w:rsidRPr="007A6DB7">
              <w:rPr>
                <w:sz w:val="20"/>
                <w:szCs w:val="20"/>
                <w:lang w:val="fr-CA"/>
              </w:rPr>
              <w:t>ntretien</w:t>
            </w:r>
            <w:r w:rsidRPr="007A6DB7">
              <w:rPr>
                <w:sz w:val="20"/>
                <w:szCs w:val="20"/>
                <w:lang w:val="fr-CA"/>
              </w:rPr>
              <w:t xml:space="preserve"> et élément habilitant</w:t>
            </w:r>
          </w:p>
        </w:tc>
        <w:tc>
          <w:tcPr>
            <w:tcW w:w="1059"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gridSpan w:val="2"/>
          </w:tcPr>
          <w:p w:rsidR="0085675A" w:rsidRPr="007A6DB7" w:rsidRDefault="00F12D89" w:rsidP="0085675A">
            <w:pPr>
              <w:jc w:val="right"/>
              <w:rPr>
                <w:sz w:val="20"/>
                <w:szCs w:val="20"/>
                <w:lang w:val="fr-CA"/>
              </w:rPr>
            </w:pPr>
            <w:r w:rsidRPr="007A6DB7">
              <w:rPr>
                <w:sz w:val="20"/>
                <w:szCs w:val="20"/>
                <w:lang w:val="fr-CA"/>
              </w:rPr>
              <w:t>s.o.</w:t>
            </w:r>
          </w:p>
        </w:tc>
        <w:tc>
          <w:tcPr>
            <w:tcW w:w="1138" w:type="dxa"/>
          </w:tcPr>
          <w:p w:rsidR="0085675A" w:rsidRPr="007A6DB7" w:rsidRDefault="00F12D89" w:rsidP="0085675A">
            <w:pPr>
              <w:jc w:val="right"/>
              <w:rPr>
                <w:sz w:val="20"/>
                <w:szCs w:val="20"/>
                <w:lang w:val="fr-CA"/>
              </w:rPr>
            </w:pPr>
            <w:r w:rsidRPr="007A6DB7">
              <w:rPr>
                <w:sz w:val="20"/>
                <w:szCs w:val="20"/>
                <w:lang w:val="fr-CA"/>
              </w:rPr>
              <w:t>s.o.</w:t>
            </w:r>
          </w:p>
        </w:tc>
      </w:tr>
      <w:tr w:rsidR="0085675A" w:rsidRPr="00ED22D1" w:rsidTr="009C7324">
        <w:tc>
          <w:tcPr>
            <w:tcW w:w="9334" w:type="dxa"/>
            <w:gridSpan w:val="14"/>
          </w:tcPr>
          <w:p w:rsidR="0085675A" w:rsidRPr="00ED22D1" w:rsidRDefault="004A6828" w:rsidP="00A250FD">
            <w:pPr>
              <w:keepNext/>
              <w:keepLines/>
              <w:jc w:val="center"/>
              <w:rPr>
                <w:b/>
                <w:sz w:val="20"/>
                <w:szCs w:val="20"/>
                <w:lang w:val="fr-CA"/>
              </w:rPr>
            </w:pPr>
            <w:r w:rsidRPr="00ED22D1">
              <w:rPr>
                <w:b/>
                <w:sz w:val="20"/>
                <w:szCs w:val="20"/>
                <w:lang w:val="fr-CA"/>
              </w:rPr>
              <w:t>Élimination</w:t>
            </w:r>
            <w:r w:rsidR="00DE118B" w:rsidRPr="00ED22D1">
              <w:rPr>
                <w:b/>
                <w:sz w:val="20"/>
                <w:szCs w:val="20"/>
                <w:lang w:val="fr-CA"/>
              </w:rPr>
              <w:t xml:space="preserve"> par </w:t>
            </w:r>
            <w:r w:rsidR="0085675A" w:rsidRPr="00ED22D1">
              <w:rPr>
                <w:b/>
                <w:sz w:val="20"/>
                <w:szCs w:val="20"/>
                <w:lang w:val="fr-CA"/>
              </w:rPr>
              <w:t>sect</w:t>
            </w:r>
            <w:r w:rsidR="00A250FD" w:rsidRPr="00ED22D1">
              <w:rPr>
                <w:b/>
                <w:sz w:val="20"/>
                <w:szCs w:val="20"/>
                <w:lang w:val="fr-CA"/>
              </w:rPr>
              <w:t>eu</w:t>
            </w:r>
            <w:r w:rsidR="0085675A" w:rsidRPr="00ED22D1">
              <w:rPr>
                <w:b/>
                <w:sz w:val="20"/>
                <w:szCs w:val="20"/>
                <w:lang w:val="fr-CA"/>
              </w:rPr>
              <w:t>r</w:t>
            </w:r>
          </w:p>
        </w:tc>
      </w:tr>
      <w:tr w:rsidR="0085675A" w:rsidRPr="00ED22D1" w:rsidTr="009C7324">
        <w:tc>
          <w:tcPr>
            <w:tcW w:w="1530" w:type="dxa"/>
            <w:gridSpan w:val="2"/>
          </w:tcPr>
          <w:p w:rsidR="0085675A" w:rsidRPr="00ED22D1" w:rsidRDefault="0085675A" w:rsidP="0085675A">
            <w:pPr>
              <w:keepNext/>
              <w:keepLines/>
              <w:rPr>
                <w:sz w:val="20"/>
                <w:szCs w:val="20"/>
                <w:lang w:val="fr-CA"/>
              </w:rPr>
            </w:pPr>
          </w:p>
        </w:tc>
        <w:tc>
          <w:tcPr>
            <w:tcW w:w="1301" w:type="dxa"/>
            <w:gridSpan w:val="2"/>
          </w:tcPr>
          <w:p w:rsidR="0085675A" w:rsidRPr="00ED22D1" w:rsidRDefault="0085675A" w:rsidP="0085675A">
            <w:pPr>
              <w:keepNext/>
              <w:keepLines/>
              <w:jc w:val="center"/>
              <w:rPr>
                <w:b/>
                <w:sz w:val="20"/>
                <w:szCs w:val="20"/>
                <w:lang w:val="fr-CA"/>
              </w:rPr>
            </w:pPr>
            <w:r w:rsidRPr="00ED22D1">
              <w:rPr>
                <w:b/>
                <w:sz w:val="20"/>
                <w:szCs w:val="20"/>
                <w:lang w:val="fr-CA"/>
              </w:rPr>
              <w:t>2018</w:t>
            </w:r>
          </w:p>
        </w:tc>
        <w:tc>
          <w:tcPr>
            <w:tcW w:w="1300" w:type="dxa"/>
            <w:gridSpan w:val="2"/>
          </w:tcPr>
          <w:p w:rsidR="0085675A" w:rsidRPr="00ED22D1" w:rsidRDefault="0085675A" w:rsidP="0085675A">
            <w:pPr>
              <w:keepNext/>
              <w:keepLines/>
              <w:jc w:val="center"/>
              <w:rPr>
                <w:b/>
                <w:sz w:val="20"/>
                <w:szCs w:val="20"/>
                <w:lang w:val="fr-CA"/>
              </w:rPr>
            </w:pPr>
            <w:r w:rsidRPr="00ED22D1">
              <w:rPr>
                <w:b/>
                <w:sz w:val="20"/>
                <w:szCs w:val="20"/>
                <w:lang w:val="fr-CA"/>
              </w:rPr>
              <w:t>2020</w:t>
            </w:r>
          </w:p>
        </w:tc>
        <w:tc>
          <w:tcPr>
            <w:tcW w:w="1301" w:type="dxa"/>
            <w:gridSpan w:val="2"/>
          </w:tcPr>
          <w:p w:rsidR="0085675A" w:rsidRPr="00ED22D1" w:rsidRDefault="0085675A" w:rsidP="0085675A">
            <w:pPr>
              <w:keepNext/>
              <w:keepLines/>
              <w:jc w:val="center"/>
              <w:rPr>
                <w:b/>
                <w:sz w:val="20"/>
                <w:szCs w:val="20"/>
                <w:lang w:val="fr-CA"/>
              </w:rPr>
            </w:pPr>
            <w:r w:rsidRPr="00ED22D1">
              <w:rPr>
                <w:b/>
                <w:sz w:val="20"/>
                <w:szCs w:val="20"/>
                <w:lang w:val="fr-CA"/>
              </w:rPr>
              <w:t>2023</w:t>
            </w:r>
          </w:p>
        </w:tc>
        <w:tc>
          <w:tcPr>
            <w:tcW w:w="1300" w:type="dxa"/>
            <w:gridSpan w:val="2"/>
          </w:tcPr>
          <w:p w:rsidR="0085675A" w:rsidRPr="00ED22D1" w:rsidRDefault="0085675A" w:rsidP="0085675A">
            <w:pPr>
              <w:keepNext/>
              <w:keepLines/>
              <w:jc w:val="center"/>
              <w:rPr>
                <w:b/>
                <w:sz w:val="20"/>
                <w:szCs w:val="20"/>
                <w:lang w:val="fr-CA"/>
              </w:rPr>
            </w:pPr>
            <w:r w:rsidRPr="00ED22D1">
              <w:rPr>
                <w:b/>
                <w:sz w:val="20"/>
                <w:szCs w:val="20"/>
                <w:lang w:val="fr-CA"/>
              </w:rPr>
              <w:t>2025</w:t>
            </w:r>
          </w:p>
        </w:tc>
        <w:tc>
          <w:tcPr>
            <w:tcW w:w="1301" w:type="dxa"/>
            <w:gridSpan w:val="2"/>
          </w:tcPr>
          <w:p w:rsidR="0085675A" w:rsidRPr="00ED22D1" w:rsidRDefault="0085675A" w:rsidP="0085675A">
            <w:pPr>
              <w:keepNext/>
              <w:keepLines/>
              <w:jc w:val="center"/>
              <w:rPr>
                <w:b/>
                <w:sz w:val="20"/>
                <w:szCs w:val="20"/>
                <w:lang w:val="fr-CA"/>
              </w:rPr>
            </w:pPr>
            <w:r w:rsidRPr="00ED22D1">
              <w:rPr>
                <w:b/>
                <w:sz w:val="20"/>
                <w:szCs w:val="20"/>
                <w:lang w:val="fr-CA"/>
              </w:rPr>
              <w:t>2026</w:t>
            </w:r>
          </w:p>
        </w:tc>
        <w:tc>
          <w:tcPr>
            <w:tcW w:w="1301" w:type="dxa"/>
            <w:gridSpan w:val="2"/>
          </w:tcPr>
          <w:p w:rsidR="0085675A" w:rsidRPr="00ED22D1" w:rsidRDefault="0085675A" w:rsidP="0085675A">
            <w:pPr>
              <w:keepNext/>
              <w:keepLines/>
              <w:jc w:val="center"/>
              <w:rPr>
                <w:b/>
                <w:sz w:val="20"/>
                <w:szCs w:val="20"/>
                <w:lang w:val="fr-CA"/>
              </w:rPr>
            </w:pPr>
            <w:r w:rsidRPr="00ED22D1">
              <w:rPr>
                <w:b/>
                <w:sz w:val="20"/>
                <w:szCs w:val="20"/>
                <w:lang w:val="fr-CA"/>
              </w:rPr>
              <w:t>Total</w:t>
            </w:r>
          </w:p>
        </w:tc>
      </w:tr>
      <w:tr w:rsidR="0085675A" w:rsidRPr="00ED22D1" w:rsidTr="009C7324">
        <w:tc>
          <w:tcPr>
            <w:tcW w:w="1530" w:type="dxa"/>
            <w:gridSpan w:val="2"/>
          </w:tcPr>
          <w:p w:rsidR="0085675A" w:rsidRPr="00ED22D1" w:rsidRDefault="0085675A" w:rsidP="0085675A">
            <w:pPr>
              <w:keepNext/>
              <w:keepLines/>
              <w:rPr>
                <w:b/>
                <w:sz w:val="20"/>
                <w:szCs w:val="20"/>
                <w:lang w:val="fr-CA"/>
              </w:rPr>
            </w:pPr>
            <w:r w:rsidRPr="00ED22D1">
              <w:rPr>
                <w:sz w:val="20"/>
                <w:szCs w:val="20"/>
                <w:lang w:val="fr-CA"/>
              </w:rPr>
              <w:t>XPS</w:t>
            </w:r>
          </w:p>
        </w:tc>
        <w:tc>
          <w:tcPr>
            <w:tcW w:w="1301" w:type="dxa"/>
            <w:gridSpan w:val="2"/>
          </w:tcPr>
          <w:p w:rsidR="0085675A" w:rsidRPr="00ED22D1" w:rsidRDefault="0085675A" w:rsidP="0085675A">
            <w:pPr>
              <w:keepNext/>
              <w:keepLines/>
              <w:jc w:val="right"/>
              <w:rPr>
                <w:sz w:val="20"/>
                <w:szCs w:val="20"/>
                <w:lang w:val="fr-CA"/>
              </w:rPr>
            </w:pPr>
            <w:r w:rsidRPr="00ED22D1">
              <w:rPr>
                <w:sz w:val="20"/>
                <w:szCs w:val="20"/>
                <w:lang w:val="fr-CA"/>
              </w:rPr>
              <w:t>25</w:t>
            </w:r>
            <w:r w:rsidR="004A6828" w:rsidRPr="00ED22D1">
              <w:rPr>
                <w:sz w:val="20"/>
                <w:szCs w:val="20"/>
                <w:lang w:val="fr-CA"/>
              </w:rPr>
              <w:t>4,</w:t>
            </w:r>
            <w:r w:rsidRPr="00ED22D1">
              <w:rPr>
                <w:sz w:val="20"/>
                <w:szCs w:val="20"/>
                <w:lang w:val="fr-CA"/>
              </w:rPr>
              <w:t>0</w:t>
            </w:r>
          </w:p>
        </w:tc>
        <w:tc>
          <w:tcPr>
            <w:tcW w:w="1300" w:type="dxa"/>
            <w:gridSpan w:val="2"/>
          </w:tcPr>
          <w:p w:rsidR="0085675A" w:rsidRPr="00ED22D1" w:rsidRDefault="0085675A" w:rsidP="0085675A">
            <w:pPr>
              <w:keepNext/>
              <w:keepLines/>
              <w:jc w:val="right"/>
              <w:rPr>
                <w:sz w:val="20"/>
                <w:szCs w:val="20"/>
                <w:lang w:val="fr-CA"/>
              </w:rPr>
            </w:pPr>
            <w:r w:rsidRPr="00ED22D1">
              <w:rPr>
                <w:sz w:val="20"/>
                <w:szCs w:val="20"/>
                <w:lang w:val="fr-CA"/>
              </w:rPr>
              <w:t>63</w:t>
            </w:r>
            <w:r w:rsidR="004A6828" w:rsidRPr="00ED22D1">
              <w:rPr>
                <w:sz w:val="20"/>
                <w:szCs w:val="20"/>
                <w:lang w:val="fr-CA"/>
              </w:rPr>
              <w:t>5,</w:t>
            </w:r>
            <w:r w:rsidRPr="00ED22D1">
              <w:rPr>
                <w:sz w:val="20"/>
                <w:szCs w:val="20"/>
                <w:lang w:val="fr-CA"/>
              </w:rPr>
              <w:t>0</w:t>
            </w:r>
          </w:p>
        </w:tc>
        <w:tc>
          <w:tcPr>
            <w:tcW w:w="1301" w:type="dxa"/>
            <w:gridSpan w:val="2"/>
          </w:tcPr>
          <w:p w:rsidR="0085675A" w:rsidRPr="00ED22D1" w:rsidRDefault="0085675A" w:rsidP="0085675A">
            <w:pPr>
              <w:keepNext/>
              <w:keepLines/>
              <w:jc w:val="right"/>
              <w:rPr>
                <w:sz w:val="20"/>
                <w:szCs w:val="20"/>
                <w:lang w:val="fr-CA"/>
              </w:rPr>
            </w:pPr>
            <w:r w:rsidRPr="00ED22D1">
              <w:rPr>
                <w:sz w:val="20"/>
                <w:szCs w:val="20"/>
                <w:lang w:val="fr-CA"/>
              </w:rPr>
              <w:t>63</w:t>
            </w:r>
            <w:r w:rsidR="004A6828" w:rsidRPr="00ED22D1">
              <w:rPr>
                <w:sz w:val="20"/>
                <w:szCs w:val="20"/>
                <w:lang w:val="fr-CA"/>
              </w:rPr>
              <w:t>5,</w:t>
            </w:r>
            <w:r w:rsidRPr="00ED22D1">
              <w:rPr>
                <w:sz w:val="20"/>
                <w:szCs w:val="20"/>
                <w:lang w:val="fr-CA"/>
              </w:rPr>
              <w:t>0</w:t>
            </w:r>
          </w:p>
        </w:tc>
        <w:tc>
          <w:tcPr>
            <w:tcW w:w="1300" w:type="dxa"/>
            <w:gridSpan w:val="2"/>
          </w:tcPr>
          <w:p w:rsidR="0085675A" w:rsidRPr="00ED22D1" w:rsidRDefault="0085675A" w:rsidP="0085675A">
            <w:pPr>
              <w:keepNext/>
              <w:keepLines/>
              <w:jc w:val="right"/>
              <w:rPr>
                <w:sz w:val="20"/>
                <w:szCs w:val="20"/>
                <w:lang w:val="fr-CA"/>
              </w:rPr>
            </w:pPr>
            <w:r w:rsidRPr="00ED22D1">
              <w:rPr>
                <w:sz w:val="20"/>
                <w:szCs w:val="20"/>
                <w:lang w:val="fr-CA"/>
              </w:rPr>
              <w:t>59</w:t>
            </w:r>
            <w:r w:rsidR="004A6828" w:rsidRPr="00ED22D1">
              <w:rPr>
                <w:sz w:val="20"/>
                <w:szCs w:val="20"/>
                <w:lang w:val="fr-CA"/>
              </w:rPr>
              <w:t>7,</w:t>
            </w:r>
            <w:r w:rsidRPr="00ED22D1">
              <w:rPr>
                <w:sz w:val="20"/>
                <w:szCs w:val="20"/>
                <w:lang w:val="fr-CA"/>
              </w:rPr>
              <w:t>0</w:t>
            </w:r>
          </w:p>
        </w:tc>
        <w:tc>
          <w:tcPr>
            <w:tcW w:w="1301" w:type="dxa"/>
            <w:gridSpan w:val="2"/>
          </w:tcPr>
          <w:p w:rsidR="0085675A" w:rsidRPr="00ED22D1" w:rsidRDefault="0085675A" w:rsidP="0085675A">
            <w:pPr>
              <w:keepNext/>
              <w:keepLines/>
              <w:jc w:val="right"/>
              <w:rPr>
                <w:sz w:val="20"/>
                <w:szCs w:val="20"/>
                <w:lang w:val="fr-CA"/>
              </w:rPr>
            </w:pPr>
            <w:r w:rsidRPr="00ED22D1">
              <w:rPr>
                <w:sz w:val="20"/>
                <w:szCs w:val="20"/>
                <w:lang w:val="fr-CA"/>
              </w:rPr>
              <w:t>16</w:t>
            </w:r>
            <w:r w:rsidR="004A6828" w:rsidRPr="00ED22D1">
              <w:rPr>
                <w:sz w:val="20"/>
                <w:szCs w:val="20"/>
                <w:lang w:val="fr-CA"/>
              </w:rPr>
              <w:t>5,</w:t>
            </w:r>
            <w:r w:rsidRPr="00ED22D1">
              <w:rPr>
                <w:sz w:val="20"/>
                <w:szCs w:val="20"/>
                <w:lang w:val="fr-CA"/>
              </w:rPr>
              <w:t>0</w:t>
            </w:r>
          </w:p>
        </w:tc>
        <w:tc>
          <w:tcPr>
            <w:tcW w:w="1301" w:type="dxa"/>
            <w:gridSpan w:val="2"/>
            <w:vAlign w:val="center"/>
          </w:tcPr>
          <w:p w:rsidR="0085675A" w:rsidRPr="00ED22D1" w:rsidRDefault="004A6828" w:rsidP="0085675A">
            <w:pPr>
              <w:keepNext/>
              <w:keepLines/>
              <w:jc w:val="right"/>
              <w:rPr>
                <w:sz w:val="20"/>
                <w:szCs w:val="20"/>
                <w:lang w:val="fr-CA"/>
              </w:rPr>
            </w:pPr>
            <w:r w:rsidRPr="00ED22D1">
              <w:rPr>
                <w:color w:val="000000"/>
                <w:sz w:val="20"/>
                <w:szCs w:val="20"/>
                <w:lang w:val="fr-CA"/>
              </w:rPr>
              <w:t>2 </w:t>
            </w:r>
            <w:r w:rsidR="0085675A" w:rsidRPr="00ED22D1">
              <w:rPr>
                <w:color w:val="000000"/>
                <w:sz w:val="20"/>
                <w:szCs w:val="20"/>
                <w:lang w:val="fr-CA"/>
              </w:rPr>
              <w:t>286</w:t>
            </w:r>
          </w:p>
        </w:tc>
      </w:tr>
      <w:tr w:rsidR="0085675A" w:rsidRPr="00ED22D1" w:rsidTr="009C7324">
        <w:tc>
          <w:tcPr>
            <w:tcW w:w="1530" w:type="dxa"/>
            <w:gridSpan w:val="2"/>
          </w:tcPr>
          <w:p w:rsidR="0085675A" w:rsidRPr="00ED22D1" w:rsidRDefault="0085675A" w:rsidP="0085675A">
            <w:pPr>
              <w:rPr>
                <w:b/>
                <w:sz w:val="20"/>
                <w:szCs w:val="20"/>
                <w:lang w:val="fr-CA"/>
              </w:rPr>
            </w:pPr>
            <w:r w:rsidRPr="00ED22D1">
              <w:rPr>
                <w:sz w:val="20"/>
                <w:szCs w:val="20"/>
                <w:lang w:val="fr-CA"/>
              </w:rPr>
              <w:t>PU</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67</w:t>
            </w:r>
            <w:r w:rsidR="004A6828" w:rsidRPr="00ED22D1">
              <w:rPr>
                <w:sz w:val="20"/>
                <w:szCs w:val="20"/>
                <w:lang w:val="fr-CA"/>
              </w:rPr>
              <w:t>5,</w:t>
            </w:r>
            <w:r w:rsidRPr="00ED22D1">
              <w:rPr>
                <w:sz w:val="20"/>
                <w:szCs w:val="20"/>
                <w:lang w:val="fr-CA"/>
              </w:rPr>
              <w:t>1</w:t>
            </w:r>
          </w:p>
        </w:tc>
        <w:tc>
          <w:tcPr>
            <w:tcW w:w="1300" w:type="dxa"/>
            <w:gridSpan w:val="2"/>
          </w:tcPr>
          <w:p w:rsidR="0085675A" w:rsidRPr="00ED22D1" w:rsidRDefault="0085675A" w:rsidP="0085675A">
            <w:pPr>
              <w:jc w:val="right"/>
              <w:rPr>
                <w:sz w:val="20"/>
                <w:szCs w:val="20"/>
                <w:lang w:val="fr-CA"/>
              </w:rPr>
            </w:pPr>
            <w:r w:rsidRPr="00ED22D1">
              <w:rPr>
                <w:sz w:val="20"/>
                <w:szCs w:val="20"/>
                <w:lang w:val="fr-CA"/>
              </w:rPr>
              <w:t>80</w:t>
            </w:r>
            <w:r w:rsidR="004A6828" w:rsidRPr="00ED22D1">
              <w:rPr>
                <w:sz w:val="20"/>
                <w:szCs w:val="20"/>
                <w:lang w:val="fr-CA"/>
              </w:rPr>
              <w:t>8,</w:t>
            </w:r>
            <w:r w:rsidRPr="00ED22D1">
              <w:rPr>
                <w:sz w:val="20"/>
                <w:szCs w:val="20"/>
                <w:lang w:val="fr-CA"/>
              </w:rPr>
              <w:t>8</w:t>
            </w:r>
          </w:p>
        </w:tc>
        <w:tc>
          <w:tcPr>
            <w:tcW w:w="1301" w:type="dxa"/>
            <w:gridSpan w:val="2"/>
          </w:tcPr>
          <w:p w:rsidR="0085675A" w:rsidRPr="00ED22D1" w:rsidRDefault="004A6828" w:rsidP="0085675A">
            <w:pPr>
              <w:jc w:val="right"/>
              <w:rPr>
                <w:sz w:val="20"/>
                <w:szCs w:val="20"/>
                <w:lang w:val="fr-CA"/>
              </w:rPr>
            </w:pPr>
            <w:r w:rsidRPr="00ED22D1">
              <w:rPr>
                <w:sz w:val="20"/>
                <w:szCs w:val="20"/>
                <w:lang w:val="fr-CA"/>
              </w:rPr>
              <w:t>1 </w:t>
            </w:r>
            <w:r w:rsidR="0085675A" w:rsidRPr="00ED22D1">
              <w:rPr>
                <w:sz w:val="20"/>
                <w:szCs w:val="20"/>
                <w:lang w:val="fr-CA"/>
              </w:rPr>
              <w:t>88</w:t>
            </w:r>
            <w:r w:rsidRPr="00ED22D1">
              <w:rPr>
                <w:sz w:val="20"/>
                <w:szCs w:val="20"/>
                <w:lang w:val="fr-CA"/>
              </w:rPr>
              <w:t>7,</w:t>
            </w:r>
            <w:r w:rsidR="0085675A" w:rsidRPr="00ED22D1">
              <w:rPr>
                <w:sz w:val="20"/>
                <w:szCs w:val="20"/>
                <w:lang w:val="fr-CA"/>
              </w:rPr>
              <w:t>3</w:t>
            </w:r>
          </w:p>
        </w:tc>
        <w:tc>
          <w:tcPr>
            <w:tcW w:w="1300" w:type="dxa"/>
            <w:gridSpan w:val="2"/>
          </w:tcPr>
          <w:p w:rsidR="0085675A" w:rsidRPr="00ED22D1" w:rsidRDefault="0085675A" w:rsidP="0085675A">
            <w:pPr>
              <w:jc w:val="right"/>
              <w:rPr>
                <w:sz w:val="20"/>
                <w:szCs w:val="20"/>
                <w:lang w:val="fr-CA"/>
              </w:rPr>
            </w:pPr>
            <w:r w:rsidRPr="00ED22D1">
              <w:rPr>
                <w:sz w:val="20"/>
                <w:szCs w:val="20"/>
                <w:lang w:val="fr-CA"/>
              </w:rPr>
              <w:t>74</w:t>
            </w:r>
            <w:r w:rsidR="004A6828" w:rsidRPr="00ED22D1">
              <w:rPr>
                <w:sz w:val="20"/>
                <w:szCs w:val="20"/>
                <w:lang w:val="fr-CA"/>
              </w:rPr>
              <w:t>8,</w:t>
            </w:r>
            <w:r w:rsidRPr="00ED22D1">
              <w:rPr>
                <w:sz w:val="20"/>
                <w:szCs w:val="20"/>
                <w:lang w:val="fr-CA"/>
              </w:rPr>
              <w:t>4</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33</w:t>
            </w:r>
            <w:r w:rsidR="004A6828" w:rsidRPr="00ED22D1">
              <w:rPr>
                <w:sz w:val="20"/>
                <w:szCs w:val="20"/>
                <w:lang w:val="fr-CA"/>
              </w:rPr>
              <w:t>0,</w:t>
            </w:r>
            <w:r w:rsidRPr="00ED22D1">
              <w:rPr>
                <w:sz w:val="20"/>
                <w:szCs w:val="20"/>
                <w:lang w:val="fr-CA"/>
              </w:rPr>
              <w:t>0</w:t>
            </w:r>
          </w:p>
        </w:tc>
        <w:tc>
          <w:tcPr>
            <w:tcW w:w="1301" w:type="dxa"/>
            <w:gridSpan w:val="2"/>
            <w:vAlign w:val="center"/>
          </w:tcPr>
          <w:p w:rsidR="0085675A" w:rsidRPr="00ED22D1" w:rsidRDefault="004A6828" w:rsidP="0085675A">
            <w:pPr>
              <w:jc w:val="right"/>
              <w:rPr>
                <w:sz w:val="20"/>
                <w:szCs w:val="20"/>
                <w:lang w:val="fr-CA"/>
              </w:rPr>
            </w:pPr>
            <w:r w:rsidRPr="00ED22D1">
              <w:rPr>
                <w:color w:val="000000"/>
                <w:sz w:val="20"/>
                <w:szCs w:val="20"/>
                <w:lang w:val="fr-CA"/>
              </w:rPr>
              <w:t>4 </w:t>
            </w:r>
            <w:r w:rsidR="0085675A" w:rsidRPr="00ED22D1">
              <w:rPr>
                <w:color w:val="000000"/>
                <w:sz w:val="20"/>
                <w:szCs w:val="20"/>
                <w:lang w:val="fr-CA"/>
              </w:rPr>
              <w:t>44</w:t>
            </w:r>
            <w:r w:rsidRPr="00ED22D1">
              <w:rPr>
                <w:color w:val="000000"/>
                <w:sz w:val="20"/>
                <w:szCs w:val="20"/>
                <w:lang w:val="fr-CA"/>
              </w:rPr>
              <w:t>9,</w:t>
            </w:r>
            <w:r w:rsidR="0085675A" w:rsidRPr="00ED22D1">
              <w:rPr>
                <w:color w:val="000000"/>
                <w:sz w:val="20"/>
                <w:szCs w:val="20"/>
                <w:lang w:val="fr-CA"/>
              </w:rPr>
              <w:t>6</w:t>
            </w:r>
          </w:p>
        </w:tc>
      </w:tr>
      <w:tr w:rsidR="0085675A" w:rsidRPr="00ED22D1" w:rsidTr="009C7324">
        <w:tc>
          <w:tcPr>
            <w:tcW w:w="1530" w:type="dxa"/>
            <w:gridSpan w:val="2"/>
          </w:tcPr>
          <w:p w:rsidR="0085675A" w:rsidRPr="00ED22D1" w:rsidRDefault="0085675A" w:rsidP="0085675A">
            <w:pPr>
              <w:rPr>
                <w:b/>
                <w:sz w:val="20"/>
                <w:szCs w:val="20"/>
                <w:lang w:val="fr-CA"/>
              </w:rPr>
            </w:pPr>
            <w:r w:rsidRPr="00ED22D1">
              <w:rPr>
                <w:sz w:val="20"/>
                <w:szCs w:val="20"/>
                <w:lang w:val="fr-CA"/>
              </w:rPr>
              <w:t>ICR</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12</w:t>
            </w:r>
            <w:r w:rsidR="004A6828" w:rsidRPr="00ED22D1">
              <w:rPr>
                <w:sz w:val="20"/>
                <w:szCs w:val="20"/>
                <w:lang w:val="fr-CA"/>
              </w:rPr>
              <w:t>0,</w:t>
            </w:r>
            <w:r w:rsidRPr="00ED22D1">
              <w:rPr>
                <w:sz w:val="20"/>
                <w:szCs w:val="20"/>
                <w:lang w:val="fr-CA"/>
              </w:rPr>
              <w:t>1</w:t>
            </w:r>
          </w:p>
        </w:tc>
        <w:tc>
          <w:tcPr>
            <w:tcW w:w="1300" w:type="dxa"/>
            <w:gridSpan w:val="2"/>
          </w:tcPr>
          <w:p w:rsidR="0085675A" w:rsidRPr="00ED22D1" w:rsidRDefault="0085675A" w:rsidP="0085675A">
            <w:pPr>
              <w:jc w:val="right"/>
              <w:rPr>
                <w:sz w:val="20"/>
                <w:szCs w:val="20"/>
                <w:lang w:val="fr-CA"/>
              </w:rPr>
            </w:pPr>
            <w:r w:rsidRPr="00ED22D1">
              <w:rPr>
                <w:sz w:val="20"/>
                <w:szCs w:val="20"/>
                <w:lang w:val="fr-CA"/>
              </w:rPr>
              <w:t>43</w:t>
            </w:r>
            <w:r w:rsidR="004A6828" w:rsidRPr="00ED22D1">
              <w:rPr>
                <w:sz w:val="20"/>
                <w:szCs w:val="20"/>
                <w:lang w:val="fr-CA"/>
              </w:rPr>
              <w:t>2,</w:t>
            </w:r>
            <w:r w:rsidRPr="00ED22D1">
              <w:rPr>
                <w:sz w:val="20"/>
                <w:szCs w:val="20"/>
                <w:lang w:val="fr-CA"/>
              </w:rPr>
              <w:t>5</w:t>
            </w:r>
          </w:p>
        </w:tc>
        <w:tc>
          <w:tcPr>
            <w:tcW w:w="1301" w:type="dxa"/>
            <w:gridSpan w:val="2"/>
          </w:tcPr>
          <w:p w:rsidR="0085675A" w:rsidRPr="00ED22D1" w:rsidRDefault="00F12D89" w:rsidP="0085675A">
            <w:pPr>
              <w:jc w:val="right"/>
              <w:rPr>
                <w:sz w:val="20"/>
                <w:szCs w:val="20"/>
                <w:lang w:val="fr-CA"/>
              </w:rPr>
            </w:pPr>
            <w:r w:rsidRPr="00ED22D1">
              <w:rPr>
                <w:sz w:val="20"/>
                <w:szCs w:val="20"/>
                <w:lang w:val="fr-CA"/>
              </w:rPr>
              <w:t>s.o.</w:t>
            </w:r>
            <w:r w:rsidR="0085675A" w:rsidRPr="00ED22D1">
              <w:rPr>
                <w:sz w:val="20"/>
                <w:szCs w:val="20"/>
                <w:lang w:val="fr-CA"/>
              </w:rPr>
              <w:t xml:space="preserve"> </w:t>
            </w:r>
          </w:p>
        </w:tc>
        <w:tc>
          <w:tcPr>
            <w:tcW w:w="1300" w:type="dxa"/>
            <w:gridSpan w:val="2"/>
          </w:tcPr>
          <w:p w:rsidR="0085675A" w:rsidRPr="00ED22D1" w:rsidRDefault="00F12D89" w:rsidP="0085675A">
            <w:pPr>
              <w:jc w:val="right"/>
              <w:rPr>
                <w:sz w:val="20"/>
                <w:szCs w:val="20"/>
                <w:lang w:val="fr-CA"/>
              </w:rPr>
            </w:pPr>
            <w:r w:rsidRPr="00ED22D1">
              <w:rPr>
                <w:sz w:val="20"/>
                <w:szCs w:val="20"/>
                <w:lang w:val="fr-CA"/>
              </w:rPr>
              <w:t>s.o.</w:t>
            </w:r>
          </w:p>
        </w:tc>
        <w:tc>
          <w:tcPr>
            <w:tcW w:w="1301" w:type="dxa"/>
            <w:gridSpan w:val="2"/>
          </w:tcPr>
          <w:p w:rsidR="0085675A" w:rsidRPr="00ED22D1" w:rsidRDefault="00F12D89" w:rsidP="0085675A">
            <w:pPr>
              <w:jc w:val="right"/>
              <w:rPr>
                <w:sz w:val="20"/>
                <w:szCs w:val="20"/>
                <w:lang w:val="fr-CA"/>
              </w:rPr>
            </w:pPr>
            <w:r w:rsidRPr="00ED22D1">
              <w:rPr>
                <w:sz w:val="20"/>
                <w:szCs w:val="20"/>
                <w:lang w:val="fr-CA"/>
              </w:rPr>
              <w:t>s.o.</w:t>
            </w:r>
          </w:p>
        </w:tc>
        <w:tc>
          <w:tcPr>
            <w:tcW w:w="1301" w:type="dxa"/>
            <w:gridSpan w:val="2"/>
            <w:vAlign w:val="center"/>
          </w:tcPr>
          <w:p w:rsidR="0085675A" w:rsidRPr="00ED22D1" w:rsidRDefault="0085675A" w:rsidP="0085675A">
            <w:pPr>
              <w:jc w:val="right"/>
              <w:rPr>
                <w:sz w:val="20"/>
                <w:szCs w:val="20"/>
                <w:lang w:val="fr-CA"/>
              </w:rPr>
            </w:pPr>
            <w:r w:rsidRPr="00ED22D1">
              <w:rPr>
                <w:color w:val="000000"/>
                <w:sz w:val="20"/>
                <w:szCs w:val="20"/>
                <w:lang w:val="fr-CA"/>
              </w:rPr>
              <w:t>55</w:t>
            </w:r>
            <w:r w:rsidR="004A6828" w:rsidRPr="00ED22D1">
              <w:rPr>
                <w:color w:val="000000"/>
                <w:sz w:val="20"/>
                <w:szCs w:val="20"/>
                <w:lang w:val="fr-CA"/>
              </w:rPr>
              <w:t>2,</w:t>
            </w:r>
            <w:r w:rsidRPr="00ED22D1">
              <w:rPr>
                <w:color w:val="000000"/>
                <w:sz w:val="20"/>
                <w:szCs w:val="20"/>
                <w:lang w:val="fr-CA"/>
              </w:rPr>
              <w:t>6</w:t>
            </w:r>
          </w:p>
        </w:tc>
      </w:tr>
      <w:tr w:rsidR="0085675A" w:rsidRPr="00ED22D1" w:rsidTr="009C7324">
        <w:tc>
          <w:tcPr>
            <w:tcW w:w="1530" w:type="dxa"/>
            <w:gridSpan w:val="2"/>
          </w:tcPr>
          <w:p w:rsidR="0085675A" w:rsidRPr="00ED22D1" w:rsidRDefault="0085675A" w:rsidP="0085675A">
            <w:pPr>
              <w:rPr>
                <w:b/>
                <w:sz w:val="20"/>
                <w:szCs w:val="20"/>
                <w:lang w:val="fr-CA"/>
              </w:rPr>
            </w:pPr>
            <w:r w:rsidRPr="00ED22D1">
              <w:rPr>
                <w:sz w:val="20"/>
                <w:szCs w:val="20"/>
                <w:lang w:val="fr-CA"/>
              </w:rPr>
              <w:t>RAC</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82</w:t>
            </w:r>
            <w:r w:rsidR="004A6828" w:rsidRPr="00ED22D1">
              <w:rPr>
                <w:sz w:val="20"/>
                <w:szCs w:val="20"/>
                <w:lang w:val="fr-CA"/>
              </w:rPr>
              <w:t>1,</w:t>
            </w:r>
            <w:r w:rsidRPr="00ED22D1">
              <w:rPr>
                <w:sz w:val="20"/>
                <w:szCs w:val="20"/>
                <w:lang w:val="fr-CA"/>
              </w:rPr>
              <w:t>7</w:t>
            </w:r>
          </w:p>
        </w:tc>
        <w:tc>
          <w:tcPr>
            <w:tcW w:w="1300" w:type="dxa"/>
            <w:gridSpan w:val="2"/>
          </w:tcPr>
          <w:p w:rsidR="0085675A" w:rsidRPr="00ED22D1" w:rsidRDefault="0085675A" w:rsidP="0085675A">
            <w:pPr>
              <w:jc w:val="right"/>
              <w:rPr>
                <w:sz w:val="20"/>
                <w:szCs w:val="20"/>
                <w:lang w:val="fr-CA"/>
              </w:rPr>
            </w:pPr>
            <w:r w:rsidRPr="00ED22D1">
              <w:rPr>
                <w:sz w:val="20"/>
                <w:szCs w:val="20"/>
                <w:lang w:val="fr-CA"/>
              </w:rPr>
              <w:t>61</w:t>
            </w:r>
            <w:r w:rsidR="004A6828" w:rsidRPr="00ED22D1">
              <w:rPr>
                <w:sz w:val="20"/>
                <w:szCs w:val="20"/>
                <w:lang w:val="fr-CA"/>
              </w:rPr>
              <w:t>6,</w:t>
            </w:r>
            <w:r w:rsidRPr="00ED22D1">
              <w:rPr>
                <w:sz w:val="20"/>
                <w:szCs w:val="20"/>
                <w:lang w:val="fr-CA"/>
              </w:rPr>
              <w:t>3</w:t>
            </w:r>
          </w:p>
        </w:tc>
        <w:tc>
          <w:tcPr>
            <w:tcW w:w="1301" w:type="dxa"/>
            <w:gridSpan w:val="2"/>
          </w:tcPr>
          <w:p w:rsidR="0085675A" w:rsidRPr="00ED22D1" w:rsidRDefault="00F12D89" w:rsidP="0085675A">
            <w:pPr>
              <w:jc w:val="right"/>
              <w:rPr>
                <w:sz w:val="20"/>
                <w:szCs w:val="20"/>
                <w:lang w:val="fr-CA"/>
              </w:rPr>
            </w:pPr>
            <w:r w:rsidRPr="00ED22D1">
              <w:rPr>
                <w:sz w:val="20"/>
                <w:szCs w:val="20"/>
                <w:lang w:val="fr-CA"/>
              </w:rPr>
              <w:t>s.o.</w:t>
            </w:r>
          </w:p>
        </w:tc>
        <w:tc>
          <w:tcPr>
            <w:tcW w:w="1300" w:type="dxa"/>
            <w:gridSpan w:val="2"/>
          </w:tcPr>
          <w:p w:rsidR="0085675A" w:rsidRPr="00ED22D1" w:rsidRDefault="00F12D89" w:rsidP="0085675A">
            <w:pPr>
              <w:jc w:val="right"/>
              <w:rPr>
                <w:sz w:val="20"/>
                <w:szCs w:val="20"/>
                <w:lang w:val="fr-CA"/>
              </w:rPr>
            </w:pPr>
            <w:r w:rsidRPr="00ED22D1">
              <w:rPr>
                <w:sz w:val="20"/>
                <w:szCs w:val="20"/>
                <w:lang w:val="fr-CA"/>
              </w:rPr>
              <w:t>s.o.</w:t>
            </w:r>
          </w:p>
        </w:tc>
        <w:tc>
          <w:tcPr>
            <w:tcW w:w="1301" w:type="dxa"/>
            <w:gridSpan w:val="2"/>
          </w:tcPr>
          <w:p w:rsidR="0085675A" w:rsidRPr="00ED22D1" w:rsidRDefault="00F12D89" w:rsidP="0085675A">
            <w:pPr>
              <w:jc w:val="right"/>
              <w:rPr>
                <w:sz w:val="20"/>
                <w:szCs w:val="20"/>
                <w:lang w:val="fr-CA"/>
              </w:rPr>
            </w:pPr>
            <w:r w:rsidRPr="00ED22D1">
              <w:rPr>
                <w:sz w:val="20"/>
                <w:szCs w:val="20"/>
                <w:lang w:val="fr-CA"/>
              </w:rPr>
              <w:t>s.o.</w:t>
            </w:r>
          </w:p>
        </w:tc>
        <w:tc>
          <w:tcPr>
            <w:tcW w:w="1301" w:type="dxa"/>
            <w:gridSpan w:val="2"/>
            <w:vAlign w:val="center"/>
          </w:tcPr>
          <w:p w:rsidR="0085675A" w:rsidRPr="00ED22D1" w:rsidRDefault="004A6828" w:rsidP="0085675A">
            <w:pPr>
              <w:jc w:val="right"/>
              <w:rPr>
                <w:sz w:val="20"/>
                <w:szCs w:val="20"/>
                <w:lang w:val="fr-CA"/>
              </w:rPr>
            </w:pPr>
            <w:r w:rsidRPr="00ED22D1">
              <w:rPr>
                <w:color w:val="000000"/>
                <w:sz w:val="20"/>
                <w:szCs w:val="20"/>
                <w:lang w:val="fr-CA"/>
              </w:rPr>
              <w:t>1 </w:t>
            </w:r>
            <w:r w:rsidR="0085675A" w:rsidRPr="00ED22D1">
              <w:rPr>
                <w:color w:val="000000"/>
                <w:sz w:val="20"/>
                <w:szCs w:val="20"/>
                <w:lang w:val="fr-CA"/>
              </w:rPr>
              <w:t>438</w:t>
            </w:r>
          </w:p>
        </w:tc>
      </w:tr>
      <w:tr w:rsidR="0085675A" w:rsidRPr="00ED22D1" w:rsidTr="009C7324">
        <w:tc>
          <w:tcPr>
            <w:tcW w:w="1530" w:type="dxa"/>
            <w:gridSpan w:val="2"/>
          </w:tcPr>
          <w:p w:rsidR="0085675A" w:rsidRPr="00ED22D1" w:rsidRDefault="0052712E" w:rsidP="0085675A">
            <w:pPr>
              <w:rPr>
                <w:b/>
                <w:sz w:val="20"/>
                <w:szCs w:val="20"/>
                <w:lang w:val="fr-CA"/>
              </w:rPr>
            </w:pPr>
            <w:r w:rsidRPr="00ED22D1">
              <w:rPr>
                <w:sz w:val="20"/>
                <w:szCs w:val="20"/>
                <w:lang w:val="fr-CA"/>
              </w:rPr>
              <w:t>Solvant</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5</w:t>
            </w:r>
            <w:r w:rsidR="004A6828" w:rsidRPr="00ED22D1">
              <w:rPr>
                <w:sz w:val="20"/>
                <w:szCs w:val="20"/>
                <w:lang w:val="fr-CA"/>
              </w:rPr>
              <w:t>9,</w:t>
            </w:r>
            <w:r w:rsidRPr="00ED22D1">
              <w:rPr>
                <w:sz w:val="20"/>
                <w:szCs w:val="20"/>
                <w:lang w:val="fr-CA"/>
              </w:rPr>
              <w:t>8</w:t>
            </w:r>
          </w:p>
        </w:tc>
        <w:tc>
          <w:tcPr>
            <w:tcW w:w="1300" w:type="dxa"/>
            <w:gridSpan w:val="2"/>
          </w:tcPr>
          <w:p w:rsidR="0085675A" w:rsidRPr="00ED22D1" w:rsidRDefault="0085675A" w:rsidP="0085675A">
            <w:pPr>
              <w:jc w:val="right"/>
              <w:rPr>
                <w:sz w:val="20"/>
                <w:szCs w:val="20"/>
                <w:lang w:val="fr-CA"/>
              </w:rPr>
            </w:pPr>
            <w:r w:rsidRPr="00ED22D1">
              <w:rPr>
                <w:sz w:val="20"/>
                <w:szCs w:val="20"/>
                <w:lang w:val="fr-CA"/>
              </w:rPr>
              <w:t>7</w:t>
            </w:r>
            <w:r w:rsidR="004A6828" w:rsidRPr="00ED22D1">
              <w:rPr>
                <w:sz w:val="20"/>
                <w:szCs w:val="20"/>
                <w:lang w:val="fr-CA"/>
              </w:rPr>
              <w:t>4,</w:t>
            </w:r>
            <w:r w:rsidRPr="00ED22D1">
              <w:rPr>
                <w:sz w:val="20"/>
                <w:szCs w:val="20"/>
                <w:lang w:val="fr-CA"/>
              </w:rPr>
              <w:t>2</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17</w:t>
            </w:r>
            <w:r w:rsidR="004A6828" w:rsidRPr="00ED22D1">
              <w:rPr>
                <w:sz w:val="20"/>
                <w:szCs w:val="20"/>
                <w:lang w:val="fr-CA"/>
              </w:rPr>
              <w:t>2,</w:t>
            </w:r>
            <w:r w:rsidRPr="00ED22D1">
              <w:rPr>
                <w:sz w:val="20"/>
                <w:szCs w:val="20"/>
                <w:lang w:val="fr-CA"/>
              </w:rPr>
              <w:t>9</w:t>
            </w:r>
          </w:p>
        </w:tc>
        <w:tc>
          <w:tcPr>
            <w:tcW w:w="1300" w:type="dxa"/>
            <w:gridSpan w:val="2"/>
          </w:tcPr>
          <w:p w:rsidR="0085675A" w:rsidRPr="00ED22D1" w:rsidRDefault="0085675A" w:rsidP="0085675A">
            <w:pPr>
              <w:jc w:val="right"/>
              <w:rPr>
                <w:sz w:val="20"/>
                <w:szCs w:val="20"/>
                <w:lang w:val="fr-CA"/>
              </w:rPr>
            </w:pPr>
            <w:r w:rsidRPr="00ED22D1">
              <w:rPr>
                <w:sz w:val="20"/>
                <w:szCs w:val="20"/>
                <w:lang w:val="fr-CA"/>
              </w:rPr>
              <w:t>9</w:t>
            </w:r>
            <w:r w:rsidR="004A6828" w:rsidRPr="00ED22D1">
              <w:rPr>
                <w:sz w:val="20"/>
                <w:szCs w:val="20"/>
                <w:lang w:val="fr-CA"/>
              </w:rPr>
              <w:t>3,</w:t>
            </w:r>
            <w:r w:rsidRPr="00ED22D1">
              <w:rPr>
                <w:sz w:val="20"/>
                <w:szCs w:val="20"/>
                <w:lang w:val="fr-CA"/>
              </w:rPr>
              <w:t>3</w:t>
            </w:r>
          </w:p>
        </w:tc>
        <w:tc>
          <w:tcPr>
            <w:tcW w:w="1301" w:type="dxa"/>
            <w:gridSpan w:val="2"/>
          </w:tcPr>
          <w:p w:rsidR="0085675A" w:rsidRPr="00ED22D1" w:rsidRDefault="0085675A" w:rsidP="0085675A">
            <w:pPr>
              <w:jc w:val="right"/>
              <w:rPr>
                <w:sz w:val="20"/>
                <w:szCs w:val="20"/>
                <w:lang w:val="fr-CA"/>
              </w:rPr>
            </w:pPr>
            <w:r w:rsidRPr="00ED22D1">
              <w:rPr>
                <w:sz w:val="20"/>
                <w:szCs w:val="20"/>
                <w:lang w:val="fr-CA"/>
              </w:rPr>
              <w:t>5</w:t>
            </w:r>
            <w:r w:rsidR="004A6828" w:rsidRPr="00ED22D1">
              <w:rPr>
                <w:sz w:val="20"/>
                <w:szCs w:val="20"/>
                <w:lang w:val="fr-CA"/>
              </w:rPr>
              <w:t>5,</w:t>
            </w:r>
            <w:r w:rsidRPr="00ED22D1">
              <w:rPr>
                <w:sz w:val="20"/>
                <w:szCs w:val="20"/>
                <w:lang w:val="fr-CA"/>
              </w:rPr>
              <w:t>0</w:t>
            </w:r>
          </w:p>
        </w:tc>
        <w:tc>
          <w:tcPr>
            <w:tcW w:w="1301" w:type="dxa"/>
            <w:gridSpan w:val="2"/>
            <w:vAlign w:val="center"/>
          </w:tcPr>
          <w:p w:rsidR="0085675A" w:rsidRPr="00ED22D1" w:rsidRDefault="0085675A" w:rsidP="0085675A">
            <w:pPr>
              <w:jc w:val="right"/>
              <w:rPr>
                <w:sz w:val="20"/>
                <w:szCs w:val="20"/>
                <w:lang w:val="fr-CA"/>
              </w:rPr>
            </w:pPr>
            <w:r w:rsidRPr="00ED22D1">
              <w:rPr>
                <w:color w:val="000000"/>
                <w:sz w:val="20"/>
                <w:szCs w:val="20"/>
                <w:lang w:val="fr-CA"/>
              </w:rPr>
              <w:t>45</w:t>
            </w:r>
            <w:r w:rsidR="004A6828" w:rsidRPr="00ED22D1">
              <w:rPr>
                <w:color w:val="000000"/>
                <w:sz w:val="20"/>
                <w:szCs w:val="20"/>
                <w:lang w:val="fr-CA"/>
              </w:rPr>
              <w:t>5,</w:t>
            </w:r>
            <w:r w:rsidRPr="00ED22D1">
              <w:rPr>
                <w:color w:val="000000"/>
                <w:sz w:val="20"/>
                <w:szCs w:val="20"/>
                <w:lang w:val="fr-CA"/>
              </w:rPr>
              <w:t>2</w:t>
            </w:r>
          </w:p>
        </w:tc>
      </w:tr>
      <w:tr w:rsidR="0085675A" w:rsidRPr="00ED22D1" w:rsidTr="009C7324">
        <w:tc>
          <w:tcPr>
            <w:tcW w:w="1530" w:type="dxa"/>
            <w:gridSpan w:val="2"/>
            <w:tcBorders>
              <w:bottom w:val="single" w:sz="4" w:space="0" w:color="auto"/>
            </w:tcBorders>
            <w:vAlign w:val="center"/>
          </w:tcPr>
          <w:p w:rsidR="0085675A" w:rsidRPr="00ED22D1" w:rsidRDefault="001B31BF" w:rsidP="00A250FD">
            <w:pPr>
              <w:jc w:val="left"/>
              <w:rPr>
                <w:b/>
                <w:sz w:val="20"/>
                <w:szCs w:val="20"/>
                <w:lang w:val="fr-CA"/>
              </w:rPr>
            </w:pPr>
            <w:r w:rsidRPr="00ED22D1">
              <w:rPr>
                <w:sz w:val="20"/>
                <w:szCs w:val="20"/>
                <w:lang w:val="fr-CA"/>
              </w:rPr>
              <w:t>Entretien</w:t>
            </w:r>
            <w:r w:rsidR="004A6828" w:rsidRPr="00ED22D1">
              <w:rPr>
                <w:sz w:val="20"/>
                <w:szCs w:val="20"/>
                <w:lang w:val="fr-CA"/>
              </w:rPr>
              <w:t xml:space="preserve"> et </w:t>
            </w:r>
            <w:r w:rsidR="00A250FD" w:rsidRPr="00ED22D1">
              <w:rPr>
                <w:sz w:val="20"/>
                <w:szCs w:val="20"/>
                <w:lang w:val="fr-CA"/>
              </w:rPr>
              <w:t>élément habilitant</w:t>
            </w:r>
          </w:p>
        </w:tc>
        <w:tc>
          <w:tcPr>
            <w:tcW w:w="2601" w:type="dxa"/>
            <w:gridSpan w:val="4"/>
            <w:tcBorders>
              <w:bottom w:val="single" w:sz="4" w:space="0" w:color="auto"/>
            </w:tcBorders>
          </w:tcPr>
          <w:p w:rsidR="0085675A" w:rsidRPr="00ED22D1" w:rsidRDefault="0085675A" w:rsidP="0085675A">
            <w:pPr>
              <w:jc w:val="right"/>
              <w:rPr>
                <w:sz w:val="20"/>
                <w:szCs w:val="20"/>
                <w:lang w:val="fr-CA"/>
              </w:rPr>
            </w:pPr>
            <w:r w:rsidRPr="00ED22D1">
              <w:rPr>
                <w:sz w:val="20"/>
                <w:szCs w:val="20"/>
                <w:lang w:val="fr-CA"/>
              </w:rPr>
              <w:t>73</w:t>
            </w:r>
            <w:r w:rsidR="004A6828" w:rsidRPr="00ED22D1">
              <w:rPr>
                <w:sz w:val="20"/>
                <w:szCs w:val="20"/>
                <w:lang w:val="fr-CA"/>
              </w:rPr>
              <w:t>4,</w:t>
            </w:r>
            <w:r w:rsidRPr="00ED22D1">
              <w:rPr>
                <w:sz w:val="20"/>
                <w:szCs w:val="20"/>
                <w:lang w:val="fr-CA"/>
              </w:rPr>
              <w:t>0</w:t>
            </w:r>
          </w:p>
        </w:tc>
        <w:tc>
          <w:tcPr>
            <w:tcW w:w="1301" w:type="dxa"/>
            <w:gridSpan w:val="2"/>
            <w:tcBorders>
              <w:bottom w:val="single" w:sz="4" w:space="0" w:color="auto"/>
            </w:tcBorders>
          </w:tcPr>
          <w:p w:rsidR="0085675A" w:rsidRPr="00ED22D1" w:rsidRDefault="00F12D89" w:rsidP="0085675A">
            <w:pPr>
              <w:jc w:val="right"/>
              <w:rPr>
                <w:sz w:val="20"/>
                <w:szCs w:val="20"/>
                <w:lang w:val="fr-CA"/>
              </w:rPr>
            </w:pPr>
            <w:r w:rsidRPr="00ED22D1">
              <w:rPr>
                <w:sz w:val="20"/>
                <w:szCs w:val="20"/>
                <w:lang w:val="fr-CA"/>
              </w:rPr>
              <w:t>s.o.</w:t>
            </w:r>
          </w:p>
        </w:tc>
        <w:tc>
          <w:tcPr>
            <w:tcW w:w="1300" w:type="dxa"/>
            <w:gridSpan w:val="2"/>
            <w:tcBorders>
              <w:bottom w:val="single" w:sz="4" w:space="0" w:color="auto"/>
            </w:tcBorders>
          </w:tcPr>
          <w:p w:rsidR="0085675A" w:rsidRPr="00ED22D1" w:rsidRDefault="00F12D89" w:rsidP="0085675A">
            <w:pPr>
              <w:jc w:val="right"/>
              <w:rPr>
                <w:sz w:val="20"/>
                <w:szCs w:val="20"/>
                <w:lang w:val="fr-CA"/>
              </w:rPr>
            </w:pPr>
            <w:r w:rsidRPr="00ED22D1">
              <w:rPr>
                <w:sz w:val="20"/>
                <w:szCs w:val="20"/>
                <w:lang w:val="fr-CA"/>
              </w:rPr>
              <w:t>s.o.</w:t>
            </w:r>
          </w:p>
        </w:tc>
        <w:tc>
          <w:tcPr>
            <w:tcW w:w="1301" w:type="dxa"/>
            <w:gridSpan w:val="2"/>
            <w:tcBorders>
              <w:bottom w:val="single" w:sz="4" w:space="0" w:color="auto"/>
            </w:tcBorders>
          </w:tcPr>
          <w:p w:rsidR="0085675A" w:rsidRPr="00ED22D1" w:rsidRDefault="00F12D89" w:rsidP="0085675A">
            <w:pPr>
              <w:jc w:val="right"/>
              <w:rPr>
                <w:sz w:val="20"/>
                <w:szCs w:val="20"/>
                <w:lang w:val="fr-CA"/>
              </w:rPr>
            </w:pPr>
            <w:r w:rsidRPr="00ED22D1">
              <w:rPr>
                <w:sz w:val="20"/>
                <w:szCs w:val="20"/>
                <w:lang w:val="fr-CA"/>
              </w:rPr>
              <w:t>s.o.</w:t>
            </w:r>
          </w:p>
        </w:tc>
        <w:tc>
          <w:tcPr>
            <w:tcW w:w="1301" w:type="dxa"/>
            <w:gridSpan w:val="2"/>
            <w:tcBorders>
              <w:bottom w:val="single" w:sz="4" w:space="0" w:color="auto"/>
            </w:tcBorders>
          </w:tcPr>
          <w:p w:rsidR="0085675A" w:rsidRPr="00ED22D1" w:rsidRDefault="0085675A" w:rsidP="0085675A">
            <w:pPr>
              <w:jc w:val="right"/>
              <w:rPr>
                <w:sz w:val="20"/>
                <w:szCs w:val="20"/>
                <w:lang w:val="fr-CA"/>
              </w:rPr>
            </w:pPr>
            <w:r w:rsidRPr="00ED22D1">
              <w:rPr>
                <w:color w:val="000000"/>
                <w:sz w:val="20"/>
                <w:szCs w:val="20"/>
                <w:lang w:val="fr-CA"/>
              </w:rPr>
              <w:t>73</w:t>
            </w:r>
            <w:r w:rsidR="004A6828" w:rsidRPr="00ED22D1">
              <w:rPr>
                <w:color w:val="000000"/>
                <w:sz w:val="20"/>
                <w:szCs w:val="20"/>
                <w:lang w:val="fr-CA"/>
              </w:rPr>
              <w:t>4,</w:t>
            </w:r>
            <w:r w:rsidRPr="00ED22D1">
              <w:rPr>
                <w:color w:val="000000"/>
                <w:sz w:val="20"/>
                <w:szCs w:val="20"/>
                <w:lang w:val="fr-CA"/>
              </w:rPr>
              <w:t>0</w:t>
            </w:r>
          </w:p>
        </w:tc>
      </w:tr>
      <w:tr w:rsidR="0085675A" w:rsidRPr="00ED22D1" w:rsidTr="009C7324">
        <w:tc>
          <w:tcPr>
            <w:tcW w:w="1530" w:type="dxa"/>
            <w:gridSpan w:val="2"/>
            <w:tcBorders>
              <w:bottom w:val="single" w:sz="4" w:space="0" w:color="auto"/>
            </w:tcBorders>
          </w:tcPr>
          <w:p w:rsidR="0085675A" w:rsidRPr="00ED22D1" w:rsidRDefault="0085675A" w:rsidP="0085675A">
            <w:pPr>
              <w:rPr>
                <w:b/>
                <w:sz w:val="20"/>
                <w:szCs w:val="20"/>
                <w:lang w:val="fr-CA"/>
              </w:rPr>
            </w:pPr>
            <w:r w:rsidRPr="00ED22D1">
              <w:rPr>
                <w:b/>
                <w:sz w:val="20"/>
                <w:szCs w:val="20"/>
                <w:lang w:val="fr-CA"/>
              </w:rPr>
              <w:t>Total</w:t>
            </w:r>
          </w:p>
        </w:tc>
        <w:tc>
          <w:tcPr>
            <w:tcW w:w="1301" w:type="dxa"/>
            <w:gridSpan w:val="2"/>
            <w:tcBorders>
              <w:bottom w:val="single" w:sz="4" w:space="0" w:color="auto"/>
            </w:tcBorders>
            <w:vAlign w:val="center"/>
          </w:tcPr>
          <w:p w:rsidR="0085675A" w:rsidRPr="00ED22D1" w:rsidRDefault="004A6828" w:rsidP="0085675A">
            <w:pPr>
              <w:jc w:val="right"/>
              <w:rPr>
                <w:b/>
                <w:sz w:val="20"/>
                <w:szCs w:val="20"/>
                <w:lang w:val="fr-CA"/>
              </w:rPr>
            </w:pPr>
            <w:r w:rsidRPr="00ED22D1">
              <w:rPr>
                <w:b/>
                <w:bCs/>
                <w:color w:val="000000"/>
                <w:sz w:val="20"/>
                <w:szCs w:val="20"/>
                <w:lang w:val="fr-CA"/>
              </w:rPr>
              <w:t>1 </w:t>
            </w:r>
            <w:r w:rsidR="0085675A" w:rsidRPr="00ED22D1">
              <w:rPr>
                <w:b/>
                <w:bCs/>
                <w:color w:val="000000"/>
                <w:sz w:val="20"/>
                <w:szCs w:val="20"/>
                <w:lang w:val="fr-CA"/>
              </w:rPr>
              <w:t>93</w:t>
            </w:r>
            <w:r w:rsidRPr="00ED22D1">
              <w:rPr>
                <w:b/>
                <w:bCs/>
                <w:color w:val="000000"/>
                <w:sz w:val="20"/>
                <w:szCs w:val="20"/>
                <w:lang w:val="fr-CA"/>
              </w:rPr>
              <w:t>0,</w:t>
            </w:r>
            <w:r w:rsidR="0085675A" w:rsidRPr="00ED22D1">
              <w:rPr>
                <w:b/>
                <w:bCs/>
                <w:color w:val="000000"/>
                <w:sz w:val="20"/>
                <w:szCs w:val="20"/>
                <w:lang w:val="fr-CA"/>
              </w:rPr>
              <w:t>7</w:t>
            </w:r>
          </w:p>
        </w:tc>
        <w:tc>
          <w:tcPr>
            <w:tcW w:w="1300" w:type="dxa"/>
            <w:gridSpan w:val="2"/>
            <w:tcBorders>
              <w:bottom w:val="single" w:sz="4" w:space="0" w:color="auto"/>
            </w:tcBorders>
            <w:vAlign w:val="center"/>
          </w:tcPr>
          <w:p w:rsidR="0085675A" w:rsidRPr="00ED22D1" w:rsidRDefault="004A6828" w:rsidP="0085675A">
            <w:pPr>
              <w:jc w:val="right"/>
              <w:rPr>
                <w:b/>
                <w:sz w:val="20"/>
                <w:szCs w:val="20"/>
                <w:lang w:val="fr-CA"/>
              </w:rPr>
            </w:pPr>
            <w:r w:rsidRPr="00ED22D1">
              <w:rPr>
                <w:b/>
                <w:bCs/>
                <w:color w:val="000000"/>
                <w:sz w:val="20"/>
                <w:szCs w:val="20"/>
                <w:lang w:val="fr-CA"/>
              </w:rPr>
              <w:t>3 </w:t>
            </w:r>
            <w:r w:rsidR="0085675A" w:rsidRPr="00ED22D1">
              <w:rPr>
                <w:b/>
                <w:bCs/>
                <w:color w:val="000000"/>
                <w:sz w:val="20"/>
                <w:szCs w:val="20"/>
                <w:lang w:val="fr-CA"/>
              </w:rPr>
              <w:t>30</w:t>
            </w:r>
            <w:r w:rsidRPr="00ED22D1">
              <w:rPr>
                <w:b/>
                <w:bCs/>
                <w:color w:val="000000"/>
                <w:sz w:val="20"/>
                <w:szCs w:val="20"/>
                <w:lang w:val="fr-CA"/>
              </w:rPr>
              <w:t>0,</w:t>
            </w:r>
            <w:r w:rsidR="0085675A" w:rsidRPr="00ED22D1">
              <w:rPr>
                <w:b/>
                <w:bCs/>
                <w:color w:val="000000"/>
                <w:sz w:val="20"/>
                <w:szCs w:val="20"/>
                <w:lang w:val="fr-CA"/>
              </w:rPr>
              <w:t>8</w:t>
            </w:r>
          </w:p>
        </w:tc>
        <w:tc>
          <w:tcPr>
            <w:tcW w:w="1301" w:type="dxa"/>
            <w:gridSpan w:val="2"/>
            <w:tcBorders>
              <w:bottom w:val="single" w:sz="4" w:space="0" w:color="auto"/>
            </w:tcBorders>
            <w:vAlign w:val="center"/>
          </w:tcPr>
          <w:p w:rsidR="0085675A" w:rsidRPr="00ED22D1" w:rsidRDefault="004A6828" w:rsidP="0085675A">
            <w:pPr>
              <w:jc w:val="right"/>
              <w:rPr>
                <w:b/>
                <w:sz w:val="20"/>
                <w:szCs w:val="20"/>
                <w:lang w:val="fr-CA"/>
              </w:rPr>
            </w:pPr>
            <w:r w:rsidRPr="00ED22D1">
              <w:rPr>
                <w:b/>
                <w:bCs/>
                <w:color w:val="000000"/>
                <w:sz w:val="20"/>
                <w:szCs w:val="20"/>
                <w:lang w:val="fr-CA"/>
              </w:rPr>
              <w:t>2 </w:t>
            </w:r>
            <w:r w:rsidR="0085675A" w:rsidRPr="00ED22D1">
              <w:rPr>
                <w:b/>
                <w:bCs/>
                <w:color w:val="000000"/>
                <w:sz w:val="20"/>
                <w:szCs w:val="20"/>
                <w:lang w:val="fr-CA"/>
              </w:rPr>
              <w:t>69</w:t>
            </w:r>
            <w:r w:rsidRPr="00ED22D1">
              <w:rPr>
                <w:b/>
                <w:bCs/>
                <w:color w:val="000000"/>
                <w:sz w:val="20"/>
                <w:szCs w:val="20"/>
                <w:lang w:val="fr-CA"/>
              </w:rPr>
              <w:t>5,</w:t>
            </w:r>
            <w:r w:rsidR="0085675A" w:rsidRPr="00ED22D1">
              <w:rPr>
                <w:b/>
                <w:bCs/>
                <w:color w:val="000000"/>
                <w:sz w:val="20"/>
                <w:szCs w:val="20"/>
                <w:lang w:val="fr-CA"/>
              </w:rPr>
              <w:t>2</w:t>
            </w:r>
          </w:p>
        </w:tc>
        <w:tc>
          <w:tcPr>
            <w:tcW w:w="1300" w:type="dxa"/>
            <w:gridSpan w:val="2"/>
            <w:tcBorders>
              <w:bottom w:val="single" w:sz="4" w:space="0" w:color="auto"/>
            </w:tcBorders>
            <w:vAlign w:val="center"/>
          </w:tcPr>
          <w:p w:rsidR="0085675A" w:rsidRPr="00ED22D1" w:rsidRDefault="004A6828" w:rsidP="0085675A">
            <w:pPr>
              <w:jc w:val="right"/>
              <w:rPr>
                <w:b/>
                <w:sz w:val="20"/>
                <w:szCs w:val="20"/>
                <w:lang w:val="fr-CA"/>
              </w:rPr>
            </w:pPr>
            <w:r w:rsidRPr="00ED22D1">
              <w:rPr>
                <w:b/>
                <w:bCs/>
                <w:color w:val="000000"/>
                <w:sz w:val="20"/>
                <w:szCs w:val="20"/>
                <w:lang w:val="fr-CA"/>
              </w:rPr>
              <w:t>1 </w:t>
            </w:r>
            <w:r w:rsidR="0085675A" w:rsidRPr="00ED22D1">
              <w:rPr>
                <w:b/>
                <w:bCs/>
                <w:color w:val="000000"/>
                <w:sz w:val="20"/>
                <w:szCs w:val="20"/>
                <w:lang w:val="fr-CA"/>
              </w:rPr>
              <w:t>43</w:t>
            </w:r>
            <w:r w:rsidRPr="00ED22D1">
              <w:rPr>
                <w:b/>
                <w:bCs/>
                <w:color w:val="000000"/>
                <w:sz w:val="20"/>
                <w:szCs w:val="20"/>
                <w:lang w:val="fr-CA"/>
              </w:rPr>
              <w:t>8,</w:t>
            </w:r>
            <w:r w:rsidR="0085675A" w:rsidRPr="00ED22D1">
              <w:rPr>
                <w:b/>
                <w:bCs/>
                <w:color w:val="000000"/>
                <w:sz w:val="20"/>
                <w:szCs w:val="20"/>
                <w:lang w:val="fr-CA"/>
              </w:rPr>
              <w:t>7</w:t>
            </w:r>
          </w:p>
        </w:tc>
        <w:tc>
          <w:tcPr>
            <w:tcW w:w="1301" w:type="dxa"/>
            <w:gridSpan w:val="2"/>
            <w:tcBorders>
              <w:bottom w:val="single" w:sz="4" w:space="0" w:color="auto"/>
            </w:tcBorders>
            <w:vAlign w:val="center"/>
          </w:tcPr>
          <w:p w:rsidR="0085675A" w:rsidRPr="00ED22D1" w:rsidRDefault="0085675A" w:rsidP="0085675A">
            <w:pPr>
              <w:jc w:val="right"/>
              <w:rPr>
                <w:b/>
                <w:sz w:val="20"/>
                <w:szCs w:val="20"/>
                <w:lang w:val="fr-CA"/>
              </w:rPr>
            </w:pPr>
            <w:r w:rsidRPr="00ED22D1">
              <w:rPr>
                <w:b/>
                <w:bCs/>
                <w:color w:val="000000"/>
                <w:sz w:val="20"/>
                <w:szCs w:val="20"/>
                <w:lang w:val="fr-CA"/>
              </w:rPr>
              <w:t>55</w:t>
            </w:r>
            <w:r w:rsidR="004A6828" w:rsidRPr="00ED22D1">
              <w:rPr>
                <w:b/>
                <w:bCs/>
                <w:color w:val="000000"/>
                <w:sz w:val="20"/>
                <w:szCs w:val="20"/>
                <w:lang w:val="fr-CA"/>
              </w:rPr>
              <w:t>0,</w:t>
            </w:r>
            <w:r w:rsidRPr="00ED22D1">
              <w:rPr>
                <w:b/>
                <w:bCs/>
                <w:color w:val="000000"/>
                <w:sz w:val="20"/>
                <w:szCs w:val="20"/>
                <w:lang w:val="fr-CA"/>
              </w:rPr>
              <w:t>0</w:t>
            </w:r>
          </w:p>
        </w:tc>
        <w:tc>
          <w:tcPr>
            <w:tcW w:w="1301" w:type="dxa"/>
            <w:gridSpan w:val="2"/>
            <w:tcBorders>
              <w:bottom w:val="single" w:sz="4" w:space="0" w:color="auto"/>
            </w:tcBorders>
            <w:vAlign w:val="center"/>
          </w:tcPr>
          <w:p w:rsidR="0085675A" w:rsidRPr="00ED22D1" w:rsidRDefault="004A6828" w:rsidP="0085675A">
            <w:pPr>
              <w:jc w:val="right"/>
              <w:rPr>
                <w:b/>
                <w:sz w:val="20"/>
                <w:szCs w:val="20"/>
                <w:lang w:val="fr-CA"/>
              </w:rPr>
            </w:pPr>
            <w:r w:rsidRPr="00ED22D1">
              <w:rPr>
                <w:b/>
                <w:color w:val="000000"/>
                <w:sz w:val="20"/>
                <w:szCs w:val="20"/>
                <w:lang w:val="fr-CA"/>
              </w:rPr>
              <w:t>9 </w:t>
            </w:r>
            <w:r w:rsidR="0085675A" w:rsidRPr="00ED22D1">
              <w:rPr>
                <w:b/>
                <w:color w:val="000000"/>
                <w:sz w:val="20"/>
                <w:szCs w:val="20"/>
                <w:lang w:val="fr-CA"/>
              </w:rPr>
              <w:t>91</w:t>
            </w:r>
            <w:r w:rsidRPr="00ED22D1">
              <w:rPr>
                <w:b/>
                <w:color w:val="000000"/>
                <w:sz w:val="20"/>
                <w:szCs w:val="20"/>
                <w:lang w:val="fr-CA"/>
              </w:rPr>
              <w:t>5,</w:t>
            </w:r>
            <w:r w:rsidR="0085675A" w:rsidRPr="00ED22D1">
              <w:rPr>
                <w:b/>
                <w:color w:val="000000"/>
                <w:sz w:val="20"/>
                <w:szCs w:val="20"/>
                <w:lang w:val="fr-CA"/>
              </w:rPr>
              <w:t>4</w:t>
            </w:r>
          </w:p>
        </w:tc>
      </w:tr>
      <w:tr w:rsidR="0085675A" w:rsidRPr="00C80221" w:rsidTr="009C7324">
        <w:tc>
          <w:tcPr>
            <w:tcW w:w="9334" w:type="dxa"/>
            <w:gridSpan w:val="14"/>
            <w:tcBorders>
              <w:top w:val="single" w:sz="4" w:space="0" w:color="auto"/>
              <w:left w:val="nil"/>
              <w:bottom w:val="nil"/>
              <w:right w:val="nil"/>
            </w:tcBorders>
          </w:tcPr>
          <w:p w:rsidR="0085675A" w:rsidRPr="00ED22D1" w:rsidRDefault="0085675A" w:rsidP="009A6A82">
            <w:pPr>
              <w:rPr>
                <w:b/>
                <w:color w:val="000000"/>
                <w:sz w:val="18"/>
                <w:szCs w:val="18"/>
                <w:lang w:val="fr-CA"/>
              </w:rPr>
            </w:pPr>
            <w:r w:rsidRPr="00ED22D1">
              <w:rPr>
                <w:sz w:val="18"/>
                <w:szCs w:val="18"/>
                <w:lang w:val="fr-CA"/>
              </w:rPr>
              <w:t xml:space="preserve">* </w:t>
            </w:r>
            <w:r w:rsidR="00A250FD" w:rsidRPr="00ED22D1">
              <w:rPr>
                <w:sz w:val="18"/>
                <w:szCs w:val="18"/>
                <w:lang w:val="fr-CA"/>
              </w:rPr>
              <w:t>C</w:t>
            </w:r>
            <w:r w:rsidR="001B45EC" w:rsidRPr="00ED22D1">
              <w:rPr>
                <w:sz w:val="18"/>
                <w:szCs w:val="18"/>
                <w:lang w:val="fr-CA"/>
              </w:rPr>
              <w:t xml:space="preserve">onsommation </w:t>
            </w:r>
            <w:r w:rsidR="00A250FD" w:rsidRPr="00ED22D1">
              <w:rPr>
                <w:sz w:val="18"/>
                <w:szCs w:val="18"/>
                <w:lang w:val="fr-CA"/>
              </w:rPr>
              <w:t xml:space="preserve">nationale </w:t>
            </w:r>
            <w:r w:rsidR="001B45EC" w:rsidRPr="00ED22D1">
              <w:rPr>
                <w:sz w:val="18"/>
                <w:szCs w:val="18"/>
                <w:lang w:val="fr-CA"/>
              </w:rPr>
              <w:t>maximale admissible</w:t>
            </w:r>
            <w:r w:rsidRPr="00ED22D1">
              <w:rPr>
                <w:sz w:val="18"/>
                <w:szCs w:val="18"/>
                <w:lang w:val="fr-CA"/>
              </w:rPr>
              <w:t xml:space="preserve"> </w:t>
            </w:r>
            <w:r w:rsidR="00A250FD" w:rsidRPr="00ED22D1">
              <w:rPr>
                <w:sz w:val="18"/>
                <w:szCs w:val="18"/>
                <w:lang w:val="fr-CA"/>
              </w:rPr>
              <w:t>pour</w:t>
            </w:r>
            <w:r w:rsidRPr="00ED22D1">
              <w:rPr>
                <w:sz w:val="18"/>
                <w:szCs w:val="18"/>
                <w:lang w:val="fr-CA"/>
              </w:rPr>
              <w:t xml:space="preserve"> 2020</w:t>
            </w:r>
            <w:r w:rsidR="00A250FD" w:rsidRPr="00ED22D1">
              <w:rPr>
                <w:sz w:val="18"/>
                <w:szCs w:val="18"/>
                <w:lang w:val="fr-CA"/>
              </w:rPr>
              <w:t xml:space="preserve"> seulement</w:t>
            </w:r>
            <w:r w:rsidRPr="00ED22D1">
              <w:rPr>
                <w:sz w:val="18"/>
                <w:szCs w:val="18"/>
                <w:lang w:val="fr-CA"/>
              </w:rPr>
              <w:t xml:space="preserve">; </w:t>
            </w:r>
            <w:r w:rsidR="00921BDE" w:rsidRPr="00ED22D1">
              <w:rPr>
                <w:sz w:val="18"/>
                <w:szCs w:val="18"/>
                <w:lang w:val="fr-CA"/>
              </w:rPr>
              <w:t>pour la</w:t>
            </w:r>
            <w:r w:rsidR="001F19C1" w:rsidRPr="00ED22D1">
              <w:rPr>
                <w:sz w:val="18"/>
                <w:szCs w:val="18"/>
                <w:lang w:val="fr-CA"/>
              </w:rPr>
              <w:t xml:space="preserve"> période </w:t>
            </w:r>
            <w:r w:rsidR="00A250FD" w:rsidRPr="00ED22D1">
              <w:rPr>
                <w:sz w:val="18"/>
                <w:szCs w:val="18"/>
                <w:lang w:val="fr-CA"/>
              </w:rPr>
              <w:t xml:space="preserve">de </w:t>
            </w:r>
            <w:r w:rsidRPr="00ED22D1">
              <w:rPr>
                <w:sz w:val="18"/>
                <w:szCs w:val="18"/>
                <w:lang w:val="fr-CA"/>
              </w:rPr>
              <w:t xml:space="preserve">2021 </w:t>
            </w:r>
            <w:r w:rsidR="00A250FD" w:rsidRPr="00ED22D1">
              <w:rPr>
                <w:sz w:val="18"/>
                <w:szCs w:val="18"/>
                <w:lang w:val="fr-CA"/>
              </w:rPr>
              <w:t>à</w:t>
            </w:r>
            <w:r w:rsidRPr="00ED22D1">
              <w:rPr>
                <w:sz w:val="18"/>
                <w:szCs w:val="18"/>
                <w:lang w:val="fr-CA"/>
              </w:rPr>
              <w:t xml:space="preserve"> 2026</w:t>
            </w:r>
            <w:r w:rsidR="009A6A82" w:rsidRPr="00ED22D1">
              <w:rPr>
                <w:sz w:val="18"/>
                <w:szCs w:val="18"/>
                <w:lang w:val="fr-CA"/>
              </w:rPr>
              <w:t>,</w:t>
            </w:r>
            <w:r w:rsidR="00A250FD" w:rsidRPr="00ED22D1">
              <w:rPr>
                <w:sz w:val="18"/>
                <w:szCs w:val="18"/>
                <w:lang w:val="fr-CA"/>
              </w:rPr>
              <w:t xml:space="preserve"> </w:t>
            </w:r>
            <w:r w:rsidR="009A6A82" w:rsidRPr="00ED22D1">
              <w:rPr>
                <w:sz w:val="18"/>
                <w:szCs w:val="18"/>
                <w:lang w:val="fr-CA"/>
              </w:rPr>
              <w:t>e</w:t>
            </w:r>
            <w:r w:rsidR="00A250FD" w:rsidRPr="00ED22D1">
              <w:rPr>
                <w:sz w:val="18"/>
                <w:szCs w:val="18"/>
                <w:lang w:val="fr-CA"/>
              </w:rPr>
              <w:t>lle sera déterminée pendant la présentation d</w:t>
            </w:r>
            <w:r w:rsidR="00921BDE" w:rsidRPr="00ED22D1">
              <w:rPr>
                <w:sz w:val="18"/>
                <w:szCs w:val="18"/>
                <w:lang w:val="fr-CA"/>
              </w:rPr>
              <w:t>e la phase</w:t>
            </w:r>
            <w:r w:rsidR="004A6828" w:rsidRPr="00ED22D1">
              <w:rPr>
                <w:sz w:val="18"/>
                <w:szCs w:val="18"/>
                <w:lang w:val="fr-CA"/>
              </w:rPr>
              <w:t xml:space="preserve"> </w:t>
            </w:r>
            <w:r w:rsidRPr="00ED22D1">
              <w:rPr>
                <w:sz w:val="18"/>
                <w:szCs w:val="18"/>
                <w:lang w:val="fr-CA"/>
              </w:rPr>
              <w:t xml:space="preserve">III </w:t>
            </w:r>
            <w:r w:rsidR="001F19C1" w:rsidRPr="00ED22D1">
              <w:rPr>
                <w:sz w:val="18"/>
                <w:szCs w:val="18"/>
                <w:lang w:val="fr-CA"/>
              </w:rPr>
              <w:t>du PGEH</w:t>
            </w:r>
            <w:r w:rsidRPr="00ED22D1">
              <w:rPr>
                <w:sz w:val="18"/>
                <w:szCs w:val="18"/>
                <w:lang w:val="fr-CA"/>
              </w:rPr>
              <w:t>.</w:t>
            </w:r>
          </w:p>
        </w:tc>
      </w:tr>
    </w:tbl>
    <w:p w:rsidR="0085675A" w:rsidRPr="00ED22D1" w:rsidRDefault="0085675A" w:rsidP="0085675A">
      <w:pPr>
        <w:rPr>
          <w:lang w:val="fr-CA"/>
        </w:rPr>
      </w:pPr>
    </w:p>
    <w:p w:rsidR="0085675A" w:rsidRPr="00ED22D1" w:rsidRDefault="00007379" w:rsidP="0085675A">
      <w:pPr>
        <w:rPr>
          <w:u w:val="single"/>
          <w:lang w:val="fr-CA"/>
        </w:rPr>
      </w:pPr>
      <w:r w:rsidRPr="00ED22D1">
        <w:rPr>
          <w:u w:val="single"/>
          <w:lang w:val="fr-CA"/>
        </w:rPr>
        <w:t xml:space="preserve">Examen de la demande des </w:t>
      </w:r>
      <w:r w:rsidR="0085675A" w:rsidRPr="00ED22D1">
        <w:rPr>
          <w:u w:val="single"/>
          <w:lang w:val="fr-CA"/>
        </w:rPr>
        <w:t xml:space="preserve">tranches </w:t>
      </w:r>
      <w:r w:rsidR="00921BDE" w:rsidRPr="00ED22D1">
        <w:rPr>
          <w:u w:val="single"/>
          <w:lang w:val="fr-CA"/>
        </w:rPr>
        <w:t>de la phase</w:t>
      </w:r>
      <w:r w:rsidR="004A6828" w:rsidRPr="00ED22D1">
        <w:rPr>
          <w:u w:val="single"/>
          <w:lang w:val="fr-CA"/>
        </w:rPr>
        <w:t xml:space="preserve"> </w:t>
      </w:r>
      <w:r w:rsidR="0085675A" w:rsidRPr="00ED22D1">
        <w:rPr>
          <w:u w:val="single"/>
          <w:lang w:val="fr-CA"/>
        </w:rPr>
        <w:t xml:space="preserve">II </w:t>
      </w:r>
      <w:r w:rsidR="001F19C1" w:rsidRPr="00ED22D1">
        <w:rPr>
          <w:u w:val="single"/>
          <w:lang w:val="fr-CA"/>
        </w:rPr>
        <w:t>du PGEH</w:t>
      </w:r>
      <w:r w:rsidR="0085675A" w:rsidRPr="00ED22D1">
        <w:rPr>
          <w:u w:val="single"/>
          <w:lang w:val="fr-CA"/>
        </w:rPr>
        <w:t xml:space="preserve"> </w:t>
      </w:r>
      <w:r w:rsidR="00733306" w:rsidRPr="00ED22D1">
        <w:rPr>
          <w:u w:val="single"/>
          <w:lang w:val="fr-CA"/>
        </w:rPr>
        <w:t xml:space="preserve">à la </w:t>
      </w:r>
      <w:r w:rsidRPr="00ED22D1">
        <w:rPr>
          <w:u w:val="single"/>
          <w:lang w:val="fr-CA"/>
        </w:rPr>
        <w:t>8</w:t>
      </w:r>
      <w:r w:rsidR="0085675A" w:rsidRPr="00ED22D1">
        <w:rPr>
          <w:u w:val="single"/>
          <w:lang w:val="fr-CA"/>
        </w:rPr>
        <w:t>2</w:t>
      </w:r>
      <w:r w:rsidRPr="00ED22D1">
        <w:rPr>
          <w:u w:val="single"/>
          <w:vertAlign w:val="superscript"/>
          <w:lang w:val="fr-CA"/>
        </w:rPr>
        <w:t>e</w:t>
      </w:r>
      <w:r w:rsidRPr="00ED22D1">
        <w:rPr>
          <w:u w:val="single"/>
          <w:lang w:val="fr-CA"/>
        </w:rPr>
        <w:t xml:space="preserve"> </w:t>
      </w:r>
      <w:r w:rsidR="00DD185D" w:rsidRPr="00ED22D1">
        <w:rPr>
          <w:u w:val="single"/>
          <w:lang w:val="fr-CA"/>
        </w:rPr>
        <w:t>réunion</w:t>
      </w:r>
    </w:p>
    <w:p w:rsidR="0085675A" w:rsidRPr="00ED22D1" w:rsidRDefault="0085675A" w:rsidP="0085675A">
      <w:pPr>
        <w:rPr>
          <w:lang w:val="fr-CA"/>
        </w:rPr>
      </w:pPr>
    </w:p>
    <w:p w:rsidR="0085675A" w:rsidRPr="00ED22D1" w:rsidRDefault="005A6C23" w:rsidP="005A6C23">
      <w:pPr>
        <w:pStyle w:val="Heading1"/>
        <w:numPr>
          <w:ilvl w:val="0"/>
          <w:numId w:val="0"/>
        </w:numPr>
        <w:rPr>
          <w:lang w:val="fr-CA"/>
        </w:rPr>
      </w:pPr>
      <w:r w:rsidRPr="00ED22D1">
        <w:rPr>
          <w:lang w:val="fr-CA"/>
        </w:rPr>
        <w:t>31.</w:t>
      </w:r>
      <w:r w:rsidRPr="00ED22D1">
        <w:rPr>
          <w:lang w:val="fr-CA"/>
        </w:rPr>
        <w:tab/>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1F19C1" w:rsidRPr="00ED22D1">
        <w:rPr>
          <w:lang w:val="fr-CA"/>
        </w:rPr>
        <w:t>, le PNUD, le PNUE, l’ONUDI</w:t>
      </w:r>
      <w:r w:rsidR="0085675A" w:rsidRPr="00ED22D1">
        <w:rPr>
          <w:lang w:val="fr-CA"/>
        </w:rPr>
        <w:t>,</w:t>
      </w:r>
      <w:r w:rsidR="001F19C1" w:rsidRPr="00ED22D1">
        <w:rPr>
          <w:lang w:val="fr-CA"/>
        </w:rPr>
        <w:t xml:space="preserve"> la Banque mondiale</w:t>
      </w:r>
      <w:r w:rsidR="004A6828" w:rsidRPr="00ED22D1">
        <w:rPr>
          <w:lang w:val="fr-CA"/>
        </w:rPr>
        <w:t xml:space="preserve"> et</w:t>
      </w:r>
      <w:r w:rsidR="009A6A82" w:rsidRPr="00ED22D1">
        <w:rPr>
          <w:lang w:val="fr-CA"/>
        </w:rPr>
        <w:t> </w:t>
      </w:r>
      <w:r w:rsidR="00921BDE" w:rsidRPr="00ED22D1">
        <w:rPr>
          <w:lang w:val="fr-CA"/>
        </w:rPr>
        <w:t>le</w:t>
      </w:r>
      <w:r w:rsidR="00007379" w:rsidRPr="00ED22D1">
        <w:rPr>
          <w:lang w:val="fr-CA"/>
        </w:rPr>
        <w:t>s</w:t>
      </w:r>
      <w:r w:rsidR="009A6A82" w:rsidRPr="00ED22D1">
        <w:rPr>
          <w:lang w:val="fr-CA"/>
        </w:rPr>
        <w:t> </w:t>
      </w:r>
      <w:r w:rsidR="00921BDE" w:rsidRPr="00ED22D1">
        <w:rPr>
          <w:lang w:val="fr-CA"/>
        </w:rPr>
        <w:t>gouvernement</w:t>
      </w:r>
      <w:r w:rsidR="001F19C1" w:rsidRPr="00ED22D1">
        <w:rPr>
          <w:lang w:val="fr-CA"/>
        </w:rPr>
        <w:t>s de l’Allemagne</w:t>
      </w:r>
      <w:r w:rsidR="004A6828" w:rsidRPr="00ED22D1">
        <w:rPr>
          <w:lang w:val="fr-CA"/>
        </w:rPr>
        <w:t xml:space="preserve"> et </w:t>
      </w:r>
      <w:r w:rsidR="00007379" w:rsidRPr="00ED22D1">
        <w:rPr>
          <w:lang w:val="fr-CA"/>
        </w:rPr>
        <w:t xml:space="preserve">du </w:t>
      </w:r>
      <w:r w:rsidR="004A6828" w:rsidRPr="00ED22D1">
        <w:rPr>
          <w:lang w:val="fr-CA"/>
        </w:rPr>
        <w:t>Japon</w:t>
      </w:r>
      <w:r w:rsidR="0085675A" w:rsidRPr="00ED22D1">
        <w:rPr>
          <w:lang w:val="fr-CA"/>
        </w:rPr>
        <w:t xml:space="preserve"> </w:t>
      </w:r>
      <w:r w:rsidR="00007379" w:rsidRPr="00ED22D1">
        <w:rPr>
          <w:lang w:val="fr-CA"/>
        </w:rPr>
        <w:t xml:space="preserve">ont </w:t>
      </w:r>
      <w:r w:rsidR="00FB1DC4" w:rsidRPr="00ED22D1">
        <w:rPr>
          <w:lang w:val="fr-CA"/>
        </w:rPr>
        <w:t>présenté</w:t>
      </w:r>
      <w:r w:rsidR="0085675A" w:rsidRPr="00ED22D1">
        <w:rPr>
          <w:lang w:val="fr-CA"/>
        </w:rPr>
        <w:t xml:space="preserve"> </w:t>
      </w:r>
      <w:r w:rsidR="00007379" w:rsidRPr="00ED22D1">
        <w:rPr>
          <w:lang w:val="fr-CA"/>
        </w:rPr>
        <w:t xml:space="preserve">des demandes pour les troisièmes tranches de plans </w:t>
      </w:r>
      <w:r w:rsidR="009A6A82" w:rsidRPr="00ED22D1">
        <w:rPr>
          <w:lang w:val="fr-CA"/>
        </w:rPr>
        <w:t xml:space="preserve">des secteurs </w:t>
      </w:r>
      <w:r w:rsidR="00007379" w:rsidRPr="00ED22D1">
        <w:rPr>
          <w:lang w:val="fr-CA"/>
        </w:rPr>
        <w:t xml:space="preserve">des </w:t>
      </w:r>
      <w:r w:rsidR="00921BDE" w:rsidRPr="00ED22D1">
        <w:rPr>
          <w:lang w:val="fr-CA"/>
        </w:rPr>
        <w:t>mousse</w:t>
      </w:r>
      <w:r w:rsidR="00007379" w:rsidRPr="00ED22D1">
        <w:rPr>
          <w:lang w:val="fr-CA"/>
        </w:rPr>
        <w:t>s</w:t>
      </w:r>
      <w:r w:rsidR="00921BDE" w:rsidRPr="00ED22D1">
        <w:rPr>
          <w:lang w:val="fr-CA"/>
        </w:rPr>
        <w:t xml:space="preserve"> extrudée</w:t>
      </w:r>
      <w:r w:rsidR="00007379" w:rsidRPr="00ED22D1">
        <w:rPr>
          <w:lang w:val="fr-CA"/>
        </w:rPr>
        <w:t>s</w:t>
      </w:r>
      <w:r w:rsidR="00921BDE" w:rsidRPr="00ED22D1">
        <w:rPr>
          <w:lang w:val="fr-CA"/>
        </w:rPr>
        <w:t xml:space="preserve"> (XPS)</w:t>
      </w:r>
      <w:r w:rsidR="0085675A" w:rsidRPr="00ED22D1">
        <w:rPr>
          <w:lang w:val="fr-CA"/>
        </w:rPr>
        <w:t>,</w:t>
      </w:r>
      <w:r w:rsidR="00905638" w:rsidRPr="00ED22D1">
        <w:rPr>
          <w:lang w:val="fr-CA"/>
        </w:rPr>
        <w:t xml:space="preserve"> </w:t>
      </w:r>
      <w:r w:rsidR="00007379" w:rsidRPr="00ED22D1">
        <w:rPr>
          <w:lang w:val="fr-CA"/>
        </w:rPr>
        <w:t xml:space="preserve">de la </w:t>
      </w:r>
      <w:r w:rsidR="00905638" w:rsidRPr="00ED22D1">
        <w:rPr>
          <w:lang w:val="fr-CA"/>
        </w:rPr>
        <w:t xml:space="preserve">climatisation et </w:t>
      </w:r>
      <w:r w:rsidR="00007379" w:rsidRPr="00ED22D1">
        <w:rPr>
          <w:lang w:val="fr-CA"/>
        </w:rPr>
        <w:t>de la</w:t>
      </w:r>
      <w:r w:rsidR="00905638" w:rsidRPr="00ED22D1">
        <w:rPr>
          <w:lang w:val="fr-CA"/>
        </w:rPr>
        <w:t xml:space="preserve"> réfrigération industrielle et commerciale</w:t>
      </w:r>
      <w:r w:rsidR="0085675A" w:rsidRPr="00ED22D1">
        <w:rPr>
          <w:lang w:val="fr-CA"/>
        </w:rPr>
        <w:t xml:space="preserve">, </w:t>
      </w:r>
      <w:r w:rsidR="00007379" w:rsidRPr="00ED22D1">
        <w:rPr>
          <w:lang w:val="fr-CA"/>
        </w:rPr>
        <w:t xml:space="preserve">des </w:t>
      </w:r>
      <w:r w:rsidR="0052712E" w:rsidRPr="00ED22D1">
        <w:rPr>
          <w:lang w:val="fr-CA"/>
        </w:rPr>
        <w:t>solvant</w:t>
      </w:r>
      <w:r w:rsidR="00007379" w:rsidRPr="00ED22D1">
        <w:rPr>
          <w:lang w:val="fr-CA"/>
        </w:rPr>
        <w:t>s</w:t>
      </w:r>
      <w:r w:rsidR="004A6828" w:rsidRPr="00ED22D1">
        <w:rPr>
          <w:lang w:val="fr-CA"/>
        </w:rPr>
        <w:t xml:space="preserve"> et </w:t>
      </w:r>
      <w:r w:rsidR="00181884" w:rsidRPr="00ED22D1">
        <w:rPr>
          <w:lang w:val="fr-CA"/>
        </w:rPr>
        <w:t>de l’entretien</w:t>
      </w:r>
      <w:r w:rsidR="0085675A" w:rsidRPr="00ED22D1">
        <w:rPr>
          <w:lang w:val="fr-CA"/>
        </w:rPr>
        <w:t>,</w:t>
      </w:r>
      <w:r w:rsidR="004A6828" w:rsidRPr="00ED22D1">
        <w:rPr>
          <w:lang w:val="fr-CA"/>
        </w:rPr>
        <w:t xml:space="preserve"> et </w:t>
      </w:r>
      <w:r w:rsidR="00502C24" w:rsidRPr="00ED22D1">
        <w:rPr>
          <w:lang w:val="fr-CA"/>
        </w:rPr>
        <w:t xml:space="preserve">pour la </w:t>
      </w:r>
      <w:r w:rsidR="00921BDE" w:rsidRPr="00ED22D1">
        <w:rPr>
          <w:lang w:val="fr-CA"/>
        </w:rPr>
        <w:t>deuxième</w:t>
      </w:r>
      <w:r w:rsidR="0085675A" w:rsidRPr="00ED22D1">
        <w:rPr>
          <w:lang w:val="fr-CA"/>
        </w:rPr>
        <w:t xml:space="preserve"> tranche </w:t>
      </w:r>
      <w:r w:rsidR="00502C24" w:rsidRPr="00ED22D1">
        <w:rPr>
          <w:lang w:val="fr-CA"/>
        </w:rPr>
        <w:t>du</w:t>
      </w:r>
      <w:r w:rsidR="00CA0808" w:rsidRPr="00ED22D1">
        <w:rPr>
          <w:lang w:val="fr-CA"/>
        </w:rPr>
        <w:t xml:space="preserve"> plan du secteur de la mousse de polyuréthane</w:t>
      </w:r>
      <w:r w:rsidR="0085675A" w:rsidRPr="00ED22D1">
        <w:rPr>
          <w:lang w:val="fr-CA"/>
        </w:rPr>
        <w:t xml:space="preserve"> </w:t>
      </w:r>
      <w:r w:rsidR="004B666A" w:rsidRPr="00ED22D1">
        <w:rPr>
          <w:lang w:val="fr-CA"/>
        </w:rPr>
        <w:t>associé</w:t>
      </w:r>
      <w:r w:rsidR="009A6A82" w:rsidRPr="00ED22D1">
        <w:rPr>
          <w:lang w:val="fr-CA"/>
        </w:rPr>
        <w:t xml:space="preserve"> à la</w:t>
      </w:r>
      <w:r w:rsidR="00B84F94" w:rsidRPr="00ED22D1">
        <w:rPr>
          <w:lang w:val="fr-CA"/>
        </w:rPr>
        <w:t xml:space="preserve"> </w:t>
      </w:r>
      <w:r w:rsidR="004A6828" w:rsidRPr="00ED22D1">
        <w:rPr>
          <w:lang w:val="fr-CA"/>
        </w:rPr>
        <w:t xml:space="preserve">phase </w:t>
      </w:r>
      <w:r w:rsidR="0085675A" w:rsidRPr="00ED22D1">
        <w:rPr>
          <w:lang w:val="fr-CA"/>
        </w:rPr>
        <w:t xml:space="preserve">II </w:t>
      </w:r>
      <w:r w:rsidR="001F19C1" w:rsidRPr="00ED22D1">
        <w:rPr>
          <w:lang w:val="fr-CA"/>
        </w:rPr>
        <w:t>du PGEH</w:t>
      </w:r>
      <w:r w:rsidR="0085675A" w:rsidRPr="00ED22D1">
        <w:rPr>
          <w:lang w:val="fr-CA"/>
        </w:rPr>
        <w:t xml:space="preserve"> </w:t>
      </w:r>
      <w:r w:rsidR="001B31BF" w:rsidRPr="00ED22D1">
        <w:rPr>
          <w:lang w:val="fr-CA"/>
        </w:rPr>
        <w:t>de la Chine</w:t>
      </w:r>
      <w:r w:rsidR="0085675A" w:rsidRPr="00ED22D1">
        <w:rPr>
          <w:lang w:val="fr-CA"/>
        </w:rPr>
        <w:t xml:space="preserve"> </w:t>
      </w:r>
      <w:r w:rsidR="00502C24" w:rsidRPr="00ED22D1">
        <w:rPr>
          <w:lang w:val="fr-CA"/>
        </w:rPr>
        <w:t>pour une valeur totale de </w:t>
      </w:r>
      <w:r w:rsidR="0085675A" w:rsidRPr="00ED22D1">
        <w:rPr>
          <w:lang w:val="fr-CA"/>
        </w:rPr>
        <w:t>2</w:t>
      </w:r>
      <w:r w:rsidR="004A6828" w:rsidRPr="00ED22D1">
        <w:rPr>
          <w:lang w:val="fr-CA"/>
        </w:rPr>
        <w:t>9 </w:t>
      </w:r>
      <w:r w:rsidR="0085675A" w:rsidRPr="00ED22D1">
        <w:rPr>
          <w:lang w:val="fr-CA"/>
        </w:rPr>
        <w:t>19</w:t>
      </w:r>
      <w:r w:rsidR="004A6828" w:rsidRPr="00ED22D1">
        <w:rPr>
          <w:lang w:val="fr-CA"/>
        </w:rPr>
        <w:t>9 </w:t>
      </w:r>
      <w:r w:rsidR="0085675A" w:rsidRPr="00ED22D1">
        <w:rPr>
          <w:lang w:val="fr-CA"/>
        </w:rPr>
        <w:t>49</w:t>
      </w:r>
      <w:r w:rsidR="004A6828" w:rsidRPr="00ED22D1">
        <w:rPr>
          <w:lang w:val="fr-CA"/>
        </w:rPr>
        <w:t>2</w:t>
      </w:r>
      <w:r w:rsidR="00EC100C" w:rsidRPr="00ED22D1">
        <w:rPr>
          <w:lang w:val="fr-CA"/>
        </w:rPr>
        <w:t> $US</w:t>
      </w:r>
      <w:r w:rsidR="004A6828" w:rsidRPr="00ED22D1">
        <w:rPr>
          <w:lang w:val="fr-CA"/>
        </w:rPr>
        <w:t> </w:t>
      </w:r>
      <w:r w:rsidR="0085675A" w:rsidRPr="00ED22D1">
        <w:rPr>
          <w:rStyle w:val="FootnoteReference"/>
          <w:lang w:val="fr-CA"/>
        </w:rPr>
        <w:footnoteReference w:id="5"/>
      </w:r>
      <w:r w:rsidR="00502C24" w:rsidRPr="00ED22D1">
        <w:rPr>
          <w:lang w:val="fr-CA"/>
        </w:rPr>
        <w:t xml:space="preserve">, accompagnées d’une </w:t>
      </w:r>
      <w:r w:rsidR="00921BDE" w:rsidRPr="00ED22D1">
        <w:rPr>
          <w:lang w:val="fr-CA"/>
        </w:rPr>
        <w:t>vérification</w:t>
      </w:r>
      <w:r w:rsidR="0085675A" w:rsidRPr="00ED22D1">
        <w:rPr>
          <w:lang w:val="fr-CA"/>
        </w:rPr>
        <w:t xml:space="preserve"> </w:t>
      </w:r>
      <w:r w:rsidR="00502C24" w:rsidRPr="00ED22D1">
        <w:rPr>
          <w:lang w:val="fr-CA"/>
        </w:rPr>
        <w:t xml:space="preserve">indépendante de la </w:t>
      </w:r>
      <w:r w:rsidR="0085675A" w:rsidRPr="00ED22D1">
        <w:rPr>
          <w:lang w:val="fr-CA"/>
        </w:rPr>
        <w:t>production</w:t>
      </w:r>
      <w:r w:rsidR="004A6828" w:rsidRPr="00ED22D1">
        <w:rPr>
          <w:lang w:val="fr-CA"/>
        </w:rPr>
        <w:t xml:space="preserve"> et </w:t>
      </w:r>
      <w:r w:rsidR="00502C24" w:rsidRPr="00ED22D1">
        <w:rPr>
          <w:lang w:val="fr-CA"/>
        </w:rPr>
        <w:t xml:space="preserve">de la </w:t>
      </w:r>
      <w:r w:rsidR="00181884" w:rsidRPr="00ED22D1">
        <w:rPr>
          <w:lang w:val="fr-CA"/>
        </w:rPr>
        <w:t>consommation</w:t>
      </w:r>
      <w:r w:rsidR="00502C24" w:rsidRPr="00ED22D1">
        <w:rPr>
          <w:lang w:val="fr-CA"/>
        </w:rPr>
        <w:t xml:space="preserve"> de HCFC</w:t>
      </w:r>
      <w:r w:rsidR="0085675A" w:rsidRPr="00ED22D1">
        <w:rPr>
          <w:lang w:val="fr-CA"/>
        </w:rPr>
        <w:t xml:space="preserve"> </w:t>
      </w:r>
      <w:r w:rsidR="0052712E" w:rsidRPr="00ED22D1">
        <w:rPr>
          <w:lang w:val="fr-CA"/>
        </w:rPr>
        <w:t>en 20</w:t>
      </w:r>
      <w:r w:rsidR="0085675A" w:rsidRPr="00ED22D1">
        <w:rPr>
          <w:lang w:val="fr-CA"/>
        </w:rPr>
        <w:t>17 (</w:t>
      </w:r>
      <w:r w:rsidR="004A6828" w:rsidRPr="00ED22D1">
        <w:rPr>
          <w:lang w:val="fr-CA"/>
        </w:rPr>
        <w:t>Banque mondiale</w:t>
      </w:r>
      <w:r w:rsidR="0085675A" w:rsidRPr="00ED22D1">
        <w:rPr>
          <w:lang w:val="fr-CA"/>
        </w:rPr>
        <w:t xml:space="preserve">), </w:t>
      </w:r>
      <w:r w:rsidR="00502C24" w:rsidRPr="00ED22D1">
        <w:rPr>
          <w:lang w:val="fr-CA"/>
        </w:rPr>
        <w:t xml:space="preserve">des rapports annuels de </w:t>
      </w:r>
      <w:r w:rsidR="00921BDE" w:rsidRPr="00ED22D1">
        <w:rPr>
          <w:lang w:val="fr-CA"/>
        </w:rPr>
        <w:t xml:space="preserve">mise en oeuvre </w:t>
      </w:r>
      <w:r w:rsidR="00502C24" w:rsidRPr="00ED22D1">
        <w:rPr>
          <w:lang w:val="fr-CA"/>
        </w:rPr>
        <w:t xml:space="preserve">sur les </w:t>
      </w:r>
      <w:r w:rsidR="001B45EC" w:rsidRPr="00ED22D1">
        <w:rPr>
          <w:lang w:val="fr-CA"/>
        </w:rPr>
        <w:t>activités</w:t>
      </w:r>
      <w:r w:rsidR="0085675A" w:rsidRPr="00ED22D1">
        <w:rPr>
          <w:lang w:val="fr-CA"/>
        </w:rPr>
        <w:t xml:space="preserve"> </w:t>
      </w:r>
      <w:r w:rsidR="00502C24" w:rsidRPr="00ED22D1">
        <w:rPr>
          <w:lang w:val="fr-CA"/>
        </w:rPr>
        <w:t>effectuées jusqu’à maintenant</w:t>
      </w:r>
      <w:r w:rsidR="0085675A" w:rsidRPr="00ED22D1">
        <w:rPr>
          <w:lang w:val="fr-CA"/>
        </w:rPr>
        <w:t>,</w:t>
      </w:r>
      <w:r w:rsidR="004A6828" w:rsidRPr="00ED22D1">
        <w:rPr>
          <w:lang w:val="fr-CA"/>
        </w:rPr>
        <w:t xml:space="preserve"> et </w:t>
      </w:r>
      <w:r w:rsidR="00502C24" w:rsidRPr="00ED22D1">
        <w:rPr>
          <w:lang w:val="fr-CA"/>
        </w:rPr>
        <w:t xml:space="preserve">des plans annuels de </w:t>
      </w:r>
      <w:r w:rsidR="00921BDE" w:rsidRPr="00ED22D1">
        <w:rPr>
          <w:lang w:val="fr-CA"/>
        </w:rPr>
        <w:t xml:space="preserve">mise en oeuvre </w:t>
      </w:r>
      <w:r w:rsidR="00502C24" w:rsidRPr="00ED22D1">
        <w:rPr>
          <w:lang w:val="fr-CA"/>
        </w:rPr>
        <w:t xml:space="preserve">pour les </w:t>
      </w:r>
      <w:r w:rsidR="001B45EC" w:rsidRPr="00ED22D1">
        <w:rPr>
          <w:lang w:val="fr-CA"/>
        </w:rPr>
        <w:t>activités</w:t>
      </w:r>
      <w:r w:rsidR="0085675A" w:rsidRPr="00ED22D1">
        <w:rPr>
          <w:lang w:val="fr-CA"/>
        </w:rPr>
        <w:t xml:space="preserve"> </w:t>
      </w:r>
      <w:r w:rsidR="00502C24" w:rsidRPr="00ED22D1">
        <w:rPr>
          <w:lang w:val="fr-CA"/>
        </w:rPr>
        <w:t xml:space="preserve">à mettre en oeuvre </w:t>
      </w:r>
      <w:r w:rsidR="0052712E" w:rsidRPr="00ED22D1">
        <w:rPr>
          <w:lang w:val="fr-CA"/>
        </w:rPr>
        <w:t>en 20</w:t>
      </w:r>
      <w:r w:rsidR="0085675A" w:rsidRPr="00ED22D1">
        <w:rPr>
          <w:lang w:val="fr-CA"/>
        </w:rPr>
        <w:t>18</w:t>
      </w:r>
      <w:r w:rsidR="0085675A" w:rsidRPr="00ED22D1">
        <w:rPr>
          <w:lang w:val="fr-CA"/>
        </w:rPr>
        <w:noBreakHyphen/>
        <w:t>201</w:t>
      </w:r>
      <w:r w:rsidR="004A6828" w:rsidRPr="00ED22D1">
        <w:rPr>
          <w:lang w:val="fr-CA"/>
        </w:rPr>
        <w:t>9</w:t>
      </w:r>
      <w:r w:rsidR="00502C24" w:rsidRPr="00ED22D1">
        <w:rPr>
          <w:lang w:val="fr-CA"/>
        </w:rPr>
        <w:t>.</w:t>
      </w:r>
    </w:p>
    <w:p w:rsidR="0085675A" w:rsidRPr="00ED22D1" w:rsidRDefault="005A6C23" w:rsidP="005A6C23">
      <w:pPr>
        <w:pStyle w:val="Heading1"/>
        <w:numPr>
          <w:ilvl w:val="0"/>
          <w:numId w:val="0"/>
        </w:numPr>
        <w:rPr>
          <w:lang w:val="fr-CA"/>
        </w:rPr>
      </w:pPr>
      <w:r w:rsidRPr="00ED22D1">
        <w:rPr>
          <w:lang w:val="fr-CA"/>
        </w:rPr>
        <w:t>32.</w:t>
      </w:r>
      <w:r w:rsidRPr="00ED22D1">
        <w:rPr>
          <w:lang w:val="fr-CA"/>
        </w:rPr>
        <w:tab/>
      </w:r>
      <w:r w:rsidR="00502C24" w:rsidRPr="00ED22D1">
        <w:rPr>
          <w:lang w:val="fr-CA"/>
        </w:rPr>
        <w:t xml:space="preserve">Après examen des </w:t>
      </w:r>
      <w:r w:rsidR="00D26EF9" w:rsidRPr="00ED22D1">
        <w:rPr>
          <w:lang w:val="fr-CA"/>
        </w:rPr>
        <w:t>propositions de projets</w:t>
      </w:r>
      <w:r w:rsidR="004A6828" w:rsidRPr="00ED22D1">
        <w:rPr>
          <w:lang w:val="fr-CA"/>
        </w:rPr>
        <w:t xml:space="preserve"> et </w:t>
      </w:r>
      <w:r w:rsidR="00502C24" w:rsidRPr="00ED22D1">
        <w:rPr>
          <w:lang w:val="fr-CA"/>
        </w:rPr>
        <w:t xml:space="preserve">des </w:t>
      </w:r>
      <w:r w:rsidR="0085675A" w:rsidRPr="00ED22D1">
        <w:rPr>
          <w:lang w:val="fr-CA"/>
        </w:rPr>
        <w:t xml:space="preserve">documents </w:t>
      </w:r>
      <w:r w:rsidR="004B666A" w:rsidRPr="00ED22D1">
        <w:rPr>
          <w:lang w:val="fr-CA"/>
        </w:rPr>
        <w:t>associé</w:t>
      </w:r>
      <w:r w:rsidR="00502C24" w:rsidRPr="00ED22D1">
        <w:rPr>
          <w:lang w:val="fr-CA"/>
        </w:rPr>
        <w:t xml:space="preserve">s aux demandes de la </w:t>
      </w:r>
      <w:r w:rsidR="004A6828" w:rsidRPr="00ED22D1">
        <w:rPr>
          <w:lang w:val="fr-CA"/>
        </w:rPr>
        <w:t>troisième</w:t>
      </w:r>
      <w:r w:rsidR="0085675A" w:rsidRPr="00ED22D1">
        <w:rPr>
          <w:lang w:val="fr-CA"/>
        </w:rPr>
        <w:t xml:space="preserve"> tranche </w:t>
      </w:r>
      <w:r w:rsidR="009A6A82" w:rsidRPr="00ED22D1">
        <w:rPr>
          <w:lang w:val="fr-CA"/>
        </w:rPr>
        <w:t>des</w:t>
      </w:r>
      <w:r w:rsidR="00502C24" w:rsidRPr="00ED22D1">
        <w:rPr>
          <w:lang w:val="fr-CA"/>
        </w:rPr>
        <w:t xml:space="preserve"> plans des </w:t>
      </w:r>
      <w:r w:rsidR="009A6A82" w:rsidRPr="00ED22D1">
        <w:rPr>
          <w:lang w:val="fr-CA"/>
        </w:rPr>
        <w:t xml:space="preserve">secteurs des </w:t>
      </w:r>
      <w:r w:rsidR="00502C24" w:rsidRPr="00ED22D1">
        <w:rPr>
          <w:lang w:val="fr-CA"/>
        </w:rPr>
        <w:t xml:space="preserve">mousses extrudées </w:t>
      </w:r>
      <w:r w:rsidR="00921BDE" w:rsidRPr="00ED22D1">
        <w:rPr>
          <w:lang w:val="fr-CA"/>
        </w:rPr>
        <w:t>(XPS)</w:t>
      </w:r>
      <w:r w:rsidR="0085675A" w:rsidRPr="00ED22D1">
        <w:rPr>
          <w:lang w:val="fr-CA"/>
        </w:rPr>
        <w:t>,</w:t>
      </w:r>
      <w:r w:rsidR="00905638" w:rsidRPr="00ED22D1">
        <w:rPr>
          <w:lang w:val="fr-CA"/>
        </w:rPr>
        <w:t xml:space="preserve"> </w:t>
      </w:r>
      <w:r w:rsidR="00502C24" w:rsidRPr="00ED22D1">
        <w:rPr>
          <w:lang w:val="fr-CA"/>
        </w:rPr>
        <w:t xml:space="preserve">de la </w:t>
      </w:r>
      <w:r w:rsidR="00905638" w:rsidRPr="00ED22D1">
        <w:rPr>
          <w:lang w:val="fr-CA"/>
        </w:rPr>
        <w:t xml:space="preserve">climatisation et </w:t>
      </w:r>
      <w:r w:rsidR="00502C24" w:rsidRPr="00ED22D1">
        <w:rPr>
          <w:lang w:val="fr-CA"/>
        </w:rPr>
        <w:t>de la</w:t>
      </w:r>
      <w:r w:rsidR="00905638" w:rsidRPr="00ED22D1">
        <w:rPr>
          <w:lang w:val="fr-CA"/>
        </w:rPr>
        <w:t xml:space="preserve"> réfrigération industrielle et commerciale</w:t>
      </w:r>
      <w:r w:rsidR="0085675A" w:rsidRPr="00ED22D1">
        <w:rPr>
          <w:lang w:val="fr-CA"/>
        </w:rPr>
        <w:t xml:space="preserve">, </w:t>
      </w:r>
      <w:r w:rsidR="00502C24" w:rsidRPr="00ED22D1">
        <w:rPr>
          <w:lang w:val="fr-CA"/>
        </w:rPr>
        <w:t xml:space="preserve">des </w:t>
      </w:r>
      <w:r w:rsidR="0052712E" w:rsidRPr="00ED22D1">
        <w:rPr>
          <w:lang w:val="fr-CA"/>
        </w:rPr>
        <w:t>solvant</w:t>
      </w:r>
      <w:r w:rsidR="00502C24" w:rsidRPr="00ED22D1">
        <w:rPr>
          <w:lang w:val="fr-CA"/>
        </w:rPr>
        <w:t>s</w:t>
      </w:r>
      <w:r w:rsidR="004A6828" w:rsidRPr="00ED22D1">
        <w:rPr>
          <w:lang w:val="fr-CA"/>
        </w:rPr>
        <w:t xml:space="preserve"> et </w:t>
      </w:r>
      <w:r w:rsidR="00181884" w:rsidRPr="00ED22D1">
        <w:rPr>
          <w:lang w:val="fr-CA"/>
        </w:rPr>
        <w:t>de l’entretien en réfrigération</w:t>
      </w:r>
      <w:r w:rsidR="0085675A" w:rsidRPr="00ED22D1">
        <w:rPr>
          <w:lang w:val="fr-CA"/>
        </w:rPr>
        <w:t>,</w:t>
      </w:r>
      <w:r w:rsidR="00DD185D" w:rsidRPr="00ED22D1">
        <w:rPr>
          <w:lang w:val="fr-CA"/>
        </w:rPr>
        <w:t xml:space="preserve"> le Secrétariat</w:t>
      </w:r>
      <w:r w:rsidR="0085675A" w:rsidRPr="00ED22D1">
        <w:rPr>
          <w:lang w:val="fr-CA"/>
        </w:rPr>
        <w:t xml:space="preserve"> </w:t>
      </w:r>
      <w:r w:rsidR="00502C24" w:rsidRPr="00ED22D1">
        <w:rPr>
          <w:lang w:val="fr-CA"/>
        </w:rPr>
        <w:t>a</w:t>
      </w:r>
      <w:r w:rsidR="009A6A82" w:rsidRPr="00ED22D1">
        <w:rPr>
          <w:lang w:val="fr-CA"/>
        </w:rPr>
        <w:t> </w:t>
      </w:r>
      <w:r w:rsidR="00502C24" w:rsidRPr="00ED22D1">
        <w:rPr>
          <w:lang w:val="fr-CA"/>
        </w:rPr>
        <w:t>conclu que tou</w:t>
      </w:r>
      <w:r w:rsidR="00E81764" w:rsidRPr="00ED22D1">
        <w:rPr>
          <w:lang w:val="fr-CA"/>
        </w:rPr>
        <w:t>t</w:t>
      </w:r>
      <w:r w:rsidR="00502C24" w:rsidRPr="00ED22D1">
        <w:rPr>
          <w:lang w:val="fr-CA"/>
        </w:rPr>
        <w:t xml:space="preserve"> était bien fondé et qu’</w:t>
      </w:r>
      <w:r w:rsidR="00E81764" w:rsidRPr="00ED22D1">
        <w:rPr>
          <w:lang w:val="fr-CA"/>
        </w:rPr>
        <w:t>on</w:t>
      </w:r>
      <w:r w:rsidR="00502C24" w:rsidRPr="00ED22D1">
        <w:rPr>
          <w:lang w:val="fr-CA"/>
        </w:rPr>
        <w:t xml:space="preserve"> pouvait présenter </w:t>
      </w:r>
      <w:r w:rsidR="00E81764" w:rsidRPr="00ED22D1">
        <w:rPr>
          <w:lang w:val="fr-CA"/>
        </w:rPr>
        <w:t>une</w:t>
      </w:r>
      <w:r w:rsidR="00502C24" w:rsidRPr="00ED22D1">
        <w:rPr>
          <w:lang w:val="fr-CA"/>
        </w:rPr>
        <w:t xml:space="preserve"> demande pour examen </w:t>
      </w:r>
      <w:r w:rsidR="00E81764" w:rsidRPr="00ED22D1">
        <w:rPr>
          <w:lang w:val="fr-CA"/>
        </w:rPr>
        <w:t xml:space="preserve">à la </w:t>
      </w:r>
      <w:r w:rsidR="00502C24" w:rsidRPr="00ED22D1">
        <w:rPr>
          <w:lang w:val="fr-CA"/>
        </w:rPr>
        <w:t>8</w:t>
      </w:r>
      <w:r w:rsidR="0085675A" w:rsidRPr="00ED22D1">
        <w:rPr>
          <w:lang w:val="fr-CA"/>
        </w:rPr>
        <w:t>2</w:t>
      </w:r>
      <w:r w:rsidR="00502C24" w:rsidRPr="00ED22D1">
        <w:rPr>
          <w:vertAlign w:val="superscript"/>
          <w:lang w:val="fr-CA"/>
        </w:rPr>
        <w:t>e</w:t>
      </w:r>
      <w:r w:rsidR="00502C24" w:rsidRPr="00ED22D1">
        <w:rPr>
          <w:lang w:val="fr-CA"/>
        </w:rPr>
        <w:t xml:space="preserve"> </w:t>
      </w:r>
      <w:r w:rsidR="00DD185D" w:rsidRPr="00ED22D1">
        <w:rPr>
          <w:lang w:val="fr-CA"/>
        </w:rPr>
        <w:t>réunion</w:t>
      </w:r>
      <w:r w:rsidR="0085675A" w:rsidRPr="00ED22D1">
        <w:rPr>
          <w:lang w:val="fr-CA"/>
        </w:rPr>
        <w:t xml:space="preserve">. </w:t>
      </w:r>
      <w:r w:rsidR="00E81764" w:rsidRPr="00ED22D1">
        <w:rPr>
          <w:lang w:val="fr-CA"/>
        </w:rPr>
        <w:t>Toutefois, la demande</w:t>
      </w:r>
      <w:r w:rsidR="0085675A" w:rsidRPr="00ED22D1">
        <w:rPr>
          <w:lang w:val="fr-CA"/>
        </w:rPr>
        <w:t xml:space="preserve"> </w:t>
      </w:r>
      <w:r w:rsidR="00E81764" w:rsidRPr="00ED22D1">
        <w:rPr>
          <w:lang w:val="fr-CA"/>
        </w:rPr>
        <w:t xml:space="preserve">pour la </w:t>
      </w:r>
      <w:r w:rsidR="00921BDE" w:rsidRPr="00ED22D1">
        <w:rPr>
          <w:lang w:val="fr-CA"/>
        </w:rPr>
        <w:t>deuxième</w:t>
      </w:r>
      <w:r w:rsidR="0085675A" w:rsidRPr="00ED22D1">
        <w:rPr>
          <w:lang w:val="fr-CA"/>
        </w:rPr>
        <w:t xml:space="preserve"> tranche </w:t>
      </w:r>
      <w:r w:rsidR="00502C24" w:rsidRPr="00ED22D1">
        <w:rPr>
          <w:lang w:val="fr-CA"/>
        </w:rPr>
        <w:t xml:space="preserve">du plan </w:t>
      </w:r>
      <w:r w:rsidR="00CA0808" w:rsidRPr="00ED22D1">
        <w:rPr>
          <w:lang w:val="fr-CA"/>
        </w:rPr>
        <w:t>du secteur de la mousse de polyuréthane</w:t>
      </w:r>
      <w:r w:rsidR="00E81764" w:rsidRPr="00ED22D1">
        <w:rPr>
          <w:lang w:val="fr-CA"/>
        </w:rPr>
        <w:t xml:space="preserve"> n’a pas été présentée pour examen à la 8</w:t>
      </w:r>
      <w:r w:rsidR="0085675A" w:rsidRPr="00ED22D1">
        <w:rPr>
          <w:lang w:val="fr-CA"/>
        </w:rPr>
        <w:t>2</w:t>
      </w:r>
      <w:r w:rsidR="00E81764" w:rsidRPr="00ED22D1">
        <w:rPr>
          <w:vertAlign w:val="superscript"/>
          <w:lang w:val="fr-CA"/>
        </w:rPr>
        <w:t>e</w:t>
      </w:r>
      <w:r w:rsidR="00E81764" w:rsidRPr="00ED22D1">
        <w:rPr>
          <w:lang w:val="fr-CA"/>
        </w:rPr>
        <w:t xml:space="preserve"> </w:t>
      </w:r>
      <w:r w:rsidR="00DD185D" w:rsidRPr="00ED22D1">
        <w:rPr>
          <w:lang w:val="fr-CA"/>
        </w:rPr>
        <w:t>réunion</w:t>
      </w:r>
      <w:r w:rsidR="00E81764" w:rsidRPr="00ED22D1">
        <w:rPr>
          <w:lang w:val="fr-CA"/>
        </w:rPr>
        <w:t xml:space="preserve">, parce qu’aucun décaissement pour la </w:t>
      </w:r>
      <w:r w:rsidR="00181884" w:rsidRPr="00ED22D1">
        <w:rPr>
          <w:lang w:val="fr-CA"/>
        </w:rPr>
        <w:t>première</w:t>
      </w:r>
      <w:r w:rsidR="0085675A" w:rsidRPr="00ED22D1">
        <w:rPr>
          <w:lang w:val="fr-CA"/>
        </w:rPr>
        <w:t xml:space="preserve"> tranche </w:t>
      </w:r>
      <w:r w:rsidR="00E81764" w:rsidRPr="00ED22D1">
        <w:rPr>
          <w:lang w:val="fr-CA"/>
        </w:rPr>
        <w:t>n’avait eu lieu au moment de la présentation</w:t>
      </w:r>
      <w:r w:rsidR="0085675A" w:rsidRPr="00ED22D1">
        <w:rPr>
          <w:lang w:val="fr-CA"/>
        </w:rPr>
        <w:t xml:space="preserve">. </w:t>
      </w:r>
    </w:p>
    <w:p w:rsidR="0085675A" w:rsidRPr="00ED22D1" w:rsidRDefault="005A6C23" w:rsidP="005A6C23">
      <w:pPr>
        <w:pStyle w:val="Heading1"/>
        <w:numPr>
          <w:ilvl w:val="0"/>
          <w:numId w:val="0"/>
        </w:numPr>
        <w:rPr>
          <w:lang w:val="fr-CA"/>
        </w:rPr>
      </w:pPr>
      <w:r w:rsidRPr="00ED22D1">
        <w:rPr>
          <w:lang w:val="fr-CA"/>
        </w:rPr>
        <w:t>33.</w:t>
      </w:r>
      <w:r w:rsidRPr="00ED22D1">
        <w:rPr>
          <w:lang w:val="fr-CA"/>
        </w:rPr>
        <w:tab/>
      </w:r>
      <w:r w:rsidR="00E81764" w:rsidRPr="00ED22D1">
        <w:rPr>
          <w:lang w:val="fr-CA"/>
        </w:rPr>
        <w:t xml:space="preserve">Lors de la discussion des demandes de la </w:t>
      </w:r>
      <w:r w:rsidR="0085675A" w:rsidRPr="00ED22D1">
        <w:rPr>
          <w:lang w:val="fr-CA"/>
        </w:rPr>
        <w:t xml:space="preserve">tranche </w:t>
      </w:r>
      <w:r w:rsidR="00733306" w:rsidRPr="00ED22D1">
        <w:rPr>
          <w:lang w:val="fr-CA"/>
        </w:rPr>
        <w:t xml:space="preserve">à la </w:t>
      </w:r>
      <w:r w:rsidR="00E81764" w:rsidRPr="00ED22D1">
        <w:rPr>
          <w:lang w:val="fr-CA"/>
        </w:rPr>
        <w:t>8</w:t>
      </w:r>
      <w:r w:rsidR="0085675A" w:rsidRPr="00ED22D1">
        <w:rPr>
          <w:lang w:val="fr-CA"/>
        </w:rPr>
        <w:t>2</w:t>
      </w:r>
      <w:r w:rsidR="00E81764" w:rsidRPr="00ED22D1">
        <w:rPr>
          <w:vertAlign w:val="superscript"/>
          <w:lang w:val="fr-CA"/>
        </w:rPr>
        <w:t>e</w:t>
      </w:r>
      <w:r w:rsidR="00E81764" w:rsidRPr="00ED22D1">
        <w:rPr>
          <w:lang w:val="fr-CA"/>
        </w:rPr>
        <w:t xml:space="preserve"> </w:t>
      </w:r>
      <w:r w:rsidR="00DD185D" w:rsidRPr="00ED22D1">
        <w:rPr>
          <w:lang w:val="fr-CA"/>
        </w:rPr>
        <w:t>réunion</w:t>
      </w:r>
      <w:r w:rsidR="0085675A" w:rsidRPr="00ED22D1">
        <w:rPr>
          <w:lang w:val="fr-CA"/>
        </w:rPr>
        <w:t xml:space="preserve">, </w:t>
      </w:r>
      <w:r w:rsidR="00E81764" w:rsidRPr="00ED22D1">
        <w:rPr>
          <w:lang w:val="fr-CA"/>
        </w:rPr>
        <w:t>plusieurs membres se sont dits très préoccupés en ce qui a trait à l’approbation d’un financement supplémentaire</w:t>
      </w:r>
      <w:r w:rsidR="0085675A" w:rsidRPr="00ED22D1">
        <w:rPr>
          <w:lang w:val="fr-CA"/>
        </w:rPr>
        <w:t xml:space="preserve"> </w:t>
      </w:r>
      <w:r w:rsidR="00E81764" w:rsidRPr="00ED22D1">
        <w:rPr>
          <w:lang w:val="fr-CA"/>
        </w:rPr>
        <w:t xml:space="preserve">à cette </w:t>
      </w:r>
      <w:r w:rsidR="00DD185D" w:rsidRPr="00ED22D1">
        <w:rPr>
          <w:lang w:val="fr-CA"/>
        </w:rPr>
        <w:t>réunion</w:t>
      </w:r>
      <w:r w:rsidR="00E81764" w:rsidRPr="00ED22D1">
        <w:rPr>
          <w:lang w:val="fr-CA"/>
        </w:rPr>
        <w:t>, étant donné les é</w:t>
      </w:r>
      <w:r w:rsidR="0085675A" w:rsidRPr="00ED22D1">
        <w:rPr>
          <w:lang w:val="fr-CA"/>
        </w:rPr>
        <w:t xml:space="preserve">missions </w:t>
      </w:r>
      <w:r w:rsidR="00E81764" w:rsidRPr="00ED22D1">
        <w:rPr>
          <w:lang w:val="fr-CA"/>
        </w:rPr>
        <w:t>non expliquées de</w:t>
      </w:r>
      <w:r w:rsidR="0085675A" w:rsidRPr="00ED22D1">
        <w:rPr>
          <w:lang w:val="fr-CA"/>
        </w:rPr>
        <w:t xml:space="preserve"> CFC-11 </w:t>
      </w:r>
      <w:r w:rsidR="00E81764" w:rsidRPr="00ED22D1">
        <w:rPr>
          <w:lang w:val="fr-CA"/>
        </w:rPr>
        <w:t>e</w:t>
      </w:r>
      <w:r w:rsidR="0085675A" w:rsidRPr="00ED22D1">
        <w:rPr>
          <w:lang w:val="fr-CA"/>
        </w:rPr>
        <w:t xml:space="preserve">n </w:t>
      </w:r>
      <w:r w:rsidR="00E81764" w:rsidRPr="00ED22D1">
        <w:rPr>
          <w:lang w:val="fr-CA"/>
        </w:rPr>
        <w:t>Extrême-Orient</w:t>
      </w:r>
      <w:r w:rsidR="0085675A" w:rsidRPr="00ED22D1">
        <w:rPr>
          <w:lang w:val="fr-CA"/>
        </w:rPr>
        <w:t xml:space="preserve">. </w:t>
      </w:r>
      <w:r w:rsidR="00393F6B" w:rsidRPr="00ED22D1">
        <w:rPr>
          <w:lang w:val="fr-CA"/>
        </w:rPr>
        <w:t>On s’inquiétait aussi des données fiables mais incomplètes sur des problèmes de conformité possibles.</w:t>
      </w:r>
      <w:r w:rsidR="0085675A" w:rsidRPr="00ED22D1">
        <w:rPr>
          <w:lang w:val="fr-CA"/>
        </w:rPr>
        <w:t xml:space="preserve"> </w:t>
      </w:r>
      <w:r w:rsidR="00393F6B" w:rsidRPr="00ED22D1">
        <w:rPr>
          <w:lang w:val="fr-CA"/>
        </w:rPr>
        <w:t>Un membre</w:t>
      </w:r>
      <w:r w:rsidR="0085675A" w:rsidRPr="00ED22D1">
        <w:rPr>
          <w:lang w:val="fr-CA"/>
        </w:rPr>
        <w:t xml:space="preserve"> </w:t>
      </w:r>
      <w:r w:rsidR="00393F6B" w:rsidRPr="00ED22D1">
        <w:rPr>
          <w:lang w:val="fr-CA"/>
        </w:rPr>
        <w:t xml:space="preserve">a souligné que </w:t>
      </w:r>
      <w:r w:rsidR="00921BDE" w:rsidRPr="00ED22D1">
        <w:rPr>
          <w:lang w:val="fr-CA"/>
        </w:rPr>
        <w:t>le</w:t>
      </w:r>
      <w:r w:rsidR="0099268B" w:rsidRPr="00ED22D1">
        <w:rPr>
          <w:lang w:val="fr-CA"/>
        </w:rPr>
        <w:t> </w:t>
      </w:r>
      <w:r w:rsidR="00921BDE" w:rsidRPr="00ED22D1">
        <w:rPr>
          <w:lang w:val="fr-CA"/>
        </w:rPr>
        <w:t>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393F6B" w:rsidRPr="00ED22D1">
        <w:rPr>
          <w:lang w:val="fr-CA"/>
        </w:rPr>
        <w:t xml:space="preserve">avait confirmé à la Trentième </w:t>
      </w:r>
      <w:r w:rsidR="00DD185D" w:rsidRPr="00ED22D1">
        <w:rPr>
          <w:lang w:val="fr-CA"/>
        </w:rPr>
        <w:t>réunion</w:t>
      </w:r>
      <w:r w:rsidR="0085675A" w:rsidRPr="00ED22D1">
        <w:rPr>
          <w:lang w:val="fr-CA"/>
        </w:rPr>
        <w:t xml:space="preserve"> </w:t>
      </w:r>
      <w:r w:rsidR="00393F6B" w:rsidRPr="00ED22D1">
        <w:rPr>
          <w:lang w:val="fr-CA"/>
        </w:rPr>
        <w:t>des</w:t>
      </w:r>
      <w:r w:rsidR="0085675A" w:rsidRPr="00ED22D1">
        <w:rPr>
          <w:lang w:val="fr-CA"/>
        </w:rPr>
        <w:t xml:space="preserve"> Parties </w:t>
      </w:r>
      <w:r w:rsidR="00393F6B" w:rsidRPr="00ED22D1">
        <w:rPr>
          <w:lang w:val="fr-CA"/>
        </w:rPr>
        <w:t xml:space="preserve">qu’il avait repéré une production illicite de </w:t>
      </w:r>
      <w:r w:rsidR="0085675A" w:rsidRPr="00ED22D1">
        <w:rPr>
          <w:lang w:val="fr-CA"/>
        </w:rPr>
        <w:t>CFC-1</w:t>
      </w:r>
      <w:r w:rsidR="004A6828" w:rsidRPr="00ED22D1">
        <w:rPr>
          <w:lang w:val="fr-CA"/>
        </w:rPr>
        <w:t>1</w:t>
      </w:r>
      <w:r w:rsidR="00393F6B" w:rsidRPr="00ED22D1">
        <w:rPr>
          <w:lang w:val="fr-CA"/>
        </w:rPr>
        <w:t>.</w:t>
      </w:r>
      <w:r w:rsidR="0085675A" w:rsidRPr="00ED22D1">
        <w:rPr>
          <w:lang w:val="fr-CA"/>
        </w:rPr>
        <w:t xml:space="preserve"> </w:t>
      </w:r>
      <w:r w:rsidR="00393F6B" w:rsidRPr="00ED22D1">
        <w:rPr>
          <w:lang w:val="fr-CA"/>
        </w:rPr>
        <w:t xml:space="preserve">En fonction de la </w:t>
      </w:r>
      <w:r w:rsidR="00AA6E77" w:rsidRPr="00ED22D1">
        <w:rPr>
          <w:lang w:val="fr-CA"/>
        </w:rPr>
        <w:t>décision</w:t>
      </w:r>
      <w:r w:rsidR="0085675A" w:rsidRPr="00ED22D1">
        <w:rPr>
          <w:lang w:val="fr-CA"/>
        </w:rPr>
        <w:t> XXX/3</w:t>
      </w:r>
      <w:r w:rsidR="00393F6B" w:rsidRPr="00ED22D1">
        <w:rPr>
          <w:lang w:val="fr-CA"/>
        </w:rPr>
        <w:t>,</w:t>
      </w:r>
      <w:r w:rsidR="0085675A" w:rsidRPr="00ED22D1">
        <w:rPr>
          <w:lang w:val="fr-CA"/>
        </w:rPr>
        <w:t xml:space="preserve"> </w:t>
      </w:r>
      <w:r w:rsidR="00393F6B" w:rsidRPr="00ED22D1">
        <w:rPr>
          <w:lang w:val="fr-CA"/>
        </w:rPr>
        <w:t xml:space="preserve">d’autres renseignements avaient été demandés sur la </w:t>
      </w:r>
      <w:r w:rsidR="0085675A" w:rsidRPr="00ED22D1">
        <w:rPr>
          <w:lang w:val="fr-CA"/>
        </w:rPr>
        <w:t xml:space="preserve">cause </w:t>
      </w:r>
      <w:r w:rsidR="00393F6B" w:rsidRPr="00ED22D1">
        <w:rPr>
          <w:lang w:val="fr-CA"/>
        </w:rPr>
        <w:t>des</w:t>
      </w:r>
      <w:r w:rsidR="009D5338" w:rsidRPr="00ED22D1">
        <w:rPr>
          <w:lang w:val="fr-CA"/>
        </w:rPr>
        <w:t xml:space="preserve"> émission</w:t>
      </w:r>
      <w:r w:rsidR="0085675A" w:rsidRPr="00ED22D1">
        <w:rPr>
          <w:lang w:val="fr-CA"/>
        </w:rPr>
        <w:t xml:space="preserve">s </w:t>
      </w:r>
      <w:r w:rsidR="00393F6B" w:rsidRPr="00ED22D1">
        <w:rPr>
          <w:lang w:val="fr-CA"/>
        </w:rPr>
        <w:t>de</w:t>
      </w:r>
      <w:r w:rsidR="0085675A" w:rsidRPr="00ED22D1">
        <w:rPr>
          <w:lang w:val="fr-CA"/>
        </w:rPr>
        <w:t xml:space="preserve"> CFC-11</w:t>
      </w:r>
      <w:r w:rsidR="00393F6B" w:rsidRPr="00ED22D1">
        <w:rPr>
          <w:lang w:val="fr-CA"/>
        </w:rPr>
        <w:t>, et il a été suggéré de reporter la demande de</w:t>
      </w:r>
      <w:r w:rsidR="0099268B" w:rsidRPr="00ED22D1">
        <w:rPr>
          <w:lang w:val="fr-CA"/>
        </w:rPr>
        <w:t> </w:t>
      </w:r>
      <w:r w:rsidR="00D15079" w:rsidRPr="00ED22D1">
        <w:rPr>
          <w:lang w:val="fr-CA"/>
        </w:rPr>
        <w:t>financement</w:t>
      </w:r>
      <w:r w:rsidR="0085675A" w:rsidRPr="00ED22D1">
        <w:rPr>
          <w:lang w:val="fr-CA"/>
        </w:rPr>
        <w:t xml:space="preserve"> </w:t>
      </w:r>
      <w:r w:rsidR="00393F6B" w:rsidRPr="00ED22D1">
        <w:rPr>
          <w:lang w:val="fr-CA"/>
        </w:rPr>
        <w:t xml:space="preserve">à une réunion ultérieure du </w:t>
      </w:r>
      <w:r w:rsidR="00DD185D" w:rsidRPr="00ED22D1">
        <w:rPr>
          <w:lang w:val="fr-CA"/>
        </w:rPr>
        <w:t>Comité exécutif</w:t>
      </w:r>
      <w:r w:rsidR="0085675A" w:rsidRPr="00ED22D1">
        <w:rPr>
          <w:lang w:val="fr-CA"/>
        </w:rPr>
        <w:t xml:space="preserve"> </w:t>
      </w:r>
      <w:r w:rsidR="00393F6B" w:rsidRPr="00ED22D1">
        <w:rPr>
          <w:lang w:val="fr-CA"/>
        </w:rPr>
        <w:t>lorsque d’autres renseignements seraient disponibles</w:t>
      </w:r>
      <w:r w:rsidR="0085675A" w:rsidRPr="00ED22D1">
        <w:rPr>
          <w:lang w:val="fr-CA"/>
        </w:rPr>
        <w:t xml:space="preserve">. </w:t>
      </w:r>
      <w:r w:rsidR="00733306" w:rsidRPr="00ED22D1">
        <w:rPr>
          <w:lang w:val="fr-CA"/>
        </w:rPr>
        <w:t xml:space="preserve">À </w:t>
      </w:r>
      <w:r w:rsidR="00393F6B" w:rsidRPr="00ED22D1">
        <w:rPr>
          <w:lang w:val="fr-CA"/>
        </w:rPr>
        <w:t>ce moment, la</w:t>
      </w:r>
      <w:r w:rsidR="0085675A" w:rsidRPr="00ED22D1">
        <w:rPr>
          <w:lang w:val="fr-CA"/>
        </w:rPr>
        <w:t xml:space="preserve"> </w:t>
      </w:r>
      <w:r w:rsidR="00D26EF9" w:rsidRPr="00ED22D1">
        <w:rPr>
          <w:lang w:val="fr-CA"/>
        </w:rPr>
        <w:t>Chine</w:t>
      </w:r>
      <w:r w:rsidR="0085675A" w:rsidRPr="00ED22D1">
        <w:rPr>
          <w:lang w:val="fr-CA"/>
        </w:rPr>
        <w:t xml:space="preserve"> </w:t>
      </w:r>
      <w:r w:rsidR="00393F6B" w:rsidRPr="00ED22D1">
        <w:rPr>
          <w:lang w:val="fr-CA"/>
        </w:rPr>
        <w:t xml:space="preserve">détenait encore plus de </w:t>
      </w:r>
      <w:r w:rsidR="0085675A" w:rsidRPr="00ED22D1">
        <w:rPr>
          <w:lang w:val="fr-CA"/>
        </w:rPr>
        <w:t xml:space="preserve">100 </w:t>
      </w:r>
      <w:r w:rsidR="00EC100C" w:rsidRPr="00ED22D1">
        <w:rPr>
          <w:lang w:val="fr-CA"/>
        </w:rPr>
        <w:t>millions $US</w:t>
      </w:r>
      <w:r w:rsidR="00393F6B" w:rsidRPr="00ED22D1">
        <w:rPr>
          <w:lang w:val="fr-CA"/>
        </w:rPr>
        <w:t xml:space="preserve"> qui n’avaient pas encore été décaissés aux entreprises bénéficiaires</w:t>
      </w:r>
      <w:r w:rsidR="0099268B" w:rsidRPr="00ED22D1">
        <w:rPr>
          <w:lang w:val="fr-CA"/>
        </w:rPr>
        <w:t xml:space="preserve"> et</w:t>
      </w:r>
      <w:r w:rsidR="0085675A" w:rsidRPr="00ED22D1">
        <w:rPr>
          <w:lang w:val="fr-CA"/>
        </w:rPr>
        <w:t xml:space="preserve"> </w:t>
      </w:r>
      <w:r w:rsidR="00393F6B" w:rsidRPr="00ED22D1">
        <w:rPr>
          <w:lang w:val="fr-CA"/>
        </w:rPr>
        <w:t>reporter les demandes de</w:t>
      </w:r>
      <w:r w:rsidR="0085675A" w:rsidRPr="00ED22D1">
        <w:rPr>
          <w:lang w:val="fr-CA"/>
        </w:rPr>
        <w:t xml:space="preserve"> </w:t>
      </w:r>
      <w:r w:rsidR="00D15079" w:rsidRPr="00ED22D1">
        <w:rPr>
          <w:lang w:val="fr-CA"/>
        </w:rPr>
        <w:t>financement</w:t>
      </w:r>
      <w:r w:rsidR="0085675A" w:rsidRPr="00ED22D1">
        <w:rPr>
          <w:lang w:val="fr-CA"/>
        </w:rPr>
        <w:t>,</w:t>
      </w:r>
      <w:r w:rsidR="00393F6B" w:rsidRPr="00ED22D1">
        <w:rPr>
          <w:lang w:val="fr-CA"/>
        </w:rPr>
        <w:t xml:space="preserve"> qui totalisaient </w:t>
      </w:r>
      <w:r w:rsidR="0085675A" w:rsidRPr="00ED22D1">
        <w:rPr>
          <w:lang w:val="fr-CA"/>
        </w:rPr>
        <w:t>2</w:t>
      </w:r>
      <w:r w:rsidR="004A6828" w:rsidRPr="00ED22D1">
        <w:rPr>
          <w:lang w:val="fr-CA"/>
        </w:rPr>
        <w:t>9 </w:t>
      </w:r>
      <w:r w:rsidR="0085675A" w:rsidRPr="00ED22D1">
        <w:rPr>
          <w:lang w:val="fr-CA"/>
        </w:rPr>
        <w:t>19</w:t>
      </w:r>
      <w:r w:rsidR="004A6828" w:rsidRPr="00ED22D1">
        <w:rPr>
          <w:lang w:val="fr-CA"/>
        </w:rPr>
        <w:t>9 </w:t>
      </w:r>
      <w:r w:rsidR="0085675A" w:rsidRPr="00ED22D1">
        <w:rPr>
          <w:lang w:val="fr-CA"/>
        </w:rPr>
        <w:t>49</w:t>
      </w:r>
      <w:r w:rsidR="004A6828" w:rsidRPr="00ED22D1">
        <w:rPr>
          <w:lang w:val="fr-CA"/>
        </w:rPr>
        <w:t>2</w:t>
      </w:r>
      <w:r w:rsidR="00EC100C" w:rsidRPr="00ED22D1">
        <w:rPr>
          <w:lang w:val="fr-CA"/>
        </w:rPr>
        <w:t> $US</w:t>
      </w:r>
      <w:r w:rsidR="00393F6B" w:rsidRPr="00ED22D1">
        <w:rPr>
          <w:lang w:val="fr-CA"/>
        </w:rPr>
        <w:t>,</w:t>
      </w:r>
      <w:r w:rsidR="004A6828" w:rsidRPr="00ED22D1">
        <w:rPr>
          <w:lang w:val="fr-CA"/>
        </w:rPr>
        <w:t> </w:t>
      </w:r>
      <w:r w:rsidR="00393F6B" w:rsidRPr="00ED22D1">
        <w:rPr>
          <w:lang w:val="fr-CA"/>
        </w:rPr>
        <w:t>n’aurait aucun effet significatif</w:t>
      </w:r>
      <w:r w:rsidR="0085675A" w:rsidRPr="00ED22D1">
        <w:rPr>
          <w:lang w:val="fr-CA"/>
        </w:rPr>
        <w:t xml:space="preserve">. </w:t>
      </w:r>
      <w:r w:rsidR="00393F6B" w:rsidRPr="00ED22D1">
        <w:rPr>
          <w:lang w:val="fr-CA"/>
        </w:rPr>
        <w:t xml:space="preserve">Il était </w:t>
      </w:r>
      <w:r w:rsidR="0085675A" w:rsidRPr="00ED22D1">
        <w:rPr>
          <w:lang w:val="fr-CA"/>
        </w:rPr>
        <w:t xml:space="preserve">important </w:t>
      </w:r>
      <w:r w:rsidR="00393F6B" w:rsidRPr="00ED22D1">
        <w:rPr>
          <w:lang w:val="fr-CA"/>
        </w:rPr>
        <w:t>de démontrer à la communauté internationale que le</w:t>
      </w:r>
      <w:r w:rsidR="00733306" w:rsidRPr="00ED22D1">
        <w:rPr>
          <w:lang w:val="fr-CA"/>
        </w:rPr>
        <w:t xml:space="preserve"> </w:t>
      </w:r>
      <w:r w:rsidR="004B666A" w:rsidRPr="00ED22D1">
        <w:rPr>
          <w:lang w:val="fr-CA"/>
        </w:rPr>
        <w:t>Fonds multilatéral</w:t>
      </w:r>
      <w:r w:rsidR="00393F6B" w:rsidRPr="00ED22D1">
        <w:rPr>
          <w:lang w:val="fr-CA"/>
        </w:rPr>
        <w:t xml:space="preserve"> prenait au sérieux la question de l’émission illicite de </w:t>
      </w:r>
      <w:r w:rsidR="0085675A" w:rsidRPr="00ED22D1">
        <w:rPr>
          <w:lang w:val="fr-CA"/>
        </w:rPr>
        <w:t xml:space="preserve">CFC-11, </w:t>
      </w:r>
      <w:r w:rsidR="00393F6B" w:rsidRPr="00ED22D1">
        <w:rPr>
          <w:lang w:val="fr-CA"/>
        </w:rPr>
        <w:lastRenderedPageBreak/>
        <w:t xml:space="preserve">mais que toute </w:t>
      </w:r>
      <w:r w:rsidR="00AA6E77" w:rsidRPr="00ED22D1">
        <w:rPr>
          <w:lang w:val="fr-CA"/>
        </w:rPr>
        <w:t>décision</w:t>
      </w:r>
      <w:r w:rsidR="0085675A" w:rsidRPr="00ED22D1">
        <w:rPr>
          <w:lang w:val="fr-CA"/>
        </w:rPr>
        <w:t xml:space="preserve"> </w:t>
      </w:r>
      <w:r w:rsidR="00393F6B" w:rsidRPr="00ED22D1">
        <w:rPr>
          <w:lang w:val="fr-CA"/>
        </w:rPr>
        <w:t xml:space="preserve">de reporter le </w:t>
      </w:r>
      <w:r w:rsidR="00D15079" w:rsidRPr="00ED22D1">
        <w:rPr>
          <w:lang w:val="fr-CA"/>
        </w:rPr>
        <w:t>financement</w:t>
      </w:r>
      <w:r w:rsidR="0085675A" w:rsidRPr="00ED22D1">
        <w:rPr>
          <w:lang w:val="fr-CA"/>
        </w:rPr>
        <w:t xml:space="preserve"> </w:t>
      </w:r>
      <w:r w:rsidR="00393F6B" w:rsidRPr="00ED22D1">
        <w:rPr>
          <w:lang w:val="fr-CA"/>
        </w:rPr>
        <w:t xml:space="preserve">devrait être sans </w:t>
      </w:r>
      <w:r w:rsidR="00055A09" w:rsidRPr="00ED22D1">
        <w:rPr>
          <w:lang w:val="fr-CA"/>
        </w:rPr>
        <w:t>préjudice</w:t>
      </w:r>
      <w:r w:rsidR="0085675A" w:rsidRPr="00ED22D1">
        <w:rPr>
          <w:lang w:val="fr-CA"/>
        </w:rPr>
        <w:t xml:space="preserve"> </w:t>
      </w:r>
      <w:r w:rsidR="00393F6B" w:rsidRPr="00ED22D1">
        <w:rPr>
          <w:lang w:val="fr-CA"/>
        </w:rPr>
        <w:t xml:space="preserve">à toute activité future prise par la </w:t>
      </w:r>
      <w:r w:rsidR="00D26EF9" w:rsidRPr="00ED22D1">
        <w:rPr>
          <w:lang w:val="fr-CA"/>
        </w:rPr>
        <w:t>Chine</w:t>
      </w:r>
      <w:r w:rsidR="0085675A" w:rsidRPr="00ED22D1">
        <w:rPr>
          <w:lang w:val="fr-CA"/>
        </w:rPr>
        <w:t>.</w:t>
      </w:r>
    </w:p>
    <w:p w:rsidR="0085675A" w:rsidRPr="00ED22D1" w:rsidRDefault="005A6C23" w:rsidP="005A6C23">
      <w:pPr>
        <w:pStyle w:val="Heading1"/>
        <w:numPr>
          <w:ilvl w:val="0"/>
          <w:numId w:val="0"/>
        </w:numPr>
        <w:rPr>
          <w:lang w:val="fr-CA"/>
        </w:rPr>
      </w:pPr>
      <w:r w:rsidRPr="00ED22D1">
        <w:rPr>
          <w:lang w:val="fr-CA"/>
        </w:rPr>
        <w:t>34.</w:t>
      </w:r>
      <w:r w:rsidRPr="00ED22D1">
        <w:rPr>
          <w:lang w:val="fr-CA"/>
        </w:rPr>
        <w:tab/>
      </w:r>
      <w:r w:rsidR="00393F6B" w:rsidRPr="00ED22D1">
        <w:rPr>
          <w:lang w:val="fr-CA"/>
        </w:rPr>
        <w:t>D’autres membre</w:t>
      </w:r>
      <w:r w:rsidR="0085675A" w:rsidRPr="00ED22D1">
        <w:rPr>
          <w:lang w:val="fr-CA"/>
        </w:rPr>
        <w:t xml:space="preserve">s </w:t>
      </w:r>
      <w:r w:rsidR="008A2445" w:rsidRPr="00ED22D1">
        <w:rPr>
          <w:lang w:val="fr-CA"/>
        </w:rPr>
        <w:t>ont indiqué qu’il fallait prendre des précautions</w:t>
      </w:r>
      <w:r w:rsidR="0085675A" w:rsidRPr="00ED22D1">
        <w:rPr>
          <w:lang w:val="fr-CA"/>
        </w:rPr>
        <w:t>,</w:t>
      </w:r>
      <w:r w:rsidR="004A6828" w:rsidRPr="00ED22D1">
        <w:rPr>
          <w:lang w:val="fr-CA"/>
        </w:rPr>
        <w:t xml:space="preserve"> et </w:t>
      </w:r>
      <w:r w:rsidR="008A2445" w:rsidRPr="00ED22D1">
        <w:rPr>
          <w:lang w:val="fr-CA"/>
        </w:rPr>
        <w:t xml:space="preserve">que toute </w:t>
      </w:r>
      <w:r w:rsidR="00AA6E77" w:rsidRPr="00ED22D1">
        <w:rPr>
          <w:lang w:val="fr-CA"/>
        </w:rPr>
        <w:t>décision</w:t>
      </w:r>
      <w:r w:rsidR="0085675A" w:rsidRPr="00ED22D1">
        <w:rPr>
          <w:lang w:val="fr-CA"/>
        </w:rPr>
        <w:t xml:space="preserve"> </w:t>
      </w:r>
      <w:r w:rsidR="008A2445" w:rsidRPr="00ED22D1">
        <w:rPr>
          <w:lang w:val="fr-CA"/>
        </w:rPr>
        <w:t xml:space="preserve">de reporter </w:t>
      </w:r>
      <w:r w:rsidR="00393F6B" w:rsidRPr="00ED22D1">
        <w:rPr>
          <w:lang w:val="fr-CA"/>
        </w:rPr>
        <w:t>le financement</w:t>
      </w:r>
      <w:r w:rsidR="0085675A" w:rsidRPr="00ED22D1">
        <w:rPr>
          <w:lang w:val="fr-CA"/>
        </w:rPr>
        <w:t xml:space="preserve"> </w:t>
      </w:r>
      <w:r w:rsidR="008A2445" w:rsidRPr="00ED22D1">
        <w:rPr>
          <w:lang w:val="fr-CA"/>
        </w:rPr>
        <w:t xml:space="preserve">demandé ne devrait pas remettre en cause l’objectif de réduction de </w:t>
      </w:r>
      <w:r w:rsidR="0085675A" w:rsidRPr="00ED22D1">
        <w:rPr>
          <w:lang w:val="fr-CA"/>
        </w:rPr>
        <w:t xml:space="preserve">2020 </w:t>
      </w:r>
      <w:r w:rsidR="001B31BF" w:rsidRPr="00ED22D1">
        <w:rPr>
          <w:lang w:val="fr-CA"/>
        </w:rPr>
        <w:t>de la</w:t>
      </w:r>
      <w:r w:rsidR="0099268B" w:rsidRPr="00ED22D1">
        <w:rPr>
          <w:lang w:val="fr-CA"/>
        </w:rPr>
        <w:t> </w:t>
      </w:r>
      <w:r w:rsidR="001B31BF" w:rsidRPr="00ED22D1">
        <w:rPr>
          <w:lang w:val="fr-CA"/>
        </w:rPr>
        <w:t>Chine</w:t>
      </w:r>
      <w:r w:rsidR="0085675A" w:rsidRPr="00ED22D1">
        <w:rPr>
          <w:lang w:val="fr-CA"/>
        </w:rPr>
        <w:t xml:space="preserve">. </w:t>
      </w:r>
      <w:r w:rsidR="008A2445" w:rsidRPr="00ED22D1">
        <w:rPr>
          <w:lang w:val="fr-CA"/>
        </w:rPr>
        <w:t xml:space="preserve">On a demandé des explications afin de savoir si une partie des </w:t>
      </w:r>
      <w:r w:rsidR="0085675A" w:rsidRPr="00ED22D1">
        <w:rPr>
          <w:lang w:val="fr-CA"/>
        </w:rPr>
        <w:t xml:space="preserve">100 </w:t>
      </w:r>
      <w:r w:rsidR="00EC100C" w:rsidRPr="00ED22D1">
        <w:rPr>
          <w:lang w:val="fr-CA"/>
        </w:rPr>
        <w:t>millions $US</w:t>
      </w:r>
      <w:r w:rsidR="008A2445" w:rsidRPr="00ED22D1">
        <w:rPr>
          <w:lang w:val="fr-CA"/>
        </w:rPr>
        <w:t xml:space="preserve"> qui restaient à</w:t>
      </w:r>
      <w:r w:rsidR="0099268B" w:rsidRPr="00ED22D1">
        <w:rPr>
          <w:lang w:val="fr-CA"/>
        </w:rPr>
        <w:t> </w:t>
      </w:r>
      <w:r w:rsidR="008A2445" w:rsidRPr="00ED22D1">
        <w:rPr>
          <w:lang w:val="fr-CA"/>
        </w:rPr>
        <w:t xml:space="preserve">décaisser avait déjà été </w:t>
      </w:r>
      <w:r w:rsidR="00DE118B" w:rsidRPr="00ED22D1">
        <w:rPr>
          <w:lang w:val="fr-CA"/>
        </w:rPr>
        <w:t>engagé</w:t>
      </w:r>
      <w:r w:rsidR="008A2445" w:rsidRPr="00ED22D1">
        <w:rPr>
          <w:lang w:val="fr-CA"/>
        </w:rPr>
        <w:t>e</w:t>
      </w:r>
      <w:r w:rsidR="0085675A" w:rsidRPr="00ED22D1">
        <w:rPr>
          <w:lang w:val="fr-CA"/>
        </w:rPr>
        <w:t xml:space="preserve"> </w:t>
      </w:r>
      <w:r w:rsidR="008A2445" w:rsidRPr="00ED22D1">
        <w:rPr>
          <w:lang w:val="fr-CA"/>
        </w:rPr>
        <w:t>pour financer des activités en particulier</w:t>
      </w:r>
      <w:r w:rsidR="0085675A" w:rsidRPr="00ED22D1">
        <w:rPr>
          <w:lang w:val="fr-CA"/>
        </w:rPr>
        <w:t>,</w:t>
      </w:r>
      <w:r w:rsidR="004A6828" w:rsidRPr="00ED22D1">
        <w:rPr>
          <w:lang w:val="fr-CA"/>
        </w:rPr>
        <w:t xml:space="preserve"> et </w:t>
      </w:r>
      <w:r w:rsidR="008A2445" w:rsidRPr="00ED22D1">
        <w:rPr>
          <w:lang w:val="fr-CA"/>
        </w:rPr>
        <w:t>quelle partie du</w:t>
      </w:r>
      <w:r w:rsidR="0099268B" w:rsidRPr="00ED22D1">
        <w:rPr>
          <w:lang w:val="fr-CA"/>
        </w:rPr>
        <w:t> </w:t>
      </w:r>
      <w:r w:rsidR="008A2445" w:rsidRPr="00ED22D1">
        <w:rPr>
          <w:lang w:val="fr-CA"/>
        </w:rPr>
        <w:t xml:space="preserve">financement non décaissé pourrait être utilisée pour d’autres </w:t>
      </w:r>
      <w:r w:rsidR="001B45EC" w:rsidRPr="00ED22D1">
        <w:rPr>
          <w:lang w:val="fr-CA"/>
        </w:rPr>
        <w:t>activités</w:t>
      </w:r>
      <w:r w:rsidR="0085675A" w:rsidRPr="00ED22D1">
        <w:rPr>
          <w:lang w:val="fr-CA"/>
        </w:rPr>
        <w:t xml:space="preserve"> </w:t>
      </w:r>
      <w:r w:rsidR="008A2445" w:rsidRPr="00ED22D1">
        <w:rPr>
          <w:lang w:val="fr-CA"/>
        </w:rPr>
        <w:t xml:space="preserve">exigées pour la </w:t>
      </w:r>
      <w:r w:rsidR="00CE7FEC" w:rsidRPr="00ED22D1">
        <w:rPr>
          <w:lang w:val="fr-CA"/>
        </w:rPr>
        <w:t>conformité</w:t>
      </w:r>
      <w:r w:rsidR="0085675A" w:rsidRPr="00ED22D1">
        <w:rPr>
          <w:lang w:val="fr-CA"/>
        </w:rPr>
        <w:t xml:space="preserve">. </w:t>
      </w:r>
      <w:r w:rsidR="008A2445" w:rsidRPr="00ED22D1">
        <w:rPr>
          <w:lang w:val="fr-CA"/>
        </w:rPr>
        <w:t>On a demandé si tous les fonds avaient</w:t>
      </w:r>
      <w:r w:rsidR="0085675A" w:rsidRPr="00ED22D1">
        <w:rPr>
          <w:lang w:val="fr-CA"/>
        </w:rPr>
        <w:t xml:space="preserve"> </w:t>
      </w:r>
      <w:r w:rsidR="00921BDE" w:rsidRPr="00ED22D1">
        <w:rPr>
          <w:lang w:val="fr-CA"/>
        </w:rPr>
        <w:t>déjà</w:t>
      </w:r>
      <w:r w:rsidR="0085675A" w:rsidRPr="00ED22D1">
        <w:rPr>
          <w:lang w:val="fr-CA"/>
        </w:rPr>
        <w:t xml:space="preserve"> </w:t>
      </w:r>
      <w:r w:rsidR="008A2445" w:rsidRPr="00ED22D1">
        <w:rPr>
          <w:lang w:val="fr-CA"/>
        </w:rPr>
        <w:t>été</w:t>
      </w:r>
      <w:r w:rsidR="0085675A" w:rsidRPr="00ED22D1">
        <w:rPr>
          <w:lang w:val="fr-CA"/>
        </w:rPr>
        <w:t xml:space="preserve"> </w:t>
      </w:r>
      <w:r w:rsidR="008A2445" w:rsidRPr="00ED22D1">
        <w:rPr>
          <w:lang w:val="fr-CA"/>
        </w:rPr>
        <w:t xml:space="preserve">transférés au </w:t>
      </w:r>
      <w:r w:rsidR="00921BDE" w:rsidRPr="00ED22D1">
        <w:rPr>
          <w:lang w:val="fr-CA"/>
        </w:rPr>
        <w:t>gouvernement</w:t>
      </w:r>
      <w:r w:rsidR="001F19C1" w:rsidRPr="00ED22D1">
        <w:rPr>
          <w:lang w:val="fr-CA"/>
        </w:rPr>
        <w:t xml:space="preserve"> </w:t>
      </w:r>
      <w:r w:rsidR="00181884" w:rsidRPr="00ED22D1">
        <w:rPr>
          <w:lang w:val="fr-CA"/>
        </w:rPr>
        <w:t>de la Chine</w:t>
      </w:r>
      <w:r w:rsidR="004A6828" w:rsidRPr="00ED22D1">
        <w:rPr>
          <w:lang w:val="fr-CA"/>
        </w:rPr>
        <w:t xml:space="preserve"> ou </w:t>
      </w:r>
      <w:r w:rsidR="008A2445" w:rsidRPr="00ED22D1">
        <w:rPr>
          <w:lang w:val="fr-CA"/>
        </w:rPr>
        <w:t xml:space="preserve">si une partie était restée avec les </w:t>
      </w:r>
      <w:r w:rsidR="00B53D8B" w:rsidRPr="00ED22D1">
        <w:rPr>
          <w:lang w:val="fr-CA"/>
        </w:rPr>
        <w:t>agences d’exécution</w:t>
      </w:r>
      <w:r w:rsidR="0085675A" w:rsidRPr="00ED22D1">
        <w:rPr>
          <w:lang w:val="fr-CA"/>
        </w:rPr>
        <w:t>,</w:t>
      </w:r>
      <w:r w:rsidR="004A6828" w:rsidRPr="00ED22D1">
        <w:rPr>
          <w:lang w:val="fr-CA"/>
        </w:rPr>
        <w:t xml:space="preserve"> et </w:t>
      </w:r>
      <w:r w:rsidR="008A2445" w:rsidRPr="00ED22D1">
        <w:rPr>
          <w:lang w:val="fr-CA"/>
        </w:rPr>
        <w:t>quel en serait l’effet sur elles si la demande de financement</w:t>
      </w:r>
      <w:r w:rsidR="009D5338" w:rsidRPr="00ED22D1">
        <w:rPr>
          <w:lang w:val="fr-CA"/>
        </w:rPr>
        <w:t xml:space="preserve"> actuelle était reportée</w:t>
      </w:r>
      <w:r w:rsidR="0031390F" w:rsidRPr="00ED22D1">
        <w:rPr>
          <w:lang w:val="fr-CA"/>
        </w:rPr>
        <w:t>. Le</w:t>
      </w:r>
      <w:r w:rsidR="009D5338" w:rsidRPr="00ED22D1">
        <w:rPr>
          <w:lang w:val="fr-CA"/>
        </w:rPr>
        <w:t xml:space="preserve">s études en cours sur la </w:t>
      </w:r>
      <w:r w:rsidR="0085675A" w:rsidRPr="00ED22D1">
        <w:rPr>
          <w:lang w:val="fr-CA"/>
        </w:rPr>
        <w:t xml:space="preserve">cause </w:t>
      </w:r>
      <w:r w:rsidR="009D5338" w:rsidRPr="00ED22D1">
        <w:rPr>
          <w:lang w:val="fr-CA"/>
        </w:rPr>
        <w:t>des émission</w:t>
      </w:r>
      <w:r w:rsidR="0085675A" w:rsidRPr="00ED22D1">
        <w:rPr>
          <w:lang w:val="fr-CA"/>
        </w:rPr>
        <w:t xml:space="preserve">s </w:t>
      </w:r>
      <w:r w:rsidR="009D5338" w:rsidRPr="00ED22D1">
        <w:rPr>
          <w:lang w:val="fr-CA"/>
        </w:rPr>
        <w:t>de</w:t>
      </w:r>
      <w:r w:rsidR="0085675A" w:rsidRPr="00ED22D1">
        <w:rPr>
          <w:lang w:val="fr-CA"/>
        </w:rPr>
        <w:t xml:space="preserve"> CFC-11 </w:t>
      </w:r>
      <w:r w:rsidR="009D5338" w:rsidRPr="00ED22D1">
        <w:rPr>
          <w:lang w:val="fr-CA"/>
        </w:rPr>
        <w:t xml:space="preserve">signifiaient que </w:t>
      </w:r>
      <w:r w:rsidR="00DD185D" w:rsidRPr="00ED22D1">
        <w:rPr>
          <w:lang w:val="fr-CA"/>
        </w:rPr>
        <w:t>le</w:t>
      </w:r>
      <w:r w:rsidR="0099268B" w:rsidRPr="00ED22D1">
        <w:rPr>
          <w:lang w:val="fr-CA"/>
        </w:rPr>
        <w:t> </w:t>
      </w:r>
      <w:r w:rsidR="00DD185D" w:rsidRPr="00ED22D1">
        <w:rPr>
          <w:lang w:val="fr-CA"/>
        </w:rPr>
        <w:t>Comité exécutif</w:t>
      </w:r>
      <w:r w:rsidR="0085675A" w:rsidRPr="00ED22D1">
        <w:rPr>
          <w:lang w:val="fr-CA"/>
        </w:rPr>
        <w:t xml:space="preserve"> </w:t>
      </w:r>
      <w:r w:rsidR="009D5338" w:rsidRPr="00ED22D1">
        <w:rPr>
          <w:lang w:val="fr-CA"/>
        </w:rPr>
        <w:t>devait prendre des précautions lorsqu’il en arrivait à des conclusions</w:t>
      </w:r>
      <w:r w:rsidR="0085675A" w:rsidRPr="00ED22D1">
        <w:rPr>
          <w:lang w:val="fr-CA"/>
        </w:rPr>
        <w:t xml:space="preserve">. </w:t>
      </w:r>
      <w:r w:rsidR="009D5338" w:rsidRPr="00ED22D1">
        <w:rPr>
          <w:lang w:val="fr-CA"/>
        </w:rPr>
        <w:t>Il faudrait peut</w:t>
      </w:r>
      <w:r w:rsidR="0099268B" w:rsidRPr="00ED22D1">
        <w:rPr>
          <w:lang w:val="fr-CA"/>
        </w:rPr>
        <w:noBreakHyphen/>
      </w:r>
      <w:r w:rsidR="009D5338" w:rsidRPr="00ED22D1">
        <w:rPr>
          <w:lang w:val="fr-CA"/>
        </w:rPr>
        <w:t>être plusieurs années pour rassembler ces informations. Il était important qu’elles soient entièrement claires et de prendre le temps nécessaire pour les assembler</w:t>
      </w:r>
      <w:r w:rsidR="0085675A" w:rsidRPr="00ED22D1">
        <w:rPr>
          <w:lang w:val="fr-CA"/>
        </w:rPr>
        <w:t>.</w:t>
      </w:r>
    </w:p>
    <w:p w:rsidR="0085675A" w:rsidRPr="00ED22D1" w:rsidRDefault="005A6C23" w:rsidP="005A6C23">
      <w:pPr>
        <w:pStyle w:val="Heading1"/>
        <w:numPr>
          <w:ilvl w:val="0"/>
          <w:numId w:val="0"/>
        </w:numPr>
        <w:rPr>
          <w:lang w:val="fr-CA"/>
        </w:rPr>
      </w:pPr>
      <w:r w:rsidRPr="00ED22D1">
        <w:rPr>
          <w:lang w:val="fr-CA"/>
        </w:rPr>
        <w:t>35.</w:t>
      </w:r>
      <w:r w:rsidRPr="00ED22D1">
        <w:rPr>
          <w:lang w:val="fr-CA"/>
        </w:rPr>
        <w:tab/>
      </w:r>
      <w:r w:rsidR="009D5338" w:rsidRPr="00ED22D1">
        <w:rPr>
          <w:lang w:val="fr-CA"/>
        </w:rPr>
        <w:t>Après</w:t>
      </w:r>
      <w:r w:rsidR="0085675A" w:rsidRPr="00ED22D1">
        <w:rPr>
          <w:lang w:val="fr-CA"/>
        </w:rPr>
        <w:t xml:space="preserve"> discussion, </w:t>
      </w:r>
      <w:r w:rsidR="00DD185D" w:rsidRPr="00ED22D1">
        <w:rPr>
          <w:lang w:val="fr-CA"/>
        </w:rPr>
        <w:t>le Comité exécutif</w:t>
      </w:r>
      <w:r w:rsidR="0085675A" w:rsidRPr="00ED22D1">
        <w:rPr>
          <w:lang w:val="fr-CA"/>
        </w:rPr>
        <w:t xml:space="preserve"> </w:t>
      </w:r>
      <w:r w:rsidR="009D5338" w:rsidRPr="00ED22D1">
        <w:rPr>
          <w:lang w:val="fr-CA"/>
        </w:rPr>
        <w:t>a convenu que le groupe de contact poursuive les</w:t>
      </w:r>
      <w:r w:rsidR="00CE4AC4" w:rsidRPr="00ED22D1">
        <w:rPr>
          <w:lang w:val="fr-CA"/>
        </w:rPr>
        <w:t> </w:t>
      </w:r>
      <w:r w:rsidR="00055A09" w:rsidRPr="00ED22D1">
        <w:rPr>
          <w:lang w:val="fr-CA"/>
        </w:rPr>
        <w:t>délibérations</w:t>
      </w:r>
      <w:r w:rsidR="0085675A" w:rsidRPr="00ED22D1">
        <w:rPr>
          <w:lang w:val="fr-CA"/>
        </w:rPr>
        <w:t xml:space="preserve"> </w:t>
      </w:r>
      <w:r w:rsidR="009D5338" w:rsidRPr="00ED22D1">
        <w:rPr>
          <w:lang w:val="fr-CA"/>
        </w:rPr>
        <w:t xml:space="preserve">sur les questions </w:t>
      </w:r>
      <w:r w:rsidR="002A4FC3" w:rsidRPr="00ED22D1">
        <w:rPr>
          <w:lang w:val="fr-CA"/>
        </w:rPr>
        <w:t xml:space="preserve">établies précédemment à l’ordre du jour afin de discuter de la </w:t>
      </w:r>
      <w:r w:rsidR="004A6828" w:rsidRPr="00ED22D1">
        <w:rPr>
          <w:lang w:val="fr-CA"/>
        </w:rPr>
        <w:t xml:space="preserve">phase </w:t>
      </w:r>
      <w:r w:rsidR="0085675A" w:rsidRPr="00ED22D1">
        <w:rPr>
          <w:lang w:val="fr-CA"/>
        </w:rPr>
        <w:t xml:space="preserve">I </w:t>
      </w:r>
      <w:r w:rsidR="001F19C1" w:rsidRPr="00ED22D1">
        <w:rPr>
          <w:lang w:val="fr-CA"/>
        </w:rPr>
        <w:t>du</w:t>
      </w:r>
      <w:r w:rsidR="00CE4AC4" w:rsidRPr="00ED22D1">
        <w:rPr>
          <w:lang w:val="fr-CA"/>
        </w:rPr>
        <w:t> </w:t>
      </w:r>
      <w:r w:rsidR="001F19C1" w:rsidRPr="00ED22D1">
        <w:rPr>
          <w:lang w:val="fr-CA"/>
        </w:rPr>
        <w:t>PGEH</w:t>
      </w:r>
      <w:r w:rsidR="0085675A" w:rsidRPr="00ED22D1">
        <w:rPr>
          <w:lang w:val="fr-CA"/>
        </w:rPr>
        <w:t xml:space="preserve"> </w:t>
      </w:r>
      <w:r w:rsidR="001B31BF" w:rsidRPr="00ED22D1">
        <w:rPr>
          <w:lang w:val="fr-CA"/>
        </w:rPr>
        <w:t>de la Chine</w:t>
      </w:r>
      <w:r w:rsidR="0085675A" w:rsidRPr="00ED22D1">
        <w:rPr>
          <w:lang w:val="fr-CA"/>
        </w:rPr>
        <w:t xml:space="preserve">. </w:t>
      </w:r>
    </w:p>
    <w:p w:rsidR="0085675A" w:rsidRPr="00ED22D1" w:rsidRDefault="005A6C23" w:rsidP="005A6C23">
      <w:pPr>
        <w:pStyle w:val="Heading1"/>
        <w:numPr>
          <w:ilvl w:val="0"/>
          <w:numId w:val="0"/>
        </w:numPr>
        <w:rPr>
          <w:lang w:val="fr-CA"/>
        </w:rPr>
      </w:pPr>
      <w:r w:rsidRPr="00ED22D1">
        <w:rPr>
          <w:lang w:val="fr-CA"/>
        </w:rPr>
        <w:t>36.</w:t>
      </w:r>
      <w:r w:rsidRPr="00ED22D1">
        <w:rPr>
          <w:lang w:val="fr-CA"/>
        </w:rPr>
        <w:tab/>
      </w:r>
      <w:r w:rsidR="002A4FC3" w:rsidRPr="00ED22D1">
        <w:rPr>
          <w:lang w:val="fr-CA"/>
        </w:rPr>
        <w:t>Par la suite</w:t>
      </w:r>
      <w:r w:rsidR="0085675A" w:rsidRPr="00ED22D1">
        <w:rPr>
          <w:lang w:val="fr-CA"/>
        </w:rPr>
        <w:t xml:space="preserve">, </w:t>
      </w:r>
      <w:r w:rsidR="00DD185D" w:rsidRPr="00ED22D1">
        <w:rPr>
          <w:lang w:val="fr-CA"/>
        </w:rPr>
        <w:t>le Comité exécutif</w:t>
      </w:r>
      <w:r w:rsidR="0085675A" w:rsidRPr="00ED22D1">
        <w:rPr>
          <w:lang w:val="fr-CA"/>
        </w:rPr>
        <w:t xml:space="preserve"> </w:t>
      </w:r>
      <w:r w:rsidR="002A4FC3" w:rsidRPr="00ED22D1">
        <w:rPr>
          <w:lang w:val="fr-CA"/>
        </w:rPr>
        <w:t>a décidé</w:t>
      </w:r>
      <w:r w:rsidR="0085675A" w:rsidRPr="00ED22D1">
        <w:rPr>
          <w:lang w:val="fr-CA"/>
        </w:rPr>
        <w:t xml:space="preserve">, </w:t>
      </w:r>
      <w:r w:rsidR="00CE4AC4" w:rsidRPr="00ED22D1">
        <w:rPr>
          <w:lang w:val="fr-CA"/>
        </w:rPr>
        <w:t>selon</w:t>
      </w:r>
      <w:r w:rsidR="002A4FC3" w:rsidRPr="00ED22D1">
        <w:rPr>
          <w:lang w:val="fr-CA"/>
        </w:rPr>
        <w:t xml:space="preserve"> la </w:t>
      </w:r>
      <w:r w:rsidR="00AA6E77" w:rsidRPr="00ED22D1">
        <w:rPr>
          <w:lang w:val="fr-CA"/>
        </w:rPr>
        <w:t>décision</w:t>
      </w:r>
      <w:r w:rsidR="0085675A" w:rsidRPr="00ED22D1">
        <w:rPr>
          <w:lang w:val="fr-CA"/>
        </w:rPr>
        <w:t> 82/71</w:t>
      </w:r>
      <w:r w:rsidR="00791BF7" w:rsidRPr="00ED22D1">
        <w:rPr>
          <w:lang w:val="fr-CA"/>
        </w:rPr>
        <w:t> :</w:t>
      </w:r>
      <w:r w:rsidR="0085675A" w:rsidRPr="00ED22D1">
        <w:rPr>
          <w:lang w:val="fr-CA"/>
        </w:rPr>
        <w:t xml:space="preserve"> </w:t>
      </w:r>
    </w:p>
    <w:p w:rsidR="0085675A" w:rsidRPr="00ED22D1" w:rsidRDefault="005A6C23" w:rsidP="00527931">
      <w:pPr>
        <w:pStyle w:val="Heading2"/>
        <w:numPr>
          <w:ilvl w:val="0"/>
          <w:numId w:val="0"/>
        </w:numPr>
        <w:ind w:left="1440" w:hanging="720"/>
        <w:rPr>
          <w:rFonts w:eastAsiaTheme="minorEastAsia"/>
          <w:lang w:val="fr-CA"/>
        </w:rPr>
      </w:pPr>
      <w:r w:rsidRPr="00ED22D1">
        <w:rPr>
          <w:rFonts w:eastAsiaTheme="minorEastAsia"/>
          <w:lang w:val="fr-CA"/>
        </w:rPr>
        <w:t>(a)</w:t>
      </w:r>
      <w:r w:rsidRPr="00ED22D1">
        <w:rPr>
          <w:rFonts w:eastAsiaTheme="minorEastAsia"/>
          <w:lang w:val="fr-CA"/>
        </w:rPr>
        <w:tab/>
      </w:r>
      <w:r w:rsidR="002A4FC3" w:rsidRPr="00ED22D1">
        <w:rPr>
          <w:rFonts w:eastAsiaTheme="minorEastAsia"/>
          <w:lang w:val="fr-CA"/>
        </w:rPr>
        <w:t xml:space="preserve">De demander au </w:t>
      </w:r>
      <w:r w:rsidR="00921BDE" w:rsidRPr="00ED22D1">
        <w:rPr>
          <w:rFonts w:eastAsiaTheme="minorEastAsia"/>
          <w:lang w:val="fr-CA"/>
        </w:rPr>
        <w:t>gouvernement</w:t>
      </w:r>
      <w:r w:rsidR="001F19C1" w:rsidRPr="00ED22D1">
        <w:rPr>
          <w:rFonts w:eastAsiaTheme="minorEastAsia"/>
          <w:lang w:val="fr-CA"/>
        </w:rPr>
        <w:t xml:space="preserve"> </w:t>
      </w:r>
      <w:r w:rsidR="00181884" w:rsidRPr="00ED22D1">
        <w:rPr>
          <w:rFonts w:eastAsiaTheme="minorEastAsia"/>
          <w:lang w:val="fr-CA"/>
        </w:rPr>
        <w:t>de la Chine</w:t>
      </w:r>
      <w:r w:rsidR="0085675A" w:rsidRPr="00ED22D1">
        <w:rPr>
          <w:rFonts w:eastAsiaTheme="minorEastAsia"/>
          <w:lang w:val="fr-CA"/>
        </w:rPr>
        <w:t xml:space="preserve">, </w:t>
      </w:r>
      <w:r w:rsidR="002A4FC3" w:rsidRPr="00ED22D1">
        <w:rPr>
          <w:rFonts w:eastAsiaTheme="minorEastAsia"/>
          <w:lang w:val="fr-CA"/>
        </w:rPr>
        <w:t>par le truchement de l’agence d’exécution pertinente</w:t>
      </w:r>
      <w:r w:rsidR="00791BF7" w:rsidRPr="00ED22D1">
        <w:rPr>
          <w:rFonts w:eastAsiaTheme="minorEastAsia"/>
          <w:lang w:val="fr-CA"/>
        </w:rPr>
        <w:t> :</w:t>
      </w:r>
    </w:p>
    <w:p w:rsidR="0085675A" w:rsidRPr="00ED22D1" w:rsidRDefault="002A4FC3" w:rsidP="0085675A">
      <w:pPr>
        <w:pStyle w:val="Heading3"/>
        <w:numPr>
          <w:ilvl w:val="2"/>
          <w:numId w:val="24"/>
        </w:numPr>
        <w:rPr>
          <w:rFonts w:eastAsiaTheme="minorEastAsia"/>
          <w:lang w:val="fr-CA"/>
        </w:rPr>
      </w:pPr>
      <w:r w:rsidRPr="00ED22D1">
        <w:rPr>
          <w:rFonts w:eastAsiaTheme="minorEastAsia"/>
          <w:lang w:val="fr-CA"/>
        </w:rPr>
        <w:t>De présenter</w:t>
      </w:r>
      <w:r w:rsidR="0085675A" w:rsidRPr="00ED22D1">
        <w:rPr>
          <w:rFonts w:eastAsiaTheme="minorEastAsia"/>
          <w:lang w:val="fr-CA"/>
        </w:rPr>
        <w:t xml:space="preserve">, </w:t>
      </w:r>
      <w:r w:rsidR="00733306" w:rsidRPr="00ED22D1">
        <w:rPr>
          <w:rFonts w:eastAsiaTheme="minorEastAsia"/>
          <w:lang w:val="fr-CA"/>
        </w:rPr>
        <w:t xml:space="preserve">à la </w:t>
      </w:r>
      <w:r w:rsidRPr="00ED22D1">
        <w:rPr>
          <w:rFonts w:eastAsiaTheme="minorEastAsia"/>
          <w:lang w:val="fr-CA"/>
        </w:rPr>
        <w:t>8</w:t>
      </w:r>
      <w:r w:rsidR="0085675A" w:rsidRPr="00ED22D1">
        <w:rPr>
          <w:rFonts w:eastAsiaTheme="minorEastAsia"/>
          <w:lang w:val="fr-CA"/>
        </w:rPr>
        <w:t>3</w:t>
      </w:r>
      <w:r w:rsidRPr="00ED22D1">
        <w:rPr>
          <w:rFonts w:eastAsiaTheme="minorEastAsia"/>
          <w:vertAlign w:val="superscript"/>
          <w:lang w:val="fr-CA"/>
        </w:rPr>
        <w:t>e</w:t>
      </w:r>
      <w:r w:rsidRPr="00ED22D1">
        <w:rPr>
          <w:rFonts w:eastAsiaTheme="minorEastAsia"/>
          <w:lang w:val="fr-CA"/>
        </w:rPr>
        <w:t xml:space="preserve"> </w:t>
      </w:r>
      <w:r w:rsidR="00DD185D" w:rsidRPr="00ED22D1">
        <w:rPr>
          <w:rFonts w:eastAsiaTheme="minorEastAsia"/>
          <w:lang w:val="fr-CA"/>
        </w:rPr>
        <w:t>réunion</w:t>
      </w:r>
      <w:r w:rsidR="0085675A" w:rsidRPr="00ED22D1">
        <w:rPr>
          <w:rFonts w:eastAsiaTheme="minorEastAsia"/>
          <w:lang w:val="fr-CA"/>
        </w:rPr>
        <w:t xml:space="preserve">, </w:t>
      </w:r>
      <w:r w:rsidRPr="00ED22D1">
        <w:rPr>
          <w:rFonts w:eastAsiaTheme="minorEastAsia"/>
          <w:lang w:val="fr-CA"/>
        </w:rPr>
        <w:t>un examen des systèmes actuels de suivi, de</w:t>
      </w:r>
      <w:r w:rsidR="00CE4AC4" w:rsidRPr="00ED22D1">
        <w:rPr>
          <w:rFonts w:eastAsiaTheme="minorEastAsia"/>
          <w:lang w:val="fr-CA"/>
        </w:rPr>
        <w:t> </w:t>
      </w:r>
      <w:r w:rsidR="00055A09" w:rsidRPr="00ED22D1">
        <w:rPr>
          <w:rFonts w:eastAsiaTheme="minorEastAsia"/>
          <w:lang w:val="fr-CA"/>
        </w:rPr>
        <w:t>présentation</w:t>
      </w:r>
      <w:r w:rsidRPr="00ED22D1">
        <w:rPr>
          <w:rFonts w:eastAsiaTheme="minorEastAsia"/>
          <w:lang w:val="fr-CA"/>
        </w:rPr>
        <w:t xml:space="preserve"> de rapports, de </w:t>
      </w:r>
      <w:r w:rsidR="00921BDE" w:rsidRPr="00ED22D1">
        <w:rPr>
          <w:rFonts w:eastAsiaTheme="minorEastAsia"/>
          <w:lang w:val="fr-CA"/>
        </w:rPr>
        <w:t>vérification</w:t>
      </w:r>
      <w:r w:rsidR="004A6828" w:rsidRPr="00ED22D1">
        <w:rPr>
          <w:rFonts w:eastAsiaTheme="minorEastAsia"/>
          <w:lang w:val="fr-CA"/>
        </w:rPr>
        <w:t xml:space="preserve"> et </w:t>
      </w:r>
      <w:r w:rsidRPr="00ED22D1">
        <w:rPr>
          <w:rFonts w:eastAsiaTheme="minorEastAsia"/>
          <w:lang w:val="fr-CA"/>
        </w:rPr>
        <w:t>d’exécution</w:t>
      </w:r>
      <w:r w:rsidR="0085675A" w:rsidRPr="00ED22D1">
        <w:rPr>
          <w:rFonts w:eastAsiaTheme="minorEastAsia"/>
          <w:lang w:val="fr-CA"/>
        </w:rPr>
        <w:t xml:space="preserve"> </w:t>
      </w:r>
      <w:r w:rsidRPr="00ED22D1">
        <w:rPr>
          <w:rFonts w:eastAsiaTheme="minorEastAsia"/>
          <w:lang w:val="fr-CA"/>
        </w:rPr>
        <w:t xml:space="preserve">conformément à ses </w:t>
      </w:r>
      <w:r w:rsidR="001B45EC" w:rsidRPr="00ED22D1">
        <w:rPr>
          <w:rFonts w:eastAsiaTheme="minorEastAsia"/>
          <w:lang w:val="fr-CA"/>
        </w:rPr>
        <w:t>accord</w:t>
      </w:r>
      <w:r w:rsidR="0085675A" w:rsidRPr="00ED22D1">
        <w:rPr>
          <w:rFonts w:eastAsiaTheme="minorEastAsia"/>
          <w:lang w:val="fr-CA"/>
        </w:rPr>
        <w:t xml:space="preserve">s </w:t>
      </w:r>
      <w:r w:rsidR="00B84F94" w:rsidRPr="00ED22D1">
        <w:rPr>
          <w:rFonts w:eastAsiaTheme="minorEastAsia"/>
          <w:lang w:val="fr-CA"/>
        </w:rPr>
        <w:t xml:space="preserve">avec </w:t>
      </w:r>
      <w:r w:rsidR="00DD185D" w:rsidRPr="00ED22D1">
        <w:rPr>
          <w:rFonts w:eastAsiaTheme="minorEastAsia"/>
          <w:lang w:val="fr-CA"/>
        </w:rPr>
        <w:t>le Comité exécutif</w:t>
      </w:r>
      <w:r w:rsidR="0085675A" w:rsidRPr="00ED22D1">
        <w:rPr>
          <w:rFonts w:eastAsiaTheme="minorEastAsia"/>
          <w:lang w:val="fr-CA"/>
        </w:rPr>
        <w:t xml:space="preserve"> </w:t>
      </w:r>
      <w:r w:rsidRPr="00ED22D1">
        <w:rPr>
          <w:rFonts w:eastAsiaTheme="minorEastAsia"/>
          <w:lang w:val="fr-CA"/>
        </w:rPr>
        <w:t>sur le p</w:t>
      </w:r>
      <w:r w:rsidR="004A6828" w:rsidRPr="00ED22D1">
        <w:rPr>
          <w:rFonts w:eastAsiaTheme="minorEastAsia"/>
          <w:lang w:val="fr-CA"/>
        </w:rPr>
        <w:t xml:space="preserve">lan </w:t>
      </w:r>
      <w:r w:rsidRPr="00ED22D1">
        <w:rPr>
          <w:rFonts w:eastAsiaTheme="minorEastAsia"/>
          <w:lang w:val="fr-CA"/>
        </w:rPr>
        <w:t>de gestion de l</w:t>
      </w:r>
      <w:r w:rsidR="004A6828" w:rsidRPr="00ED22D1">
        <w:rPr>
          <w:rFonts w:eastAsiaTheme="minorEastAsia"/>
          <w:lang w:val="fr-CA"/>
        </w:rPr>
        <w:t xml:space="preserve">’élimination </w:t>
      </w:r>
      <w:r w:rsidRPr="00ED22D1">
        <w:rPr>
          <w:rFonts w:eastAsiaTheme="minorEastAsia"/>
          <w:lang w:val="fr-CA"/>
        </w:rPr>
        <w:t xml:space="preserve">des HCFC au pays </w:t>
      </w:r>
      <w:r w:rsidR="0085675A" w:rsidRPr="00ED22D1">
        <w:rPr>
          <w:rFonts w:eastAsiaTheme="minorEastAsia"/>
          <w:lang w:val="fr-CA"/>
        </w:rPr>
        <w:t>(</w:t>
      </w:r>
      <w:r w:rsidR="00DD185D" w:rsidRPr="00ED22D1">
        <w:rPr>
          <w:rFonts w:eastAsiaTheme="minorEastAsia"/>
          <w:lang w:val="fr-CA"/>
        </w:rPr>
        <w:t>PGEH</w:t>
      </w:r>
      <w:r w:rsidR="0085675A" w:rsidRPr="00ED22D1">
        <w:rPr>
          <w:rFonts w:eastAsiaTheme="minorEastAsia"/>
          <w:lang w:val="fr-CA"/>
        </w:rPr>
        <w:t>)</w:t>
      </w:r>
      <w:r w:rsidRPr="00ED22D1">
        <w:rPr>
          <w:rFonts w:eastAsiaTheme="minorEastAsia"/>
          <w:lang w:val="fr-CA"/>
        </w:rPr>
        <w:t xml:space="preserve"> </w:t>
      </w:r>
      <w:r w:rsidR="004A6828" w:rsidRPr="00ED22D1">
        <w:rPr>
          <w:rFonts w:eastAsiaTheme="minorEastAsia"/>
          <w:lang w:val="fr-CA"/>
        </w:rPr>
        <w:t xml:space="preserve">et </w:t>
      </w:r>
      <w:r w:rsidRPr="00ED22D1">
        <w:rPr>
          <w:rFonts w:eastAsiaTheme="minorEastAsia"/>
          <w:lang w:val="fr-CA"/>
        </w:rPr>
        <w:t xml:space="preserve">le plan de gestion de la production de </w:t>
      </w:r>
      <w:r w:rsidR="0085675A" w:rsidRPr="00ED22D1">
        <w:rPr>
          <w:rFonts w:eastAsiaTheme="minorEastAsia"/>
          <w:lang w:val="fr-CA"/>
        </w:rPr>
        <w:t xml:space="preserve">HCFC, </w:t>
      </w:r>
      <w:r w:rsidR="004B666A" w:rsidRPr="00ED22D1">
        <w:rPr>
          <w:rFonts w:eastAsiaTheme="minorEastAsia"/>
          <w:lang w:val="fr-CA"/>
        </w:rPr>
        <w:t>y</w:t>
      </w:r>
      <w:r w:rsidRPr="00ED22D1">
        <w:rPr>
          <w:rFonts w:eastAsiaTheme="minorEastAsia"/>
          <w:lang w:val="fr-CA"/>
        </w:rPr>
        <w:t> </w:t>
      </w:r>
      <w:r w:rsidR="004B666A" w:rsidRPr="00ED22D1">
        <w:rPr>
          <w:rFonts w:eastAsiaTheme="minorEastAsia"/>
          <w:lang w:val="fr-CA"/>
        </w:rPr>
        <w:t>compris</w:t>
      </w:r>
      <w:r w:rsidRPr="00ED22D1">
        <w:rPr>
          <w:rFonts w:eastAsiaTheme="minorEastAsia"/>
          <w:lang w:val="fr-CA"/>
        </w:rPr>
        <w:t xml:space="preserve"> les données sur la structure organisationnelle et la capacité aux niveaux </w:t>
      </w:r>
      <w:r w:rsidR="0085675A" w:rsidRPr="00ED22D1">
        <w:rPr>
          <w:rFonts w:eastAsiaTheme="minorEastAsia"/>
          <w:lang w:val="fr-CA"/>
        </w:rPr>
        <w:t>national</w:t>
      </w:r>
      <w:r w:rsidR="004A6828" w:rsidRPr="00ED22D1">
        <w:rPr>
          <w:rFonts w:eastAsiaTheme="minorEastAsia"/>
          <w:lang w:val="fr-CA"/>
        </w:rPr>
        <w:t xml:space="preserve"> et</w:t>
      </w:r>
      <w:r w:rsidR="00CE4AC4" w:rsidRPr="00ED22D1">
        <w:rPr>
          <w:rFonts w:eastAsiaTheme="minorEastAsia"/>
          <w:lang w:val="fr-CA"/>
        </w:rPr>
        <w:t> </w:t>
      </w:r>
      <w:r w:rsidR="0085675A" w:rsidRPr="00ED22D1">
        <w:rPr>
          <w:rFonts w:eastAsiaTheme="minorEastAsia"/>
          <w:lang w:val="fr-CA"/>
        </w:rPr>
        <w:t xml:space="preserve">local </w:t>
      </w:r>
      <w:r w:rsidRPr="00ED22D1">
        <w:rPr>
          <w:rFonts w:eastAsiaTheme="minorEastAsia"/>
          <w:lang w:val="fr-CA"/>
        </w:rPr>
        <w:t xml:space="preserve">qui avait démontré de quelle façon on assurait la durabilité à long terme de l’élimination des </w:t>
      </w:r>
      <w:r w:rsidR="00181884" w:rsidRPr="00ED22D1">
        <w:rPr>
          <w:rFonts w:eastAsiaTheme="minorEastAsia"/>
          <w:lang w:val="fr-CA"/>
        </w:rPr>
        <w:t>HCFC</w:t>
      </w:r>
      <w:r w:rsidR="0085675A" w:rsidRPr="00ED22D1">
        <w:rPr>
          <w:rFonts w:eastAsiaTheme="minorEastAsia"/>
          <w:lang w:val="fr-CA"/>
        </w:rPr>
        <w:t xml:space="preserve"> </w:t>
      </w:r>
      <w:r w:rsidRPr="00ED22D1">
        <w:rPr>
          <w:rFonts w:eastAsiaTheme="minorEastAsia"/>
          <w:lang w:val="fr-CA"/>
        </w:rPr>
        <w:t xml:space="preserve">dans les secteurs de la </w:t>
      </w:r>
      <w:r w:rsidR="00181884" w:rsidRPr="00ED22D1">
        <w:rPr>
          <w:rFonts w:eastAsiaTheme="minorEastAsia"/>
          <w:lang w:val="fr-CA"/>
        </w:rPr>
        <w:t>consommation</w:t>
      </w:r>
      <w:r w:rsidR="004A6828" w:rsidRPr="00ED22D1">
        <w:rPr>
          <w:rFonts w:eastAsiaTheme="minorEastAsia"/>
          <w:lang w:val="fr-CA"/>
        </w:rPr>
        <w:t xml:space="preserve"> et </w:t>
      </w:r>
      <w:r w:rsidRPr="00ED22D1">
        <w:rPr>
          <w:rFonts w:eastAsiaTheme="minorEastAsia"/>
          <w:lang w:val="fr-CA"/>
        </w:rPr>
        <w:t xml:space="preserve">de la </w:t>
      </w:r>
      <w:r w:rsidR="0085675A" w:rsidRPr="00ED22D1">
        <w:rPr>
          <w:rFonts w:eastAsiaTheme="minorEastAsia"/>
          <w:lang w:val="fr-CA"/>
        </w:rPr>
        <w:t xml:space="preserve">production </w:t>
      </w:r>
      <w:r w:rsidR="004A6828" w:rsidRPr="00ED22D1">
        <w:rPr>
          <w:rFonts w:eastAsiaTheme="minorEastAsia"/>
          <w:lang w:val="fr-CA"/>
        </w:rPr>
        <w:t xml:space="preserve">et </w:t>
      </w:r>
      <w:r w:rsidR="00316FD8" w:rsidRPr="00ED22D1">
        <w:rPr>
          <w:rFonts w:eastAsiaTheme="minorEastAsia"/>
          <w:lang w:val="fr-CA"/>
        </w:rPr>
        <w:t xml:space="preserve">sur les </w:t>
      </w:r>
      <w:r w:rsidR="0085675A" w:rsidRPr="00ED22D1">
        <w:rPr>
          <w:rFonts w:eastAsiaTheme="minorEastAsia"/>
          <w:lang w:val="fr-CA"/>
        </w:rPr>
        <w:t xml:space="preserve">efforts </w:t>
      </w:r>
      <w:r w:rsidR="00316FD8" w:rsidRPr="00ED22D1">
        <w:rPr>
          <w:rFonts w:eastAsiaTheme="minorEastAsia"/>
          <w:lang w:val="fr-CA"/>
        </w:rPr>
        <w:t xml:space="preserve">visant à traiter le commerce illicite de ces </w:t>
      </w:r>
      <w:r w:rsidR="0085675A" w:rsidRPr="00ED22D1">
        <w:rPr>
          <w:rFonts w:eastAsiaTheme="minorEastAsia"/>
          <w:lang w:val="fr-CA"/>
        </w:rPr>
        <w:t xml:space="preserve">substances; </w:t>
      </w:r>
    </w:p>
    <w:p w:rsidR="0085675A" w:rsidRPr="00ED22D1" w:rsidRDefault="00316FD8" w:rsidP="0085675A">
      <w:pPr>
        <w:pStyle w:val="Heading3"/>
        <w:keepNext/>
        <w:widowControl/>
        <w:numPr>
          <w:ilvl w:val="2"/>
          <w:numId w:val="24"/>
        </w:numPr>
        <w:rPr>
          <w:rFonts w:eastAsiaTheme="minorEastAsia"/>
          <w:lang w:val="fr-CA"/>
        </w:rPr>
      </w:pPr>
      <w:r w:rsidRPr="00ED22D1">
        <w:rPr>
          <w:rFonts w:eastAsiaTheme="minorEastAsia"/>
          <w:lang w:val="fr-CA"/>
        </w:rPr>
        <w:t>De présenter aussi</w:t>
      </w:r>
      <w:r w:rsidR="0085675A" w:rsidRPr="00ED22D1">
        <w:rPr>
          <w:rFonts w:eastAsiaTheme="minorEastAsia"/>
          <w:lang w:val="fr-CA"/>
        </w:rPr>
        <w:t xml:space="preserve">, </w:t>
      </w:r>
      <w:r w:rsidR="00733306" w:rsidRPr="00ED22D1">
        <w:rPr>
          <w:rFonts w:eastAsiaTheme="minorEastAsia"/>
          <w:lang w:val="fr-CA"/>
        </w:rPr>
        <w:t xml:space="preserve">à la </w:t>
      </w:r>
      <w:r w:rsidR="00055A09" w:rsidRPr="00ED22D1">
        <w:rPr>
          <w:rFonts w:eastAsiaTheme="minorEastAsia"/>
          <w:lang w:val="fr-CA"/>
        </w:rPr>
        <w:t>8</w:t>
      </w:r>
      <w:r w:rsidR="0085675A" w:rsidRPr="00ED22D1">
        <w:rPr>
          <w:rFonts w:eastAsiaTheme="minorEastAsia"/>
          <w:lang w:val="fr-CA"/>
        </w:rPr>
        <w:t>3</w:t>
      </w:r>
      <w:r w:rsidR="00055A09" w:rsidRPr="00ED22D1">
        <w:rPr>
          <w:rFonts w:eastAsiaTheme="minorEastAsia"/>
          <w:vertAlign w:val="superscript"/>
          <w:lang w:val="fr-CA"/>
        </w:rPr>
        <w:t>e</w:t>
      </w:r>
      <w:r w:rsidR="00055A09" w:rsidRPr="00ED22D1">
        <w:rPr>
          <w:rFonts w:eastAsiaTheme="minorEastAsia"/>
          <w:lang w:val="fr-CA"/>
        </w:rPr>
        <w:t xml:space="preserve"> </w:t>
      </w:r>
      <w:r w:rsidR="00DD185D" w:rsidRPr="00ED22D1">
        <w:rPr>
          <w:rFonts w:eastAsiaTheme="minorEastAsia"/>
          <w:lang w:val="fr-CA"/>
        </w:rPr>
        <w:t>réunion</w:t>
      </w:r>
      <w:r w:rsidR="0085675A" w:rsidRPr="00ED22D1">
        <w:rPr>
          <w:rFonts w:eastAsiaTheme="minorEastAsia"/>
          <w:lang w:val="fr-CA"/>
        </w:rPr>
        <w:t xml:space="preserve">, </w:t>
      </w:r>
      <w:r w:rsidRPr="00ED22D1">
        <w:rPr>
          <w:rFonts w:eastAsiaTheme="minorEastAsia"/>
          <w:lang w:val="fr-CA"/>
        </w:rPr>
        <w:t>un</w:t>
      </w:r>
      <w:r w:rsidR="0085675A" w:rsidRPr="00ED22D1">
        <w:rPr>
          <w:rFonts w:eastAsiaTheme="minorEastAsia"/>
          <w:lang w:val="fr-CA"/>
        </w:rPr>
        <w:t xml:space="preserve"> </w:t>
      </w:r>
      <w:r w:rsidR="004A6828" w:rsidRPr="00ED22D1">
        <w:rPr>
          <w:rFonts w:eastAsiaTheme="minorEastAsia"/>
          <w:lang w:val="fr-CA"/>
        </w:rPr>
        <w:t>rapport périodique</w:t>
      </w:r>
      <w:r w:rsidR="0085675A" w:rsidRPr="00ED22D1">
        <w:rPr>
          <w:rFonts w:eastAsiaTheme="minorEastAsia"/>
          <w:lang w:val="fr-CA"/>
        </w:rPr>
        <w:t xml:space="preserve"> </w:t>
      </w:r>
      <w:r w:rsidRPr="00ED22D1">
        <w:rPr>
          <w:rFonts w:eastAsiaTheme="minorEastAsia"/>
          <w:lang w:val="fr-CA"/>
        </w:rPr>
        <w:t xml:space="preserve">sur les </w:t>
      </w:r>
      <w:r w:rsidR="0085675A" w:rsidRPr="00ED22D1">
        <w:rPr>
          <w:rFonts w:eastAsiaTheme="minorEastAsia"/>
          <w:lang w:val="fr-CA"/>
        </w:rPr>
        <w:t>acti</w:t>
      </w:r>
      <w:r w:rsidRPr="00ED22D1">
        <w:rPr>
          <w:rFonts w:eastAsiaTheme="minorEastAsia"/>
          <w:lang w:val="fr-CA"/>
        </w:rPr>
        <w:t xml:space="preserve">vités entreprises afin de renforcer la réglementation des </w:t>
      </w:r>
      <w:r w:rsidR="001B31BF" w:rsidRPr="00ED22D1">
        <w:rPr>
          <w:rFonts w:eastAsiaTheme="minorEastAsia"/>
          <w:lang w:val="fr-CA"/>
        </w:rPr>
        <w:t xml:space="preserve">SAO </w:t>
      </w:r>
      <w:r w:rsidR="004A6828" w:rsidRPr="00ED22D1">
        <w:rPr>
          <w:rFonts w:eastAsiaTheme="minorEastAsia"/>
          <w:lang w:val="fr-CA"/>
        </w:rPr>
        <w:t>et</w:t>
      </w:r>
      <w:r w:rsidRPr="00ED22D1">
        <w:rPr>
          <w:rFonts w:eastAsiaTheme="minorEastAsia"/>
          <w:lang w:val="fr-CA"/>
        </w:rPr>
        <w:t xml:space="preserve"> sa</w:t>
      </w:r>
      <w:r w:rsidR="004A6828" w:rsidRPr="00ED22D1">
        <w:rPr>
          <w:rFonts w:eastAsiaTheme="minorEastAsia"/>
          <w:lang w:val="fr-CA"/>
        </w:rPr>
        <w:t xml:space="preserve"> </w:t>
      </w:r>
      <w:r w:rsidR="00921BDE" w:rsidRPr="00ED22D1">
        <w:rPr>
          <w:rFonts w:eastAsiaTheme="minorEastAsia"/>
          <w:lang w:val="fr-CA" w:eastAsia="zh-CN"/>
        </w:rPr>
        <w:t xml:space="preserve">mise en oeuvre </w:t>
      </w:r>
      <w:r w:rsidRPr="00ED22D1">
        <w:rPr>
          <w:rFonts w:eastAsiaTheme="minorEastAsia"/>
          <w:lang w:val="fr-CA" w:eastAsia="zh-CN"/>
        </w:rPr>
        <w:t>par</w:t>
      </w:r>
      <w:r w:rsidR="00CE4AC4" w:rsidRPr="00ED22D1">
        <w:rPr>
          <w:rFonts w:eastAsiaTheme="minorEastAsia"/>
          <w:lang w:val="fr-CA" w:eastAsia="zh-CN"/>
        </w:rPr>
        <w:t> </w:t>
      </w:r>
      <w:r w:rsidRPr="00ED22D1">
        <w:rPr>
          <w:rFonts w:eastAsiaTheme="minorEastAsia"/>
          <w:lang w:val="fr-CA" w:eastAsia="zh-CN"/>
        </w:rPr>
        <w:t xml:space="preserve">la suite en </w:t>
      </w:r>
      <w:r w:rsidR="00181884" w:rsidRPr="00ED22D1">
        <w:rPr>
          <w:rFonts w:eastAsiaTheme="minorEastAsia"/>
          <w:lang w:val="fr-CA"/>
        </w:rPr>
        <w:t>Chine</w:t>
      </w:r>
      <w:r w:rsidR="00B84F94" w:rsidRPr="00ED22D1">
        <w:rPr>
          <w:rFonts w:eastAsiaTheme="minorEastAsia"/>
          <w:lang w:val="fr-CA"/>
        </w:rPr>
        <w:t xml:space="preserve">; et </w:t>
      </w:r>
    </w:p>
    <w:p w:rsidR="0085675A" w:rsidRPr="00ED22D1" w:rsidRDefault="005A6C23" w:rsidP="00527931">
      <w:pPr>
        <w:pStyle w:val="Heading2"/>
        <w:numPr>
          <w:ilvl w:val="0"/>
          <w:numId w:val="0"/>
        </w:numPr>
        <w:ind w:left="1440" w:hanging="720"/>
        <w:rPr>
          <w:rFonts w:eastAsiaTheme="minorEastAsia"/>
          <w:lang w:val="fr-CA"/>
        </w:rPr>
      </w:pPr>
      <w:r w:rsidRPr="00ED22D1">
        <w:rPr>
          <w:rFonts w:eastAsiaTheme="minorEastAsia"/>
          <w:lang w:val="fr-CA"/>
        </w:rPr>
        <w:t>(b)</w:t>
      </w:r>
      <w:r w:rsidRPr="00ED22D1">
        <w:rPr>
          <w:rFonts w:eastAsiaTheme="minorEastAsia"/>
          <w:lang w:val="fr-CA"/>
        </w:rPr>
        <w:tab/>
      </w:r>
      <w:r w:rsidR="00316FD8" w:rsidRPr="00ED22D1">
        <w:rPr>
          <w:rFonts w:eastAsiaTheme="minorEastAsia"/>
          <w:lang w:val="fr-CA"/>
        </w:rPr>
        <w:t xml:space="preserve">Évaluer les </w:t>
      </w:r>
      <w:r w:rsidR="00E81764" w:rsidRPr="00ED22D1">
        <w:rPr>
          <w:rFonts w:eastAsiaTheme="minorEastAsia"/>
          <w:lang w:val="fr-CA"/>
        </w:rPr>
        <w:t>demande</w:t>
      </w:r>
      <w:r w:rsidR="0085675A" w:rsidRPr="00ED22D1">
        <w:rPr>
          <w:rFonts w:eastAsiaTheme="minorEastAsia"/>
          <w:lang w:val="fr-CA"/>
        </w:rPr>
        <w:t xml:space="preserve">s </w:t>
      </w:r>
      <w:r w:rsidR="00316FD8" w:rsidRPr="00ED22D1">
        <w:rPr>
          <w:rFonts w:eastAsiaTheme="minorEastAsia"/>
          <w:lang w:val="fr-CA"/>
        </w:rPr>
        <w:t>de</w:t>
      </w:r>
      <w:r w:rsidR="0085675A" w:rsidRPr="00ED22D1">
        <w:rPr>
          <w:rFonts w:eastAsiaTheme="minorEastAsia"/>
          <w:lang w:val="fr-CA"/>
        </w:rPr>
        <w:t xml:space="preserve"> </w:t>
      </w:r>
      <w:r w:rsidR="00D15079" w:rsidRPr="00ED22D1">
        <w:rPr>
          <w:rFonts w:eastAsiaTheme="minorEastAsia"/>
          <w:lang w:val="fr-CA"/>
        </w:rPr>
        <w:t>financement</w:t>
      </w:r>
      <w:r w:rsidR="0085675A" w:rsidRPr="00ED22D1">
        <w:rPr>
          <w:rFonts w:eastAsiaTheme="minorEastAsia"/>
          <w:lang w:val="fr-CA"/>
        </w:rPr>
        <w:t xml:space="preserve"> </w:t>
      </w:r>
      <w:r w:rsidR="00316FD8" w:rsidRPr="00ED22D1">
        <w:rPr>
          <w:rFonts w:eastAsiaTheme="minorEastAsia"/>
          <w:lang w:val="fr-CA"/>
        </w:rPr>
        <w:t xml:space="preserve"> pour les tranches subséquentes de </w:t>
      </w:r>
      <w:r w:rsidR="00921BDE" w:rsidRPr="00ED22D1">
        <w:rPr>
          <w:rFonts w:eastAsiaTheme="minorEastAsia"/>
          <w:lang w:val="fr-CA"/>
        </w:rPr>
        <w:t>la phase</w:t>
      </w:r>
      <w:r w:rsidR="004A6828" w:rsidRPr="00ED22D1">
        <w:rPr>
          <w:rFonts w:eastAsiaTheme="minorEastAsia"/>
          <w:lang w:val="fr-CA"/>
        </w:rPr>
        <w:t xml:space="preserve"> </w:t>
      </w:r>
      <w:r w:rsidR="0085675A" w:rsidRPr="00ED22D1">
        <w:rPr>
          <w:rFonts w:eastAsiaTheme="minorEastAsia"/>
          <w:lang w:val="fr-CA"/>
        </w:rPr>
        <w:t xml:space="preserve">II </w:t>
      </w:r>
      <w:r w:rsidR="001F19C1" w:rsidRPr="00ED22D1">
        <w:rPr>
          <w:rFonts w:eastAsiaTheme="minorEastAsia"/>
          <w:lang w:val="fr-CA"/>
        </w:rPr>
        <w:t>du</w:t>
      </w:r>
      <w:r w:rsidR="00CE4AC4" w:rsidRPr="00ED22D1">
        <w:rPr>
          <w:rFonts w:eastAsiaTheme="minorEastAsia"/>
          <w:lang w:val="fr-CA"/>
        </w:rPr>
        <w:t> </w:t>
      </w:r>
      <w:r w:rsidR="001F19C1" w:rsidRPr="00ED22D1">
        <w:rPr>
          <w:rFonts w:eastAsiaTheme="minorEastAsia"/>
          <w:lang w:val="fr-CA"/>
        </w:rPr>
        <w:t>PGEH</w:t>
      </w:r>
      <w:r w:rsidR="0085675A" w:rsidRPr="00ED22D1">
        <w:rPr>
          <w:rFonts w:eastAsiaTheme="minorEastAsia"/>
          <w:lang w:val="fr-CA"/>
        </w:rPr>
        <w:t xml:space="preserve"> </w:t>
      </w:r>
      <w:r w:rsidR="001B31BF" w:rsidRPr="00ED22D1">
        <w:rPr>
          <w:rFonts w:eastAsiaTheme="minorEastAsia"/>
          <w:lang w:val="fr-CA"/>
        </w:rPr>
        <w:t>de la Chine</w:t>
      </w:r>
      <w:r w:rsidR="0085675A" w:rsidRPr="00ED22D1">
        <w:rPr>
          <w:rFonts w:eastAsiaTheme="minorEastAsia"/>
          <w:lang w:val="fr-CA"/>
        </w:rPr>
        <w:t xml:space="preserve"> </w:t>
      </w:r>
      <w:r w:rsidR="00733306" w:rsidRPr="00ED22D1">
        <w:rPr>
          <w:rFonts w:eastAsiaTheme="minorEastAsia"/>
          <w:lang w:val="fr-CA"/>
        </w:rPr>
        <w:t xml:space="preserve">à la </w:t>
      </w:r>
      <w:r w:rsidR="00316FD8" w:rsidRPr="00ED22D1">
        <w:rPr>
          <w:rFonts w:eastAsiaTheme="minorEastAsia"/>
          <w:lang w:val="fr-CA"/>
        </w:rPr>
        <w:t>8</w:t>
      </w:r>
      <w:r w:rsidR="0085675A" w:rsidRPr="00ED22D1">
        <w:rPr>
          <w:rFonts w:eastAsiaTheme="minorEastAsia"/>
          <w:lang w:val="fr-CA"/>
        </w:rPr>
        <w:t>3</w:t>
      </w:r>
      <w:r w:rsidR="00316FD8" w:rsidRPr="00ED22D1">
        <w:rPr>
          <w:rFonts w:eastAsiaTheme="minorEastAsia"/>
          <w:vertAlign w:val="superscript"/>
          <w:lang w:val="fr-CA"/>
        </w:rPr>
        <w:t>e</w:t>
      </w:r>
      <w:r w:rsidR="00316FD8" w:rsidRPr="00ED22D1">
        <w:rPr>
          <w:rFonts w:eastAsiaTheme="minorEastAsia"/>
          <w:lang w:val="fr-CA"/>
        </w:rPr>
        <w:t xml:space="preserve"> </w:t>
      </w:r>
      <w:r w:rsidR="00DD185D" w:rsidRPr="00ED22D1">
        <w:rPr>
          <w:rFonts w:eastAsiaTheme="minorEastAsia"/>
          <w:lang w:val="fr-CA"/>
        </w:rPr>
        <w:t>réunion</w:t>
      </w:r>
      <w:r w:rsidR="0085675A" w:rsidRPr="00ED22D1">
        <w:rPr>
          <w:rFonts w:eastAsiaTheme="minorEastAsia"/>
          <w:lang w:val="fr-CA"/>
        </w:rPr>
        <w:t xml:space="preserve">. </w:t>
      </w:r>
    </w:p>
    <w:p w:rsidR="0085675A" w:rsidRPr="00ED22D1" w:rsidRDefault="00E81764" w:rsidP="00C80221">
      <w:pPr>
        <w:spacing w:before="120" w:after="120"/>
        <w:rPr>
          <w:u w:val="single"/>
          <w:lang w:val="fr-CA"/>
        </w:rPr>
      </w:pPr>
      <w:r w:rsidRPr="00ED22D1">
        <w:rPr>
          <w:u w:val="single"/>
          <w:lang w:val="fr-CA"/>
        </w:rPr>
        <w:t>Présentation</w:t>
      </w:r>
      <w:r w:rsidR="0085675A" w:rsidRPr="00ED22D1">
        <w:rPr>
          <w:u w:val="single"/>
          <w:lang w:val="fr-CA"/>
        </w:rPr>
        <w:t xml:space="preserve"> </w:t>
      </w:r>
      <w:r w:rsidR="00316FD8" w:rsidRPr="00ED22D1">
        <w:rPr>
          <w:u w:val="single"/>
          <w:lang w:val="fr-CA"/>
        </w:rPr>
        <w:t>à la</w:t>
      </w:r>
      <w:r w:rsidR="0085675A" w:rsidRPr="00ED22D1">
        <w:rPr>
          <w:u w:val="single"/>
          <w:lang w:val="fr-CA"/>
        </w:rPr>
        <w:t xml:space="preserve"> </w:t>
      </w:r>
      <w:r w:rsidR="00316FD8" w:rsidRPr="00ED22D1">
        <w:rPr>
          <w:u w:val="single"/>
          <w:lang w:val="fr-CA"/>
        </w:rPr>
        <w:t>8</w:t>
      </w:r>
      <w:r w:rsidR="0085675A" w:rsidRPr="00ED22D1">
        <w:rPr>
          <w:u w:val="single"/>
          <w:lang w:val="fr-CA"/>
        </w:rPr>
        <w:t>3</w:t>
      </w:r>
      <w:r w:rsidR="00316FD8" w:rsidRPr="00ED22D1">
        <w:rPr>
          <w:u w:val="single"/>
          <w:vertAlign w:val="superscript"/>
          <w:lang w:val="fr-CA"/>
        </w:rPr>
        <w:t>e</w:t>
      </w:r>
      <w:r w:rsidR="00316FD8" w:rsidRPr="00ED22D1">
        <w:rPr>
          <w:u w:val="single"/>
          <w:lang w:val="fr-CA"/>
        </w:rPr>
        <w:t xml:space="preserve"> </w:t>
      </w:r>
      <w:r w:rsidR="00DD185D" w:rsidRPr="00ED22D1">
        <w:rPr>
          <w:u w:val="single"/>
          <w:lang w:val="fr-CA"/>
        </w:rPr>
        <w:t>réunion</w:t>
      </w:r>
    </w:p>
    <w:p w:rsidR="0085675A" w:rsidRPr="00ED22D1" w:rsidRDefault="0085675A" w:rsidP="0085675A">
      <w:pPr>
        <w:rPr>
          <w:lang w:val="fr-CA"/>
        </w:rPr>
      </w:pPr>
    </w:p>
    <w:p w:rsidR="0085675A" w:rsidRPr="00ED22D1" w:rsidRDefault="005A6C23" w:rsidP="005A6C23">
      <w:pPr>
        <w:pStyle w:val="Heading1"/>
        <w:numPr>
          <w:ilvl w:val="0"/>
          <w:numId w:val="0"/>
        </w:numPr>
        <w:rPr>
          <w:lang w:val="fr-CA"/>
        </w:rPr>
      </w:pPr>
      <w:r w:rsidRPr="00ED22D1">
        <w:rPr>
          <w:lang w:val="fr-CA"/>
        </w:rPr>
        <w:t>37.</w:t>
      </w:r>
      <w:r w:rsidRPr="00ED22D1">
        <w:rPr>
          <w:lang w:val="fr-CA"/>
        </w:rPr>
        <w:tab/>
      </w:r>
      <w:r w:rsidR="00316FD8" w:rsidRPr="00ED22D1">
        <w:rPr>
          <w:lang w:val="fr-CA"/>
        </w:rPr>
        <w:t>E</w:t>
      </w:r>
      <w:r w:rsidR="0085675A" w:rsidRPr="00ED22D1">
        <w:rPr>
          <w:lang w:val="fr-CA"/>
        </w:rPr>
        <w:t xml:space="preserve">n </w:t>
      </w:r>
      <w:r w:rsidR="00055A09" w:rsidRPr="00ED22D1">
        <w:rPr>
          <w:lang w:val="fr-CA"/>
        </w:rPr>
        <w:t>réponse</w:t>
      </w:r>
      <w:r w:rsidR="0085675A" w:rsidRPr="00ED22D1">
        <w:rPr>
          <w:lang w:val="fr-CA"/>
        </w:rPr>
        <w:t xml:space="preserve"> </w:t>
      </w:r>
      <w:r w:rsidR="00316FD8" w:rsidRPr="00ED22D1">
        <w:rPr>
          <w:lang w:val="fr-CA"/>
        </w:rPr>
        <w:t xml:space="preserve">à la </w:t>
      </w:r>
      <w:r w:rsidR="00AA6E77" w:rsidRPr="00ED22D1">
        <w:rPr>
          <w:lang w:val="fr-CA"/>
        </w:rPr>
        <w:t>décision</w:t>
      </w:r>
      <w:r w:rsidR="0085675A" w:rsidRPr="00ED22D1">
        <w:rPr>
          <w:lang w:val="fr-CA"/>
        </w:rPr>
        <w:t> 82/7</w:t>
      </w:r>
      <w:r w:rsidR="004A6828" w:rsidRPr="00ED22D1">
        <w:rPr>
          <w:lang w:val="fr-CA"/>
        </w:rPr>
        <w:t>1</w:t>
      </w:r>
      <w:r w:rsidR="00316FD8" w:rsidRPr="00ED22D1">
        <w:rPr>
          <w:lang w:val="fr-CA"/>
        </w:rPr>
        <w:t>,</w:t>
      </w:r>
      <w:r w:rsidR="004A6828" w:rsidRPr="00ED22D1">
        <w:rPr>
          <w:lang w:val="fr-CA"/>
        </w:rPr>
        <w:t> </w:t>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791BF7" w:rsidRPr="00ED22D1">
        <w:rPr>
          <w:lang w:val="fr-CA"/>
        </w:rPr>
        <w:t> :</w:t>
      </w:r>
    </w:p>
    <w:p w:rsidR="0085675A" w:rsidRPr="00ED22D1" w:rsidRDefault="005A6C23" w:rsidP="005A6C23">
      <w:pPr>
        <w:pStyle w:val="Heading2"/>
        <w:numPr>
          <w:ilvl w:val="0"/>
          <w:numId w:val="0"/>
        </w:numPr>
        <w:ind w:left="720"/>
        <w:rPr>
          <w:lang w:val="fr-CA"/>
        </w:rPr>
      </w:pPr>
      <w:r w:rsidRPr="00ED22D1">
        <w:rPr>
          <w:lang w:val="fr-CA"/>
        </w:rPr>
        <w:t>(a)</w:t>
      </w:r>
      <w:r w:rsidRPr="00ED22D1">
        <w:rPr>
          <w:lang w:val="fr-CA"/>
        </w:rPr>
        <w:tab/>
      </w:r>
      <w:r w:rsidR="00316FD8" w:rsidRPr="00ED22D1">
        <w:rPr>
          <w:lang w:val="fr-CA"/>
        </w:rPr>
        <w:t xml:space="preserve">Le </w:t>
      </w:r>
      <w:r w:rsidR="001C722B" w:rsidRPr="00ED22D1">
        <w:rPr>
          <w:lang w:val="fr-CA"/>
        </w:rPr>
        <w:t>PNUD</w:t>
      </w:r>
      <w:r w:rsidR="0085675A" w:rsidRPr="00ED22D1">
        <w:rPr>
          <w:lang w:val="fr-CA"/>
        </w:rPr>
        <w:t xml:space="preserve"> </w:t>
      </w:r>
      <w:r w:rsidR="00316FD8" w:rsidRPr="00ED22D1">
        <w:rPr>
          <w:lang w:val="fr-CA"/>
        </w:rPr>
        <w:t xml:space="preserve">a </w:t>
      </w:r>
      <w:r w:rsidR="00FB1DC4" w:rsidRPr="00ED22D1">
        <w:rPr>
          <w:lang w:val="fr-CA"/>
        </w:rPr>
        <w:t>présenté</w:t>
      </w:r>
      <w:r w:rsidR="0085675A" w:rsidRPr="00ED22D1">
        <w:rPr>
          <w:lang w:val="fr-CA"/>
        </w:rPr>
        <w:t xml:space="preserve"> </w:t>
      </w:r>
      <w:r w:rsidR="00316FD8" w:rsidRPr="00ED22D1">
        <w:rPr>
          <w:lang w:val="fr-CA"/>
        </w:rPr>
        <w:t xml:space="preserve">le rapport demandé </w:t>
      </w:r>
      <w:r w:rsidR="00CE4AC4" w:rsidRPr="00ED22D1">
        <w:rPr>
          <w:lang w:val="fr-CA"/>
        </w:rPr>
        <w:t>selon</w:t>
      </w:r>
      <w:r w:rsidR="00316FD8" w:rsidRPr="00ED22D1">
        <w:rPr>
          <w:lang w:val="fr-CA"/>
        </w:rPr>
        <w:t xml:space="preserve"> la </w:t>
      </w:r>
      <w:r w:rsidR="00AA6E77" w:rsidRPr="00ED22D1">
        <w:rPr>
          <w:lang w:val="fr-CA"/>
        </w:rPr>
        <w:t>décision</w:t>
      </w:r>
      <w:r w:rsidR="0085675A" w:rsidRPr="00ED22D1">
        <w:rPr>
          <w:lang w:val="fr-CA"/>
        </w:rPr>
        <w:t> 82/71</w:t>
      </w:r>
      <w:r w:rsidR="00316FD8" w:rsidRPr="00ED22D1">
        <w:rPr>
          <w:lang w:val="fr-CA"/>
        </w:rPr>
        <w:t> </w:t>
      </w:r>
      <w:r w:rsidR="0085675A" w:rsidRPr="00ED22D1">
        <w:rPr>
          <w:lang w:val="fr-CA"/>
        </w:rPr>
        <w:t>a)</w:t>
      </w:r>
      <w:r w:rsidR="00316FD8" w:rsidRPr="00ED22D1">
        <w:rPr>
          <w:lang w:val="fr-CA"/>
        </w:rPr>
        <w:t> </w:t>
      </w:r>
      <w:r w:rsidR="0085675A" w:rsidRPr="00ED22D1">
        <w:rPr>
          <w:lang w:val="fr-CA"/>
        </w:rPr>
        <w:t>i)</w:t>
      </w:r>
      <w:r w:rsidR="004A6828" w:rsidRPr="00ED22D1">
        <w:rPr>
          <w:lang w:val="fr-CA"/>
        </w:rPr>
        <w:t xml:space="preserve"> et </w:t>
      </w:r>
      <w:r w:rsidR="0085675A" w:rsidRPr="00ED22D1">
        <w:rPr>
          <w:lang w:val="fr-CA"/>
        </w:rPr>
        <w:t xml:space="preserve">ii), </w:t>
      </w:r>
      <w:r w:rsidR="00316FD8" w:rsidRPr="00ED22D1">
        <w:rPr>
          <w:lang w:val="fr-CA"/>
        </w:rPr>
        <w:t xml:space="preserve">qui fait </w:t>
      </w:r>
      <w:r w:rsidR="00CE4AC4" w:rsidRPr="00ED22D1">
        <w:rPr>
          <w:lang w:val="fr-CA"/>
        </w:rPr>
        <w:tab/>
      </w:r>
      <w:r w:rsidR="00316FD8" w:rsidRPr="00ED22D1">
        <w:rPr>
          <w:lang w:val="fr-CA"/>
        </w:rPr>
        <w:t xml:space="preserve">l’objet de discussion dans le </w:t>
      </w:r>
      <w:r w:rsidR="0085675A" w:rsidRPr="00ED22D1">
        <w:rPr>
          <w:lang w:val="fr-CA"/>
        </w:rPr>
        <w:t>document </w:t>
      </w:r>
      <w:r w:rsidR="001C722B" w:rsidRPr="00ED22D1">
        <w:rPr>
          <w:lang w:val="fr-CA"/>
        </w:rPr>
        <w:t>UNEP</w:t>
      </w:r>
      <w:r w:rsidR="0085675A" w:rsidRPr="00ED22D1">
        <w:rPr>
          <w:lang w:val="fr-CA"/>
        </w:rPr>
        <w:t>/OzL.Pro/Excom/83/11/Add.</w:t>
      </w:r>
      <w:r w:rsidR="004A6828" w:rsidRPr="00ED22D1">
        <w:rPr>
          <w:lang w:val="fr-CA"/>
        </w:rPr>
        <w:t>1</w:t>
      </w:r>
      <w:r w:rsidR="00316FD8" w:rsidRPr="00ED22D1">
        <w:rPr>
          <w:lang w:val="fr-CA"/>
        </w:rPr>
        <w:t>.</w:t>
      </w:r>
    </w:p>
    <w:p w:rsidR="0085675A" w:rsidRPr="00ED22D1" w:rsidRDefault="005A6C23" w:rsidP="00316FD8">
      <w:pPr>
        <w:pStyle w:val="Heading2"/>
        <w:numPr>
          <w:ilvl w:val="0"/>
          <w:numId w:val="0"/>
        </w:numPr>
        <w:ind w:left="1418" w:hanging="698"/>
        <w:rPr>
          <w:lang w:val="fr-CA"/>
        </w:rPr>
      </w:pPr>
      <w:r w:rsidRPr="00ED22D1">
        <w:rPr>
          <w:lang w:val="fr-CA"/>
        </w:rPr>
        <w:t>(b)</w:t>
      </w:r>
      <w:r w:rsidRPr="00ED22D1">
        <w:rPr>
          <w:lang w:val="fr-CA"/>
        </w:rPr>
        <w:tab/>
      </w:r>
      <w:r w:rsidR="00316FD8" w:rsidRPr="00ED22D1">
        <w:rPr>
          <w:lang w:val="fr-CA"/>
        </w:rPr>
        <w:t xml:space="preserve">Le </w:t>
      </w:r>
      <w:r w:rsidR="001C722B" w:rsidRPr="00ED22D1">
        <w:rPr>
          <w:lang w:val="fr-CA"/>
        </w:rPr>
        <w:t>PNUD</w:t>
      </w:r>
      <w:r w:rsidR="001F19C1" w:rsidRPr="00ED22D1">
        <w:rPr>
          <w:lang w:val="fr-CA"/>
        </w:rPr>
        <w:t>, le PNUE, l’ONUDI</w:t>
      </w:r>
      <w:r w:rsidR="0085675A" w:rsidRPr="00ED22D1">
        <w:rPr>
          <w:lang w:val="fr-CA"/>
        </w:rPr>
        <w:t>,</w:t>
      </w:r>
      <w:r w:rsidR="001F19C1" w:rsidRPr="00ED22D1">
        <w:rPr>
          <w:lang w:val="fr-CA"/>
        </w:rPr>
        <w:t xml:space="preserve"> la Banque mondiale</w:t>
      </w:r>
      <w:r w:rsidR="004A6828" w:rsidRPr="00ED22D1">
        <w:rPr>
          <w:lang w:val="fr-CA"/>
        </w:rPr>
        <w:t xml:space="preserve"> et </w:t>
      </w:r>
      <w:r w:rsidR="00921BDE" w:rsidRPr="00ED22D1">
        <w:rPr>
          <w:lang w:val="fr-CA"/>
        </w:rPr>
        <w:t>le</w:t>
      </w:r>
      <w:r w:rsidR="00316FD8" w:rsidRPr="00ED22D1">
        <w:rPr>
          <w:lang w:val="fr-CA"/>
        </w:rPr>
        <w:t>s</w:t>
      </w:r>
      <w:r w:rsidR="00921BDE" w:rsidRPr="00ED22D1">
        <w:rPr>
          <w:lang w:val="fr-CA"/>
        </w:rPr>
        <w:t xml:space="preserve"> gouvernement</w:t>
      </w:r>
      <w:r w:rsidR="001F19C1" w:rsidRPr="00ED22D1">
        <w:rPr>
          <w:lang w:val="fr-CA"/>
        </w:rPr>
        <w:t>s de</w:t>
      </w:r>
      <w:r w:rsidR="00316FD8" w:rsidRPr="00ED22D1">
        <w:rPr>
          <w:lang w:val="fr-CA"/>
        </w:rPr>
        <w:tab/>
      </w:r>
      <w:r w:rsidR="001F19C1" w:rsidRPr="00ED22D1">
        <w:rPr>
          <w:lang w:val="fr-CA"/>
        </w:rPr>
        <w:t>l’Allemagne</w:t>
      </w:r>
      <w:r w:rsidR="004A6828" w:rsidRPr="00ED22D1">
        <w:rPr>
          <w:lang w:val="fr-CA"/>
        </w:rPr>
        <w:t xml:space="preserve"> </w:t>
      </w:r>
      <w:r w:rsidR="00316FD8" w:rsidRPr="00ED22D1">
        <w:rPr>
          <w:lang w:val="fr-CA"/>
        </w:rPr>
        <w:t>et du Japon</w:t>
      </w:r>
      <w:r w:rsidRPr="00ED22D1">
        <w:rPr>
          <w:lang w:val="fr-CA"/>
        </w:rPr>
        <w:t xml:space="preserve"> </w:t>
      </w:r>
      <w:r w:rsidR="00316FD8" w:rsidRPr="00ED22D1">
        <w:rPr>
          <w:lang w:val="fr-CA"/>
        </w:rPr>
        <w:t xml:space="preserve">ont présenté de nouveau les demandes pour les troisièmes </w:t>
      </w:r>
      <w:r w:rsidRPr="00ED22D1">
        <w:rPr>
          <w:lang w:val="fr-CA"/>
        </w:rPr>
        <w:t xml:space="preserve">tranches </w:t>
      </w:r>
      <w:r w:rsidR="00316FD8" w:rsidRPr="00ED22D1">
        <w:rPr>
          <w:lang w:val="fr-CA"/>
        </w:rPr>
        <w:t>des plans des secteurs des mousses extrudées, du</w:t>
      </w:r>
      <w:r w:rsidRPr="00ED22D1">
        <w:rPr>
          <w:lang w:val="fr-CA"/>
        </w:rPr>
        <w:t xml:space="preserve"> ICR, </w:t>
      </w:r>
      <w:r w:rsidR="00316FD8" w:rsidRPr="00ED22D1">
        <w:rPr>
          <w:lang w:val="fr-CA"/>
        </w:rPr>
        <w:t xml:space="preserve">des </w:t>
      </w:r>
      <w:r w:rsidRPr="00ED22D1">
        <w:rPr>
          <w:lang w:val="fr-CA"/>
        </w:rPr>
        <w:t>solv</w:t>
      </w:r>
      <w:r w:rsidR="00316FD8" w:rsidRPr="00ED22D1">
        <w:rPr>
          <w:lang w:val="fr-CA"/>
        </w:rPr>
        <w:t>a</w:t>
      </w:r>
      <w:r w:rsidRPr="00ED22D1">
        <w:rPr>
          <w:lang w:val="fr-CA"/>
        </w:rPr>
        <w:t>nt</w:t>
      </w:r>
      <w:r w:rsidR="00316FD8" w:rsidRPr="00ED22D1">
        <w:rPr>
          <w:lang w:val="fr-CA"/>
        </w:rPr>
        <w:t>s</w:t>
      </w:r>
      <w:r w:rsidRPr="00ED22D1">
        <w:rPr>
          <w:lang w:val="fr-CA"/>
        </w:rPr>
        <w:t xml:space="preserve"> </w:t>
      </w:r>
      <w:r w:rsidR="00316FD8" w:rsidRPr="00ED22D1">
        <w:rPr>
          <w:lang w:val="fr-CA"/>
        </w:rPr>
        <w:t xml:space="preserve">et de l’entretien et pour la deuxième </w:t>
      </w:r>
      <w:r w:rsidRPr="00ED22D1">
        <w:rPr>
          <w:lang w:val="fr-CA"/>
        </w:rPr>
        <w:t xml:space="preserve">tranche </w:t>
      </w:r>
      <w:r w:rsidR="00316FD8" w:rsidRPr="00ED22D1">
        <w:rPr>
          <w:lang w:val="fr-CA"/>
        </w:rPr>
        <w:t>du plan du secteur des mousses de polyéthylène associé à la phase</w:t>
      </w:r>
      <w:r w:rsidRPr="00ED22D1">
        <w:rPr>
          <w:lang w:val="fr-CA"/>
        </w:rPr>
        <w:t xml:space="preserve"> II </w:t>
      </w:r>
      <w:r w:rsidR="00316FD8" w:rsidRPr="00ED22D1">
        <w:rPr>
          <w:lang w:val="fr-CA"/>
        </w:rPr>
        <w:t>du</w:t>
      </w:r>
      <w:r w:rsidRPr="00ED22D1">
        <w:rPr>
          <w:lang w:val="fr-CA"/>
        </w:rPr>
        <w:t xml:space="preserve"> </w:t>
      </w:r>
      <w:r w:rsidR="00316FD8" w:rsidRPr="00ED22D1">
        <w:rPr>
          <w:lang w:val="fr-CA"/>
        </w:rPr>
        <w:t>PGEH</w:t>
      </w:r>
      <w:r w:rsidRPr="00ED22D1">
        <w:rPr>
          <w:lang w:val="fr-CA"/>
        </w:rPr>
        <w:t xml:space="preserve"> </w:t>
      </w:r>
      <w:r w:rsidR="00316FD8" w:rsidRPr="00ED22D1">
        <w:rPr>
          <w:lang w:val="fr-CA"/>
        </w:rPr>
        <w:t>de la Chine</w:t>
      </w:r>
      <w:r w:rsidRPr="00ED22D1">
        <w:rPr>
          <w:lang w:val="fr-CA"/>
        </w:rPr>
        <w:t xml:space="preserve"> </w:t>
      </w:r>
      <w:r w:rsidR="00316FD8" w:rsidRPr="00ED22D1">
        <w:rPr>
          <w:lang w:val="fr-CA"/>
        </w:rPr>
        <w:t>(</w:t>
      </w:r>
      <w:r w:rsidRPr="00ED22D1">
        <w:rPr>
          <w:lang w:val="fr-CA"/>
        </w:rPr>
        <w:t>Table</w:t>
      </w:r>
      <w:r w:rsidR="00316FD8" w:rsidRPr="00ED22D1">
        <w:rPr>
          <w:lang w:val="fr-CA"/>
        </w:rPr>
        <w:t>au</w:t>
      </w:r>
      <w:r w:rsidRPr="00ED22D1">
        <w:rPr>
          <w:lang w:val="fr-CA"/>
        </w:rPr>
        <w:t> 2</w:t>
      </w:r>
      <w:r w:rsidR="00316FD8" w:rsidRPr="00ED22D1">
        <w:rPr>
          <w:lang w:val="fr-CA"/>
        </w:rPr>
        <w:t>)</w:t>
      </w:r>
      <w:r w:rsidRPr="00ED22D1">
        <w:rPr>
          <w:lang w:val="fr-CA"/>
        </w:rPr>
        <w:t xml:space="preserve">. </w:t>
      </w:r>
      <w:r w:rsidR="00316FD8" w:rsidRPr="00ED22D1">
        <w:rPr>
          <w:lang w:val="fr-CA"/>
        </w:rPr>
        <w:t>La</w:t>
      </w:r>
      <w:r w:rsidRPr="00ED22D1">
        <w:rPr>
          <w:lang w:val="fr-CA"/>
        </w:rPr>
        <w:t xml:space="preserve"> </w:t>
      </w:r>
      <w:r w:rsidR="00E81764" w:rsidRPr="00ED22D1">
        <w:rPr>
          <w:lang w:val="fr-CA"/>
        </w:rPr>
        <w:t>présentation</w:t>
      </w:r>
      <w:r w:rsidRPr="00ED22D1">
        <w:rPr>
          <w:lang w:val="fr-CA"/>
        </w:rPr>
        <w:t xml:space="preserve"> </w:t>
      </w:r>
      <w:r w:rsidR="00316FD8" w:rsidRPr="00ED22D1">
        <w:rPr>
          <w:lang w:val="fr-CA"/>
        </w:rPr>
        <w:t xml:space="preserve">comprenait des rapports annuels sur la mise en oeuvre couvrant les activités entreprises </w:t>
      </w:r>
      <w:r w:rsidR="00502C24" w:rsidRPr="00ED22D1">
        <w:rPr>
          <w:lang w:val="fr-CA"/>
        </w:rPr>
        <w:t xml:space="preserve">jusqu’à </w:t>
      </w:r>
      <w:r w:rsidR="00502C24" w:rsidRPr="00ED22D1">
        <w:rPr>
          <w:lang w:val="fr-CA"/>
        </w:rPr>
        <w:lastRenderedPageBreak/>
        <w:t>maintenant</w:t>
      </w:r>
      <w:r w:rsidRPr="00ED22D1">
        <w:rPr>
          <w:lang w:val="fr-CA"/>
        </w:rPr>
        <w:t>,</w:t>
      </w:r>
      <w:r w:rsidR="00316FD8" w:rsidRPr="00ED22D1">
        <w:rPr>
          <w:lang w:val="fr-CA"/>
        </w:rPr>
        <w:t xml:space="preserve"> et les plans annuels de mise en oeuvre pour les activités à mettre en oeuvre en</w:t>
      </w:r>
      <w:r w:rsidR="00CE4AC4" w:rsidRPr="00ED22D1">
        <w:rPr>
          <w:lang w:val="fr-CA"/>
        </w:rPr>
        <w:t> </w:t>
      </w:r>
      <w:r w:rsidRPr="00ED22D1">
        <w:rPr>
          <w:lang w:val="fr-CA"/>
        </w:rPr>
        <w:t>2019</w:t>
      </w:r>
      <w:r w:rsidRPr="00ED22D1">
        <w:rPr>
          <w:lang w:val="fr-CA"/>
        </w:rPr>
        <w:noBreakHyphen/>
        <w:t>2020</w:t>
      </w:r>
      <w:r w:rsidR="00316FD8" w:rsidRPr="00ED22D1">
        <w:rPr>
          <w:lang w:val="fr-CA"/>
        </w:rPr>
        <w:t>.</w:t>
      </w:r>
      <w:r w:rsidRPr="00ED22D1">
        <w:rPr>
          <w:lang w:val="fr-CA"/>
        </w:rPr>
        <w:tab/>
      </w:r>
    </w:p>
    <w:p w:rsidR="0085675A" w:rsidRPr="00ED22D1" w:rsidRDefault="00CE7FEC" w:rsidP="00E86947">
      <w:pPr>
        <w:keepNext/>
        <w:keepLines/>
        <w:jc w:val="left"/>
        <w:rPr>
          <w:b/>
          <w:lang w:val="fr-CA"/>
        </w:rPr>
      </w:pPr>
      <w:r w:rsidRPr="00ED22D1">
        <w:rPr>
          <w:b/>
          <w:lang w:val="fr-CA"/>
        </w:rPr>
        <w:t xml:space="preserve">Tableau </w:t>
      </w:r>
      <w:r w:rsidR="004A6828" w:rsidRPr="00ED22D1">
        <w:rPr>
          <w:b/>
          <w:lang w:val="fr-CA"/>
        </w:rPr>
        <w:t>2</w:t>
      </w:r>
      <w:r w:rsidR="00D05BD1" w:rsidRPr="00ED22D1">
        <w:rPr>
          <w:b/>
          <w:lang w:val="fr-CA"/>
        </w:rPr>
        <w:t>.</w:t>
      </w:r>
      <w:r w:rsidR="0085675A" w:rsidRPr="00ED22D1">
        <w:rPr>
          <w:b/>
          <w:lang w:val="fr-CA"/>
        </w:rPr>
        <w:t xml:space="preserve"> </w:t>
      </w:r>
      <w:r w:rsidR="00F73F1B" w:rsidRPr="00ED22D1">
        <w:rPr>
          <w:b/>
          <w:lang w:val="fr-CA"/>
        </w:rPr>
        <w:t>Demandes de t</w:t>
      </w:r>
      <w:r w:rsidR="0085675A" w:rsidRPr="00ED22D1">
        <w:rPr>
          <w:b/>
          <w:lang w:val="fr-CA"/>
        </w:rPr>
        <w:t xml:space="preserve">ranche </w:t>
      </w:r>
      <w:r w:rsidR="00F73F1B" w:rsidRPr="00ED22D1">
        <w:rPr>
          <w:b/>
          <w:lang w:val="fr-CA"/>
        </w:rPr>
        <w:t>pour les plans sectoriels présentées à la 8</w:t>
      </w:r>
      <w:r w:rsidR="0085675A" w:rsidRPr="00ED22D1">
        <w:rPr>
          <w:b/>
          <w:lang w:val="fr-CA"/>
        </w:rPr>
        <w:t>3</w:t>
      </w:r>
      <w:r w:rsidR="00F73F1B" w:rsidRPr="00ED22D1">
        <w:rPr>
          <w:b/>
          <w:vertAlign w:val="superscript"/>
          <w:lang w:val="fr-CA"/>
        </w:rPr>
        <w:t>e</w:t>
      </w:r>
      <w:r w:rsidR="00F73F1B" w:rsidRPr="00ED22D1">
        <w:rPr>
          <w:b/>
          <w:lang w:val="fr-CA"/>
        </w:rPr>
        <w:t xml:space="preserve"> </w:t>
      </w:r>
      <w:r w:rsidR="00DD185D" w:rsidRPr="00ED22D1">
        <w:rPr>
          <w:b/>
          <w:lang w:val="fr-CA"/>
        </w:rPr>
        <w:t>réunion</w:t>
      </w:r>
      <w:r w:rsidR="0085675A" w:rsidRPr="00ED22D1">
        <w:rPr>
          <w:b/>
          <w:lang w:val="fr-CA"/>
        </w:rPr>
        <w:t xml:space="preserve"> </w:t>
      </w:r>
      <w:r w:rsidRPr="00ED22D1">
        <w:rPr>
          <w:b/>
          <w:lang w:val="fr-CA"/>
        </w:rPr>
        <w:t>(sauf les coûts</w:t>
      </w:r>
      <w:r w:rsidR="00DD185D" w:rsidRPr="00ED22D1">
        <w:rPr>
          <w:b/>
          <w:lang w:val="fr-CA"/>
        </w:rPr>
        <w:t xml:space="preserve"> d’appui d’agence</w:t>
      </w:r>
      <w:r w:rsidR="0085675A" w:rsidRPr="00ED22D1">
        <w:rPr>
          <w:b/>
          <w:lang w:val="fr-CA"/>
        </w:rPr>
        <w:t>)</w:t>
      </w:r>
    </w:p>
    <w:tbl>
      <w:tblPr>
        <w:tblW w:w="9356" w:type="dxa"/>
        <w:tblInd w:w="108" w:type="dxa"/>
        <w:tblLayout w:type="fixed"/>
        <w:tblLook w:val="04A0" w:firstRow="1" w:lastRow="0" w:firstColumn="1" w:lastColumn="0" w:noHBand="0" w:noVBand="1"/>
      </w:tblPr>
      <w:tblGrid>
        <w:gridCol w:w="2155"/>
        <w:gridCol w:w="1418"/>
        <w:gridCol w:w="1417"/>
        <w:gridCol w:w="1701"/>
        <w:gridCol w:w="1476"/>
        <w:gridCol w:w="1189"/>
      </w:tblGrid>
      <w:tr w:rsidR="0085675A" w:rsidRPr="00C80221" w:rsidTr="003E4959">
        <w:trPr>
          <w:tblHead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75A" w:rsidRPr="00ED22D1" w:rsidRDefault="00F73F1B" w:rsidP="00F73F1B">
            <w:pPr>
              <w:keepNext/>
              <w:keepLines/>
              <w:jc w:val="center"/>
              <w:rPr>
                <w:b/>
                <w:bCs/>
                <w:color w:val="000000"/>
                <w:sz w:val="18"/>
                <w:szCs w:val="18"/>
                <w:lang w:val="fr-CA" w:eastAsia="en-CA"/>
              </w:rPr>
            </w:pPr>
            <w:r w:rsidRPr="00ED22D1">
              <w:rPr>
                <w:b/>
                <w:bCs/>
                <w:snapToGrid w:val="0"/>
                <w:color w:val="000000"/>
                <w:sz w:val="18"/>
                <w:szCs w:val="18"/>
                <w:lang w:val="fr-CA" w:eastAsia="zh-CN"/>
              </w:rPr>
              <w:t>Plan du secteur</w:t>
            </w:r>
            <w:r w:rsidR="0085675A" w:rsidRPr="00ED22D1">
              <w:rPr>
                <w:b/>
                <w:bCs/>
                <w:snapToGrid w:val="0"/>
                <w:color w:val="000000"/>
                <w:sz w:val="18"/>
                <w:szCs w:val="18"/>
                <w:lang w:val="fr-CA" w:eastAsia="zh-CN"/>
              </w:rPr>
              <w:t xml:space="preserve"> </w:t>
            </w:r>
            <w:r w:rsidR="00CE4AC4" w:rsidRPr="00ED22D1">
              <w:rPr>
                <w:b/>
                <w:bCs/>
                <w:snapToGrid w:val="0"/>
                <w:color w:val="000000"/>
                <w:sz w:val="18"/>
                <w:szCs w:val="18"/>
                <w:lang w:val="fr-CA" w:eastAsia="zh-CN"/>
              </w:rPr>
              <w:t xml:space="preserve">      </w:t>
            </w:r>
            <w:r w:rsidR="0085675A" w:rsidRPr="00ED22D1">
              <w:rPr>
                <w:b/>
                <w:bCs/>
                <w:snapToGrid w:val="0"/>
                <w:color w:val="000000"/>
                <w:sz w:val="18"/>
                <w:szCs w:val="18"/>
                <w:lang w:val="fr-CA" w:eastAsia="zh-CN"/>
              </w:rPr>
              <w:t>(</w:t>
            </w:r>
            <w:r w:rsidRPr="00ED22D1">
              <w:rPr>
                <w:b/>
                <w:bCs/>
                <w:snapToGrid w:val="0"/>
                <w:color w:val="000000"/>
                <w:sz w:val="18"/>
                <w:szCs w:val="18"/>
                <w:lang w:val="fr-CA" w:eastAsia="zh-CN"/>
              </w:rPr>
              <w:t>agence principale et a</w:t>
            </w:r>
            <w:r w:rsidR="00CE7FEC" w:rsidRPr="00ED22D1">
              <w:rPr>
                <w:b/>
                <w:bCs/>
                <w:snapToGrid w:val="0"/>
                <w:color w:val="000000"/>
                <w:sz w:val="18"/>
                <w:szCs w:val="18"/>
                <w:lang w:val="fr-CA" w:eastAsia="zh-CN"/>
              </w:rPr>
              <w:t>gence coopérante</w:t>
            </w:r>
            <w:r w:rsidR="0085675A" w:rsidRPr="00ED22D1">
              <w:rPr>
                <w:b/>
                <w:bCs/>
                <w:snapToGrid w:val="0"/>
                <w:color w:val="000000"/>
                <w:sz w:val="18"/>
                <w:szCs w:val="18"/>
                <w:lang w:val="fr-CA" w:eastAsia="zh-CN"/>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F73F1B" w:rsidP="00F73F1B">
            <w:pPr>
              <w:keepNext/>
              <w:keepLines/>
              <w:jc w:val="center"/>
              <w:rPr>
                <w:b/>
                <w:bCs/>
                <w:color w:val="000000"/>
                <w:sz w:val="18"/>
                <w:szCs w:val="18"/>
                <w:lang w:val="fr-CA" w:eastAsia="en-CA"/>
              </w:rPr>
            </w:pPr>
            <w:r w:rsidRPr="00ED22D1">
              <w:rPr>
                <w:b/>
                <w:bCs/>
                <w:snapToGrid w:val="0"/>
                <w:color w:val="000000"/>
                <w:sz w:val="18"/>
                <w:szCs w:val="18"/>
                <w:lang w:val="fr-CA" w:eastAsia="zh-CN"/>
              </w:rPr>
              <w:t>F</w:t>
            </w:r>
            <w:r w:rsidR="00D15079" w:rsidRPr="00ED22D1">
              <w:rPr>
                <w:b/>
                <w:bCs/>
                <w:snapToGrid w:val="0"/>
                <w:color w:val="000000"/>
                <w:sz w:val="18"/>
                <w:szCs w:val="18"/>
                <w:lang w:val="fr-CA" w:eastAsia="zh-CN"/>
              </w:rPr>
              <w:t>inancement</w:t>
            </w:r>
            <w:r w:rsidRPr="00ED22D1">
              <w:rPr>
                <w:b/>
                <w:bCs/>
                <w:snapToGrid w:val="0"/>
                <w:color w:val="000000"/>
                <w:sz w:val="18"/>
                <w:szCs w:val="18"/>
                <w:lang w:val="fr-CA" w:eastAsia="zh-CN"/>
              </w:rPr>
              <w:t xml:space="preserve"> global</w:t>
            </w:r>
            <w:r w:rsidR="0085675A" w:rsidRPr="00ED22D1">
              <w:rPr>
                <w:b/>
                <w:bCs/>
                <w:snapToGrid w:val="0"/>
                <w:color w:val="000000"/>
                <w:sz w:val="18"/>
                <w:szCs w:val="18"/>
                <w:lang w:val="fr-CA" w:eastAsia="zh-CN"/>
              </w:rPr>
              <w:t xml:space="preserve"> </w:t>
            </w:r>
            <w:r w:rsidR="00AA6E77" w:rsidRPr="00ED22D1">
              <w:rPr>
                <w:b/>
                <w:bCs/>
                <w:snapToGrid w:val="0"/>
                <w:color w:val="000000"/>
                <w:sz w:val="18"/>
                <w:szCs w:val="18"/>
                <w:lang w:val="fr-CA" w:eastAsia="zh-CN"/>
              </w:rPr>
              <w:t>approuvé</w:t>
            </w:r>
            <w:r w:rsidR="0085675A" w:rsidRPr="00ED22D1">
              <w:rPr>
                <w:b/>
                <w:bCs/>
                <w:snapToGrid w:val="0"/>
                <w:color w:val="000000"/>
                <w:sz w:val="18"/>
                <w:szCs w:val="18"/>
                <w:lang w:val="fr-CA" w:eastAsia="zh-CN"/>
              </w:rPr>
              <w:t xml:space="preserve"> </w:t>
            </w:r>
            <w:r w:rsidRPr="00ED22D1">
              <w:rPr>
                <w:b/>
                <w:bCs/>
                <w:snapToGrid w:val="0"/>
                <w:color w:val="000000"/>
                <w:sz w:val="18"/>
                <w:szCs w:val="18"/>
                <w:lang w:val="fr-CA" w:eastAsia="zh-CN"/>
              </w:rPr>
              <w:t xml:space="preserve">      </w:t>
            </w:r>
            <w:r w:rsidR="00AA6E77" w:rsidRPr="00ED22D1">
              <w:rPr>
                <w:b/>
                <w:bCs/>
                <w:snapToGrid w:val="0"/>
                <w:color w:val="000000"/>
                <w:sz w:val="18"/>
                <w:szCs w:val="18"/>
                <w:lang w:val="fr-CA" w:eastAsia="zh-CN"/>
              </w:rPr>
              <w:t>en principe</w:t>
            </w:r>
            <w:r w:rsidR="0085675A" w:rsidRPr="00ED22D1">
              <w:rPr>
                <w:b/>
                <w:bCs/>
                <w:snapToGrid w:val="0"/>
                <w:color w:val="000000"/>
                <w:sz w:val="18"/>
                <w:szCs w:val="18"/>
                <w:lang w:val="fr-CA" w:eastAsia="zh-CN"/>
              </w:rPr>
              <w:t xml:space="preserve"> </w:t>
            </w:r>
            <w:r w:rsidR="00874624" w:rsidRPr="00ED22D1">
              <w:rPr>
                <w:b/>
                <w:bCs/>
                <w:snapToGrid w:val="0"/>
                <w:color w:val="000000"/>
                <w:sz w:val="18"/>
                <w:szCs w:val="18"/>
                <w:lang w:val="fr-CA" w:eastAsia="zh-CN"/>
              </w:rPr>
              <w:t>($US)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1B45EC" w:rsidP="0085675A">
            <w:pPr>
              <w:keepNext/>
              <w:keepLines/>
              <w:jc w:val="center"/>
              <w:rPr>
                <w:b/>
                <w:bCs/>
                <w:color w:val="000000"/>
                <w:sz w:val="18"/>
                <w:szCs w:val="18"/>
                <w:lang w:val="fr-CA" w:eastAsia="en-CA"/>
              </w:rPr>
            </w:pPr>
            <w:r w:rsidRPr="00ED22D1">
              <w:rPr>
                <w:b/>
                <w:bCs/>
                <w:snapToGrid w:val="0"/>
                <w:color w:val="000000"/>
                <w:sz w:val="18"/>
                <w:szCs w:val="18"/>
                <w:lang w:val="fr-CA" w:eastAsia="zh-CN"/>
              </w:rPr>
              <w:t>Deux premières</w:t>
            </w:r>
            <w:r w:rsidR="0085675A" w:rsidRPr="00ED22D1">
              <w:rPr>
                <w:b/>
                <w:bCs/>
                <w:snapToGrid w:val="0"/>
                <w:color w:val="000000"/>
                <w:sz w:val="18"/>
                <w:szCs w:val="18"/>
                <w:lang w:val="fr-CA" w:eastAsia="zh-CN"/>
              </w:rPr>
              <w:t xml:space="preserve"> tranches </w:t>
            </w:r>
            <w:r w:rsidR="00AA6E77" w:rsidRPr="00ED22D1">
              <w:rPr>
                <w:b/>
                <w:bCs/>
                <w:snapToGrid w:val="0"/>
                <w:color w:val="000000"/>
                <w:sz w:val="18"/>
                <w:szCs w:val="18"/>
                <w:lang w:val="fr-CA" w:eastAsia="zh-CN"/>
              </w:rPr>
              <w:t>approuvé</w:t>
            </w:r>
            <w:r w:rsidR="00F73F1B" w:rsidRPr="00ED22D1">
              <w:rPr>
                <w:b/>
                <w:bCs/>
                <w:snapToGrid w:val="0"/>
                <w:color w:val="000000"/>
                <w:sz w:val="18"/>
                <w:szCs w:val="18"/>
                <w:lang w:val="fr-CA" w:eastAsia="zh-CN"/>
              </w:rPr>
              <w:t>es</w:t>
            </w:r>
            <w:r w:rsidR="0085675A" w:rsidRPr="00ED22D1">
              <w:rPr>
                <w:b/>
                <w:bCs/>
                <w:snapToGrid w:val="0"/>
                <w:color w:val="000000"/>
                <w:sz w:val="18"/>
                <w:szCs w:val="18"/>
                <w:lang w:val="fr-CA" w:eastAsia="zh-CN"/>
              </w:rPr>
              <w:t xml:space="preserve"> </w:t>
            </w:r>
            <w:r w:rsidR="00874624" w:rsidRPr="00ED22D1">
              <w:rPr>
                <w:b/>
                <w:bCs/>
                <w:snapToGrid w:val="0"/>
                <w:color w:val="000000"/>
                <w:sz w:val="18"/>
                <w:szCs w:val="18"/>
                <w:lang w:val="fr-CA" w:eastAsia="zh-CN"/>
              </w:rPr>
              <w:t>($US)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1B45EC" w:rsidP="00F73F1B">
            <w:pPr>
              <w:keepNext/>
              <w:keepLines/>
              <w:jc w:val="center"/>
              <w:rPr>
                <w:b/>
                <w:bCs/>
                <w:color w:val="000000"/>
                <w:sz w:val="18"/>
                <w:szCs w:val="18"/>
                <w:lang w:val="fr-CA" w:eastAsia="en-CA"/>
              </w:rPr>
            </w:pPr>
            <w:r w:rsidRPr="00ED22D1">
              <w:rPr>
                <w:b/>
                <w:bCs/>
                <w:color w:val="000000"/>
                <w:sz w:val="18"/>
                <w:szCs w:val="18"/>
                <w:lang w:val="fr-CA" w:eastAsia="en-CA"/>
              </w:rPr>
              <w:t>Deux premières</w:t>
            </w:r>
            <w:r w:rsidR="0085675A" w:rsidRPr="00ED22D1">
              <w:rPr>
                <w:b/>
                <w:bCs/>
                <w:color w:val="000000"/>
                <w:sz w:val="18"/>
                <w:szCs w:val="18"/>
                <w:lang w:val="fr-CA" w:eastAsia="en-CA"/>
              </w:rPr>
              <w:t xml:space="preserve"> tranches </w:t>
            </w:r>
            <w:r w:rsidR="00AA6E77" w:rsidRPr="00ED22D1">
              <w:rPr>
                <w:b/>
                <w:bCs/>
                <w:color w:val="000000"/>
                <w:sz w:val="18"/>
                <w:szCs w:val="18"/>
                <w:lang w:val="fr-CA" w:eastAsia="en-CA"/>
              </w:rPr>
              <w:t>approuvé</w:t>
            </w:r>
            <w:r w:rsidR="00F73F1B" w:rsidRPr="00ED22D1">
              <w:rPr>
                <w:b/>
                <w:bCs/>
                <w:color w:val="000000"/>
                <w:sz w:val="18"/>
                <w:szCs w:val="18"/>
                <w:lang w:val="fr-CA" w:eastAsia="en-CA"/>
              </w:rPr>
              <w:t>es</w:t>
            </w:r>
            <w:r w:rsidR="0085675A" w:rsidRPr="00ED22D1">
              <w:rPr>
                <w:b/>
                <w:bCs/>
                <w:color w:val="000000"/>
                <w:sz w:val="18"/>
                <w:szCs w:val="18"/>
                <w:lang w:val="fr-CA" w:eastAsia="en-CA"/>
              </w:rPr>
              <w:t xml:space="preserve"> </w:t>
            </w:r>
            <w:r w:rsidR="00F73F1B" w:rsidRPr="00ED22D1">
              <w:rPr>
                <w:b/>
                <w:bCs/>
                <w:color w:val="000000"/>
                <w:sz w:val="18"/>
                <w:szCs w:val="18"/>
                <w:lang w:val="fr-CA" w:eastAsia="en-CA"/>
              </w:rPr>
              <w:t xml:space="preserve">comme partie du montant global </w:t>
            </w:r>
            <w:r w:rsidR="00AA6E77" w:rsidRPr="00ED22D1">
              <w:rPr>
                <w:b/>
                <w:bCs/>
                <w:color w:val="000000"/>
                <w:sz w:val="18"/>
                <w:szCs w:val="18"/>
                <w:lang w:val="fr-CA" w:eastAsia="en-CA"/>
              </w:rPr>
              <w:t>approuvé</w:t>
            </w:r>
            <w:r w:rsidR="0085675A" w:rsidRPr="00ED22D1">
              <w:rPr>
                <w:b/>
                <w:bCs/>
                <w:color w:val="000000"/>
                <w:sz w:val="18"/>
                <w:szCs w:val="18"/>
                <w:lang w:val="fr-CA" w:eastAsia="en-CA"/>
              </w:rPr>
              <w:t xml:space="preserve"> </w:t>
            </w:r>
            <w:r w:rsidR="00CE4AC4" w:rsidRPr="00ED22D1">
              <w:rPr>
                <w:b/>
                <w:bCs/>
                <w:color w:val="000000"/>
                <w:sz w:val="18"/>
                <w:szCs w:val="18"/>
                <w:lang w:val="fr-CA" w:eastAsia="en-CA"/>
              </w:rPr>
              <w:t xml:space="preserve"> </w:t>
            </w:r>
            <w:r w:rsidR="00AA6E77" w:rsidRPr="00ED22D1">
              <w:rPr>
                <w:b/>
                <w:bCs/>
                <w:color w:val="000000"/>
                <w:sz w:val="18"/>
                <w:szCs w:val="18"/>
                <w:lang w:val="fr-CA" w:eastAsia="en-CA"/>
              </w:rPr>
              <w:t>en principe</w:t>
            </w:r>
            <w:r w:rsidR="0085675A" w:rsidRPr="00ED22D1">
              <w:rPr>
                <w:b/>
                <w:bCs/>
                <w:color w:val="000000"/>
                <w:sz w:val="18"/>
                <w:szCs w:val="18"/>
                <w:lang w:val="fr-CA" w:eastAsia="en-CA"/>
              </w:rPr>
              <w:t xml:space="preserve"> </w:t>
            </w:r>
            <w:r w:rsidR="002D6976" w:rsidRPr="00ED22D1">
              <w:rPr>
                <w:b/>
                <w:bCs/>
                <w:color w:val="000000"/>
                <w:sz w:val="18"/>
                <w:szCs w:val="18"/>
                <w:lang w:val="fr-CA" w:eastAsia="en-CA"/>
              </w:rPr>
              <w:t>(%</w:t>
            </w:r>
            <w:r w:rsidR="0085675A" w:rsidRPr="00ED22D1">
              <w:rPr>
                <w:b/>
                <w:bCs/>
                <w:color w:val="000000"/>
                <w:sz w:val="18"/>
                <w:szCs w:val="18"/>
                <w:lang w:val="fr-CA" w:eastAsia="en-CA"/>
              </w:rPr>
              <w:t>)</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D15079" w:rsidP="00F73F1B">
            <w:pPr>
              <w:keepNext/>
              <w:keepLines/>
              <w:jc w:val="center"/>
              <w:rPr>
                <w:b/>
                <w:bCs/>
                <w:color w:val="000000"/>
                <w:sz w:val="18"/>
                <w:szCs w:val="18"/>
                <w:lang w:val="fr-CA" w:eastAsia="en-CA"/>
              </w:rPr>
            </w:pPr>
            <w:r w:rsidRPr="00ED22D1">
              <w:rPr>
                <w:b/>
                <w:bCs/>
                <w:snapToGrid w:val="0"/>
                <w:color w:val="000000"/>
                <w:sz w:val="18"/>
                <w:szCs w:val="18"/>
                <w:lang w:val="fr-CA" w:eastAsia="zh-CN"/>
              </w:rPr>
              <w:t>Financement</w:t>
            </w:r>
            <w:r w:rsidR="0085675A" w:rsidRPr="00ED22D1">
              <w:rPr>
                <w:b/>
                <w:bCs/>
                <w:snapToGrid w:val="0"/>
                <w:color w:val="000000"/>
                <w:sz w:val="18"/>
                <w:szCs w:val="18"/>
                <w:lang w:val="fr-CA" w:eastAsia="zh-CN"/>
              </w:rPr>
              <w:t xml:space="preserve"> </w:t>
            </w:r>
            <w:r w:rsidR="00F73F1B" w:rsidRPr="00ED22D1">
              <w:rPr>
                <w:b/>
                <w:bCs/>
                <w:snapToGrid w:val="0"/>
                <w:color w:val="000000"/>
                <w:sz w:val="18"/>
                <w:szCs w:val="18"/>
                <w:lang w:val="fr-CA" w:eastAsia="zh-CN"/>
              </w:rPr>
              <w:t>demandé à la 8</w:t>
            </w:r>
            <w:r w:rsidR="0085675A" w:rsidRPr="00ED22D1">
              <w:rPr>
                <w:b/>
                <w:bCs/>
                <w:snapToGrid w:val="0"/>
                <w:color w:val="000000"/>
                <w:sz w:val="18"/>
                <w:szCs w:val="18"/>
                <w:lang w:val="fr-CA" w:eastAsia="zh-CN"/>
              </w:rPr>
              <w:t>3</w:t>
            </w:r>
            <w:r w:rsidR="00F73F1B" w:rsidRPr="00ED22D1">
              <w:rPr>
                <w:b/>
                <w:bCs/>
                <w:snapToGrid w:val="0"/>
                <w:color w:val="000000"/>
                <w:sz w:val="18"/>
                <w:szCs w:val="18"/>
                <w:vertAlign w:val="superscript"/>
                <w:lang w:val="fr-CA" w:eastAsia="zh-CN"/>
              </w:rPr>
              <w:t>e</w:t>
            </w:r>
            <w:r w:rsidR="00F73F1B" w:rsidRPr="00ED22D1">
              <w:rPr>
                <w:b/>
                <w:bCs/>
                <w:snapToGrid w:val="0"/>
                <w:color w:val="000000"/>
                <w:sz w:val="18"/>
                <w:szCs w:val="18"/>
                <w:lang w:val="fr-CA" w:eastAsia="zh-CN"/>
              </w:rPr>
              <w:t xml:space="preserve"> </w:t>
            </w:r>
            <w:r w:rsidR="00DD185D" w:rsidRPr="00ED22D1">
              <w:rPr>
                <w:b/>
                <w:bCs/>
                <w:snapToGrid w:val="0"/>
                <w:color w:val="000000"/>
                <w:sz w:val="18"/>
                <w:szCs w:val="18"/>
                <w:lang w:val="fr-CA" w:eastAsia="zh-CN"/>
              </w:rPr>
              <w:t>réunion</w:t>
            </w:r>
            <w:r w:rsidR="0085675A" w:rsidRPr="00ED22D1">
              <w:rPr>
                <w:b/>
                <w:bCs/>
                <w:snapToGrid w:val="0"/>
                <w:color w:val="000000"/>
                <w:sz w:val="18"/>
                <w:szCs w:val="18"/>
                <w:lang w:val="fr-CA" w:eastAsia="zh-CN"/>
              </w:rPr>
              <w:t xml:space="preserve"> </w:t>
            </w:r>
            <w:r w:rsidR="00874624" w:rsidRPr="00ED22D1">
              <w:rPr>
                <w:b/>
                <w:bCs/>
                <w:snapToGrid w:val="0"/>
                <w:color w:val="000000"/>
                <w:sz w:val="18"/>
                <w:szCs w:val="18"/>
                <w:lang w:val="fr-CA" w:eastAsia="zh-CN"/>
              </w:rPr>
              <w:t>($US)</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85675A" w:rsidRPr="00ED22D1" w:rsidRDefault="00F73F1B" w:rsidP="00F73F1B">
            <w:pPr>
              <w:keepNext/>
              <w:keepLines/>
              <w:jc w:val="center"/>
              <w:rPr>
                <w:b/>
                <w:bCs/>
                <w:color w:val="000000"/>
                <w:sz w:val="18"/>
                <w:szCs w:val="18"/>
                <w:lang w:val="fr-CA" w:eastAsia="en-CA"/>
              </w:rPr>
            </w:pPr>
            <w:r w:rsidRPr="00ED22D1">
              <w:rPr>
                <w:b/>
                <w:bCs/>
                <w:color w:val="000000"/>
                <w:sz w:val="18"/>
                <w:szCs w:val="18"/>
                <w:lang w:val="fr-CA" w:eastAsia="en-CA"/>
              </w:rPr>
              <w:t xml:space="preserve">Partie du </w:t>
            </w:r>
            <w:r w:rsidR="00D15079" w:rsidRPr="00ED22D1">
              <w:rPr>
                <w:b/>
                <w:bCs/>
                <w:color w:val="000000"/>
                <w:sz w:val="18"/>
                <w:szCs w:val="18"/>
                <w:lang w:val="fr-CA" w:eastAsia="en-CA"/>
              </w:rPr>
              <w:t>financement</w:t>
            </w:r>
            <w:r w:rsidR="0085675A" w:rsidRPr="00ED22D1">
              <w:rPr>
                <w:b/>
                <w:bCs/>
                <w:color w:val="000000"/>
                <w:sz w:val="18"/>
                <w:szCs w:val="18"/>
                <w:lang w:val="fr-CA" w:eastAsia="en-CA"/>
              </w:rPr>
              <w:t xml:space="preserve"> </w:t>
            </w:r>
            <w:r w:rsidR="00AA6E77" w:rsidRPr="00ED22D1">
              <w:rPr>
                <w:b/>
                <w:bCs/>
                <w:color w:val="000000"/>
                <w:sz w:val="18"/>
                <w:szCs w:val="18"/>
                <w:lang w:val="fr-CA" w:eastAsia="en-CA"/>
              </w:rPr>
              <w:t>approuvé</w:t>
            </w:r>
            <w:r w:rsidR="00572798" w:rsidRPr="00ED22D1">
              <w:rPr>
                <w:b/>
                <w:bCs/>
                <w:color w:val="000000"/>
                <w:sz w:val="18"/>
                <w:szCs w:val="18"/>
                <w:lang w:val="fr-CA" w:eastAsia="en-CA"/>
              </w:rPr>
              <w:t xml:space="preserve"> et </w:t>
            </w:r>
            <w:r w:rsidR="004A6828" w:rsidRPr="00ED22D1">
              <w:rPr>
                <w:b/>
                <w:bCs/>
                <w:color w:val="000000"/>
                <w:sz w:val="18"/>
                <w:szCs w:val="18"/>
                <w:lang w:val="fr-CA" w:eastAsia="en-CA"/>
              </w:rPr>
              <w:t xml:space="preserve"> </w:t>
            </w:r>
            <w:r w:rsidRPr="00ED22D1">
              <w:rPr>
                <w:b/>
                <w:bCs/>
                <w:color w:val="000000"/>
                <w:sz w:val="18"/>
                <w:szCs w:val="18"/>
                <w:lang w:val="fr-CA" w:eastAsia="en-CA"/>
              </w:rPr>
              <w:t>demandé du montant total</w:t>
            </w:r>
            <w:r w:rsidR="0085675A" w:rsidRPr="00ED22D1">
              <w:rPr>
                <w:b/>
                <w:bCs/>
                <w:color w:val="000000"/>
                <w:sz w:val="18"/>
                <w:szCs w:val="18"/>
                <w:lang w:val="fr-CA" w:eastAsia="en-CA"/>
              </w:rPr>
              <w:t xml:space="preserve"> </w:t>
            </w:r>
            <w:r w:rsidR="00AA6E77" w:rsidRPr="00ED22D1">
              <w:rPr>
                <w:b/>
                <w:bCs/>
                <w:color w:val="000000"/>
                <w:sz w:val="18"/>
                <w:szCs w:val="18"/>
                <w:lang w:val="fr-CA" w:eastAsia="en-CA"/>
              </w:rPr>
              <w:t>approuvé</w:t>
            </w:r>
            <w:r w:rsidR="0085675A" w:rsidRPr="00ED22D1">
              <w:rPr>
                <w:b/>
                <w:bCs/>
                <w:color w:val="000000"/>
                <w:sz w:val="18"/>
                <w:szCs w:val="18"/>
                <w:lang w:val="fr-CA" w:eastAsia="en-CA"/>
              </w:rPr>
              <w:t xml:space="preserve"> </w:t>
            </w:r>
            <w:r w:rsidR="00AA6E77" w:rsidRPr="00ED22D1">
              <w:rPr>
                <w:b/>
                <w:bCs/>
                <w:color w:val="000000"/>
                <w:sz w:val="18"/>
                <w:szCs w:val="18"/>
                <w:lang w:val="fr-CA" w:eastAsia="en-CA"/>
              </w:rPr>
              <w:t>en principe</w:t>
            </w:r>
            <w:r w:rsidR="0085675A" w:rsidRPr="00ED22D1">
              <w:rPr>
                <w:b/>
                <w:bCs/>
                <w:color w:val="000000"/>
                <w:sz w:val="18"/>
                <w:szCs w:val="18"/>
                <w:lang w:val="fr-CA" w:eastAsia="en-CA"/>
              </w:rPr>
              <w:t xml:space="preserve"> </w:t>
            </w:r>
            <w:r w:rsidR="002D6976" w:rsidRPr="00ED22D1">
              <w:rPr>
                <w:b/>
                <w:bCs/>
                <w:color w:val="000000"/>
                <w:sz w:val="18"/>
                <w:szCs w:val="18"/>
                <w:lang w:val="fr-CA" w:eastAsia="en-CA"/>
              </w:rPr>
              <w:t>(%</w:t>
            </w:r>
            <w:r w:rsidR="0085675A" w:rsidRPr="00ED22D1">
              <w:rPr>
                <w:b/>
                <w:bCs/>
                <w:color w:val="000000"/>
                <w:sz w:val="18"/>
                <w:szCs w:val="18"/>
                <w:lang w:val="fr-CA" w:eastAsia="en-CA"/>
              </w:rPr>
              <w:t>)</w:t>
            </w:r>
          </w:p>
        </w:tc>
      </w:tr>
      <w:tr w:rsidR="0085675A" w:rsidRPr="00ED22D1" w:rsidTr="003E4959">
        <w:tc>
          <w:tcPr>
            <w:tcW w:w="2155" w:type="dxa"/>
            <w:tcBorders>
              <w:top w:val="nil"/>
              <w:left w:val="single" w:sz="4" w:space="0" w:color="auto"/>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snapToGrid w:val="0"/>
                <w:color w:val="000000"/>
                <w:sz w:val="20"/>
                <w:szCs w:val="20"/>
                <w:lang w:val="fr-CA" w:eastAsia="zh-CN"/>
              </w:rPr>
              <w:t>XPS (</w:t>
            </w:r>
            <w:r w:rsidR="004A6828" w:rsidRPr="00ED22D1">
              <w:rPr>
                <w:snapToGrid w:val="0"/>
                <w:color w:val="000000"/>
                <w:sz w:val="20"/>
                <w:szCs w:val="20"/>
                <w:lang w:val="fr-CA" w:eastAsia="zh-CN"/>
              </w:rPr>
              <w:t>ONUDI</w:t>
            </w:r>
            <w:r w:rsidRPr="00ED22D1">
              <w:rPr>
                <w:snapToGrid w:val="0"/>
                <w:color w:val="000000"/>
                <w:sz w:val="20"/>
                <w:szCs w:val="20"/>
                <w:lang w:val="fr-CA" w:eastAsia="zh-CN"/>
              </w:rPr>
              <w:t xml:space="preserve">, </w:t>
            </w:r>
            <w:r w:rsidR="004A6828" w:rsidRPr="00ED22D1">
              <w:rPr>
                <w:snapToGrid w:val="0"/>
                <w:color w:val="000000"/>
                <w:sz w:val="20"/>
                <w:szCs w:val="20"/>
                <w:lang w:val="fr-CA" w:eastAsia="zh-CN"/>
              </w:rPr>
              <w:t>Allemagne</w:t>
            </w:r>
            <w:r w:rsidRPr="00ED22D1">
              <w:rPr>
                <w:snapToGrid w:val="0"/>
                <w:color w:val="000000"/>
                <w:sz w:val="20"/>
                <w:szCs w:val="20"/>
                <w:lang w:val="fr-CA" w:eastAsia="zh-CN"/>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20"/>
                <w:szCs w:val="20"/>
                <w:lang w:val="fr-CA"/>
              </w:rPr>
            </w:pPr>
            <w:r w:rsidRPr="00ED22D1">
              <w:rPr>
                <w:sz w:val="20"/>
                <w:szCs w:val="20"/>
                <w:lang w:val="fr-CA"/>
              </w:rPr>
              <w:t>11</w:t>
            </w:r>
            <w:r w:rsidR="004A6828" w:rsidRPr="00ED22D1">
              <w:rPr>
                <w:sz w:val="20"/>
                <w:szCs w:val="20"/>
                <w:lang w:val="fr-CA"/>
              </w:rPr>
              <w:t>2 </w:t>
            </w:r>
            <w:r w:rsidRPr="00ED22D1">
              <w:rPr>
                <w:sz w:val="20"/>
                <w:szCs w:val="20"/>
                <w:lang w:val="fr-CA"/>
              </w:rPr>
              <w:t>78</w:t>
            </w:r>
            <w:r w:rsidR="004A6828" w:rsidRPr="00ED22D1">
              <w:rPr>
                <w:sz w:val="20"/>
                <w:szCs w:val="20"/>
                <w:lang w:val="fr-CA"/>
              </w:rPr>
              <w:t>6 </w:t>
            </w:r>
            <w:r w:rsidRPr="00ED22D1">
              <w:rPr>
                <w:sz w:val="20"/>
                <w:szCs w:val="20"/>
                <w:lang w:val="fr-CA"/>
              </w:rPr>
              <w:t>630</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20"/>
                <w:szCs w:val="20"/>
                <w:lang w:val="fr-CA"/>
              </w:rPr>
            </w:pPr>
            <w:r w:rsidRPr="00ED22D1">
              <w:rPr>
                <w:color w:val="000000"/>
                <w:sz w:val="20"/>
                <w:szCs w:val="20"/>
                <w:lang w:val="fr-CA"/>
              </w:rPr>
              <w:t>1</w:t>
            </w:r>
            <w:r w:rsidR="004A6828" w:rsidRPr="00ED22D1">
              <w:rPr>
                <w:color w:val="000000"/>
                <w:sz w:val="20"/>
                <w:szCs w:val="20"/>
                <w:lang w:val="fr-CA"/>
              </w:rPr>
              <w:t>6 </w:t>
            </w:r>
            <w:r w:rsidRPr="00ED22D1">
              <w:rPr>
                <w:color w:val="000000"/>
                <w:sz w:val="20"/>
                <w:szCs w:val="20"/>
                <w:lang w:val="fr-CA"/>
              </w:rPr>
              <w:t>51</w:t>
            </w:r>
            <w:r w:rsidR="004A6828" w:rsidRPr="00ED22D1">
              <w:rPr>
                <w:color w:val="000000"/>
                <w:sz w:val="20"/>
                <w:szCs w:val="20"/>
                <w:lang w:val="fr-CA"/>
              </w:rPr>
              <w:t>4 </w:t>
            </w:r>
            <w:r w:rsidRPr="00ED22D1">
              <w:rPr>
                <w:color w:val="000000"/>
                <w:sz w:val="20"/>
                <w:szCs w:val="20"/>
                <w:lang w:val="fr-CA"/>
              </w:rPr>
              <w:t>867</w:t>
            </w:r>
          </w:p>
        </w:tc>
        <w:tc>
          <w:tcPr>
            <w:tcW w:w="1701" w:type="dxa"/>
            <w:tcBorders>
              <w:top w:val="nil"/>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1</w:t>
            </w:r>
            <w:r w:rsidR="004A6828" w:rsidRPr="00ED22D1">
              <w:rPr>
                <w:sz w:val="20"/>
                <w:szCs w:val="20"/>
                <w:lang w:val="fr-CA"/>
              </w:rPr>
              <w:t>4,</w:t>
            </w:r>
            <w:r w:rsidRPr="00ED22D1">
              <w:rPr>
                <w:sz w:val="20"/>
                <w:szCs w:val="20"/>
                <w:lang w:val="fr-CA"/>
              </w:rPr>
              <w:t>6</w:t>
            </w:r>
          </w:p>
        </w:tc>
        <w:tc>
          <w:tcPr>
            <w:tcW w:w="1476" w:type="dxa"/>
            <w:tcBorders>
              <w:top w:val="nil"/>
              <w:left w:val="nil"/>
              <w:bottom w:val="single" w:sz="4" w:space="0" w:color="auto"/>
              <w:right w:val="single" w:sz="4" w:space="0" w:color="auto"/>
            </w:tcBorders>
            <w:shd w:val="clear" w:color="auto" w:fill="auto"/>
          </w:tcPr>
          <w:p w:rsidR="0085675A" w:rsidRPr="00ED22D1" w:rsidRDefault="004A6828" w:rsidP="0085675A">
            <w:pPr>
              <w:jc w:val="right"/>
              <w:rPr>
                <w:sz w:val="20"/>
                <w:szCs w:val="20"/>
                <w:lang w:val="fr-CA"/>
              </w:rPr>
            </w:pPr>
            <w:r w:rsidRPr="00ED22D1">
              <w:rPr>
                <w:sz w:val="20"/>
                <w:szCs w:val="20"/>
                <w:lang w:val="fr-CA"/>
              </w:rPr>
              <w:t>8 </w:t>
            </w:r>
            <w:r w:rsidR="0085675A" w:rsidRPr="00ED22D1">
              <w:rPr>
                <w:sz w:val="20"/>
                <w:szCs w:val="20"/>
                <w:lang w:val="fr-CA"/>
              </w:rPr>
              <w:t>00</w:t>
            </w:r>
            <w:r w:rsidRPr="00ED22D1">
              <w:rPr>
                <w:sz w:val="20"/>
                <w:szCs w:val="20"/>
                <w:lang w:val="fr-CA"/>
              </w:rPr>
              <w:t>0 </w:t>
            </w:r>
            <w:r w:rsidR="0085675A" w:rsidRPr="00ED22D1">
              <w:rPr>
                <w:sz w:val="20"/>
                <w:szCs w:val="20"/>
                <w:lang w:val="fr-CA"/>
              </w:rPr>
              <w:t>000</w:t>
            </w:r>
          </w:p>
        </w:tc>
        <w:tc>
          <w:tcPr>
            <w:tcW w:w="1189"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rPr>
            </w:pPr>
            <w:r w:rsidRPr="00ED22D1">
              <w:rPr>
                <w:sz w:val="20"/>
                <w:szCs w:val="20"/>
                <w:lang w:val="fr-CA"/>
              </w:rPr>
              <w:t>2</w:t>
            </w:r>
            <w:r w:rsidR="004A6828" w:rsidRPr="00ED22D1">
              <w:rPr>
                <w:sz w:val="20"/>
                <w:szCs w:val="20"/>
                <w:lang w:val="fr-CA"/>
              </w:rPr>
              <w:t>1,</w:t>
            </w:r>
            <w:r w:rsidRPr="00ED22D1">
              <w:rPr>
                <w:sz w:val="20"/>
                <w:szCs w:val="20"/>
                <w:lang w:val="fr-CA"/>
              </w:rPr>
              <w:t>7</w:t>
            </w:r>
          </w:p>
        </w:tc>
      </w:tr>
      <w:tr w:rsidR="0085675A" w:rsidRPr="00ED22D1" w:rsidTr="003E4959">
        <w:tc>
          <w:tcPr>
            <w:tcW w:w="2155" w:type="dxa"/>
            <w:tcBorders>
              <w:top w:val="nil"/>
              <w:left w:val="single" w:sz="4" w:space="0" w:color="auto"/>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snapToGrid w:val="0"/>
                <w:color w:val="000000"/>
                <w:sz w:val="20"/>
                <w:szCs w:val="20"/>
                <w:lang w:val="fr-CA" w:eastAsia="zh-CN"/>
              </w:rPr>
              <w:t>PU (</w:t>
            </w:r>
            <w:r w:rsidR="004A6828" w:rsidRPr="00ED22D1">
              <w:rPr>
                <w:snapToGrid w:val="0"/>
                <w:color w:val="000000"/>
                <w:sz w:val="20"/>
                <w:szCs w:val="20"/>
                <w:lang w:val="fr-CA" w:eastAsia="zh-CN"/>
              </w:rPr>
              <w:t>Banque mondiale</w:t>
            </w:r>
            <w:r w:rsidRPr="00ED22D1">
              <w:rPr>
                <w:snapToGrid w:val="0"/>
                <w:color w:val="000000"/>
                <w:sz w:val="20"/>
                <w:szCs w:val="20"/>
                <w:lang w:val="fr-CA" w:eastAsia="zh-CN"/>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20"/>
                <w:szCs w:val="20"/>
                <w:lang w:val="fr-CA"/>
              </w:rPr>
            </w:pPr>
            <w:r w:rsidRPr="00ED22D1">
              <w:rPr>
                <w:sz w:val="20"/>
                <w:szCs w:val="20"/>
                <w:lang w:val="fr-CA"/>
              </w:rPr>
              <w:t>14</w:t>
            </w:r>
            <w:r w:rsidR="004A6828" w:rsidRPr="00ED22D1">
              <w:rPr>
                <w:sz w:val="20"/>
                <w:szCs w:val="20"/>
                <w:lang w:val="fr-CA"/>
              </w:rPr>
              <w:t>1 </w:t>
            </w:r>
            <w:r w:rsidRPr="00ED22D1">
              <w:rPr>
                <w:sz w:val="20"/>
                <w:szCs w:val="20"/>
                <w:lang w:val="fr-CA"/>
              </w:rPr>
              <w:t>47</w:t>
            </w:r>
            <w:r w:rsidR="004A6828" w:rsidRPr="00ED22D1">
              <w:rPr>
                <w:sz w:val="20"/>
                <w:szCs w:val="20"/>
                <w:lang w:val="fr-CA"/>
              </w:rPr>
              <w:t>1 </w:t>
            </w:r>
            <w:r w:rsidRPr="00ED22D1">
              <w:rPr>
                <w:sz w:val="20"/>
                <w:szCs w:val="20"/>
                <w:lang w:val="fr-CA"/>
              </w:rPr>
              <w:t>210</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20"/>
                <w:szCs w:val="20"/>
                <w:lang w:val="fr-CA"/>
              </w:rPr>
            </w:pPr>
            <w:r w:rsidRPr="00ED22D1">
              <w:rPr>
                <w:color w:val="000000"/>
                <w:sz w:val="20"/>
                <w:szCs w:val="20"/>
                <w:lang w:val="fr-CA"/>
              </w:rPr>
              <w:t>7 </w:t>
            </w:r>
            <w:r w:rsidR="0085675A" w:rsidRPr="00ED22D1">
              <w:rPr>
                <w:color w:val="000000"/>
                <w:sz w:val="20"/>
                <w:szCs w:val="20"/>
                <w:lang w:val="fr-CA"/>
              </w:rPr>
              <w:t>04</w:t>
            </w:r>
            <w:r w:rsidRPr="00ED22D1">
              <w:rPr>
                <w:color w:val="000000"/>
                <w:sz w:val="20"/>
                <w:szCs w:val="20"/>
                <w:lang w:val="fr-CA"/>
              </w:rPr>
              <w:t>5 </w:t>
            </w:r>
            <w:r w:rsidR="0085675A" w:rsidRPr="00ED22D1">
              <w:rPr>
                <w:color w:val="000000"/>
                <w:sz w:val="20"/>
                <w:szCs w:val="20"/>
                <w:lang w:val="fr-CA"/>
              </w:rPr>
              <w:t>027*</w:t>
            </w:r>
          </w:p>
        </w:tc>
        <w:tc>
          <w:tcPr>
            <w:tcW w:w="1701" w:type="dxa"/>
            <w:tcBorders>
              <w:top w:val="nil"/>
              <w:left w:val="nil"/>
              <w:bottom w:val="single" w:sz="4" w:space="0" w:color="auto"/>
              <w:right w:val="single" w:sz="4" w:space="0" w:color="auto"/>
            </w:tcBorders>
            <w:shd w:val="clear" w:color="auto" w:fill="auto"/>
            <w:noWrap/>
          </w:tcPr>
          <w:p w:rsidR="0085675A" w:rsidRPr="00ED22D1" w:rsidRDefault="004A6828" w:rsidP="0085675A">
            <w:pPr>
              <w:jc w:val="right"/>
              <w:rPr>
                <w:sz w:val="20"/>
                <w:szCs w:val="20"/>
                <w:lang w:val="fr-CA"/>
              </w:rPr>
            </w:pPr>
            <w:r w:rsidRPr="00ED22D1">
              <w:rPr>
                <w:sz w:val="20"/>
                <w:szCs w:val="20"/>
                <w:lang w:val="fr-CA"/>
              </w:rPr>
              <w:t>5,</w:t>
            </w:r>
            <w:r w:rsidR="0085675A" w:rsidRPr="00ED22D1">
              <w:rPr>
                <w:sz w:val="20"/>
                <w:szCs w:val="20"/>
                <w:lang w:val="fr-CA"/>
              </w:rPr>
              <w:t>0</w:t>
            </w:r>
          </w:p>
        </w:tc>
        <w:tc>
          <w:tcPr>
            <w:tcW w:w="1476" w:type="dxa"/>
            <w:tcBorders>
              <w:top w:val="nil"/>
              <w:left w:val="nil"/>
              <w:bottom w:val="single" w:sz="4" w:space="0" w:color="auto"/>
              <w:right w:val="single" w:sz="4" w:space="0" w:color="auto"/>
            </w:tcBorders>
            <w:shd w:val="clear" w:color="auto" w:fill="auto"/>
          </w:tcPr>
          <w:p w:rsidR="0085675A" w:rsidRPr="00ED22D1" w:rsidRDefault="0085675A" w:rsidP="0085675A">
            <w:pPr>
              <w:jc w:val="right"/>
              <w:rPr>
                <w:sz w:val="20"/>
                <w:szCs w:val="20"/>
                <w:lang w:val="fr-CA"/>
              </w:rPr>
            </w:pPr>
            <w:r w:rsidRPr="00ED22D1">
              <w:rPr>
                <w:sz w:val="20"/>
                <w:szCs w:val="20"/>
                <w:lang w:val="fr-CA"/>
              </w:rPr>
              <w:t>0**</w:t>
            </w:r>
          </w:p>
        </w:tc>
        <w:tc>
          <w:tcPr>
            <w:tcW w:w="1189" w:type="dxa"/>
            <w:tcBorders>
              <w:top w:val="nil"/>
              <w:left w:val="nil"/>
              <w:bottom w:val="single" w:sz="4" w:space="0" w:color="auto"/>
              <w:right w:val="single" w:sz="4" w:space="0" w:color="auto"/>
            </w:tcBorders>
            <w:shd w:val="clear" w:color="auto" w:fill="auto"/>
            <w:noWrap/>
            <w:hideMark/>
          </w:tcPr>
          <w:p w:rsidR="0085675A" w:rsidRPr="00ED22D1" w:rsidRDefault="004A6828" w:rsidP="0085675A">
            <w:pPr>
              <w:jc w:val="right"/>
              <w:rPr>
                <w:sz w:val="20"/>
                <w:szCs w:val="20"/>
                <w:lang w:val="fr-CA"/>
              </w:rPr>
            </w:pPr>
            <w:r w:rsidRPr="00ED22D1">
              <w:rPr>
                <w:sz w:val="20"/>
                <w:szCs w:val="20"/>
                <w:lang w:val="fr-CA"/>
              </w:rPr>
              <w:t>5,</w:t>
            </w:r>
            <w:r w:rsidR="0085675A" w:rsidRPr="00ED22D1">
              <w:rPr>
                <w:sz w:val="20"/>
                <w:szCs w:val="20"/>
                <w:lang w:val="fr-CA"/>
              </w:rPr>
              <w:t>0</w:t>
            </w:r>
          </w:p>
        </w:tc>
      </w:tr>
      <w:tr w:rsidR="0085675A" w:rsidRPr="00ED22D1" w:rsidTr="003E4959">
        <w:tc>
          <w:tcPr>
            <w:tcW w:w="2155" w:type="dxa"/>
            <w:tcBorders>
              <w:top w:val="nil"/>
              <w:left w:val="single" w:sz="4" w:space="0" w:color="auto"/>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snapToGrid w:val="0"/>
                <w:color w:val="000000"/>
                <w:sz w:val="20"/>
                <w:szCs w:val="20"/>
                <w:lang w:val="fr-CA" w:eastAsia="zh-CN"/>
              </w:rPr>
              <w:t>ICR (</w:t>
            </w:r>
            <w:r w:rsidR="001C722B" w:rsidRPr="00ED22D1">
              <w:rPr>
                <w:snapToGrid w:val="0"/>
                <w:color w:val="000000"/>
                <w:sz w:val="20"/>
                <w:szCs w:val="20"/>
                <w:lang w:val="fr-CA" w:eastAsia="zh-CN"/>
              </w:rPr>
              <w:t>PNUD</w:t>
            </w:r>
            <w:r w:rsidRPr="00ED22D1">
              <w:rPr>
                <w:snapToGrid w:val="0"/>
                <w:color w:val="000000"/>
                <w:sz w:val="20"/>
                <w:szCs w:val="20"/>
                <w:lang w:val="fr-CA" w:eastAsia="zh-CN"/>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20"/>
                <w:szCs w:val="20"/>
                <w:lang w:val="fr-CA"/>
              </w:rPr>
            </w:pPr>
            <w:r w:rsidRPr="00ED22D1">
              <w:rPr>
                <w:sz w:val="20"/>
                <w:szCs w:val="20"/>
                <w:lang w:val="fr-CA"/>
              </w:rPr>
              <w:t>8</w:t>
            </w:r>
            <w:r w:rsidR="004A6828" w:rsidRPr="00ED22D1">
              <w:rPr>
                <w:sz w:val="20"/>
                <w:szCs w:val="20"/>
                <w:lang w:val="fr-CA"/>
              </w:rPr>
              <w:t>9 </w:t>
            </w:r>
            <w:r w:rsidRPr="00ED22D1">
              <w:rPr>
                <w:sz w:val="20"/>
                <w:szCs w:val="20"/>
                <w:lang w:val="fr-CA"/>
              </w:rPr>
              <w:t>14</w:t>
            </w:r>
            <w:r w:rsidR="004A6828" w:rsidRPr="00ED22D1">
              <w:rPr>
                <w:sz w:val="20"/>
                <w:szCs w:val="20"/>
                <w:lang w:val="fr-CA"/>
              </w:rPr>
              <w:t>4 </w:t>
            </w:r>
            <w:r w:rsidRPr="00ED22D1">
              <w:rPr>
                <w:sz w:val="20"/>
                <w:szCs w:val="20"/>
                <w:lang w:val="fr-CA"/>
              </w:rPr>
              <w:t>797</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20"/>
                <w:szCs w:val="20"/>
                <w:lang w:val="fr-CA"/>
              </w:rPr>
            </w:pPr>
            <w:r w:rsidRPr="00ED22D1">
              <w:rPr>
                <w:color w:val="000000"/>
                <w:sz w:val="20"/>
                <w:szCs w:val="20"/>
                <w:lang w:val="fr-CA"/>
              </w:rPr>
              <w:t>3</w:t>
            </w:r>
            <w:r w:rsidR="004A6828" w:rsidRPr="00ED22D1">
              <w:rPr>
                <w:color w:val="000000"/>
                <w:sz w:val="20"/>
                <w:szCs w:val="20"/>
                <w:lang w:val="fr-CA"/>
              </w:rPr>
              <w:t>3 </w:t>
            </w:r>
            <w:r w:rsidRPr="00ED22D1">
              <w:rPr>
                <w:color w:val="000000"/>
                <w:sz w:val="20"/>
                <w:szCs w:val="20"/>
                <w:lang w:val="fr-CA"/>
              </w:rPr>
              <w:t>36</w:t>
            </w:r>
            <w:r w:rsidR="004A6828" w:rsidRPr="00ED22D1">
              <w:rPr>
                <w:color w:val="000000"/>
                <w:sz w:val="20"/>
                <w:szCs w:val="20"/>
                <w:lang w:val="fr-CA"/>
              </w:rPr>
              <w:t>8 </w:t>
            </w:r>
            <w:r w:rsidRPr="00ED22D1">
              <w:rPr>
                <w:color w:val="000000"/>
                <w:sz w:val="20"/>
                <w:szCs w:val="20"/>
                <w:lang w:val="fr-CA"/>
              </w:rPr>
              <w:t>756</w:t>
            </w:r>
          </w:p>
        </w:tc>
        <w:tc>
          <w:tcPr>
            <w:tcW w:w="1701" w:type="dxa"/>
            <w:tcBorders>
              <w:top w:val="nil"/>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3</w:t>
            </w:r>
            <w:r w:rsidR="004A6828" w:rsidRPr="00ED22D1">
              <w:rPr>
                <w:sz w:val="20"/>
                <w:szCs w:val="20"/>
                <w:lang w:val="fr-CA"/>
              </w:rPr>
              <w:t>7,</w:t>
            </w:r>
            <w:r w:rsidRPr="00ED22D1">
              <w:rPr>
                <w:sz w:val="20"/>
                <w:szCs w:val="20"/>
                <w:lang w:val="fr-CA"/>
              </w:rPr>
              <w:t>4</w:t>
            </w:r>
          </w:p>
        </w:tc>
        <w:tc>
          <w:tcPr>
            <w:tcW w:w="1476" w:type="dxa"/>
            <w:tcBorders>
              <w:top w:val="nil"/>
              <w:left w:val="nil"/>
              <w:bottom w:val="single" w:sz="4" w:space="0" w:color="auto"/>
              <w:right w:val="single" w:sz="4" w:space="0" w:color="auto"/>
            </w:tcBorders>
            <w:shd w:val="clear" w:color="auto" w:fill="auto"/>
          </w:tcPr>
          <w:p w:rsidR="0085675A" w:rsidRPr="00ED22D1" w:rsidRDefault="0085675A" w:rsidP="0085675A">
            <w:pPr>
              <w:jc w:val="right"/>
              <w:rPr>
                <w:sz w:val="20"/>
                <w:szCs w:val="20"/>
                <w:lang w:val="fr-CA"/>
              </w:rPr>
            </w:pPr>
            <w:r w:rsidRPr="00ED22D1">
              <w:rPr>
                <w:sz w:val="20"/>
                <w:szCs w:val="20"/>
                <w:lang w:val="fr-CA"/>
              </w:rPr>
              <w:t>1</w:t>
            </w:r>
            <w:r w:rsidR="004A6828" w:rsidRPr="00ED22D1">
              <w:rPr>
                <w:sz w:val="20"/>
                <w:szCs w:val="20"/>
                <w:lang w:val="fr-CA"/>
              </w:rPr>
              <w:t>2 </w:t>
            </w:r>
            <w:r w:rsidRPr="00ED22D1">
              <w:rPr>
                <w:sz w:val="20"/>
                <w:szCs w:val="20"/>
                <w:lang w:val="fr-CA"/>
              </w:rPr>
              <w:t>00</w:t>
            </w:r>
            <w:r w:rsidR="004A6828" w:rsidRPr="00ED22D1">
              <w:rPr>
                <w:sz w:val="20"/>
                <w:szCs w:val="20"/>
                <w:lang w:val="fr-CA"/>
              </w:rPr>
              <w:t>0 </w:t>
            </w:r>
            <w:r w:rsidRPr="00ED22D1">
              <w:rPr>
                <w:sz w:val="20"/>
                <w:szCs w:val="20"/>
                <w:lang w:val="fr-CA"/>
              </w:rPr>
              <w:t>000</w:t>
            </w:r>
          </w:p>
        </w:tc>
        <w:tc>
          <w:tcPr>
            <w:tcW w:w="1189"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sz w:val="20"/>
                <w:szCs w:val="20"/>
                <w:lang w:val="fr-CA"/>
              </w:rPr>
            </w:pPr>
            <w:r w:rsidRPr="00ED22D1">
              <w:rPr>
                <w:sz w:val="20"/>
                <w:szCs w:val="20"/>
                <w:lang w:val="fr-CA"/>
              </w:rPr>
              <w:t>5</w:t>
            </w:r>
            <w:r w:rsidR="004A6828" w:rsidRPr="00ED22D1">
              <w:rPr>
                <w:sz w:val="20"/>
                <w:szCs w:val="20"/>
                <w:lang w:val="fr-CA"/>
              </w:rPr>
              <w:t>0,</w:t>
            </w:r>
            <w:r w:rsidRPr="00ED22D1">
              <w:rPr>
                <w:sz w:val="20"/>
                <w:szCs w:val="20"/>
                <w:lang w:val="fr-CA"/>
              </w:rPr>
              <w:t>9</w:t>
            </w:r>
          </w:p>
        </w:tc>
      </w:tr>
      <w:tr w:rsidR="0085675A" w:rsidRPr="00ED22D1" w:rsidTr="003E4959">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jc w:val="left"/>
              <w:rPr>
                <w:color w:val="000000"/>
                <w:sz w:val="20"/>
                <w:szCs w:val="20"/>
                <w:lang w:val="fr-CA" w:eastAsia="en-CA"/>
              </w:rPr>
            </w:pPr>
            <w:r w:rsidRPr="00ED22D1">
              <w:rPr>
                <w:snapToGrid w:val="0"/>
                <w:color w:val="000000"/>
                <w:sz w:val="20"/>
                <w:szCs w:val="20"/>
                <w:lang w:val="fr-CA" w:eastAsia="zh-CN"/>
              </w:rPr>
              <w:t>RAC (</w:t>
            </w:r>
            <w:r w:rsidR="004A6828" w:rsidRPr="00ED22D1">
              <w:rPr>
                <w:snapToGrid w:val="0"/>
                <w:color w:val="000000"/>
                <w:sz w:val="20"/>
                <w:szCs w:val="20"/>
                <w:lang w:val="fr-CA" w:eastAsia="zh-CN"/>
              </w:rPr>
              <w:t>ONUDI</w:t>
            </w:r>
            <w:r w:rsidRPr="00ED22D1">
              <w:rPr>
                <w:snapToGrid w:val="0"/>
                <w:color w:val="000000"/>
                <w:sz w:val="20"/>
                <w:szCs w:val="20"/>
                <w:lang w:val="fr-CA" w:eastAsia="zh-CN"/>
              </w:rPr>
              <w:t xml:space="preserve">, </w:t>
            </w:r>
            <w:r w:rsidR="004A6828" w:rsidRPr="00ED22D1">
              <w:rPr>
                <w:snapToGrid w:val="0"/>
                <w:color w:val="000000"/>
                <w:sz w:val="20"/>
                <w:szCs w:val="20"/>
                <w:lang w:val="fr-CA" w:eastAsia="zh-CN"/>
              </w:rPr>
              <w:t>Italie</w:t>
            </w:r>
            <w:r w:rsidRPr="00ED22D1">
              <w:rPr>
                <w:snapToGrid w:val="0"/>
                <w:color w:val="000000"/>
                <w:sz w:val="20"/>
                <w:szCs w:val="20"/>
                <w:lang w:val="fr-CA"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85675A" w:rsidRPr="00ED22D1" w:rsidRDefault="0085675A" w:rsidP="0085675A">
            <w:pPr>
              <w:jc w:val="right"/>
              <w:rPr>
                <w:sz w:val="20"/>
                <w:szCs w:val="20"/>
                <w:lang w:val="fr-CA"/>
              </w:rPr>
            </w:pPr>
            <w:r w:rsidRPr="00ED22D1">
              <w:rPr>
                <w:sz w:val="20"/>
                <w:szCs w:val="20"/>
                <w:lang w:val="fr-CA"/>
              </w:rPr>
              <w:t>8</w:t>
            </w:r>
            <w:r w:rsidR="004A6828" w:rsidRPr="00ED22D1">
              <w:rPr>
                <w:sz w:val="20"/>
                <w:szCs w:val="20"/>
                <w:lang w:val="fr-CA"/>
              </w:rPr>
              <w:t>9 </w:t>
            </w:r>
            <w:r w:rsidRPr="00ED22D1">
              <w:rPr>
                <w:sz w:val="20"/>
                <w:szCs w:val="20"/>
                <w:lang w:val="fr-CA"/>
              </w:rPr>
              <w:t>14</w:t>
            </w:r>
            <w:r w:rsidR="004A6828" w:rsidRPr="00ED22D1">
              <w:rPr>
                <w:sz w:val="20"/>
                <w:szCs w:val="20"/>
                <w:lang w:val="fr-CA"/>
              </w:rPr>
              <w:t>4 </w:t>
            </w:r>
            <w:r w:rsidRPr="00ED22D1">
              <w:rPr>
                <w:sz w:val="20"/>
                <w:szCs w:val="20"/>
                <w:lang w:val="fr-CA"/>
              </w:rPr>
              <w:t>797</w:t>
            </w:r>
          </w:p>
        </w:tc>
        <w:tc>
          <w:tcPr>
            <w:tcW w:w="1417" w:type="dxa"/>
            <w:tcBorders>
              <w:top w:val="single" w:sz="4" w:space="0" w:color="auto"/>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20"/>
                <w:szCs w:val="20"/>
                <w:lang w:val="fr-CA"/>
              </w:rPr>
            </w:pPr>
            <w:r w:rsidRPr="00ED22D1">
              <w:rPr>
                <w:color w:val="000000"/>
                <w:sz w:val="20"/>
                <w:szCs w:val="20"/>
                <w:lang w:val="fr-CA"/>
              </w:rPr>
              <w:t>3</w:t>
            </w:r>
            <w:r w:rsidR="004A6828" w:rsidRPr="00ED22D1">
              <w:rPr>
                <w:color w:val="000000"/>
                <w:sz w:val="20"/>
                <w:szCs w:val="20"/>
                <w:lang w:val="fr-CA"/>
              </w:rPr>
              <w:t>1 </w:t>
            </w:r>
            <w:r w:rsidRPr="00ED22D1">
              <w:rPr>
                <w:color w:val="000000"/>
                <w:sz w:val="20"/>
                <w:szCs w:val="20"/>
                <w:lang w:val="fr-CA"/>
              </w:rPr>
              <w:t>56</w:t>
            </w:r>
            <w:r w:rsidR="004A6828" w:rsidRPr="00ED22D1">
              <w:rPr>
                <w:color w:val="000000"/>
                <w:sz w:val="20"/>
                <w:szCs w:val="20"/>
                <w:lang w:val="fr-CA"/>
              </w:rPr>
              <w:t>2 </w:t>
            </w:r>
            <w:r w:rsidRPr="00ED22D1">
              <w:rPr>
                <w:color w:val="000000"/>
                <w:sz w:val="20"/>
                <w:szCs w:val="20"/>
                <w:lang w:val="fr-CA"/>
              </w:rPr>
              <w:t>981</w:t>
            </w:r>
          </w:p>
        </w:tc>
        <w:tc>
          <w:tcPr>
            <w:tcW w:w="1701"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3</w:t>
            </w:r>
            <w:r w:rsidR="004A6828" w:rsidRPr="00ED22D1">
              <w:rPr>
                <w:sz w:val="20"/>
                <w:szCs w:val="20"/>
                <w:lang w:val="fr-CA"/>
              </w:rPr>
              <w:t>5,</w:t>
            </w:r>
            <w:r w:rsidRPr="00ED22D1">
              <w:rPr>
                <w:sz w:val="20"/>
                <w:szCs w:val="20"/>
                <w:lang w:val="fr-CA"/>
              </w:rPr>
              <w:t>41</w:t>
            </w:r>
          </w:p>
        </w:tc>
        <w:tc>
          <w:tcPr>
            <w:tcW w:w="1476" w:type="dxa"/>
            <w:tcBorders>
              <w:top w:val="single" w:sz="4" w:space="0" w:color="auto"/>
              <w:left w:val="nil"/>
              <w:bottom w:val="single" w:sz="4" w:space="0" w:color="auto"/>
              <w:right w:val="single" w:sz="4" w:space="0" w:color="auto"/>
            </w:tcBorders>
            <w:shd w:val="clear" w:color="auto" w:fill="auto"/>
          </w:tcPr>
          <w:p w:rsidR="0085675A" w:rsidRPr="00ED22D1" w:rsidRDefault="0085675A" w:rsidP="0085675A">
            <w:pPr>
              <w:jc w:val="right"/>
              <w:rPr>
                <w:sz w:val="20"/>
                <w:szCs w:val="20"/>
                <w:lang w:val="fr-CA"/>
              </w:rPr>
            </w:pPr>
            <w:r w:rsidRPr="00ED22D1">
              <w:rPr>
                <w:sz w:val="20"/>
                <w:szCs w:val="20"/>
                <w:lang w:val="fr-CA"/>
              </w:rPr>
              <w:t>0***</w:t>
            </w:r>
          </w:p>
        </w:tc>
        <w:tc>
          <w:tcPr>
            <w:tcW w:w="1189"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3</w:t>
            </w:r>
            <w:r w:rsidR="004A6828" w:rsidRPr="00ED22D1">
              <w:rPr>
                <w:sz w:val="20"/>
                <w:szCs w:val="20"/>
                <w:lang w:val="fr-CA"/>
              </w:rPr>
              <w:t>5,</w:t>
            </w:r>
            <w:r w:rsidRPr="00ED22D1">
              <w:rPr>
                <w:sz w:val="20"/>
                <w:szCs w:val="20"/>
                <w:lang w:val="fr-CA"/>
              </w:rPr>
              <w:t>4</w:t>
            </w:r>
          </w:p>
        </w:tc>
      </w:tr>
      <w:tr w:rsidR="0085675A" w:rsidRPr="00ED22D1" w:rsidTr="003E4959">
        <w:tc>
          <w:tcPr>
            <w:tcW w:w="2155" w:type="dxa"/>
            <w:tcBorders>
              <w:top w:val="nil"/>
              <w:left w:val="single" w:sz="4" w:space="0" w:color="auto"/>
              <w:bottom w:val="single" w:sz="4" w:space="0" w:color="auto"/>
              <w:right w:val="single" w:sz="4" w:space="0" w:color="auto"/>
            </w:tcBorders>
            <w:shd w:val="clear" w:color="auto" w:fill="auto"/>
            <w:hideMark/>
          </w:tcPr>
          <w:p w:rsidR="0085675A" w:rsidRPr="00ED22D1" w:rsidRDefault="0052712E" w:rsidP="0085675A">
            <w:pPr>
              <w:jc w:val="left"/>
              <w:rPr>
                <w:color w:val="000000"/>
                <w:sz w:val="20"/>
                <w:szCs w:val="20"/>
                <w:lang w:val="fr-CA" w:eastAsia="en-CA"/>
              </w:rPr>
            </w:pPr>
            <w:r w:rsidRPr="00ED22D1">
              <w:rPr>
                <w:snapToGrid w:val="0"/>
                <w:color w:val="000000"/>
                <w:sz w:val="20"/>
                <w:szCs w:val="20"/>
                <w:lang w:val="fr-CA" w:eastAsia="zh-CN"/>
              </w:rPr>
              <w:t>Solvant</w:t>
            </w:r>
            <w:r w:rsidR="0085675A" w:rsidRPr="00ED22D1">
              <w:rPr>
                <w:snapToGrid w:val="0"/>
                <w:color w:val="000000"/>
                <w:sz w:val="20"/>
                <w:szCs w:val="20"/>
                <w:lang w:val="fr-CA" w:eastAsia="zh-CN"/>
              </w:rPr>
              <w:t xml:space="preserve"> (</w:t>
            </w:r>
            <w:r w:rsidR="001C722B" w:rsidRPr="00ED22D1">
              <w:rPr>
                <w:snapToGrid w:val="0"/>
                <w:color w:val="000000"/>
                <w:sz w:val="20"/>
                <w:szCs w:val="20"/>
                <w:lang w:val="fr-CA" w:eastAsia="zh-CN"/>
              </w:rPr>
              <w:t>PNUD</w:t>
            </w:r>
            <w:r w:rsidR="0085675A" w:rsidRPr="00ED22D1">
              <w:rPr>
                <w:snapToGrid w:val="0"/>
                <w:color w:val="000000"/>
                <w:sz w:val="20"/>
                <w:szCs w:val="20"/>
                <w:lang w:val="fr-CA" w:eastAsia="zh-CN"/>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20"/>
                <w:szCs w:val="20"/>
                <w:lang w:val="fr-CA"/>
              </w:rPr>
            </w:pPr>
            <w:r w:rsidRPr="00ED22D1">
              <w:rPr>
                <w:sz w:val="20"/>
                <w:szCs w:val="20"/>
                <w:lang w:val="fr-CA"/>
              </w:rPr>
              <w:t>4</w:t>
            </w:r>
            <w:r w:rsidR="004A6828" w:rsidRPr="00ED22D1">
              <w:rPr>
                <w:sz w:val="20"/>
                <w:szCs w:val="20"/>
                <w:lang w:val="fr-CA"/>
              </w:rPr>
              <w:t>7 </w:t>
            </w:r>
            <w:r w:rsidRPr="00ED22D1">
              <w:rPr>
                <w:sz w:val="20"/>
                <w:szCs w:val="20"/>
                <w:lang w:val="fr-CA"/>
              </w:rPr>
              <w:t>26</w:t>
            </w:r>
            <w:r w:rsidR="004A6828" w:rsidRPr="00ED22D1">
              <w:rPr>
                <w:sz w:val="20"/>
                <w:szCs w:val="20"/>
                <w:lang w:val="fr-CA"/>
              </w:rPr>
              <w:t>2 </w:t>
            </w:r>
            <w:r w:rsidRPr="00ED22D1">
              <w:rPr>
                <w:sz w:val="20"/>
                <w:szCs w:val="20"/>
                <w:lang w:val="fr-CA"/>
              </w:rPr>
              <w:t>566</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20"/>
                <w:szCs w:val="20"/>
                <w:lang w:val="fr-CA"/>
              </w:rPr>
            </w:pPr>
            <w:r w:rsidRPr="00ED22D1">
              <w:rPr>
                <w:color w:val="000000"/>
                <w:sz w:val="20"/>
                <w:szCs w:val="20"/>
                <w:lang w:val="fr-CA"/>
              </w:rPr>
              <w:t>6 </w:t>
            </w:r>
            <w:r w:rsidR="0085675A" w:rsidRPr="00ED22D1">
              <w:rPr>
                <w:color w:val="000000"/>
                <w:sz w:val="20"/>
                <w:szCs w:val="20"/>
                <w:lang w:val="fr-CA"/>
              </w:rPr>
              <w:t>59</w:t>
            </w:r>
            <w:r w:rsidRPr="00ED22D1">
              <w:rPr>
                <w:color w:val="000000"/>
                <w:sz w:val="20"/>
                <w:szCs w:val="20"/>
                <w:lang w:val="fr-CA"/>
              </w:rPr>
              <w:t>9 </w:t>
            </w:r>
            <w:r w:rsidR="0085675A" w:rsidRPr="00ED22D1">
              <w:rPr>
                <w:color w:val="000000"/>
                <w:sz w:val="20"/>
                <w:szCs w:val="20"/>
                <w:lang w:val="fr-CA"/>
              </w:rPr>
              <w:t>127</w:t>
            </w:r>
          </w:p>
        </w:tc>
        <w:tc>
          <w:tcPr>
            <w:tcW w:w="1701" w:type="dxa"/>
            <w:tcBorders>
              <w:top w:val="nil"/>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1</w:t>
            </w:r>
            <w:r w:rsidR="004A6828" w:rsidRPr="00ED22D1">
              <w:rPr>
                <w:sz w:val="20"/>
                <w:szCs w:val="20"/>
                <w:lang w:val="fr-CA"/>
              </w:rPr>
              <w:t>4,</w:t>
            </w:r>
            <w:r w:rsidRPr="00ED22D1">
              <w:rPr>
                <w:sz w:val="20"/>
                <w:szCs w:val="20"/>
                <w:lang w:val="fr-CA"/>
              </w:rPr>
              <w:t>0</w:t>
            </w:r>
          </w:p>
        </w:tc>
        <w:tc>
          <w:tcPr>
            <w:tcW w:w="1476" w:type="dxa"/>
            <w:tcBorders>
              <w:top w:val="nil"/>
              <w:left w:val="nil"/>
              <w:bottom w:val="single" w:sz="4" w:space="0" w:color="auto"/>
              <w:right w:val="single" w:sz="4" w:space="0" w:color="auto"/>
            </w:tcBorders>
            <w:shd w:val="clear" w:color="auto" w:fill="auto"/>
          </w:tcPr>
          <w:p w:rsidR="0085675A" w:rsidRPr="00ED22D1" w:rsidRDefault="004A6828" w:rsidP="0085675A">
            <w:pPr>
              <w:jc w:val="right"/>
              <w:rPr>
                <w:sz w:val="20"/>
                <w:szCs w:val="20"/>
                <w:lang w:val="fr-CA"/>
              </w:rPr>
            </w:pPr>
            <w:r w:rsidRPr="00ED22D1">
              <w:rPr>
                <w:sz w:val="20"/>
                <w:szCs w:val="20"/>
                <w:lang w:val="fr-CA"/>
              </w:rPr>
              <w:t>5 </w:t>
            </w:r>
            <w:r w:rsidR="0085675A" w:rsidRPr="00ED22D1">
              <w:rPr>
                <w:sz w:val="20"/>
                <w:szCs w:val="20"/>
                <w:lang w:val="fr-CA"/>
              </w:rPr>
              <w:t>54</w:t>
            </w:r>
            <w:r w:rsidRPr="00ED22D1">
              <w:rPr>
                <w:sz w:val="20"/>
                <w:szCs w:val="20"/>
                <w:lang w:val="fr-CA"/>
              </w:rPr>
              <w:t>9 </w:t>
            </w:r>
            <w:r w:rsidR="0085675A" w:rsidRPr="00ED22D1">
              <w:rPr>
                <w:sz w:val="20"/>
                <w:szCs w:val="20"/>
                <w:lang w:val="fr-CA"/>
              </w:rPr>
              <w:t>492</w:t>
            </w:r>
          </w:p>
        </w:tc>
        <w:tc>
          <w:tcPr>
            <w:tcW w:w="1189" w:type="dxa"/>
            <w:tcBorders>
              <w:top w:val="nil"/>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2</w:t>
            </w:r>
            <w:r w:rsidR="004A6828" w:rsidRPr="00ED22D1">
              <w:rPr>
                <w:sz w:val="20"/>
                <w:szCs w:val="20"/>
                <w:lang w:val="fr-CA"/>
              </w:rPr>
              <w:t>5,</w:t>
            </w:r>
            <w:r w:rsidRPr="00ED22D1">
              <w:rPr>
                <w:sz w:val="20"/>
                <w:szCs w:val="20"/>
                <w:lang w:val="fr-CA"/>
              </w:rPr>
              <w:t>7</w:t>
            </w:r>
          </w:p>
        </w:tc>
      </w:tr>
      <w:tr w:rsidR="0085675A" w:rsidRPr="00ED22D1" w:rsidTr="003E4959">
        <w:tc>
          <w:tcPr>
            <w:tcW w:w="2155" w:type="dxa"/>
            <w:tcBorders>
              <w:top w:val="nil"/>
              <w:left w:val="single" w:sz="4" w:space="0" w:color="auto"/>
              <w:bottom w:val="single" w:sz="4" w:space="0" w:color="auto"/>
              <w:right w:val="single" w:sz="4" w:space="0" w:color="auto"/>
            </w:tcBorders>
            <w:shd w:val="clear" w:color="auto" w:fill="auto"/>
            <w:hideMark/>
          </w:tcPr>
          <w:p w:rsidR="0085675A" w:rsidRPr="00ED22D1" w:rsidRDefault="001B31BF" w:rsidP="0085675A">
            <w:pPr>
              <w:jc w:val="left"/>
              <w:rPr>
                <w:color w:val="000000"/>
                <w:sz w:val="20"/>
                <w:szCs w:val="20"/>
                <w:lang w:val="fr-CA" w:eastAsia="en-CA"/>
              </w:rPr>
            </w:pPr>
            <w:r w:rsidRPr="00ED22D1">
              <w:rPr>
                <w:snapToGrid w:val="0"/>
                <w:color w:val="000000"/>
                <w:sz w:val="20"/>
                <w:szCs w:val="20"/>
                <w:lang w:val="fr-CA" w:eastAsia="zh-CN"/>
              </w:rPr>
              <w:t>Entretien</w:t>
            </w:r>
            <w:r w:rsidR="004A6828" w:rsidRPr="00ED22D1">
              <w:rPr>
                <w:snapToGrid w:val="0"/>
                <w:color w:val="000000"/>
                <w:sz w:val="20"/>
                <w:szCs w:val="20"/>
                <w:lang w:val="fr-CA" w:eastAsia="zh-CN"/>
              </w:rPr>
              <w:t xml:space="preserve"> et </w:t>
            </w:r>
            <w:r w:rsidRPr="00ED22D1">
              <w:rPr>
                <w:snapToGrid w:val="0"/>
                <w:color w:val="000000"/>
                <w:sz w:val="20"/>
                <w:szCs w:val="20"/>
                <w:lang w:val="fr-CA" w:eastAsia="zh-CN"/>
              </w:rPr>
              <w:t>programme habilitant</w:t>
            </w:r>
            <w:r w:rsidR="0085675A" w:rsidRPr="00ED22D1">
              <w:rPr>
                <w:snapToGrid w:val="0"/>
                <w:color w:val="000000"/>
                <w:sz w:val="20"/>
                <w:szCs w:val="20"/>
                <w:lang w:val="fr-CA" w:eastAsia="zh-CN"/>
              </w:rPr>
              <w:t xml:space="preserve"> (</w:t>
            </w:r>
            <w:r w:rsidR="001C722B" w:rsidRPr="00ED22D1">
              <w:rPr>
                <w:snapToGrid w:val="0"/>
                <w:color w:val="000000"/>
                <w:sz w:val="20"/>
                <w:szCs w:val="20"/>
                <w:lang w:val="fr-CA" w:eastAsia="zh-CN"/>
              </w:rPr>
              <w:t>PNUE</w:t>
            </w:r>
            <w:r w:rsidR="0085675A" w:rsidRPr="00ED22D1">
              <w:rPr>
                <w:snapToGrid w:val="0"/>
                <w:color w:val="000000"/>
                <w:sz w:val="20"/>
                <w:szCs w:val="20"/>
                <w:lang w:val="fr-CA" w:eastAsia="zh-CN"/>
              </w:rPr>
              <w:t xml:space="preserve">, </w:t>
            </w:r>
            <w:r w:rsidR="004A6828" w:rsidRPr="00ED22D1">
              <w:rPr>
                <w:snapToGrid w:val="0"/>
                <w:color w:val="000000"/>
                <w:sz w:val="20"/>
                <w:szCs w:val="20"/>
                <w:lang w:val="fr-CA" w:eastAsia="zh-CN"/>
              </w:rPr>
              <w:t>Allemagne</w:t>
            </w:r>
            <w:r w:rsidR="0085675A" w:rsidRPr="00ED22D1">
              <w:rPr>
                <w:snapToGrid w:val="0"/>
                <w:color w:val="000000"/>
                <w:sz w:val="20"/>
                <w:szCs w:val="20"/>
                <w:lang w:val="fr-CA" w:eastAsia="zh-CN"/>
              </w:rPr>
              <w:t xml:space="preserve">, </w:t>
            </w:r>
            <w:r w:rsidR="004A6828" w:rsidRPr="00ED22D1">
              <w:rPr>
                <w:snapToGrid w:val="0"/>
                <w:color w:val="000000"/>
                <w:sz w:val="20"/>
                <w:szCs w:val="20"/>
                <w:lang w:val="fr-CA" w:eastAsia="zh-CN"/>
              </w:rPr>
              <w:t>Japon</w:t>
            </w:r>
            <w:r w:rsidR="0085675A" w:rsidRPr="00ED22D1">
              <w:rPr>
                <w:snapToGrid w:val="0"/>
                <w:color w:val="000000"/>
                <w:sz w:val="20"/>
                <w:szCs w:val="20"/>
                <w:lang w:val="fr-CA" w:eastAsia="zh-CN"/>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20"/>
                <w:szCs w:val="20"/>
                <w:lang w:val="fr-CA"/>
              </w:rPr>
            </w:pPr>
            <w:r w:rsidRPr="00ED22D1">
              <w:rPr>
                <w:sz w:val="20"/>
                <w:szCs w:val="20"/>
                <w:lang w:val="fr-CA"/>
              </w:rPr>
              <w:t>2</w:t>
            </w:r>
            <w:r w:rsidR="004A6828" w:rsidRPr="00ED22D1">
              <w:rPr>
                <w:sz w:val="20"/>
                <w:szCs w:val="20"/>
                <w:lang w:val="fr-CA"/>
              </w:rPr>
              <w:t>0 </w:t>
            </w:r>
            <w:r w:rsidRPr="00ED22D1">
              <w:rPr>
                <w:sz w:val="20"/>
                <w:szCs w:val="20"/>
                <w:lang w:val="fr-CA"/>
              </w:rPr>
              <w:t>29</w:t>
            </w:r>
            <w:r w:rsidR="004A6828" w:rsidRPr="00ED22D1">
              <w:rPr>
                <w:sz w:val="20"/>
                <w:szCs w:val="20"/>
                <w:lang w:val="fr-CA"/>
              </w:rPr>
              <w:t>0 </w:t>
            </w:r>
            <w:r w:rsidRPr="00ED22D1">
              <w:rPr>
                <w:sz w:val="20"/>
                <w:szCs w:val="20"/>
                <w:lang w:val="fr-CA"/>
              </w:rPr>
              <w:t>000</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20"/>
                <w:szCs w:val="20"/>
                <w:lang w:val="fr-CA"/>
              </w:rPr>
            </w:pPr>
            <w:r w:rsidRPr="00ED22D1">
              <w:rPr>
                <w:color w:val="000000"/>
                <w:sz w:val="20"/>
                <w:szCs w:val="20"/>
                <w:lang w:val="fr-CA"/>
              </w:rPr>
              <w:t>6 </w:t>
            </w:r>
            <w:r w:rsidR="0085675A" w:rsidRPr="00ED22D1">
              <w:rPr>
                <w:color w:val="000000"/>
                <w:sz w:val="20"/>
                <w:szCs w:val="20"/>
                <w:lang w:val="fr-CA"/>
              </w:rPr>
              <w:t>32</w:t>
            </w:r>
            <w:r w:rsidRPr="00ED22D1">
              <w:rPr>
                <w:color w:val="000000"/>
                <w:sz w:val="20"/>
                <w:szCs w:val="20"/>
                <w:lang w:val="fr-CA"/>
              </w:rPr>
              <w:t>9 </w:t>
            </w:r>
            <w:r w:rsidR="0085675A" w:rsidRPr="00ED22D1">
              <w:rPr>
                <w:color w:val="000000"/>
                <w:sz w:val="20"/>
                <w:szCs w:val="20"/>
                <w:lang w:val="fr-CA"/>
              </w:rPr>
              <w:t>132</w:t>
            </w:r>
          </w:p>
        </w:tc>
        <w:tc>
          <w:tcPr>
            <w:tcW w:w="1701" w:type="dxa"/>
            <w:tcBorders>
              <w:top w:val="nil"/>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3</w:t>
            </w:r>
            <w:r w:rsidR="004A6828" w:rsidRPr="00ED22D1">
              <w:rPr>
                <w:sz w:val="20"/>
                <w:szCs w:val="20"/>
                <w:lang w:val="fr-CA"/>
              </w:rPr>
              <w:t>1,</w:t>
            </w:r>
            <w:r w:rsidRPr="00ED22D1">
              <w:rPr>
                <w:sz w:val="20"/>
                <w:szCs w:val="20"/>
                <w:lang w:val="fr-CA"/>
              </w:rPr>
              <w:t>2</w:t>
            </w:r>
          </w:p>
        </w:tc>
        <w:tc>
          <w:tcPr>
            <w:tcW w:w="1476" w:type="dxa"/>
            <w:tcBorders>
              <w:top w:val="nil"/>
              <w:left w:val="nil"/>
              <w:bottom w:val="single" w:sz="4" w:space="0" w:color="auto"/>
              <w:right w:val="single" w:sz="4" w:space="0" w:color="auto"/>
            </w:tcBorders>
            <w:shd w:val="clear" w:color="auto" w:fill="auto"/>
          </w:tcPr>
          <w:p w:rsidR="0085675A" w:rsidRPr="00ED22D1" w:rsidRDefault="004A6828" w:rsidP="0085675A">
            <w:pPr>
              <w:jc w:val="right"/>
              <w:rPr>
                <w:sz w:val="20"/>
                <w:szCs w:val="20"/>
                <w:lang w:val="fr-CA"/>
              </w:rPr>
            </w:pPr>
            <w:r w:rsidRPr="00ED22D1">
              <w:rPr>
                <w:sz w:val="20"/>
                <w:szCs w:val="20"/>
                <w:lang w:val="fr-CA"/>
              </w:rPr>
              <w:t>3 </w:t>
            </w:r>
            <w:r w:rsidR="0085675A" w:rsidRPr="00ED22D1">
              <w:rPr>
                <w:sz w:val="20"/>
                <w:szCs w:val="20"/>
                <w:lang w:val="fr-CA"/>
              </w:rPr>
              <w:t>85</w:t>
            </w:r>
            <w:r w:rsidRPr="00ED22D1">
              <w:rPr>
                <w:sz w:val="20"/>
                <w:szCs w:val="20"/>
                <w:lang w:val="fr-CA"/>
              </w:rPr>
              <w:t>0 </w:t>
            </w:r>
            <w:r w:rsidR="0085675A" w:rsidRPr="00ED22D1">
              <w:rPr>
                <w:sz w:val="20"/>
                <w:szCs w:val="20"/>
                <w:lang w:val="fr-CA"/>
              </w:rPr>
              <w:t>000****</w:t>
            </w:r>
          </w:p>
        </w:tc>
        <w:tc>
          <w:tcPr>
            <w:tcW w:w="1189" w:type="dxa"/>
            <w:tcBorders>
              <w:top w:val="nil"/>
              <w:left w:val="nil"/>
              <w:bottom w:val="single" w:sz="4" w:space="0" w:color="auto"/>
              <w:right w:val="single" w:sz="4" w:space="0" w:color="auto"/>
            </w:tcBorders>
            <w:shd w:val="clear" w:color="auto" w:fill="auto"/>
            <w:noWrap/>
          </w:tcPr>
          <w:p w:rsidR="0085675A" w:rsidRPr="00ED22D1" w:rsidRDefault="0085675A" w:rsidP="0085675A">
            <w:pPr>
              <w:jc w:val="right"/>
              <w:rPr>
                <w:sz w:val="20"/>
                <w:szCs w:val="20"/>
                <w:lang w:val="fr-CA"/>
              </w:rPr>
            </w:pPr>
            <w:r w:rsidRPr="00ED22D1">
              <w:rPr>
                <w:sz w:val="20"/>
                <w:szCs w:val="20"/>
                <w:lang w:val="fr-CA"/>
              </w:rPr>
              <w:t>4</w:t>
            </w:r>
            <w:r w:rsidR="004A6828" w:rsidRPr="00ED22D1">
              <w:rPr>
                <w:sz w:val="20"/>
                <w:szCs w:val="20"/>
                <w:lang w:val="fr-CA"/>
              </w:rPr>
              <w:t>9,</w:t>
            </w:r>
            <w:r w:rsidRPr="00ED22D1">
              <w:rPr>
                <w:sz w:val="20"/>
                <w:szCs w:val="20"/>
                <w:lang w:val="fr-CA"/>
              </w:rPr>
              <w:t>2</w:t>
            </w:r>
          </w:p>
        </w:tc>
      </w:tr>
      <w:tr w:rsidR="0085675A" w:rsidRPr="00ED22D1" w:rsidTr="003E4959">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85675A" w:rsidP="0085675A">
            <w:pPr>
              <w:jc w:val="left"/>
              <w:rPr>
                <w:b/>
                <w:color w:val="000000"/>
                <w:sz w:val="20"/>
                <w:szCs w:val="20"/>
                <w:lang w:val="fr-CA" w:eastAsia="en-CA"/>
              </w:rPr>
            </w:pPr>
            <w:r w:rsidRPr="00ED22D1">
              <w:rPr>
                <w:b/>
                <w:bCs/>
                <w:snapToGrid w:val="0"/>
                <w:color w:val="000000"/>
                <w:sz w:val="20"/>
                <w:szCs w:val="20"/>
                <w:lang w:val="fr-CA" w:eastAsia="zh-CN"/>
              </w:rPr>
              <w:t>Total</w:t>
            </w:r>
          </w:p>
        </w:tc>
        <w:tc>
          <w:tcPr>
            <w:tcW w:w="1418" w:type="dxa"/>
            <w:tcBorders>
              <w:top w:val="single" w:sz="4" w:space="0" w:color="auto"/>
              <w:left w:val="nil"/>
              <w:bottom w:val="single" w:sz="4" w:space="0" w:color="auto"/>
              <w:right w:val="single" w:sz="4" w:space="0" w:color="auto"/>
            </w:tcBorders>
            <w:shd w:val="clear" w:color="auto" w:fill="auto"/>
            <w:hideMark/>
          </w:tcPr>
          <w:p w:rsidR="0085675A" w:rsidRPr="00ED22D1" w:rsidRDefault="0085675A" w:rsidP="0085675A">
            <w:pPr>
              <w:jc w:val="right"/>
              <w:rPr>
                <w:b/>
                <w:sz w:val="20"/>
                <w:szCs w:val="20"/>
                <w:lang w:val="fr-CA"/>
              </w:rPr>
            </w:pPr>
            <w:r w:rsidRPr="00ED22D1">
              <w:rPr>
                <w:b/>
                <w:sz w:val="20"/>
                <w:szCs w:val="20"/>
                <w:lang w:val="fr-CA"/>
              </w:rPr>
              <w:t>50</w:t>
            </w:r>
            <w:r w:rsidR="004A6828" w:rsidRPr="00ED22D1">
              <w:rPr>
                <w:b/>
                <w:sz w:val="20"/>
                <w:szCs w:val="20"/>
                <w:lang w:val="fr-CA"/>
              </w:rPr>
              <w:t>0 </w:t>
            </w:r>
            <w:r w:rsidRPr="00ED22D1">
              <w:rPr>
                <w:b/>
                <w:sz w:val="20"/>
                <w:szCs w:val="20"/>
                <w:lang w:val="fr-CA"/>
              </w:rPr>
              <w:t>10</w:t>
            </w:r>
            <w:r w:rsidR="004A6828" w:rsidRPr="00ED22D1">
              <w:rPr>
                <w:b/>
                <w:sz w:val="20"/>
                <w:szCs w:val="20"/>
                <w:lang w:val="fr-CA"/>
              </w:rPr>
              <w:t>0 </w:t>
            </w:r>
            <w:r w:rsidRPr="00ED22D1">
              <w:rPr>
                <w:b/>
                <w:sz w:val="20"/>
                <w:szCs w:val="20"/>
                <w:lang w:val="fr-CA"/>
              </w:rPr>
              <w:t>000</w:t>
            </w:r>
          </w:p>
        </w:tc>
        <w:tc>
          <w:tcPr>
            <w:tcW w:w="1417" w:type="dxa"/>
            <w:tcBorders>
              <w:top w:val="single" w:sz="4" w:space="0" w:color="auto"/>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20"/>
                <w:szCs w:val="20"/>
                <w:lang w:val="fr-CA"/>
              </w:rPr>
            </w:pPr>
            <w:r w:rsidRPr="00ED22D1">
              <w:rPr>
                <w:b/>
                <w:bCs/>
                <w:color w:val="000000"/>
                <w:sz w:val="20"/>
                <w:szCs w:val="20"/>
                <w:lang w:val="fr-CA"/>
              </w:rPr>
              <w:t>10</w:t>
            </w:r>
            <w:r w:rsidR="004A6828" w:rsidRPr="00ED22D1">
              <w:rPr>
                <w:b/>
                <w:bCs/>
                <w:color w:val="000000"/>
                <w:sz w:val="20"/>
                <w:szCs w:val="20"/>
                <w:lang w:val="fr-CA"/>
              </w:rPr>
              <w:t>1 </w:t>
            </w:r>
            <w:r w:rsidRPr="00ED22D1">
              <w:rPr>
                <w:b/>
                <w:bCs/>
                <w:color w:val="000000"/>
                <w:sz w:val="20"/>
                <w:szCs w:val="20"/>
                <w:lang w:val="fr-CA"/>
              </w:rPr>
              <w:t>41</w:t>
            </w:r>
            <w:r w:rsidR="004A6828" w:rsidRPr="00ED22D1">
              <w:rPr>
                <w:b/>
                <w:bCs/>
                <w:color w:val="000000"/>
                <w:sz w:val="20"/>
                <w:szCs w:val="20"/>
                <w:lang w:val="fr-CA"/>
              </w:rPr>
              <w:t>9 </w:t>
            </w:r>
            <w:r w:rsidRPr="00ED22D1">
              <w:rPr>
                <w:b/>
                <w:bCs/>
                <w:color w:val="000000"/>
                <w:sz w:val="20"/>
                <w:szCs w:val="20"/>
                <w:lang w:val="fr-CA"/>
              </w:rPr>
              <w:t>890</w:t>
            </w:r>
          </w:p>
        </w:tc>
        <w:tc>
          <w:tcPr>
            <w:tcW w:w="1701"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right"/>
              <w:rPr>
                <w:b/>
                <w:sz w:val="20"/>
                <w:szCs w:val="20"/>
                <w:lang w:val="fr-CA"/>
              </w:rPr>
            </w:pPr>
            <w:r w:rsidRPr="00ED22D1">
              <w:rPr>
                <w:b/>
                <w:sz w:val="20"/>
                <w:szCs w:val="20"/>
                <w:lang w:val="fr-CA"/>
              </w:rPr>
              <w:t>2</w:t>
            </w:r>
            <w:r w:rsidR="004A6828" w:rsidRPr="00ED22D1">
              <w:rPr>
                <w:b/>
                <w:sz w:val="20"/>
                <w:szCs w:val="20"/>
                <w:lang w:val="fr-CA"/>
              </w:rPr>
              <w:t>0,</w:t>
            </w:r>
            <w:r w:rsidRPr="00ED22D1">
              <w:rPr>
                <w:b/>
                <w:sz w:val="20"/>
                <w:szCs w:val="20"/>
                <w:lang w:val="fr-CA"/>
              </w:rPr>
              <w:t>3</w:t>
            </w:r>
          </w:p>
        </w:tc>
        <w:tc>
          <w:tcPr>
            <w:tcW w:w="1476" w:type="dxa"/>
            <w:tcBorders>
              <w:top w:val="single" w:sz="4" w:space="0" w:color="auto"/>
              <w:left w:val="nil"/>
              <w:bottom w:val="single" w:sz="4" w:space="0" w:color="auto"/>
              <w:right w:val="single" w:sz="4" w:space="0" w:color="auto"/>
            </w:tcBorders>
            <w:shd w:val="clear" w:color="auto" w:fill="auto"/>
          </w:tcPr>
          <w:p w:rsidR="0085675A" w:rsidRPr="00ED22D1" w:rsidRDefault="0085675A" w:rsidP="0085675A">
            <w:pPr>
              <w:jc w:val="right"/>
              <w:rPr>
                <w:b/>
                <w:sz w:val="20"/>
                <w:szCs w:val="20"/>
                <w:lang w:val="fr-CA"/>
              </w:rPr>
            </w:pPr>
            <w:r w:rsidRPr="00ED22D1">
              <w:rPr>
                <w:b/>
                <w:sz w:val="20"/>
                <w:szCs w:val="20"/>
                <w:lang w:val="fr-CA"/>
              </w:rPr>
              <w:t>2</w:t>
            </w:r>
            <w:r w:rsidR="004A6828" w:rsidRPr="00ED22D1">
              <w:rPr>
                <w:b/>
                <w:sz w:val="20"/>
                <w:szCs w:val="20"/>
                <w:lang w:val="fr-CA"/>
              </w:rPr>
              <w:t>9 </w:t>
            </w:r>
            <w:r w:rsidRPr="00ED22D1">
              <w:rPr>
                <w:b/>
                <w:sz w:val="20"/>
                <w:szCs w:val="20"/>
                <w:lang w:val="fr-CA"/>
              </w:rPr>
              <w:t>39</w:t>
            </w:r>
            <w:r w:rsidR="004A6828" w:rsidRPr="00ED22D1">
              <w:rPr>
                <w:b/>
                <w:sz w:val="20"/>
                <w:szCs w:val="20"/>
                <w:lang w:val="fr-CA"/>
              </w:rPr>
              <w:t>9 </w:t>
            </w:r>
            <w:r w:rsidRPr="00ED22D1">
              <w:rPr>
                <w:b/>
                <w:sz w:val="20"/>
                <w:szCs w:val="20"/>
                <w:lang w:val="fr-CA"/>
              </w:rPr>
              <w:t>492</w:t>
            </w:r>
          </w:p>
        </w:tc>
        <w:tc>
          <w:tcPr>
            <w:tcW w:w="1189"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right"/>
              <w:rPr>
                <w:b/>
                <w:sz w:val="20"/>
                <w:szCs w:val="20"/>
                <w:lang w:val="fr-CA"/>
              </w:rPr>
            </w:pPr>
            <w:r w:rsidRPr="00ED22D1">
              <w:rPr>
                <w:b/>
                <w:sz w:val="20"/>
                <w:szCs w:val="20"/>
                <w:lang w:val="fr-CA"/>
              </w:rPr>
              <w:t>2</w:t>
            </w:r>
            <w:r w:rsidR="004A6828" w:rsidRPr="00ED22D1">
              <w:rPr>
                <w:b/>
                <w:sz w:val="20"/>
                <w:szCs w:val="20"/>
                <w:lang w:val="fr-CA"/>
              </w:rPr>
              <w:t>6,</w:t>
            </w:r>
            <w:r w:rsidRPr="00ED22D1">
              <w:rPr>
                <w:b/>
                <w:sz w:val="20"/>
                <w:szCs w:val="20"/>
                <w:lang w:val="fr-CA"/>
              </w:rPr>
              <w:t>1</w:t>
            </w:r>
          </w:p>
        </w:tc>
      </w:tr>
      <w:tr w:rsidR="0085675A" w:rsidRPr="00C80221" w:rsidTr="003E4959">
        <w:tc>
          <w:tcPr>
            <w:tcW w:w="9356" w:type="dxa"/>
            <w:gridSpan w:val="6"/>
            <w:tcBorders>
              <w:top w:val="single" w:sz="4" w:space="0" w:color="auto"/>
            </w:tcBorders>
            <w:shd w:val="clear" w:color="auto" w:fill="auto"/>
          </w:tcPr>
          <w:p w:rsidR="0085675A" w:rsidRPr="00ED22D1" w:rsidRDefault="00F73F1B" w:rsidP="0085675A">
            <w:pPr>
              <w:pStyle w:val="ListParagraph"/>
              <w:numPr>
                <w:ilvl w:val="0"/>
                <w:numId w:val="25"/>
              </w:numPr>
              <w:rPr>
                <w:sz w:val="16"/>
                <w:szCs w:val="16"/>
                <w:lang w:val="fr-CA"/>
              </w:rPr>
            </w:pPr>
            <w:r w:rsidRPr="00ED22D1">
              <w:rPr>
                <w:sz w:val="16"/>
                <w:szCs w:val="16"/>
                <w:lang w:val="fr-CA"/>
              </w:rPr>
              <w:t xml:space="preserve">Seulement une </w:t>
            </w:r>
            <w:r w:rsidR="0085675A" w:rsidRPr="00ED22D1">
              <w:rPr>
                <w:sz w:val="16"/>
                <w:szCs w:val="16"/>
                <w:lang w:val="fr-CA"/>
              </w:rPr>
              <w:t xml:space="preserve">tranche </w:t>
            </w:r>
            <w:r w:rsidR="00AA6E77" w:rsidRPr="00ED22D1">
              <w:rPr>
                <w:sz w:val="16"/>
                <w:szCs w:val="16"/>
                <w:lang w:val="fr-CA"/>
              </w:rPr>
              <w:t>approuvé</w:t>
            </w:r>
            <w:r w:rsidRPr="00ED22D1">
              <w:rPr>
                <w:sz w:val="16"/>
                <w:szCs w:val="16"/>
                <w:lang w:val="fr-CA"/>
              </w:rPr>
              <w:t>e</w:t>
            </w:r>
            <w:r w:rsidR="0085675A" w:rsidRPr="00ED22D1">
              <w:rPr>
                <w:sz w:val="16"/>
                <w:szCs w:val="16"/>
                <w:lang w:val="fr-CA"/>
              </w:rPr>
              <w:t xml:space="preserve"> </w:t>
            </w:r>
            <w:r w:rsidRPr="00ED22D1">
              <w:rPr>
                <w:sz w:val="16"/>
                <w:szCs w:val="16"/>
                <w:lang w:val="fr-CA"/>
              </w:rPr>
              <w:t xml:space="preserve">dans le </w:t>
            </w:r>
            <w:r w:rsidR="00502C24" w:rsidRPr="00ED22D1">
              <w:rPr>
                <w:sz w:val="16"/>
                <w:szCs w:val="16"/>
                <w:lang w:val="fr-CA"/>
              </w:rPr>
              <w:t xml:space="preserve">plan </w:t>
            </w:r>
            <w:r w:rsidR="00CA0808" w:rsidRPr="00ED22D1">
              <w:rPr>
                <w:sz w:val="16"/>
                <w:szCs w:val="16"/>
                <w:lang w:val="fr-CA"/>
              </w:rPr>
              <w:t>du secteur de la mousse de polyuréthane</w:t>
            </w:r>
          </w:p>
          <w:p w:rsidR="0085675A" w:rsidRPr="00ED22D1" w:rsidRDefault="0085675A" w:rsidP="0085675A">
            <w:pPr>
              <w:rPr>
                <w:sz w:val="16"/>
                <w:szCs w:val="16"/>
                <w:lang w:val="fr-CA"/>
              </w:rPr>
            </w:pPr>
            <w:r w:rsidRPr="00ED22D1">
              <w:rPr>
                <w:sz w:val="16"/>
                <w:szCs w:val="16"/>
                <w:lang w:val="fr-CA"/>
              </w:rPr>
              <w:t xml:space="preserve">**     Tranche </w:t>
            </w:r>
            <w:r w:rsidR="00F73F1B" w:rsidRPr="00ED22D1">
              <w:rPr>
                <w:sz w:val="16"/>
                <w:szCs w:val="16"/>
                <w:lang w:val="fr-CA"/>
              </w:rPr>
              <w:t xml:space="preserve">demandée mais qui n’était pas conforme au seuil de </w:t>
            </w:r>
            <w:r w:rsidR="00181884" w:rsidRPr="00ED22D1">
              <w:rPr>
                <w:sz w:val="16"/>
                <w:szCs w:val="16"/>
                <w:lang w:val="fr-CA"/>
              </w:rPr>
              <w:t>décaissement</w:t>
            </w:r>
          </w:p>
          <w:p w:rsidR="0085675A" w:rsidRPr="00ED22D1" w:rsidRDefault="0085675A" w:rsidP="0085675A">
            <w:pPr>
              <w:rPr>
                <w:sz w:val="16"/>
                <w:szCs w:val="16"/>
                <w:lang w:val="fr-CA"/>
              </w:rPr>
            </w:pPr>
            <w:r w:rsidRPr="00ED22D1">
              <w:rPr>
                <w:sz w:val="16"/>
                <w:szCs w:val="16"/>
                <w:lang w:val="fr-CA"/>
              </w:rPr>
              <w:t xml:space="preserve">***   </w:t>
            </w:r>
            <w:r w:rsidR="00F73F1B" w:rsidRPr="00ED22D1">
              <w:rPr>
                <w:sz w:val="16"/>
                <w:szCs w:val="16"/>
                <w:lang w:val="fr-CA"/>
              </w:rPr>
              <w:t>Demande de t</w:t>
            </w:r>
            <w:r w:rsidRPr="00ED22D1">
              <w:rPr>
                <w:sz w:val="16"/>
                <w:szCs w:val="16"/>
                <w:lang w:val="fr-CA"/>
              </w:rPr>
              <w:t xml:space="preserve">ranche </w:t>
            </w:r>
            <w:r w:rsidR="00F73F1B" w:rsidRPr="00ED22D1">
              <w:rPr>
                <w:sz w:val="16"/>
                <w:szCs w:val="16"/>
                <w:lang w:val="fr-CA"/>
              </w:rPr>
              <w:t>non</w:t>
            </w:r>
            <w:r w:rsidRPr="00ED22D1">
              <w:rPr>
                <w:sz w:val="16"/>
                <w:szCs w:val="16"/>
                <w:lang w:val="fr-CA"/>
              </w:rPr>
              <w:t xml:space="preserve"> </w:t>
            </w:r>
            <w:r w:rsidR="00FB1DC4" w:rsidRPr="00ED22D1">
              <w:rPr>
                <w:sz w:val="16"/>
                <w:szCs w:val="16"/>
                <w:lang w:val="fr-CA"/>
              </w:rPr>
              <w:t>présenté</w:t>
            </w:r>
            <w:r w:rsidR="00F73F1B" w:rsidRPr="00ED22D1">
              <w:rPr>
                <w:sz w:val="16"/>
                <w:szCs w:val="16"/>
                <w:lang w:val="fr-CA"/>
              </w:rPr>
              <w:t>e</w:t>
            </w:r>
            <w:r w:rsidRPr="00ED22D1">
              <w:rPr>
                <w:sz w:val="16"/>
                <w:szCs w:val="16"/>
                <w:lang w:val="fr-CA"/>
              </w:rPr>
              <w:t xml:space="preserve"> </w:t>
            </w:r>
            <w:r w:rsidR="00F73F1B" w:rsidRPr="00ED22D1">
              <w:rPr>
                <w:sz w:val="16"/>
                <w:szCs w:val="16"/>
                <w:lang w:val="fr-CA"/>
              </w:rPr>
              <w:t>à la 8</w:t>
            </w:r>
            <w:r w:rsidRPr="00ED22D1">
              <w:rPr>
                <w:sz w:val="16"/>
                <w:szCs w:val="16"/>
                <w:lang w:val="fr-CA"/>
              </w:rPr>
              <w:t>3</w:t>
            </w:r>
            <w:r w:rsidR="00F73F1B" w:rsidRPr="00ED22D1">
              <w:rPr>
                <w:sz w:val="16"/>
                <w:szCs w:val="16"/>
                <w:vertAlign w:val="superscript"/>
                <w:lang w:val="fr-CA"/>
              </w:rPr>
              <w:t>e</w:t>
            </w:r>
            <w:r w:rsidR="00F73F1B" w:rsidRPr="00ED22D1">
              <w:rPr>
                <w:sz w:val="16"/>
                <w:szCs w:val="16"/>
                <w:lang w:val="fr-CA"/>
              </w:rPr>
              <w:t xml:space="preserve"> </w:t>
            </w:r>
            <w:r w:rsidR="00DD185D" w:rsidRPr="00ED22D1">
              <w:rPr>
                <w:sz w:val="16"/>
                <w:szCs w:val="16"/>
                <w:lang w:val="fr-CA"/>
              </w:rPr>
              <w:t>réunion</w:t>
            </w:r>
          </w:p>
          <w:p w:rsidR="0085675A" w:rsidRPr="00ED22D1" w:rsidRDefault="0085675A" w:rsidP="00F73F1B">
            <w:pPr>
              <w:rPr>
                <w:b/>
                <w:sz w:val="20"/>
                <w:szCs w:val="20"/>
                <w:lang w:val="fr-CA"/>
              </w:rPr>
            </w:pPr>
            <w:r w:rsidRPr="00ED22D1">
              <w:rPr>
                <w:sz w:val="16"/>
                <w:szCs w:val="16"/>
                <w:lang w:val="fr-CA"/>
              </w:rPr>
              <w:t xml:space="preserve">****  </w:t>
            </w:r>
            <w:r w:rsidR="00F73F1B" w:rsidRPr="00ED22D1">
              <w:rPr>
                <w:sz w:val="16"/>
                <w:szCs w:val="16"/>
                <w:lang w:val="fr-CA"/>
              </w:rPr>
              <w:t xml:space="preserve">Comprend les tranches de financement combinées de </w:t>
            </w:r>
            <w:r w:rsidRPr="00ED22D1">
              <w:rPr>
                <w:sz w:val="16"/>
                <w:szCs w:val="16"/>
                <w:lang w:val="fr-CA"/>
              </w:rPr>
              <w:t>2018</w:t>
            </w:r>
            <w:r w:rsidR="004A6828" w:rsidRPr="00ED22D1">
              <w:rPr>
                <w:sz w:val="16"/>
                <w:szCs w:val="16"/>
                <w:lang w:val="fr-CA"/>
              </w:rPr>
              <w:t xml:space="preserve"> et </w:t>
            </w:r>
            <w:r w:rsidRPr="00ED22D1">
              <w:rPr>
                <w:sz w:val="16"/>
                <w:szCs w:val="16"/>
                <w:lang w:val="fr-CA"/>
              </w:rPr>
              <w:t xml:space="preserve">2019 </w:t>
            </w:r>
            <w:r w:rsidR="00921BDE" w:rsidRPr="00ED22D1">
              <w:rPr>
                <w:sz w:val="16"/>
                <w:szCs w:val="16"/>
                <w:lang w:val="fr-CA"/>
              </w:rPr>
              <w:t>pour le gouvernement</w:t>
            </w:r>
            <w:r w:rsidR="001F19C1" w:rsidRPr="00ED22D1">
              <w:rPr>
                <w:sz w:val="16"/>
                <w:szCs w:val="16"/>
                <w:lang w:val="fr-CA"/>
              </w:rPr>
              <w:t xml:space="preserve"> de l’Allemagne</w:t>
            </w:r>
          </w:p>
        </w:tc>
      </w:tr>
    </w:tbl>
    <w:p w:rsidR="0085675A" w:rsidRPr="00ED22D1" w:rsidRDefault="0085675A" w:rsidP="0085675A">
      <w:pPr>
        <w:rPr>
          <w:u w:val="single"/>
          <w:lang w:val="fr-CA"/>
        </w:rPr>
      </w:pPr>
    </w:p>
    <w:p w:rsidR="0085675A" w:rsidRPr="00ED22D1" w:rsidRDefault="005A6C23" w:rsidP="005A6C23">
      <w:pPr>
        <w:pStyle w:val="Heading1"/>
        <w:numPr>
          <w:ilvl w:val="0"/>
          <w:numId w:val="0"/>
        </w:numPr>
        <w:rPr>
          <w:lang w:val="fr-CA"/>
        </w:rPr>
      </w:pPr>
      <w:r w:rsidRPr="00ED22D1">
        <w:rPr>
          <w:lang w:val="fr-CA"/>
        </w:rPr>
        <w:t>38.</w:t>
      </w:r>
      <w:r w:rsidRPr="00ED22D1">
        <w:rPr>
          <w:lang w:val="fr-CA"/>
        </w:rPr>
        <w:tab/>
      </w:r>
      <w:r w:rsidR="0085675A" w:rsidRPr="00ED22D1">
        <w:rPr>
          <w:lang w:val="fr-CA"/>
        </w:rPr>
        <w:t>A</w:t>
      </w:r>
      <w:r w:rsidR="006A12E1" w:rsidRPr="00ED22D1">
        <w:rPr>
          <w:lang w:val="fr-CA"/>
        </w:rPr>
        <w:t xml:space="preserve">près examen de la nouvelle </w:t>
      </w:r>
      <w:r w:rsidR="00E81764" w:rsidRPr="00ED22D1">
        <w:rPr>
          <w:lang w:val="fr-CA"/>
        </w:rPr>
        <w:t>présentation</w:t>
      </w:r>
      <w:r w:rsidR="0085675A" w:rsidRPr="00ED22D1">
        <w:rPr>
          <w:lang w:val="fr-CA"/>
        </w:rPr>
        <w:t xml:space="preserve"> </w:t>
      </w:r>
      <w:r w:rsidR="006A12E1" w:rsidRPr="00ED22D1">
        <w:rPr>
          <w:lang w:val="fr-CA"/>
        </w:rPr>
        <w:t xml:space="preserve">des </w:t>
      </w:r>
      <w:r w:rsidR="00D26EF9" w:rsidRPr="00ED22D1">
        <w:rPr>
          <w:lang w:val="fr-CA"/>
        </w:rPr>
        <w:t>propositions de projets</w:t>
      </w:r>
      <w:r w:rsidR="004A6828" w:rsidRPr="00ED22D1">
        <w:rPr>
          <w:lang w:val="fr-CA"/>
        </w:rPr>
        <w:t xml:space="preserve"> et </w:t>
      </w:r>
      <w:r w:rsidR="006A12E1" w:rsidRPr="00ED22D1">
        <w:rPr>
          <w:lang w:val="fr-CA"/>
        </w:rPr>
        <w:t xml:space="preserve">des </w:t>
      </w:r>
      <w:r w:rsidR="0085675A" w:rsidRPr="00ED22D1">
        <w:rPr>
          <w:lang w:val="fr-CA"/>
        </w:rPr>
        <w:t xml:space="preserve">documents </w:t>
      </w:r>
      <w:r w:rsidR="004B666A" w:rsidRPr="00ED22D1">
        <w:rPr>
          <w:lang w:val="fr-CA"/>
        </w:rPr>
        <w:t>associé</w:t>
      </w:r>
      <w:r w:rsidR="006A12E1" w:rsidRPr="00ED22D1">
        <w:rPr>
          <w:lang w:val="fr-CA"/>
        </w:rPr>
        <w:t xml:space="preserve">s aux demandes de la </w:t>
      </w:r>
      <w:r w:rsidR="004A6828" w:rsidRPr="00ED22D1">
        <w:rPr>
          <w:lang w:val="fr-CA"/>
        </w:rPr>
        <w:t>troisième</w:t>
      </w:r>
      <w:r w:rsidR="0085675A" w:rsidRPr="00ED22D1">
        <w:rPr>
          <w:lang w:val="fr-CA"/>
        </w:rPr>
        <w:t xml:space="preserve"> tranche </w:t>
      </w:r>
      <w:r w:rsidR="006A12E1" w:rsidRPr="00ED22D1">
        <w:rPr>
          <w:lang w:val="fr-CA"/>
        </w:rPr>
        <w:t xml:space="preserve">pour les plans des secteurs des </w:t>
      </w:r>
      <w:r w:rsidR="00921BDE" w:rsidRPr="00ED22D1">
        <w:rPr>
          <w:lang w:val="fr-CA"/>
        </w:rPr>
        <w:t>mousse</w:t>
      </w:r>
      <w:r w:rsidR="006A12E1" w:rsidRPr="00ED22D1">
        <w:rPr>
          <w:lang w:val="fr-CA"/>
        </w:rPr>
        <w:t>s</w:t>
      </w:r>
      <w:r w:rsidR="00921BDE" w:rsidRPr="00ED22D1">
        <w:rPr>
          <w:lang w:val="fr-CA"/>
        </w:rPr>
        <w:t xml:space="preserve"> extrudée</w:t>
      </w:r>
      <w:r w:rsidR="006A12E1" w:rsidRPr="00ED22D1">
        <w:rPr>
          <w:lang w:val="fr-CA"/>
        </w:rPr>
        <w:t>s</w:t>
      </w:r>
      <w:r w:rsidR="00921BDE" w:rsidRPr="00ED22D1">
        <w:rPr>
          <w:lang w:val="fr-CA"/>
        </w:rPr>
        <w:t xml:space="preserve"> (XPS)</w:t>
      </w:r>
      <w:r w:rsidR="0085675A" w:rsidRPr="00ED22D1">
        <w:rPr>
          <w:lang w:val="fr-CA"/>
        </w:rPr>
        <w:t>,</w:t>
      </w:r>
      <w:r w:rsidR="00905638" w:rsidRPr="00ED22D1">
        <w:rPr>
          <w:lang w:val="fr-CA"/>
        </w:rPr>
        <w:t xml:space="preserve"> </w:t>
      </w:r>
      <w:r w:rsidR="006A12E1" w:rsidRPr="00ED22D1">
        <w:rPr>
          <w:lang w:val="fr-CA"/>
        </w:rPr>
        <w:t xml:space="preserve">de la </w:t>
      </w:r>
      <w:r w:rsidR="00905638" w:rsidRPr="00ED22D1">
        <w:rPr>
          <w:lang w:val="fr-CA"/>
        </w:rPr>
        <w:t xml:space="preserve">climatisation et de </w:t>
      </w:r>
      <w:r w:rsidR="006A12E1" w:rsidRPr="00ED22D1">
        <w:rPr>
          <w:lang w:val="fr-CA"/>
        </w:rPr>
        <w:t xml:space="preserve">la </w:t>
      </w:r>
      <w:r w:rsidR="00905638" w:rsidRPr="00ED22D1">
        <w:rPr>
          <w:lang w:val="fr-CA"/>
        </w:rPr>
        <w:t>réfrigération industrielle et commerciale</w:t>
      </w:r>
      <w:r w:rsidR="0085675A" w:rsidRPr="00ED22D1">
        <w:rPr>
          <w:lang w:val="fr-CA"/>
        </w:rPr>
        <w:t xml:space="preserve">, </w:t>
      </w:r>
      <w:r w:rsidR="006A12E1" w:rsidRPr="00ED22D1">
        <w:rPr>
          <w:lang w:val="fr-CA"/>
        </w:rPr>
        <w:t xml:space="preserve">des solvants, et de </w:t>
      </w:r>
      <w:r w:rsidR="00181884" w:rsidRPr="00ED22D1">
        <w:rPr>
          <w:lang w:val="fr-CA"/>
        </w:rPr>
        <w:t>l’entretien en réfrigération</w:t>
      </w:r>
      <w:r w:rsidR="0085675A" w:rsidRPr="00ED22D1">
        <w:rPr>
          <w:lang w:val="fr-CA"/>
        </w:rPr>
        <w:t>,</w:t>
      </w:r>
      <w:r w:rsidR="00DD185D" w:rsidRPr="00ED22D1">
        <w:rPr>
          <w:lang w:val="fr-CA"/>
        </w:rPr>
        <w:t xml:space="preserve"> le Secrétariat</w:t>
      </w:r>
      <w:r w:rsidR="0085675A" w:rsidRPr="00ED22D1">
        <w:rPr>
          <w:lang w:val="fr-CA"/>
        </w:rPr>
        <w:t xml:space="preserve"> </w:t>
      </w:r>
      <w:r w:rsidR="006A12E1" w:rsidRPr="00ED22D1">
        <w:rPr>
          <w:lang w:val="fr-CA"/>
        </w:rPr>
        <w:t>a conclu qu</w:t>
      </w:r>
      <w:r w:rsidR="00CA0C15" w:rsidRPr="00ED22D1">
        <w:rPr>
          <w:lang w:val="fr-CA"/>
        </w:rPr>
        <w:t xml:space="preserve">’ils pouvaient tous être présentés </w:t>
      </w:r>
      <w:r w:rsidR="006A12E1" w:rsidRPr="00ED22D1">
        <w:rPr>
          <w:lang w:val="fr-CA"/>
        </w:rPr>
        <w:t xml:space="preserve">pour examen </w:t>
      </w:r>
      <w:r w:rsidR="00733306" w:rsidRPr="00ED22D1">
        <w:rPr>
          <w:lang w:val="fr-CA"/>
        </w:rPr>
        <w:t xml:space="preserve">à la </w:t>
      </w:r>
      <w:r w:rsidR="006A12E1" w:rsidRPr="00ED22D1">
        <w:rPr>
          <w:lang w:val="fr-CA"/>
        </w:rPr>
        <w:t>8</w:t>
      </w:r>
      <w:r w:rsidR="0085675A" w:rsidRPr="00ED22D1">
        <w:rPr>
          <w:lang w:val="fr-CA"/>
        </w:rPr>
        <w:t>3</w:t>
      </w:r>
      <w:r w:rsidR="006A12E1" w:rsidRPr="00ED22D1">
        <w:rPr>
          <w:vertAlign w:val="superscript"/>
          <w:lang w:val="fr-CA"/>
        </w:rPr>
        <w:t>e</w:t>
      </w:r>
      <w:r w:rsidR="006A12E1" w:rsidRPr="00ED22D1">
        <w:rPr>
          <w:lang w:val="fr-CA"/>
        </w:rPr>
        <w:t xml:space="preserve"> </w:t>
      </w:r>
      <w:r w:rsidR="00DD185D" w:rsidRPr="00ED22D1">
        <w:rPr>
          <w:lang w:val="fr-CA"/>
        </w:rPr>
        <w:t>réunion</w:t>
      </w:r>
      <w:r w:rsidR="0085675A" w:rsidRPr="00ED22D1">
        <w:rPr>
          <w:lang w:val="fr-CA"/>
        </w:rPr>
        <w:t>.</w:t>
      </w:r>
    </w:p>
    <w:p w:rsidR="0085675A" w:rsidRPr="00ED22D1" w:rsidRDefault="006A12E1" w:rsidP="0085675A">
      <w:pPr>
        <w:pStyle w:val="Heading1"/>
        <w:numPr>
          <w:ilvl w:val="0"/>
          <w:numId w:val="0"/>
        </w:numPr>
        <w:rPr>
          <w:i/>
          <w:lang w:val="fr-CA"/>
        </w:rPr>
      </w:pPr>
      <w:r w:rsidRPr="00ED22D1">
        <w:rPr>
          <w:i/>
          <w:lang w:val="fr-CA"/>
        </w:rPr>
        <w:t xml:space="preserve">Statut et </w:t>
      </w:r>
      <w:r w:rsidR="0085675A" w:rsidRPr="00ED22D1">
        <w:rPr>
          <w:i/>
          <w:lang w:val="fr-CA"/>
        </w:rPr>
        <w:t xml:space="preserve">plan </w:t>
      </w:r>
      <w:r w:rsidRPr="00ED22D1">
        <w:rPr>
          <w:i/>
          <w:lang w:val="fr-CA"/>
        </w:rPr>
        <w:t>d’</w:t>
      </w:r>
      <w:r w:rsidR="0085675A" w:rsidRPr="00ED22D1">
        <w:rPr>
          <w:i/>
          <w:lang w:val="fr-CA"/>
        </w:rPr>
        <w:t xml:space="preserve">action </w:t>
      </w:r>
      <w:r w:rsidRPr="00ED22D1">
        <w:rPr>
          <w:i/>
          <w:lang w:val="fr-CA"/>
        </w:rPr>
        <w:t xml:space="preserve">du </w:t>
      </w:r>
      <w:r w:rsidR="00502C24" w:rsidRPr="00ED22D1">
        <w:rPr>
          <w:i/>
          <w:lang w:val="fr-CA"/>
        </w:rPr>
        <w:t xml:space="preserve">plan </w:t>
      </w:r>
      <w:r w:rsidR="00CA0808" w:rsidRPr="00ED22D1">
        <w:rPr>
          <w:i/>
          <w:lang w:val="fr-CA"/>
        </w:rPr>
        <w:t>du secteur de la mousse de polyuréthane</w:t>
      </w:r>
    </w:p>
    <w:p w:rsidR="0085675A" w:rsidRPr="00ED22D1" w:rsidRDefault="005A6C23" w:rsidP="005A6C23">
      <w:pPr>
        <w:pStyle w:val="Heading1"/>
        <w:numPr>
          <w:ilvl w:val="0"/>
          <w:numId w:val="0"/>
        </w:numPr>
        <w:rPr>
          <w:lang w:val="fr-CA"/>
        </w:rPr>
      </w:pPr>
      <w:r w:rsidRPr="00ED22D1">
        <w:rPr>
          <w:lang w:val="fr-CA"/>
        </w:rPr>
        <w:t>39.</w:t>
      </w:r>
      <w:r w:rsidRPr="00ED22D1">
        <w:rPr>
          <w:lang w:val="fr-CA"/>
        </w:rPr>
        <w:tab/>
      </w:r>
      <w:r w:rsidR="00E81764" w:rsidRPr="00ED22D1">
        <w:rPr>
          <w:lang w:val="fr-CA"/>
        </w:rPr>
        <w:t>La demande</w:t>
      </w:r>
      <w:r w:rsidR="0085675A" w:rsidRPr="00ED22D1">
        <w:rPr>
          <w:lang w:val="fr-CA"/>
        </w:rPr>
        <w:t xml:space="preserve"> </w:t>
      </w:r>
      <w:r w:rsidR="006A12E1" w:rsidRPr="00ED22D1">
        <w:rPr>
          <w:lang w:val="fr-CA"/>
        </w:rPr>
        <w:t xml:space="preserve">pour la </w:t>
      </w:r>
      <w:r w:rsidR="00921BDE" w:rsidRPr="00ED22D1">
        <w:rPr>
          <w:lang w:val="fr-CA"/>
        </w:rPr>
        <w:t>deuxième</w:t>
      </w:r>
      <w:r w:rsidR="0085675A" w:rsidRPr="00ED22D1">
        <w:rPr>
          <w:lang w:val="fr-CA"/>
        </w:rPr>
        <w:t xml:space="preserve"> tranche </w:t>
      </w:r>
      <w:r w:rsidR="00502C24" w:rsidRPr="00ED22D1">
        <w:rPr>
          <w:lang w:val="fr-CA"/>
        </w:rPr>
        <w:t xml:space="preserve">du plan </w:t>
      </w:r>
      <w:r w:rsidR="00CA0808" w:rsidRPr="00ED22D1">
        <w:rPr>
          <w:lang w:val="fr-CA"/>
        </w:rPr>
        <w:t>du secteur de la mousse de polyuréthane</w:t>
      </w:r>
      <w:r w:rsidR="0085675A" w:rsidRPr="00ED22D1">
        <w:rPr>
          <w:lang w:val="fr-CA"/>
        </w:rPr>
        <w:t xml:space="preserve"> </w:t>
      </w:r>
      <w:r w:rsidR="006A12E1" w:rsidRPr="00ED22D1">
        <w:rPr>
          <w:lang w:val="fr-CA"/>
        </w:rPr>
        <w:t>ne</w:t>
      </w:r>
      <w:r w:rsidR="00CA0C15" w:rsidRPr="00ED22D1">
        <w:rPr>
          <w:lang w:val="fr-CA"/>
        </w:rPr>
        <w:t> </w:t>
      </w:r>
      <w:r w:rsidR="006A12E1" w:rsidRPr="00ED22D1">
        <w:rPr>
          <w:lang w:val="fr-CA"/>
        </w:rPr>
        <w:t xml:space="preserve">remplissait pas les exigences indiquées au </w:t>
      </w:r>
      <w:r w:rsidR="0085675A" w:rsidRPr="00ED22D1">
        <w:rPr>
          <w:lang w:val="fr-CA"/>
        </w:rPr>
        <w:t>paragraph</w:t>
      </w:r>
      <w:r w:rsidR="006A12E1" w:rsidRPr="00ED22D1">
        <w:rPr>
          <w:lang w:val="fr-CA"/>
        </w:rPr>
        <w:t>e</w:t>
      </w:r>
      <w:r w:rsidR="0085675A" w:rsidRPr="00ED22D1">
        <w:rPr>
          <w:lang w:val="fr-CA"/>
        </w:rPr>
        <w:t xml:space="preserve"> 5 </w:t>
      </w:r>
      <w:r w:rsidR="006A12E1" w:rsidRPr="00ED22D1">
        <w:rPr>
          <w:lang w:val="fr-CA"/>
        </w:rPr>
        <w:t>de</w:t>
      </w:r>
      <w:r w:rsidR="0085675A" w:rsidRPr="00ED22D1">
        <w:rPr>
          <w:lang w:val="fr-CA"/>
        </w:rPr>
        <w:t xml:space="preserve"> </w:t>
      </w:r>
      <w:r w:rsidR="00CE7FEC" w:rsidRPr="00ED22D1">
        <w:rPr>
          <w:lang w:val="fr-CA"/>
        </w:rPr>
        <w:t>l’accord</w:t>
      </w:r>
      <w:r w:rsidR="0085675A" w:rsidRPr="00ED22D1">
        <w:rPr>
          <w:lang w:val="fr-CA"/>
        </w:rPr>
        <w:t xml:space="preserve">. </w:t>
      </w:r>
      <w:r w:rsidR="006A12E1" w:rsidRPr="00ED22D1">
        <w:rPr>
          <w:lang w:val="fr-CA"/>
        </w:rPr>
        <w:t xml:space="preserve">Au moment de la </w:t>
      </w:r>
      <w:r w:rsidR="00E81764" w:rsidRPr="00ED22D1">
        <w:rPr>
          <w:lang w:val="fr-CA"/>
        </w:rPr>
        <w:t>présentation</w:t>
      </w:r>
      <w:r w:rsidR="0085675A" w:rsidRPr="00ED22D1">
        <w:rPr>
          <w:lang w:val="fr-CA"/>
        </w:rPr>
        <w:t xml:space="preserve"> </w:t>
      </w:r>
      <w:r w:rsidR="006A12E1" w:rsidRPr="00ED22D1">
        <w:rPr>
          <w:lang w:val="fr-CA"/>
        </w:rPr>
        <w:t>de</w:t>
      </w:r>
      <w:r w:rsidR="00CA0C15" w:rsidRPr="00ED22D1">
        <w:rPr>
          <w:lang w:val="fr-CA"/>
        </w:rPr>
        <w:t> </w:t>
      </w:r>
      <w:r w:rsidR="00E81764" w:rsidRPr="00ED22D1">
        <w:rPr>
          <w:lang w:val="fr-CA"/>
        </w:rPr>
        <w:t>la demande</w:t>
      </w:r>
      <w:r w:rsidR="0085675A" w:rsidRPr="00ED22D1">
        <w:rPr>
          <w:lang w:val="fr-CA"/>
        </w:rPr>
        <w:t xml:space="preserve"> (</w:t>
      </w:r>
      <w:r w:rsidR="006A12E1" w:rsidRPr="00ED22D1">
        <w:rPr>
          <w:lang w:val="fr-CA"/>
        </w:rPr>
        <w:t xml:space="preserve">soit </w:t>
      </w:r>
      <w:r w:rsidR="0085675A" w:rsidRPr="00ED22D1">
        <w:rPr>
          <w:lang w:val="fr-CA"/>
        </w:rPr>
        <w:t>12 </w:t>
      </w:r>
      <w:r w:rsidR="006A12E1" w:rsidRPr="00ED22D1">
        <w:rPr>
          <w:lang w:val="fr-CA"/>
        </w:rPr>
        <w:t xml:space="preserve">semaines avant la réunion du </w:t>
      </w:r>
      <w:r w:rsidR="00DD185D" w:rsidRPr="00ED22D1">
        <w:rPr>
          <w:lang w:val="fr-CA"/>
        </w:rPr>
        <w:t>Comité exécutif</w:t>
      </w:r>
      <w:r w:rsidR="0085675A" w:rsidRPr="00ED22D1">
        <w:rPr>
          <w:lang w:val="fr-CA"/>
        </w:rPr>
        <w:t xml:space="preserve">), </w:t>
      </w:r>
      <w:r w:rsidR="006A12E1" w:rsidRPr="00ED22D1">
        <w:rPr>
          <w:lang w:val="fr-CA"/>
        </w:rPr>
        <w:t xml:space="preserve">aucun </w:t>
      </w:r>
      <w:r w:rsidR="00181884" w:rsidRPr="00ED22D1">
        <w:rPr>
          <w:lang w:val="fr-CA"/>
        </w:rPr>
        <w:t>décaissement</w:t>
      </w:r>
      <w:r w:rsidR="0085675A" w:rsidRPr="00ED22D1">
        <w:rPr>
          <w:lang w:val="fr-CA"/>
        </w:rPr>
        <w:t xml:space="preserve"> </w:t>
      </w:r>
      <w:r w:rsidR="00EB64A9" w:rsidRPr="00ED22D1">
        <w:rPr>
          <w:lang w:val="fr-CA"/>
        </w:rPr>
        <w:t xml:space="preserve">n’avait eu lieu, soit par </w:t>
      </w:r>
      <w:r w:rsidR="001F19C1" w:rsidRPr="00ED22D1">
        <w:rPr>
          <w:lang w:val="fr-CA"/>
        </w:rPr>
        <w:t>la Banque mondiale</w:t>
      </w:r>
      <w:r w:rsidR="0085675A" w:rsidRPr="00ED22D1">
        <w:rPr>
          <w:lang w:val="fr-CA"/>
        </w:rPr>
        <w:t xml:space="preserve"> </w:t>
      </w:r>
      <w:r w:rsidR="00EB64A9" w:rsidRPr="00ED22D1">
        <w:rPr>
          <w:lang w:val="fr-CA"/>
        </w:rPr>
        <w:t>à</w:t>
      </w:r>
      <w:r w:rsidR="0085675A" w:rsidRPr="00ED22D1">
        <w:rPr>
          <w:lang w:val="fr-CA"/>
        </w:rPr>
        <w:t xml:space="preserve"> </w:t>
      </w:r>
      <w:r w:rsidR="00EB64A9" w:rsidRPr="00ED22D1">
        <w:rPr>
          <w:lang w:val="fr-CA"/>
        </w:rPr>
        <w:t>l’</w:t>
      </w:r>
      <w:r w:rsidR="0085675A" w:rsidRPr="00ED22D1">
        <w:rPr>
          <w:lang w:val="fr-CA"/>
        </w:rPr>
        <w:t>IECO</w:t>
      </w:r>
      <w:r w:rsidR="004A6828" w:rsidRPr="00ED22D1">
        <w:rPr>
          <w:lang w:val="fr-CA"/>
        </w:rPr>
        <w:t xml:space="preserve"> ou </w:t>
      </w:r>
      <w:r w:rsidR="00EB64A9" w:rsidRPr="00ED22D1">
        <w:rPr>
          <w:lang w:val="fr-CA"/>
        </w:rPr>
        <w:t>par l’</w:t>
      </w:r>
      <w:r w:rsidR="0085675A" w:rsidRPr="00ED22D1">
        <w:rPr>
          <w:lang w:val="fr-CA"/>
        </w:rPr>
        <w:t xml:space="preserve">IECO </w:t>
      </w:r>
      <w:r w:rsidR="00EB64A9" w:rsidRPr="00ED22D1">
        <w:rPr>
          <w:lang w:val="fr-CA"/>
        </w:rPr>
        <w:t>aux bénéficiaires finals</w:t>
      </w:r>
      <w:r w:rsidR="0085675A" w:rsidRPr="00ED22D1">
        <w:rPr>
          <w:lang w:val="fr-CA"/>
        </w:rPr>
        <w:t xml:space="preserve">. </w:t>
      </w:r>
      <w:r w:rsidR="00EB64A9" w:rsidRPr="00ED22D1">
        <w:rPr>
          <w:lang w:val="fr-CA"/>
        </w:rPr>
        <w:t xml:space="preserve">Par conséquent, cette proposition n’est pas présentée pour examen à </w:t>
      </w:r>
      <w:r w:rsidR="00733306" w:rsidRPr="00ED22D1">
        <w:rPr>
          <w:lang w:val="fr-CA"/>
        </w:rPr>
        <w:t xml:space="preserve">la </w:t>
      </w:r>
      <w:r w:rsidR="00EB64A9" w:rsidRPr="00ED22D1">
        <w:rPr>
          <w:lang w:val="fr-CA"/>
        </w:rPr>
        <w:t>8</w:t>
      </w:r>
      <w:r w:rsidR="0085675A" w:rsidRPr="00ED22D1">
        <w:rPr>
          <w:lang w:val="fr-CA"/>
        </w:rPr>
        <w:t>3</w:t>
      </w:r>
      <w:r w:rsidR="00EB64A9" w:rsidRPr="00ED22D1">
        <w:rPr>
          <w:vertAlign w:val="superscript"/>
          <w:lang w:val="fr-CA"/>
        </w:rPr>
        <w:t>e</w:t>
      </w:r>
      <w:r w:rsidR="00EB64A9" w:rsidRPr="00ED22D1">
        <w:rPr>
          <w:lang w:val="fr-CA"/>
        </w:rPr>
        <w:t xml:space="preserve"> </w:t>
      </w:r>
      <w:r w:rsidR="00DD185D" w:rsidRPr="00ED22D1">
        <w:rPr>
          <w:lang w:val="fr-CA"/>
        </w:rPr>
        <w:t>réunion</w:t>
      </w:r>
      <w:r w:rsidR="0085675A" w:rsidRPr="00ED22D1">
        <w:rPr>
          <w:lang w:val="fr-CA"/>
        </w:rPr>
        <w:t>.</w:t>
      </w:r>
    </w:p>
    <w:p w:rsidR="0085675A" w:rsidRPr="00ED22D1" w:rsidRDefault="005A6C23" w:rsidP="005A6C23">
      <w:pPr>
        <w:pStyle w:val="Heading1"/>
        <w:numPr>
          <w:ilvl w:val="0"/>
          <w:numId w:val="0"/>
        </w:numPr>
        <w:rPr>
          <w:lang w:val="fr-CA"/>
        </w:rPr>
      </w:pPr>
      <w:r w:rsidRPr="00ED22D1">
        <w:rPr>
          <w:lang w:val="fr-CA"/>
        </w:rPr>
        <w:t>40.</w:t>
      </w:r>
      <w:r w:rsidRPr="00ED22D1">
        <w:rPr>
          <w:lang w:val="fr-CA"/>
        </w:rPr>
        <w:tab/>
      </w:r>
      <w:r w:rsidR="00EB64A9" w:rsidRPr="00ED22D1">
        <w:rPr>
          <w:lang w:val="fr-CA"/>
        </w:rPr>
        <w:t>La</w:t>
      </w:r>
      <w:r w:rsidR="0085675A" w:rsidRPr="00ED22D1">
        <w:rPr>
          <w:lang w:val="fr-CA"/>
        </w:rPr>
        <w:t xml:space="preserve"> </w:t>
      </w:r>
      <w:r w:rsidR="004A6828" w:rsidRPr="00ED22D1">
        <w:rPr>
          <w:lang w:val="fr-CA"/>
        </w:rPr>
        <w:t>Banque mondiale</w:t>
      </w:r>
      <w:r w:rsidR="0085675A" w:rsidRPr="00ED22D1">
        <w:rPr>
          <w:lang w:val="fr-CA"/>
        </w:rPr>
        <w:t xml:space="preserve"> </w:t>
      </w:r>
      <w:r w:rsidR="00EB64A9" w:rsidRPr="00ED22D1">
        <w:rPr>
          <w:lang w:val="fr-CA"/>
        </w:rPr>
        <w:t xml:space="preserve">a </w:t>
      </w:r>
      <w:r w:rsidR="002B7FD8" w:rsidRPr="00ED22D1">
        <w:rPr>
          <w:lang w:val="fr-CA"/>
        </w:rPr>
        <w:t>expliqué</w:t>
      </w:r>
      <w:r w:rsidR="0085675A" w:rsidRPr="00ED22D1">
        <w:rPr>
          <w:lang w:val="fr-CA"/>
        </w:rPr>
        <w:t xml:space="preserve"> </w:t>
      </w:r>
      <w:r w:rsidR="00EB64A9" w:rsidRPr="00ED22D1">
        <w:rPr>
          <w:lang w:val="fr-CA"/>
        </w:rPr>
        <w:t>les raisons du délai lors de la signature de l’accord de subvention (</w:t>
      </w:r>
      <w:r w:rsidR="0085675A" w:rsidRPr="00ED22D1">
        <w:rPr>
          <w:lang w:val="fr-CA"/>
        </w:rPr>
        <w:t>Grant</w:t>
      </w:r>
      <w:r w:rsidR="00EB64A9" w:rsidRPr="00ED22D1">
        <w:rPr>
          <w:lang w:val="fr-CA"/>
        </w:rPr>
        <w:t>)</w:t>
      </w:r>
      <w:r w:rsidR="001B45EC" w:rsidRPr="00ED22D1">
        <w:rPr>
          <w:lang w:val="fr-CA"/>
        </w:rPr>
        <w:t xml:space="preserve"> </w:t>
      </w:r>
      <w:r w:rsidR="004A6828" w:rsidRPr="00ED22D1">
        <w:rPr>
          <w:lang w:val="fr-CA"/>
        </w:rPr>
        <w:t>entre</w:t>
      </w:r>
      <w:r w:rsidR="0085675A"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w:t>
      </w:r>
      <w:r w:rsidR="001F19C1" w:rsidRPr="00ED22D1">
        <w:rPr>
          <w:lang w:val="fr-CA"/>
        </w:rPr>
        <w:t xml:space="preserve"> la Banque mondiale</w:t>
      </w:r>
      <w:r w:rsidR="0085675A" w:rsidRPr="00ED22D1">
        <w:rPr>
          <w:lang w:val="fr-CA"/>
        </w:rPr>
        <w:t>,</w:t>
      </w:r>
      <w:r w:rsidR="004A6828" w:rsidRPr="00ED22D1">
        <w:rPr>
          <w:lang w:val="fr-CA"/>
        </w:rPr>
        <w:t xml:space="preserve"> et </w:t>
      </w:r>
      <w:r w:rsidR="00EB64A9" w:rsidRPr="00ED22D1">
        <w:rPr>
          <w:lang w:val="fr-CA"/>
        </w:rPr>
        <w:t xml:space="preserve">fourni un plan d’action afin de s’assurer des reconversions rapides et des </w:t>
      </w:r>
      <w:r w:rsidR="0085675A" w:rsidRPr="00ED22D1">
        <w:rPr>
          <w:lang w:val="fr-CA"/>
        </w:rPr>
        <w:t>r</w:t>
      </w:r>
      <w:r w:rsidR="00EB64A9" w:rsidRPr="00ED22D1">
        <w:rPr>
          <w:lang w:val="fr-CA"/>
        </w:rPr>
        <w:t>é</w:t>
      </w:r>
      <w:r w:rsidR="0085675A" w:rsidRPr="00ED22D1">
        <w:rPr>
          <w:lang w:val="fr-CA"/>
        </w:rPr>
        <w:t xml:space="preserve">ductions </w:t>
      </w:r>
      <w:r w:rsidR="00EB64A9" w:rsidRPr="00ED22D1">
        <w:rPr>
          <w:lang w:val="fr-CA"/>
        </w:rPr>
        <w:t>de la consommation de</w:t>
      </w:r>
      <w:r w:rsidR="0085675A" w:rsidRPr="00ED22D1">
        <w:rPr>
          <w:lang w:val="fr-CA"/>
        </w:rPr>
        <w:t xml:space="preserve"> HCFC</w:t>
      </w:r>
      <w:r w:rsidR="0085675A" w:rsidRPr="00ED22D1">
        <w:rPr>
          <w:lang w:val="fr-CA"/>
        </w:rPr>
        <w:noBreakHyphen/>
        <w:t xml:space="preserve">141b </w:t>
      </w:r>
      <w:r w:rsidR="00EB64A9" w:rsidRPr="00ED22D1">
        <w:rPr>
          <w:lang w:val="fr-CA"/>
        </w:rPr>
        <w:t>selon les</w:t>
      </w:r>
      <w:r w:rsidR="00CA0C15" w:rsidRPr="00ED22D1">
        <w:rPr>
          <w:lang w:val="fr-CA"/>
        </w:rPr>
        <w:t> </w:t>
      </w:r>
      <w:r w:rsidR="00EB64A9" w:rsidRPr="00ED22D1">
        <w:rPr>
          <w:lang w:val="fr-CA"/>
        </w:rPr>
        <w:t xml:space="preserve">objectifs établis dans </w:t>
      </w:r>
      <w:r w:rsidR="00CE7FEC" w:rsidRPr="00ED22D1">
        <w:rPr>
          <w:lang w:val="fr-CA"/>
        </w:rPr>
        <w:t>l’accord</w:t>
      </w:r>
      <w:r w:rsidR="0085675A" w:rsidRPr="00ED22D1">
        <w:rPr>
          <w:lang w:val="fr-CA"/>
        </w:rPr>
        <w:t>.</w:t>
      </w:r>
    </w:p>
    <w:p w:rsidR="0085675A" w:rsidRPr="00ED22D1" w:rsidRDefault="007D2C9E" w:rsidP="007D2C9E">
      <w:pPr>
        <w:pStyle w:val="Heading1"/>
        <w:numPr>
          <w:ilvl w:val="0"/>
          <w:numId w:val="0"/>
        </w:numPr>
        <w:rPr>
          <w:lang w:val="fr-CA"/>
        </w:rPr>
      </w:pPr>
      <w:r w:rsidRPr="00ED22D1">
        <w:rPr>
          <w:lang w:val="fr-CA"/>
        </w:rPr>
        <w:t>41.</w:t>
      </w:r>
      <w:r w:rsidRPr="00ED22D1">
        <w:rPr>
          <w:lang w:val="fr-CA"/>
        </w:rPr>
        <w:tab/>
      </w:r>
      <w:r w:rsidR="00EB64A9" w:rsidRPr="00ED22D1">
        <w:rPr>
          <w:lang w:val="fr-CA"/>
        </w:rPr>
        <w:t>La</w:t>
      </w:r>
      <w:r w:rsidR="0085675A" w:rsidRPr="00ED22D1">
        <w:rPr>
          <w:lang w:val="fr-CA"/>
        </w:rPr>
        <w:t xml:space="preserve"> signature </w:t>
      </w:r>
      <w:r w:rsidR="00EB64A9" w:rsidRPr="00ED22D1">
        <w:rPr>
          <w:lang w:val="fr-CA"/>
        </w:rPr>
        <w:t>de l’accord</w:t>
      </w:r>
      <w:r w:rsidR="0085675A" w:rsidRPr="00ED22D1">
        <w:rPr>
          <w:lang w:val="fr-CA"/>
        </w:rPr>
        <w:t xml:space="preserve"> </w:t>
      </w:r>
      <w:r w:rsidR="00EB64A9" w:rsidRPr="00ED22D1">
        <w:rPr>
          <w:lang w:val="fr-CA"/>
        </w:rPr>
        <w:t>de subvention (</w:t>
      </w:r>
      <w:r w:rsidR="0085675A" w:rsidRPr="00ED22D1">
        <w:rPr>
          <w:lang w:val="fr-CA"/>
        </w:rPr>
        <w:t>Grant</w:t>
      </w:r>
      <w:r w:rsidR="00EB64A9" w:rsidRPr="00ED22D1">
        <w:rPr>
          <w:lang w:val="fr-CA"/>
        </w:rPr>
        <w:t>)</w:t>
      </w:r>
      <w:r w:rsidR="0085675A" w:rsidRPr="00ED22D1">
        <w:rPr>
          <w:lang w:val="fr-CA"/>
        </w:rPr>
        <w:t xml:space="preserve"> </w:t>
      </w:r>
      <w:r w:rsidR="00EB64A9" w:rsidRPr="00ED22D1">
        <w:rPr>
          <w:lang w:val="fr-CA"/>
        </w:rPr>
        <w:t>pour la</w:t>
      </w:r>
      <w:r w:rsidR="004A6828" w:rsidRPr="00ED22D1">
        <w:rPr>
          <w:lang w:val="fr-CA"/>
        </w:rPr>
        <w:t xml:space="preserve"> phase </w:t>
      </w:r>
      <w:r w:rsidR="0085675A" w:rsidRPr="00ED22D1">
        <w:rPr>
          <w:lang w:val="fr-CA"/>
        </w:rPr>
        <w:t xml:space="preserve">II </w:t>
      </w:r>
      <w:r w:rsidR="00EB64A9" w:rsidRPr="00ED22D1">
        <w:rPr>
          <w:lang w:val="fr-CA"/>
        </w:rPr>
        <w:t xml:space="preserve">des plans d’élimination des </w:t>
      </w:r>
      <w:r w:rsidR="0085675A" w:rsidRPr="00ED22D1">
        <w:rPr>
          <w:lang w:val="fr-CA"/>
        </w:rPr>
        <w:t>HCFC (</w:t>
      </w:r>
      <w:r w:rsidR="00DD185D" w:rsidRPr="00ED22D1">
        <w:rPr>
          <w:lang w:val="fr-CA"/>
        </w:rPr>
        <w:t>PGEH</w:t>
      </w:r>
      <w:r w:rsidR="004A6828" w:rsidRPr="00ED22D1">
        <w:rPr>
          <w:lang w:val="fr-CA"/>
        </w:rPr>
        <w:t xml:space="preserve"> et </w:t>
      </w:r>
      <w:r w:rsidR="00EB64A9" w:rsidRPr="00ED22D1">
        <w:rPr>
          <w:lang w:val="fr-CA"/>
        </w:rPr>
        <w:t>PGEPH</w:t>
      </w:r>
      <w:r w:rsidR="0085675A" w:rsidRPr="00ED22D1">
        <w:rPr>
          <w:lang w:val="fr-CA"/>
        </w:rPr>
        <w:t xml:space="preserve">) </w:t>
      </w:r>
      <w:r w:rsidR="00EB64A9" w:rsidRPr="00ED22D1">
        <w:rPr>
          <w:lang w:val="fr-CA"/>
        </w:rPr>
        <w:t>a été retardée pour des raisons administratives et des raisons de procédure</w:t>
      </w:r>
      <w:r w:rsidR="00C420BC" w:rsidRPr="00ED22D1">
        <w:rPr>
          <w:lang w:val="fr-CA"/>
        </w:rPr>
        <w:t>. L’</w:t>
      </w:r>
      <w:r w:rsidR="00EB64A9" w:rsidRPr="00ED22D1">
        <w:rPr>
          <w:lang w:val="fr-CA"/>
        </w:rPr>
        <w:t xml:space="preserve">accord </w:t>
      </w:r>
      <w:r w:rsidR="0085675A" w:rsidRPr="00ED22D1">
        <w:rPr>
          <w:lang w:val="fr-CA"/>
        </w:rPr>
        <w:t>Grant</w:t>
      </w:r>
      <w:r w:rsidR="001B45EC" w:rsidRPr="00ED22D1">
        <w:rPr>
          <w:lang w:val="fr-CA"/>
        </w:rPr>
        <w:t xml:space="preserve"> </w:t>
      </w:r>
      <w:r w:rsidR="00EB64A9" w:rsidRPr="00ED22D1">
        <w:rPr>
          <w:lang w:val="fr-CA"/>
        </w:rPr>
        <w:t xml:space="preserve">doit être signé d’abord avec le ministère des Finances </w:t>
      </w:r>
      <w:r w:rsidR="0085675A" w:rsidRPr="00ED22D1">
        <w:rPr>
          <w:lang w:val="fr-CA"/>
        </w:rPr>
        <w:t xml:space="preserve">(MOF), </w:t>
      </w:r>
      <w:r w:rsidR="00EB64A9" w:rsidRPr="00ED22D1">
        <w:rPr>
          <w:lang w:val="fr-CA"/>
        </w:rPr>
        <w:t>suivi d’un avis juridique de</w:t>
      </w:r>
      <w:r w:rsidR="00CA0C15" w:rsidRPr="00ED22D1">
        <w:rPr>
          <w:lang w:val="fr-CA"/>
        </w:rPr>
        <w:t> </w:t>
      </w:r>
      <w:r w:rsidR="00EB64A9" w:rsidRPr="00ED22D1">
        <w:rPr>
          <w:lang w:val="fr-CA"/>
        </w:rPr>
        <w:t xml:space="preserve">la </w:t>
      </w:r>
      <w:r w:rsidR="00D26EF9" w:rsidRPr="00ED22D1">
        <w:rPr>
          <w:lang w:val="fr-CA"/>
        </w:rPr>
        <w:t>Chine</w:t>
      </w:r>
      <w:r w:rsidR="0085675A" w:rsidRPr="00ED22D1">
        <w:rPr>
          <w:lang w:val="fr-CA"/>
        </w:rPr>
        <w:t xml:space="preserve">, </w:t>
      </w:r>
      <w:r w:rsidR="00EB64A9" w:rsidRPr="00ED22D1">
        <w:rPr>
          <w:lang w:val="fr-CA"/>
        </w:rPr>
        <w:t xml:space="preserve">avant que le </w:t>
      </w:r>
      <w:r w:rsidR="00E71388" w:rsidRPr="00ED22D1">
        <w:rPr>
          <w:lang w:val="fr-CA"/>
        </w:rPr>
        <w:t>projet</w:t>
      </w:r>
      <w:r w:rsidR="00EB64A9" w:rsidRPr="00ED22D1">
        <w:rPr>
          <w:lang w:val="fr-CA"/>
        </w:rPr>
        <w:t xml:space="preserve"> ne devienne efficace et que l’</w:t>
      </w:r>
      <w:r w:rsidR="0085675A" w:rsidRPr="00ED22D1">
        <w:rPr>
          <w:lang w:val="fr-CA"/>
        </w:rPr>
        <w:t xml:space="preserve">IECO </w:t>
      </w:r>
      <w:r w:rsidR="00EB64A9" w:rsidRPr="00ED22D1">
        <w:rPr>
          <w:lang w:val="fr-CA"/>
        </w:rPr>
        <w:t>puisse alors en commencer la mise en</w:t>
      </w:r>
      <w:r w:rsidR="00CA0C15" w:rsidRPr="00ED22D1">
        <w:rPr>
          <w:lang w:val="fr-CA"/>
        </w:rPr>
        <w:t> </w:t>
      </w:r>
      <w:r w:rsidR="00EB64A9" w:rsidRPr="00ED22D1">
        <w:rPr>
          <w:lang w:val="fr-CA"/>
        </w:rPr>
        <w:t>oeuvre</w:t>
      </w:r>
      <w:r w:rsidR="0031390F" w:rsidRPr="00ED22D1">
        <w:rPr>
          <w:lang w:val="fr-CA"/>
        </w:rPr>
        <w:t>. Le</w:t>
      </w:r>
      <w:r w:rsidR="00EB64A9" w:rsidRPr="00ED22D1">
        <w:rPr>
          <w:lang w:val="fr-CA"/>
        </w:rPr>
        <w:t>s procédures pour le traitement de projets avec de l’aide étrangère ont été modifiées au</w:t>
      </w:r>
      <w:r w:rsidR="00CA0C15" w:rsidRPr="00ED22D1">
        <w:rPr>
          <w:lang w:val="fr-CA"/>
        </w:rPr>
        <w:t> </w:t>
      </w:r>
      <w:r w:rsidR="00EB64A9" w:rsidRPr="00ED22D1">
        <w:rPr>
          <w:lang w:val="fr-CA"/>
        </w:rPr>
        <w:t xml:space="preserve">ministère des Finances au cours de </w:t>
      </w:r>
      <w:r w:rsidR="001F19C1" w:rsidRPr="00ED22D1">
        <w:rPr>
          <w:lang w:val="fr-CA"/>
        </w:rPr>
        <w:t xml:space="preserve">la période </w:t>
      </w:r>
      <w:r w:rsidR="00EB64A9" w:rsidRPr="00ED22D1">
        <w:rPr>
          <w:lang w:val="fr-CA"/>
        </w:rPr>
        <w:t>fin</w:t>
      </w:r>
      <w:r w:rsidR="0085675A" w:rsidRPr="00ED22D1">
        <w:rPr>
          <w:lang w:val="fr-CA"/>
        </w:rPr>
        <w:t xml:space="preserve"> 2017/</w:t>
      </w:r>
      <w:r w:rsidR="00EB64A9" w:rsidRPr="00ED22D1">
        <w:rPr>
          <w:lang w:val="fr-CA"/>
        </w:rPr>
        <w:t>début</w:t>
      </w:r>
      <w:r w:rsidR="0085675A" w:rsidRPr="00ED22D1">
        <w:rPr>
          <w:lang w:val="fr-CA"/>
        </w:rPr>
        <w:t xml:space="preserve"> 2018</w:t>
      </w:r>
      <w:r w:rsidR="004F182E" w:rsidRPr="00ED22D1">
        <w:rPr>
          <w:lang w:val="fr-CA"/>
        </w:rPr>
        <w:t xml:space="preserve">, et le tout est devenu plus complexe que pendant la période de la </w:t>
      </w:r>
      <w:r w:rsidR="004A6828" w:rsidRPr="00ED22D1">
        <w:rPr>
          <w:lang w:val="fr-CA"/>
        </w:rPr>
        <w:t xml:space="preserve">phase </w:t>
      </w:r>
      <w:r w:rsidR="0085675A" w:rsidRPr="00ED22D1">
        <w:rPr>
          <w:lang w:val="fr-CA"/>
        </w:rPr>
        <w:t xml:space="preserve">I, </w:t>
      </w:r>
      <w:r w:rsidR="004F182E" w:rsidRPr="00ED22D1">
        <w:rPr>
          <w:lang w:val="fr-CA"/>
        </w:rPr>
        <w:t>ce qui a entraîné un retard</w:t>
      </w:r>
      <w:r w:rsidR="0085675A" w:rsidRPr="00ED22D1">
        <w:rPr>
          <w:lang w:val="fr-CA"/>
        </w:rPr>
        <w:t xml:space="preserve">. </w:t>
      </w:r>
      <w:r w:rsidR="004F182E" w:rsidRPr="00ED22D1">
        <w:rPr>
          <w:lang w:val="fr-CA"/>
        </w:rPr>
        <w:t xml:space="preserve">Des délais supplémentaires ont été subis en raison des modifications apportées par le </w:t>
      </w:r>
      <w:r w:rsidR="0085675A" w:rsidRPr="00ED22D1">
        <w:rPr>
          <w:lang w:val="fr-CA"/>
        </w:rPr>
        <w:t xml:space="preserve">MEE </w:t>
      </w:r>
      <w:r w:rsidR="004F182E" w:rsidRPr="00ED22D1">
        <w:rPr>
          <w:lang w:val="fr-CA"/>
        </w:rPr>
        <w:t>aux dispositions de décaissement du financement du</w:t>
      </w:r>
      <w:r w:rsidR="00CA0C15" w:rsidRPr="00ED22D1">
        <w:rPr>
          <w:lang w:val="fr-CA"/>
        </w:rPr>
        <w:t> </w:t>
      </w:r>
      <w:r w:rsidR="004F182E" w:rsidRPr="00ED22D1">
        <w:rPr>
          <w:lang w:val="fr-CA"/>
        </w:rPr>
        <w:t>compte spécial liées à la signature</w:t>
      </w:r>
      <w:r w:rsidR="0085675A" w:rsidRPr="00ED22D1">
        <w:rPr>
          <w:lang w:val="fr-CA"/>
        </w:rPr>
        <w:t xml:space="preserve">. </w:t>
      </w:r>
      <w:r w:rsidR="004F182E" w:rsidRPr="00ED22D1">
        <w:rPr>
          <w:lang w:val="fr-CA"/>
        </w:rPr>
        <w:t>De légers délais administratifs et changements à la procédure ont</w:t>
      </w:r>
      <w:r w:rsidR="00CA0C15" w:rsidRPr="00ED22D1">
        <w:rPr>
          <w:lang w:val="fr-CA"/>
        </w:rPr>
        <w:t> </w:t>
      </w:r>
      <w:r w:rsidR="004F182E" w:rsidRPr="00ED22D1">
        <w:rPr>
          <w:lang w:val="fr-CA"/>
        </w:rPr>
        <w:t>ensemble entraîné une exigence supplémentaire pour l’achèvement du processus complet lié au</w:t>
      </w:r>
      <w:r w:rsidR="00CA0C15" w:rsidRPr="00ED22D1">
        <w:rPr>
          <w:lang w:val="fr-CA"/>
        </w:rPr>
        <w:t> </w:t>
      </w:r>
      <w:r w:rsidR="00181884" w:rsidRPr="00ED22D1">
        <w:rPr>
          <w:lang w:val="fr-CA"/>
        </w:rPr>
        <w:t>décaissement</w:t>
      </w:r>
      <w:r w:rsidR="0085675A" w:rsidRPr="00ED22D1">
        <w:rPr>
          <w:lang w:val="fr-CA"/>
        </w:rPr>
        <w:t>.</w:t>
      </w:r>
    </w:p>
    <w:p w:rsidR="0085675A" w:rsidRPr="00ED22D1" w:rsidRDefault="007D2C9E" w:rsidP="007D2C9E">
      <w:pPr>
        <w:pStyle w:val="Heading1"/>
        <w:numPr>
          <w:ilvl w:val="0"/>
          <w:numId w:val="0"/>
        </w:numPr>
        <w:rPr>
          <w:lang w:val="fr-CA"/>
        </w:rPr>
      </w:pPr>
      <w:r w:rsidRPr="00ED22D1">
        <w:rPr>
          <w:lang w:val="fr-CA"/>
        </w:rPr>
        <w:lastRenderedPageBreak/>
        <w:t>42.</w:t>
      </w:r>
      <w:r w:rsidRPr="00ED22D1">
        <w:rPr>
          <w:lang w:val="fr-CA"/>
        </w:rPr>
        <w:tab/>
      </w:r>
      <w:r w:rsidR="004F182E" w:rsidRPr="00ED22D1">
        <w:rPr>
          <w:lang w:val="fr-CA"/>
        </w:rPr>
        <w:t>L’accord</w:t>
      </w:r>
      <w:r w:rsidR="0085675A" w:rsidRPr="00ED22D1">
        <w:rPr>
          <w:lang w:val="fr-CA"/>
        </w:rPr>
        <w:t xml:space="preserve"> Grant</w:t>
      </w:r>
      <w:r w:rsidR="001B45EC" w:rsidRPr="00ED22D1">
        <w:rPr>
          <w:lang w:val="fr-CA"/>
        </w:rPr>
        <w:t xml:space="preserve"> </w:t>
      </w:r>
      <w:r w:rsidR="004F182E" w:rsidRPr="00ED22D1">
        <w:rPr>
          <w:lang w:val="fr-CA"/>
        </w:rPr>
        <w:t xml:space="preserve">a été signé en </w:t>
      </w:r>
      <w:r w:rsidR="00B53D8B" w:rsidRPr="00ED22D1">
        <w:rPr>
          <w:lang w:val="fr-CA"/>
        </w:rPr>
        <w:t>janvier</w:t>
      </w:r>
      <w:r w:rsidR="0085675A" w:rsidRPr="00ED22D1">
        <w:rPr>
          <w:lang w:val="fr-CA"/>
        </w:rPr>
        <w:t xml:space="preserve"> 2019</w:t>
      </w:r>
      <w:r w:rsidR="004A6828" w:rsidRPr="00ED22D1">
        <w:rPr>
          <w:lang w:val="fr-CA"/>
        </w:rPr>
        <w:t xml:space="preserve"> et </w:t>
      </w:r>
      <w:r w:rsidR="004F182E" w:rsidRPr="00ED22D1">
        <w:rPr>
          <w:lang w:val="fr-CA"/>
        </w:rPr>
        <w:t>il est entré en vigueur en mars</w:t>
      </w:r>
      <w:r w:rsidR="0085675A" w:rsidRPr="00ED22D1">
        <w:rPr>
          <w:lang w:val="fr-CA"/>
        </w:rPr>
        <w:t xml:space="preserve"> 201</w:t>
      </w:r>
      <w:r w:rsidR="004A6828" w:rsidRPr="00ED22D1">
        <w:rPr>
          <w:lang w:val="fr-CA"/>
        </w:rPr>
        <w:t>9</w:t>
      </w:r>
      <w:r w:rsidR="004F182E" w:rsidRPr="00ED22D1">
        <w:rPr>
          <w:lang w:val="fr-CA"/>
        </w:rPr>
        <w:t>. Depuis lors</w:t>
      </w:r>
      <w:r w:rsidR="004A6828" w:rsidRPr="00ED22D1">
        <w:rPr>
          <w:lang w:val="fr-CA"/>
        </w:rPr>
        <w:t>,</w:t>
      </w:r>
      <w:r w:rsidR="0085675A" w:rsidRPr="00ED22D1">
        <w:rPr>
          <w:lang w:val="fr-CA"/>
        </w:rPr>
        <w:t xml:space="preserve"> </w:t>
      </w:r>
      <w:r w:rsidR="004F182E" w:rsidRPr="00ED22D1">
        <w:rPr>
          <w:lang w:val="fr-CA"/>
        </w:rPr>
        <w:t>l’</w:t>
      </w:r>
      <w:r w:rsidR="0085675A" w:rsidRPr="00ED22D1">
        <w:rPr>
          <w:lang w:val="fr-CA"/>
        </w:rPr>
        <w:t xml:space="preserve">IECO </w:t>
      </w:r>
      <w:r w:rsidR="004F182E" w:rsidRPr="00ED22D1">
        <w:rPr>
          <w:lang w:val="fr-CA"/>
        </w:rPr>
        <w:t xml:space="preserve">a signé un contrat avec la </w:t>
      </w:r>
      <w:r w:rsidR="00D26EF9" w:rsidRPr="00ED22D1">
        <w:rPr>
          <w:lang w:val="fr-CA"/>
        </w:rPr>
        <w:t>Chine</w:t>
      </w:r>
      <w:r w:rsidR="0085675A" w:rsidRPr="00ED22D1">
        <w:rPr>
          <w:lang w:val="fr-CA"/>
        </w:rPr>
        <w:t xml:space="preserve"> Plastics Processing Industry Association (CPPIA) </w:t>
      </w:r>
      <w:r w:rsidR="004F182E" w:rsidRPr="00ED22D1">
        <w:rPr>
          <w:lang w:val="fr-CA"/>
        </w:rPr>
        <w:t xml:space="preserve">qui sert d’agence de soutien de la </w:t>
      </w:r>
      <w:r w:rsidR="00921BDE" w:rsidRPr="00ED22D1">
        <w:rPr>
          <w:lang w:val="fr-CA"/>
        </w:rPr>
        <w:t>mise en oeuvre</w:t>
      </w:r>
      <w:r w:rsidR="004F182E" w:rsidRPr="00ED22D1">
        <w:rPr>
          <w:lang w:val="fr-CA"/>
        </w:rPr>
        <w:t xml:space="preserve"> pour la</w:t>
      </w:r>
      <w:r w:rsidR="004A6828" w:rsidRPr="00ED22D1">
        <w:rPr>
          <w:lang w:val="fr-CA"/>
        </w:rPr>
        <w:t xml:space="preserve"> phase </w:t>
      </w:r>
      <w:r w:rsidR="0085675A" w:rsidRPr="00ED22D1">
        <w:rPr>
          <w:lang w:val="fr-CA"/>
        </w:rPr>
        <w:t xml:space="preserve">II </w:t>
      </w:r>
      <w:r w:rsidR="00502C24" w:rsidRPr="00ED22D1">
        <w:rPr>
          <w:lang w:val="fr-CA"/>
        </w:rPr>
        <w:t xml:space="preserve">du plan </w:t>
      </w:r>
      <w:r w:rsidR="00CA0808" w:rsidRPr="00ED22D1">
        <w:rPr>
          <w:lang w:val="fr-CA"/>
        </w:rPr>
        <w:t>du secteur de</w:t>
      </w:r>
      <w:r w:rsidR="00CA0C15" w:rsidRPr="00ED22D1">
        <w:rPr>
          <w:lang w:val="fr-CA"/>
        </w:rPr>
        <w:t>s</w:t>
      </w:r>
      <w:r w:rsidR="00CA0808" w:rsidRPr="00ED22D1">
        <w:rPr>
          <w:lang w:val="fr-CA"/>
        </w:rPr>
        <w:t xml:space="preserve"> mousse</w:t>
      </w:r>
      <w:r w:rsidR="00CA0C15" w:rsidRPr="00ED22D1">
        <w:rPr>
          <w:lang w:val="fr-CA"/>
        </w:rPr>
        <w:t>s</w:t>
      </w:r>
      <w:r w:rsidR="00CA0808" w:rsidRPr="00ED22D1">
        <w:rPr>
          <w:lang w:val="fr-CA"/>
        </w:rPr>
        <w:t xml:space="preserve"> de</w:t>
      </w:r>
      <w:r w:rsidR="00CA0C15" w:rsidRPr="00ED22D1">
        <w:rPr>
          <w:lang w:val="fr-CA"/>
        </w:rPr>
        <w:t> </w:t>
      </w:r>
      <w:r w:rsidR="00CA0808" w:rsidRPr="00ED22D1">
        <w:rPr>
          <w:lang w:val="fr-CA"/>
        </w:rPr>
        <w:t>polyuréthane</w:t>
      </w:r>
      <w:r w:rsidR="00C420BC" w:rsidRPr="00ED22D1">
        <w:rPr>
          <w:lang w:val="fr-CA"/>
        </w:rPr>
        <w:t>. L’</w:t>
      </w:r>
      <w:r w:rsidR="0085675A" w:rsidRPr="00ED22D1">
        <w:rPr>
          <w:lang w:val="fr-CA"/>
        </w:rPr>
        <w:t xml:space="preserve">IECO </w:t>
      </w:r>
      <w:r w:rsidR="004F182E" w:rsidRPr="00ED22D1">
        <w:rPr>
          <w:lang w:val="fr-CA"/>
        </w:rPr>
        <w:t xml:space="preserve">est actuellement à signer des sous-accords de subvention </w:t>
      </w:r>
      <w:r w:rsidR="00B84F94" w:rsidRPr="00ED22D1">
        <w:rPr>
          <w:lang w:val="fr-CA"/>
        </w:rPr>
        <w:t xml:space="preserve">avec </w:t>
      </w:r>
      <w:r w:rsidR="004F182E" w:rsidRPr="00ED22D1">
        <w:rPr>
          <w:lang w:val="fr-CA"/>
        </w:rPr>
        <w:t xml:space="preserve">les </w:t>
      </w:r>
      <w:r w:rsidR="0085675A" w:rsidRPr="00ED22D1">
        <w:rPr>
          <w:lang w:val="fr-CA"/>
        </w:rPr>
        <w:t xml:space="preserve">11 </w:t>
      </w:r>
      <w:r w:rsidR="004F182E" w:rsidRPr="00ED22D1">
        <w:rPr>
          <w:lang w:val="fr-CA"/>
        </w:rPr>
        <w:t xml:space="preserve">premières entreprises </w:t>
      </w:r>
      <w:r w:rsidR="00393F6B" w:rsidRPr="00ED22D1">
        <w:rPr>
          <w:lang w:val="fr-CA"/>
        </w:rPr>
        <w:t>bénéficiaires</w:t>
      </w:r>
      <w:r w:rsidR="0085675A" w:rsidRPr="00ED22D1">
        <w:rPr>
          <w:lang w:val="fr-CA"/>
        </w:rPr>
        <w:t xml:space="preserve"> </w:t>
      </w:r>
      <w:r w:rsidR="004F182E" w:rsidRPr="00ED22D1">
        <w:rPr>
          <w:lang w:val="fr-CA"/>
        </w:rPr>
        <w:t xml:space="preserve">afin de mettre en oeuvre des </w:t>
      </w:r>
      <w:r w:rsidR="001B45EC" w:rsidRPr="00ED22D1">
        <w:rPr>
          <w:lang w:val="fr-CA"/>
        </w:rPr>
        <w:t>projet</w:t>
      </w:r>
      <w:r w:rsidR="0085675A" w:rsidRPr="00ED22D1">
        <w:rPr>
          <w:lang w:val="fr-CA"/>
        </w:rPr>
        <w:t xml:space="preserve">s </w:t>
      </w:r>
      <w:r w:rsidR="004F182E" w:rsidRPr="00ED22D1">
        <w:rPr>
          <w:lang w:val="fr-CA"/>
        </w:rPr>
        <w:t xml:space="preserve">d’élimination d’environ </w:t>
      </w:r>
      <w:r w:rsidR="004A6828" w:rsidRPr="00ED22D1">
        <w:rPr>
          <w:lang w:val="fr-CA"/>
        </w:rPr>
        <w:t>1 </w:t>
      </w:r>
      <w:r w:rsidR="0085675A" w:rsidRPr="00ED22D1">
        <w:rPr>
          <w:lang w:val="fr-CA"/>
        </w:rPr>
        <w:t>200</w:t>
      </w:r>
      <w:r w:rsidR="004B666A" w:rsidRPr="00ED22D1">
        <w:rPr>
          <w:lang w:val="fr-CA"/>
        </w:rPr>
        <w:t xml:space="preserve"> tm </w:t>
      </w:r>
      <w:r w:rsidR="004F182E" w:rsidRPr="00ED22D1">
        <w:rPr>
          <w:lang w:val="fr-CA"/>
        </w:rPr>
        <w:t>de</w:t>
      </w:r>
      <w:r w:rsidR="00CA0C15" w:rsidRPr="00ED22D1">
        <w:rPr>
          <w:lang w:val="fr-CA"/>
        </w:rPr>
        <w:t> </w:t>
      </w:r>
      <w:r w:rsidR="0085675A" w:rsidRPr="00ED22D1">
        <w:rPr>
          <w:lang w:val="fr-CA"/>
        </w:rPr>
        <w:t>HCFC</w:t>
      </w:r>
      <w:r w:rsidR="004F182E" w:rsidRPr="00ED22D1">
        <w:rPr>
          <w:lang w:val="fr-CA"/>
        </w:rPr>
        <w:noBreakHyphen/>
      </w:r>
      <w:r w:rsidR="0085675A" w:rsidRPr="00ED22D1">
        <w:rPr>
          <w:lang w:val="fr-CA"/>
        </w:rPr>
        <w:t>141b</w:t>
      </w:r>
      <w:r w:rsidR="0031390F" w:rsidRPr="00ED22D1">
        <w:rPr>
          <w:lang w:val="fr-CA"/>
        </w:rPr>
        <w:t>. Le</w:t>
      </w:r>
      <w:r w:rsidR="004F182E" w:rsidRPr="00ED22D1">
        <w:rPr>
          <w:lang w:val="fr-CA"/>
        </w:rPr>
        <w:t>s premiers</w:t>
      </w:r>
      <w:r w:rsidR="0085675A" w:rsidRPr="00ED22D1">
        <w:rPr>
          <w:lang w:val="fr-CA"/>
        </w:rPr>
        <w:t xml:space="preserve"> </w:t>
      </w:r>
      <w:r w:rsidR="004F182E" w:rsidRPr="00ED22D1">
        <w:rPr>
          <w:lang w:val="fr-CA"/>
        </w:rPr>
        <w:t>versements</w:t>
      </w:r>
      <w:r w:rsidR="0085675A" w:rsidRPr="00ED22D1">
        <w:rPr>
          <w:lang w:val="fr-CA"/>
        </w:rPr>
        <w:t xml:space="preserve"> </w:t>
      </w:r>
      <w:r w:rsidR="004F182E" w:rsidRPr="00ED22D1">
        <w:rPr>
          <w:lang w:val="fr-CA"/>
        </w:rPr>
        <w:t xml:space="preserve">à ces </w:t>
      </w:r>
      <w:r w:rsidR="0085675A" w:rsidRPr="00ED22D1">
        <w:rPr>
          <w:lang w:val="fr-CA"/>
        </w:rPr>
        <w:t xml:space="preserve">11 </w:t>
      </w:r>
      <w:r w:rsidR="00921BDE" w:rsidRPr="00ED22D1">
        <w:rPr>
          <w:lang w:val="fr-CA"/>
        </w:rPr>
        <w:t>bénéficiaires</w:t>
      </w:r>
      <w:r w:rsidR="0085675A" w:rsidRPr="00ED22D1">
        <w:rPr>
          <w:lang w:val="fr-CA"/>
        </w:rPr>
        <w:t xml:space="preserve"> </w:t>
      </w:r>
      <w:r w:rsidR="004F182E" w:rsidRPr="00ED22D1">
        <w:rPr>
          <w:lang w:val="fr-CA"/>
        </w:rPr>
        <w:t>sont prévus pour mai</w:t>
      </w:r>
      <w:r w:rsidR="0085675A" w:rsidRPr="00ED22D1">
        <w:rPr>
          <w:lang w:val="fr-CA"/>
        </w:rPr>
        <w:t> 201</w:t>
      </w:r>
      <w:r w:rsidR="004A6828" w:rsidRPr="00ED22D1">
        <w:rPr>
          <w:lang w:val="fr-CA"/>
        </w:rPr>
        <w:t>9</w:t>
      </w:r>
      <w:r w:rsidR="004F182E" w:rsidRPr="00ED22D1">
        <w:rPr>
          <w:lang w:val="fr-CA"/>
        </w:rPr>
        <w:t>.</w:t>
      </w:r>
      <w:r w:rsidR="0085675A" w:rsidRPr="00ED22D1">
        <w:rPr>
          <w:lang w:val="fr-CA"/>
        </w:rPr>
        <w:t xml:space="preserve"> </w:t>
      </w:r>
    </w:p>
    <w:p w:rsidR="0085675A" w:rsidRPr="00ED22D1" w:rsidRDefault="007D2C9E" w:rsidP="007D2C9E">
      <w:pPr>
        <w:pStyle w:val="Heading1"/>
        <w:numPr>
          <w:ilvl w:val="0"/>
          <w:numId w:val="0"/>
        </w:numPr>
        <w:rPr>
          <w:lang w:val="fr-CA"/>
        </w:rPr>
      </w:pPr>
      <w:r w:rsidRPr="00ED22D1">
        <w:rPr>
          <w:lang w:val="fr-CA"/>
        </w:rPr>
        <w:t>43.</w:t>
      </w:r>
      <w:r w:rsidRPr="00ED22D1">
        <w:rPr>
          <w:lang w:val="fr-CA"/>
        </w:rPr>
        <w:tab/>
      </w:r>
      <w:r w:rsidR="004F182E" w:rsidRPr="00ED22D1">
        <w:rPr>
          <w:lang w:val="fr-CA"/>
        </w:rPr>
        <w:t>Vingt entreprises supplémentaires signeront des</w:t>
      </w:r>
      <w:r w:rsidR="008430DA" w:rsidRPr="00ED22D1">
        <w:rPr>
          <w:lang w:val="fr-CA"/>
        </w:rPr>
        <w:t xml:space="preserve"> sous-a</w:t>
      </w:r>
      <w:r w:rsidR="004F182E" w:rsidRPr="00ED22D1">
        <w:rPr>
          <w:lang w:val="fr-CA"/>
        </w:rPr>
        <w:t>ccord</w:t>
      </w:r>
      <w:r w:rsidR="008430DA" w:rsidRPr="00ED22D1">
        <w:rPr>
          <w:lang w:val="fr-CA"/>
        </w:rPr>
        <w:t>s</w:t>
      </w:r>
      <w:r w:rsidR="004F182E" w:rsidRPr="00ED22D1">
        <w:rPr>
          <w:lang w:val="fr-CA"/>
        </w:rPr>
        <w:t xml:space="preserve"> </w:t>
      </w:r>
      <w:r w:rsidR="00B84F94" w:rsidRPr="00ED22D1">
        <w:rPr>
          <w:lang w:val="fr-CA"/>
        </w:rPr>
        <w:t>avec</w:t>
      </w:r>
      <w:r w:rsidR="00F320D6" w:rsidRPr="00ED22D1">
        <w:rPr>
          <w:lang w:val="fr-CA"/>
        </w:rPr>
        <w:t xml:space="preserve"> l’IECO</w:t>
      </w:r>
      <w:r w:rsidR="0085675A" w:rsidRPr="00ED22D1">
        <w:rPr>
          <w:lang w:val="fr-CA"/>
        </w:rPr>
        <w:t xml:space="preserve"> </w:t>
      </w:r>
      <w:r w:rsidR="0052712E" w:rsidRPr="00ED22D1">
        <w:rPr>
          <w:lang w:val="fr-CA"/>
        </w:rPr>
        <w:t>en 20</w:t>
      </w:r>
      <w:r w:rsidR="0085675A" w:rsidRPr="00ED22D1">
        <w:rPr>
          <w:lang w:val="fr-CA"/>
        </w:rPr>
        <w:t>1</w:t>
      </w:r>
      <w:r w:rsidR="004A6828" w:rsidRPr="00ED22D1">
        <w:rPr>
          <w:lang w:val="fr-CA"/>
        </w:rPr>
        <w:t>9</w:t>
      </w:r>
      <w:r w:rsidR="008430DA" w:rsidRPr="00ED22D1">
        <w:rPr>
          <w:lang w:val="fr-CA"/>
        </w:rPr>
        <w:t>.</w:t>
      </w:r>
      <w:r w:rsidR="0085675A" w:rsidRPr="00ED22D1">
        <w:rPr>
          <w:lang w:val="fr-CA"/>
        </w:rPr>
        <w:t xml:space="preserve"> </w:t>
      </w:r>
      <w:r w:rsidR="008430DA" w:rsidRPr="00ED22D1">
        <w:rPr>
          <w:lang w:val="fr-CA"/>
        </w:rPr>
        <w:t xml:space="preserve">Entre temps, en étant entendu que la </w:t>
      </w:r>
      <w:r w:rsidR="00921BDE" w:rsidRPr="00ED22D1">
        <w:rPr>
          <w:lang w:val="fr-CA"/>
        </w:rPr>
        <w:t>deuxième</w:t>
      </w:r>
      <w:r w:rsidR="0085675A" w:rsidRPr="00ED22D1">
        <w:rPr>
          <w:lang w:val="fr-CA"/>
        </w:rPr>
        <w:t xml:space="preserve"> tranche </w:t>
      </w:r>
      <w:r w:rsidR="008430DA" w:rsidRPr="00ED22D1">
        <w:rPr>
          <w:lang w:val="fr-CA"/>
        </w:rPr>
        <w:t xml:space="preserve">pourrait être </w:t>
      </w:r>
      <w:r w:rsidR="00AA6E77" w:rsidRPr="00ED22D1">
        <w:rPr>
          <w:lang w:val="fr-CA"/>
        </w:rPr>
        <w:t>approuvé</w:t>
      </w:r>
      <w:r w:rsidR="008430DA" w:rsidRPr="00ED22D1">
        <w:rPr>
          <w:lang w:val="fr-CA"/>
        </w:rPr>
        <w:t>e</w:t>
      </w:r>
      <w:r w:rsidR="0085675A" w:rsidRPr="00ED22D1">
        <w:rPr>
          <w:lang w:val="fr-CA"/>
        </w:rPr>
        <w:t xml:space="preserve"> </w:t>
      </w:r>
      <w:r w:rsidR="008430DA" w:rsidRPr="00ED22D1">
        <w:rPr>
          <w:lang w:val="fr-CA"/>
        </w:rPr>
        <w:t>cette</w:t>
      </w:r>
      <w:r w:rsidR="0085675A" w:rsidRPr="00ED22D1">
        <w:rPr>
          <w:lang w:val="fr-CA"/>
        </w:rPr>
        <w:t xml:space="preserve"> </w:t>
      </w:r>
      <w:r w:rsidR="0052712E" w:rsidRPr="00ED22D1">
        <w:rPr>
          <w:lang w:val="fr-CA"/>
        </w:rPr>
        <w:t>année</w:t>
      </w:r>
      <w:r w:rsidR="0085675A" w:rsidRPr="00ED22D1">
        <w:rPr>
          <w:lang w:val="fr-CA"/>
        </w:rPr>
        <w:t xml:space="preserve">, </w:t>
      </w:r>
      <w:r w:rsidR="008430DA" w:rsidRPr="00ED22D1">
        <w:rPr>
          <w:lang w:val="fr-CA"/>
        </w:rPr>
        <w:t>les projets d’élimination individuels</w:t>
      </w:r>
      <w:r w:rsidR="0085675A" w:rsidRPr="00ED22D1">
        <w:rPr>
          <w:lang w:val="fr-CA"/>
        </w:rPr>
        <w:t xml:space="preserve">, </w:t>
      </w:r>
      <w:r w:rsidR="008430DA" w:rsidRPr="00ED22D1">
        <w:rPr>
          <w:lang w:val="fr-CA"/>
        </w:rPr>
        <w:t>les projets des sociétés de formulation</w:t>
      </w:r>
      <w:r w:rsidR="004A6828" w:rsidRPr="00ED22D1">
        <w:rPr>
          <w:lang w:val="fr-CA"/>
        </w:rPr>
        <w:t xml:space="preserve"> et </w:t>
      </w:r>
      <w:r w:rsidR="008430DA" w:rsidRPr="00ED22D1">
        <w:rPr>
          <w:lang w:val="fr-CA"/>
        </w:rPr>
        <w:t xml:space="preserve">la nouvelle modalité de </w:t>
      </w:r>
      <w:r w:rsidR="00921BDE" w:rsidRPr="00ED22D1">
        <w:rPr>
          <w:lang w:val="fr-CA"/>
        </w:rPr>
        <w:t xml:space="preserve">mise en oeuvre </w:t>
      </w:r>
      <w:r w:rsidR="008430DA" w:rsidRPr="00ED22D1">
        <w:rPr>
          <w:lang w:val="fr-CA"/>
        </w:rPr>
        <w:t>des petites et moyennes entreprises (PME) seront tous initiés</w:t>
      </w:r>
      <w:r w:rsidR="0085675A" w:rsidRPr="00ED22D1">
        <w:rPr>
          <w:lang w:val="fr-CA"/>
        </w:rPr>
        <w:t xml:space="preserve"> </w:t>
      </w:r>
      <w:r w:rsidR="0052712E" w:rsidRPr="00ED22D1">
        <w:rPr>
          <w:lang w:val="fr-CA"/>
        </w:rPr>
        <w:t>en 20</w:t>
      </w:r>
      <w:r w:rsidR="0085675A" w:rsidRPr="00ED22D1">
        <w:rPr>
          <w:lang w:val="fr-CA"/>
        </w:rPr>
        <w:t>1</w:t>
      </w:r>
      <w:r w:rsidR="004A6828" w:rsidRPr="00ED22D1">
        <w:rPr>
          <w:lang w:val="fr-CA"/>
        </w:rPr>
        <w:t>9</w:t>
      </w:r>
      <w:r w:rsidR="00C420BC" w:rsidRPr="00ED22D1">
        <w:rPr>
          <w:lang w:val="fr-CA"/>
        </w:rPr>
        <w:t>. L’</w:t>
      </w:r>
      <w:r w:rsidR="008430DA" w:rsidRPr="00ED22D1">
        <w:rPr>
          <w:lang w:val="fr-CA"/>
        </w:rPr>
        <w:t>élimination globale à réaliser grâce à ces trois types d’</w:t>
      </w:r>
      <w:r w:rsidR="001B45EC" w:rsidRPr="00ED22D1">
        <w:rPr>
          <w:lang w:val="fr-CA"/>
        </w:rPr>
        <w:t>activités</w:t>
      </w:r>
      <w:r w:rsidR="008430DA" w:rsidRPr="00ED22D1">
        <w:rPr>
          <w:lang w:val="fr-CA"/>
        </w:rPr>
        <w:t xml:space="preserve"> devrait atteindre au moins </w:t>
      </w:r>
      <w:r w:rsidR="004A6828" w:rsidRPr="00ED22D1">
        <w:rPr>
          <w:lang w:val="fr-CA"/>
        </w:rPr>
        <w:t>4 </w:t>
      </w:r>
      <w:r w:rsidR="0085675A" w:rsidRPr="00ED22D1">
        <w:rPr>
          <w:lang w:val="fr-CA"/>
        </w:rPr>
        <w:t>000</w:t>
      </w:r>
      <w:r w:rsidR="004B666A" w:rsidRPr="00ED22D1">
        <w:rPr>
          <w:lang w:val="fr-CA"/>
        </w:rPr>
        <w:t xml:space="preserve"> tm </w:t>
      </w:r>
      <w:r w:rsidR="008430DA" w:rsidRPr="00ED22D1">
        <w:rPr>
          <w:lang w:val="fr-CA"/>
        </w:rPr>
        <w:t>de</w:t>
      </w:r>
      <w:r w:rsidR="0085675A" w:rsidRPr="00ED22D1">
        <w:rPr>
          <w:lang w:val="fr-CA"/>
        </w:rPr>
        <w:t xml:space="preserve"> HCFC-141b, </w:t>
      </w:r>
      <w:r w:rsidR="008430DA" w:rsidRPr="00ED22D1">
        <w:rPr>
          <w:lang w:val="fr-CA"/>
        </w:rPr>
        <w:t>ce qui pourrait contribuer</w:t>
      </w:r>
      <w:r w:rsidR="00055A09" w:rsidRPr="00ED22D1">
        <w:rPr>
          <w:lang w:val="fr-CA"/>
        </w:rPr>
        <w:t xml:space="preserve"> </w:t>
      </w:r>
      <w:r w:rsidR="008430DA" w:rsidRPr="00ED22D1">
        <w:rPr>
          <w:lang w:val="fr-CA"/>
        </w:rPr>
        <w:t xml:space="preserve">à </w:t>
      </w:r>
      <w:r w:rsidR="00CA0C15" w:rsidRPr="00ED22D1">
        <w:rPr>
          <w:lang w:val="fr-CA"/>
        </w:rPr>
        <w:t xml:space="preserve">respecter </w:t>
      </w:r>
      <w:r w:rsidR="008430DA" w:rsidRPr="00ED22D1">
        <w:rPr>
          <w:lang w:val="fr-CA"/>
        </w:rPr>
        <w:t xml:space="preserve">les objectifs de réduction de </w:t>
      </w:r>
      <w:r w:rsidR="0085675A" w:rsidRPr="00ED22D1">
        <w:rPr>
          <w:lang w:val="fr-CA"/>
        </w:rPr>
        <w:t xml:space="preserve">2020. </w:t>
      </w:r>
      <w:r w:rsidR="008430DA" w:rsidRPr="00ED22D1">
        <w:rPr>
          <w:lang w:val="fr-CA"/>
        </w:rPr>
        <w:t>En termes d’activités d’</w:t>
      </w:r>
      <w:r w:rsidR="00DE118B" w:rsidRPr="00ED22D1">
        <w:rPr>
          <w:lang w:val="fr-CA"/>
        </w:rPr>
        <w:t>assistance technique</w:t>
      </w:r>
      <w:r w:rsidR="0085675A" w:rsidRPr="00ED22D1">
        <w:rPr>
          <w:lang w:val="fr-CA"/>
        </w:rPr>
        <w:t>,</w:t>
      </w:r>
      <w:r w:rsidR="00F320D6" w:rsidRPr="00ED22D1">
        <w:rPr>
          <w:lang w:val="fr-CA"/>
        </w:rPr>
        <w:t xml:space="preserve"> l’IECO</w:t>
      </w:r>
      <w:r w:rsidR="0085675A" w:rsidRPr="00ED22D1">
        <w:rPr>
          <w:lang w:val="fr-CA"/>
        </w:rPr>
        <w:t xml:space="preserve"> </w:t>
      </w:r>
      <w:r w:rsidR="008430DA" w:rsidRPr="00ED22D1">
        <w:rPr>
          <w:lang w:val="fr-CA"/>
        </w:rPr>
        <w:t>prévoit commencer à évaluer les effets sociaux et économiques des interdictions prévues sur l’utilisation du</w:t>
      </w:r>
      <w:r w:rsidR="00CA0C15" w:rsidRPr="00ED22D1">
        <w:rPr>
          <w:lang w:val="fr-CA"/>
        </w:rPr>
        <w:t> </w:t>
      </w:r>
      <w:r w:rsidR="0085675A" w:rsidRPr="00ED22D1">
        <w:rPr>
          <w:lang w:val="fr-CA"/>
        </w:rPr>
        <w:t xml:space="preserve">HCFC-141b </w:t>
      </w:r>
      <w:r w:rsidR="008430DA" w:rsidRPr="00ED22D1">
        <w:rPr>
          <w:lang w:val="fr-CA"/>
        </w:rPr>
        <w:t>comme agent de gonflage dans les sous-secteurs de l’isolation des tuyaux et du chauffage solaire de l’eau</w:t>
      </w:r>
      <w:r w:rsidR="0085675A" w:rsidRPr="00ED22D1">
        <w:rPr>
          <w:lang w:val="fr-CA"/>
        </w:rPr>
        <w:t xml:space="preserve">. </w:t>
      </w:r>
      <w:r w:rsidR="008430DA" w:rsidRPr="00ED22D1">
        <w:rPr>
          <w:lang w:val="fr-CA"/>
        </w:rPr>
        <w:t>Cette étude des effets sera la pré</w:t>
      </w:r>
      <w:r w:rsidR="0085675A" w:rsidRPr="00ED22D1">
        <w:rPr>
          <w:lang w:val="fr-CA"/>
        </w:rPr>
        <w:t xml:space="preserve">-condition </w:t>
      </w:r>
      <w:r w:rsidR="008430DA" w:rsidRPr="00ED22D1">
        <w:rPr>
          <w:lang w:val="fr-CA"/>
        </w:rPr>
        <w:t xml:space="preserve">à la </w:t>
      </w:r>
      <w:r w:rsidR="0085675A" w:rsidRPr="00ED22D1">
        <w:rPr>
          <w:lang w:val="fr-CA"/>
        </w:rPr>
        <w:t xml:space="preserve">promulgation </w:t>
      </w:r>
      <w:r w:rsidR="008430DA" w:rsidRPr="00ED22D1">
        <w:rPr>
          <w:lang w:val="fr-CA"/>
        </w:rPr>
        <w:t>des interd</w:t>
      </w:r>
      <w:r w:rsidR="00055A09" w:rsidRPr="00ED22D1">
        <w:rPr>
          <w:lang w:val="fr-CA"/>
        </w:rPr>
        <w:t>i</w:t>
      </w:r>
      <w:r w:rsidR="008430DA" w:rsidRPr="00ED22D1">
        <w:rPr>
          <w:lang w:val="fr-CA"/>
        </w:rPr>
        <w:t>ct</w:t>
      </w:r>
      <w:r w:rsidR="00055A09" w:rsidRPr="00ED22D1">
        <w:rPr>
          <w:lang w:val="fr-CA"/>
        </w:rPr>
        <w:t>io</w:t>
      </w:r>
      <w:r w:rsidR="008430DA" w:rsidRPr="00ED22D1">
        <w:rPr>
          <w:lang w:val="fr-CA"/>
        </w:rPr>
        <w:t>ns, et</w:t>
      </w:r>
      <w:r w:rsidR="00CA0C15" w:rsidRPr="00ED22D1">
        <w:rPr>
          <w:lang w:val="fr-CA"/>
        </w:rPr>
        <w:t> </w:t>
      </w:r>
      <w:r w:rsidR="008430DA" w:rsidRPr="00ED22D1">
        <w:rPr>
          <w:lang w:val="fr-CA"/>
        </w:rPr>
        <w:t>entraînera d’autres reconversions non financées dans les sous-secteurs pertinents</w:t>
      </w:r>
      <w:r w:rsidR="0085675A" w:rsidRPr="00ED22D1">
        <w:rPr>
          <w:lang w:val="fr-CA"/>
        </w:rPr>
        <w:t>.</w:t>
      </w:r>
    </w:p>
    <w:p w:rsidR="007D2C9E" w:rsidRPr="00ED22D1" w:rsidRDefault="007D2C9E" w:rsidP="007D2C9E">
      <w:pPr>
        <w:pStyle w:val="Heading1"/>
        <w:keepNext/>
        <w:keepLines/>
        <w:numPr>
          <w:ilvl w:val="0"/>
          <w:numId w:val="0"/>
        </w:numPr>
        <w:rPr>
          <w:lang w:val="fr-CA"/>
        </w:rPr>
      </w:pPr>
      <w:r w:rsidRPr="00ED22D1">
        <w:rPr>
          <w:lang w:val="fr-CA"/>
        </w:rPr>
        <w:t>44.</w:t>
      </w:r>
      <w:r w:rsidRPr="00ED22D1">
        <w:rPr>
          <w:lang w:val="fr-CA"/>
        </w:rPr>
        <w:tab/>
      </w:r>
      <w:r w:rsidR="00EB068A" w:rsidRPr="00ED22D1">
        <w:rPr>
          <w:lang w:val="fr-CA"/>
        </w:rPr>
        <w:t xml:space="preserve">Dans le cadre de l’accord </w:t>
      </w:r>
      <w:r w:rsidR="00055A09" w:rsidRPr="00ED22D1">
        <w:rPr>
          <w:lang w:val="fr-CA"/>
        </w:rPr>
        <w:t>révisé</w:t>
      </w:r>
      <w:r w:rsidR="00EB068A" w:rsidRPr="00ED22D1">
        <w:rPr>
          <w:lang w:val="fr-CA"/>
        </w:rPr>
        <w:t xml:space="preserve"> </w:t>
      </w:r>
      <w:r w:rsidR="00055A09" w:rsidRPr="00ED22D1">
        <w:rPr>
          <w:lang w:val="fr-CA"/>
        </w:rPr>
        <w:t>présenté</w:t>
      </w:r>
      <w:r w:rsidR="00EB068A" w:rsidRPr="00ED22D1">
        <w:rPr>
          <w:lang w:val="fr-CA"/>
        </w:rPr>
        <w:t xml:space="preserve"> au Comité exécutif pour examen, o</w:t>
      </w:r>
      <w:r w:rsidR="00F34096" w:rsidRPr="00ED22D1">
        <w:rPr>
          <w:lang w:val="fr-CA"/>
        </w:rPr>
        <w:t>n a proposé à</w:t>
      </w:r>
      <w:r w:rsidR="00D77FEB">
        <w:rPr>
          <w:lang w:val="fr-CA"/>
        </w:rPr>
        <w:t xml:space="preserve"> </w:t>
      </w:r>
      <w:r w:rsidR="00F34096" w:rsidRPr="00ED22D1">
        <w:rPr>
          <w:lang w:val="fr-CA"/>
        </w:rPr>
        <w:t>la</w:t>
      </w:r>
      <w:r w:rsidR="00CA0C15" w:rsidRPr="00ED22D1">
        <w:rPr>
          <w:lang w:val="fr-CA"/>
        </w:rPr>
        <w:t> </w:t>
      </w:r>
      <w:r w:rsidR="00D77FEB">
        <w:rPr>
          <w:lang w:val="fr-CA"/>
        </w:rPr>
        <w:t>82</w:t>
      </w:r>
      <w:r w:rsidR="00F34096" w:rsidRPr="00ED22D1">
        <w:rPr>
          <w:vertAlign w:val="superscript"/>
          <w:lang w:val="fr-CA"/>
        </w:rPr>
        <w:t>e</w:t>
      </w:r>
      <w:r w:rsidR="00EB068A" w:rsidRPr="00ED22D1">
        <w:rPr>
          <w:vertAlign w:val="superscript"/>
          <w:lang w:val="fr-CA"/>
        </w:rPr>
        <w:t> </w:t>
      </w:r>
      <w:r w:rsidR="00F34096" w:rsidRPr="00ED22D1">
        <w:rPr>
          <w:lang w:val="fr-CA"/>
        </w:rPr>
        <w:t xml:space="preserve">réunion une distribution rajustée de la tranche du plan du secteur des mousses de polyuréthane (PU) dans l’accord entre le gouvernement de la </w:t>
      </w:r>
      <w:r w:rsidR="00316FD8" w:rsidRPr="00ED22D1">
        <w:rPr>
          <w:lang w:val="fr-CA"/>
        </w:rPr>
        <w:t xml:space="preserve">Chine et </w:t>
      </w:r>
      <w:r w:rsidR="00F34096" w:rsidRPr="00ED22D1">
        <w:rPr>
          <w:lang w:val="fr-CA"/>
        </w:rPr>
        <w:t>le Comité exécutif</w:t>
      </w:r>
      <w:r w:rsidRPr="00ED22D1">
        <w:rPr>
          <w:lang w:val="fr-CA"/>
        </w:rPr>
        <w:t xml:space="preserve">. </w:t>
      </w:r>
      <w:r w:rsidR="00EB068A" w:rsidRPr="00ED22D1">
        <w:rPr>
          <w:lang w:val="fr-CA"/>
        </w:rPr>
        <w:t xml:space="preserve">Comme l’accord révisé n’a pas </w:t>
      </w:r>
      <w:r w:rsidR="00F206F2" w:rsidRPr="00ED22D1">
        <w:rPr>
          <w:lang w:val="fr-CA"/>
        </w:rPr>
        <w:t>fait l’objet d’un examen</w:t>
      </w:r>
      <w:r w:rsidR="00EB068A" w:rsidRPr="00ED22D1">
        <w:rPr>
          <w:lang w:val="fr-CA"/>
        </w:rPr>
        <w:t xml:space="preserve"> à la 8</w:t>
      </w:r>
      <w:r w:rsidRPr="00ED22D1">
        <w:rPr>
          <w:lang w:val="fr-CA"/>
        </w:rPr>
        <w:t>2</w:t>
      </w:r>
      <w:r w:rsidR="00EB068A" w:rsidRPr="00ED22D1">
        <w:rPr>
          <w:vertAlign w:val="superscript"/>
          <w:lang w:val="fr-CA"/>
        </w:rPr>
        <w:t>e</w:t>
      </w:r>
      <w:r w:rsidRPr="00ED22D1">
        <w:rPr>
          <w:lang w:val="fr-CA"/>
        </w:rPr>
        <w:t xml:space="preserve"> </w:t>
      </w:r>
      <w:r w:rsidR="00EB068A" w:rsidRPr="00ED22D1">
        <w:rPr>
          <w:lang w:val="fr-CA"/>
        </w:rPr>
        <w:t>réunion</w:t>
      </w:r>
      <w:r w:rsidRPr="00ED22D1">
        <w:rPr>
          <w:lang w:val="fr-CA"/>
        </w:rPr>
        <w:t xml:space="preserve">, </w:t>
      </w:r>
      <w:r w:rsidR="00EB068A" w:rsidRPr="00ED22D1">
        <w:rPr>
          <w:lang w:val="fr-CA"/>
        </w:rPr>
        <w:t xml:space="preserve">il est de nouveau présenté </w:t>
      </w:r>
      <w:r w:rsidR="00F206F2" w:rsidRPr="00ED22D1">
        <w:rPr>
          <w:lang w:val="fr-CA"/>
        </w:rPr>
        <w:t xml:space="preserve">sans modifications </w:t>
      </w:r>
      <w:r w:rsidR="00EB068A" w:rsidRPr="00ED22D1">
        <w:rPr>
          <w:lang w:val="fr-CA"/>
        </w:rPr>
        <w:t>à la 8</w:t>
      </w:r>
      <w:r w:rsidRPr="00ED22D1">
        <w:rPr>
          <w:lang w:val="fr-CA"/>
        </w:rPr>
        <w:t>3</w:t>
      </w:r>
      <w:r w:rsidR="00EB068A" w:rsidRPr="00ED22D1">
        <w:rPr>
          <w:vertAlign w:val="superscript"/>
          <w:lang w:val="fr-CA"/>
        </w:rPr>
        <w:t>e</w:t>
      </w:r>
      <w:r w:rsidR="00EB068A" w:rsidRPr="00ED22D1">
        <w:rPr>
          <w:lang w:val="fr-CA"/>
        </w:rPr>
        <w:t xml:space="preserve"> réunion</w:t>
      </w:r>
      <w:r w:rsidRPr="00ED22D1">
        <w:rPr>
          <w:lang w:val="fr-CA"/>
        </w:rPr>
        <w:t xml:space="preserve">. </w:t>
      </w:r>
      <w:r w:rsidR="00EB068A" w:rsidRPr="00ED22D1">
        <w:rPr>
          <w:lang w:val="fr-CA"/>
        </w:rPr>
        <w:t>Une</w:t>
      </w:r>
      <w:r w:rsidR="00F206F2" w:rsidRPr="00ED22D1">
        <w:rPr>
          <w:lang w:val="fr-CA"/>
        </w:rPr>
        <w:t> </w:t>
      </w:r>
      <w:r w:rsidR="00EB068A" w:rsidRPr="00ED22D1">
        <w:rPr>
          <w:lang w:val="fr-CA"/>
        </w:rPr>
        <w:t xml:space="preserve">section ci-dessous </w:t>
      </w:r>
      <w:r w:rsidR="00F206F2" w:rsidRPr="00ED22D1">
        <w:rPr>
          <w:lang w:val="fr-CA"/>
        </w:rPr>
        <w:t>offre</w:t>
      </w:r>
      <w:r w:rsidR="00EB068A" w:rsidRPr="00ED22D1">
        <w:rPr>
          <w:lang w:val="fr-CA"/>
        </w:rPr>
        <w:t xml:space="preserve"> une description détaillée de l’accord révisé, y compris tous les secteurs de</w:t>
      </w:r>
      <w:r w:rsidR="00F206F2" w:rsidRPr="00ED22D1">
        <w:rPr>
          <w:lang w:val="fr-CA"/>
        </w:rPr>
        <w:t> </w:t>
      </w:r>
      <w:r w:rsidR="00EB068A" w:rsidRPr="00ED22D1">
        <w:rPr>
          <w:lang w:val="fr-CA"/>
        </w:rPr>
        <w:t>la</w:t>
      </w:r>
      <w:r w:rsidR="00F206F2" w:rsidRPr="00ED22D1">
        <w:rPr>
          <w:lang w:val="fr-CA"/>
        </w:rPr>
        <w:t> </w:t>
      </w:r>
      <w:r w:rsidR="00EB068A" w:rsidRPr="00ED22D1">
        <w:rPr>
          <w:lang w:val="fr-CA"/>
        </w:rPr>
        <w:t>phase</w:t>
      </w:r>
      <w:r w:rsidRPr="00ED22D1">
        <w:rPr>
          <w:lang w:val="fr-CA"/>
        </w:rPr>
        <w:t xml:space="preserve"> II </w:t>
      </w:r>
      <w:r w:rsidR="00EB068A" w:rsidRPr="00ED22D1">
        <w:rPr>
          <w:lang w:val="fr-CA"/>
        </w:rPr>
        <w:t xml:space="preserve">du </w:t>
      </w:r>
      <w:r w:rsidR="00316FD8" w:rsidRPr="00ED22D1">
        <w:rPr>
          <w:lang w:val="fr-CA"/>
        </w:rPr>
        <w:t>PGEH</w:t>
      </w:r>
      <w:r w:rsidRPr="00ED22D1">
        <w:rPr>
          <w:lang w:val="fr-CA"/>
        </w:rPr>
        <w:t xml:space="preserve"> </w:t>
      </w:r>
      <w:r w:rsidR="00EB068A" w:rsidRPr="00ED22D1">
        <w:rPr>
          <w:lang w:val="fr-CA"/>
        </w:rPr>
        <w:t>de la</w:t>
      </w:r>
      <w:r w:rsidRPr="00ED22D1">
        <w:rPr>
          <w:lang w:val="fr-CA"/>
        </w:rPr>
        <w:t xml:space="preserve"> </w:t>
      </w:r>
      <w:r w:rsidR="00316FD8" w:rsidRPr="00ED22D1">
        <w:rPr>
          <w:lang w:val="fr-CA"/>
        </w:rPr>
        <w:t>Chine</w:t>
      </w:r>
      <w:r w:rsidRPr="00ED22D1">
        <w:rPr>
          <w:lang w:val="fr-CA"/>
        </w:rPr>
        <w:t>.</w:t>
      </w:r>
    </w:p>
    <w:p w:rsidR="0085675A" w:rsidRPr="00ED22D1" w:rsidRDefault="00EB068A" w:rsidP="0085675A">
      <w:pPr>
        <w:pStyle w:val="Heading1"/>
        <w:keepNext/>
        <w:keepLines/>
        <w:numPr>
          <w:ilvl w:val="0"/>
          <w:numId w:val="0"/>
        </w:numPr>
        <w:rPr>
          <w:u w:val="single"/>
          <w:lang w:val="fr-CA"/>
        </w:rPr>
      </w:pPr>
      <w:r w:rsidRPr="00ED22D1">
        <w:rPr>
          <w:u w:val="single"/>
          <w:lang w:val="fr-CA"/>
        </w:rPr>
        <w:t>Survol des progrès</w:t>
      </w:r>
      <w:r w:rsidR="0085675A" w:rsidRPr="00ED22D1">
        <w:rPr>
          <w:u w:val="single"/>
          <w:lang w:val="fr-CA"/>
        </w:rPr>
        <w:t xml:space="preserve"> </w:t>
      </w:r>
    </w:p>
    <w:p w:rsidR="0085675A" w:rsidRPr="00ED22D1" w:rsidRDefault="007D2C9E" w:rsidP="007D2C9E">
      <w:pPr>
        <w:pStyle w:val="Heading1"/>
        <w:keepNext/>
        <w:keepLines/>
        <w:numPr>
          <w:ilvl w:val="0"/>
          <w:numId w:val="0"/>
        </w:numPr>
        <w:rPr>
          <w:lang w:val="fr-CA"/>
        </w:rPr>
      </w:pPr>
      <w:r w:rsidRPr="00ED22D1">
        <w:rPr>
          <w:lang w:val="fr-CA"/>
        </w:rPr>
        <w:t>45.</w:t>
      </w:r>
      <w:r w:rsidRPr="00ED22D1">
        <w:rPr>
          <w:lang w:val="fr-CA"/>
        </w:rPr>
        <w:tab/>
      </w:r>
      <w:r w:rsidR="00F206F2" w:rsidRPr="00ED22D1">
        <w:rPr>
          <w:lang w:val="fr-CA"/>
        </w:rPr>
        <w:t>L’</w:t>
      </w:r>
      <w:r w:rsidR="00EB068A" w:rsidRPr="00ED22D1">
        <w:rPr>
          <w:lang w:val="fr-CA"/>
        </w:rPr>
        <w:t xml:space="preserve">examen des principales réalisations dans </w:t>
      </w:r>
      <w:r w:rsidR="00921BDE" w:rsidRPr="00ED22D1">
        <w:rPr>
          <w:lang w:val="fr-CA"/>
        </w:rPr>
        <w:t>la mise en oeuvre de la phase</w:t>
      </w:r>
      <w:r w:rsidR="004A6828" w:rsidRPr="00ED22D1">
        <w:rPr>
          <w:lang w:val="fr-CA"/>
        </w:rPr>
        <w:t xml:space="preserve"> </w:t>
      </w:r>
      <w:r w:rsidR="0085675A" w:rsidRPr="00ED22D1">
        <w:rPr>
          <w:lang w:val="fr-CA"/>
        </w:rPr>
        <w:t xml:space="preserve">II </w:t>
      </w:r>
      <w:r w:rsidR="001F19C1" w:rsidRPr="00ED22D1">
        <w:rPr>
          <w:lang w:val="fr-CA"/>
        </w:rPr>
        <w:t>du PGEH</w:t>
      </w:r>
      <w:r w:rsidR="0085675A" w:rsidRPr="00ED22D1">
        <w:rPr>
          <w:lang w:val="fr-CA"/>
        </w:rPr>
        <w:t xml:space="preserve"> </w:t>
      </w:r>
      <w:r w:rsidR="00EB068A" w:rsidRPr="00ED22D1">
        <w:rPr>
          <w:lang w:val="fr-CA"/>
        </w:rPr>
        <w:t>comprend</w:t>
      </w:r>
      <w:r w:rsidR="00791BF7" w:rsidRPr="00ED22D1">
        <w:rPr>
          <w:lang w:val="fr-CA"/>
        </w:rPr>
        <w:t> :</w:t>
      </w:r>
      <w:r w:rsidR="0085675A" w:rsidRPr="00ED22D1">
        <w:rPr>
          <w:lang w:val="fr-CA"/>
        </w:rPr>
        <w:t xml:space="preserve"> </w:t>
      </w:r>
    </w:p>
    <w:p w:rsidR="0085675A" w:rsidRPr="00ED22D1" w:rsidRDefault="007D2C9E" w:rsidP="00EB068A">
      <w:pPr>
        <w:pStyle w:val="Heading2"/>
        <w:numPr>
          <w:ilvl w:val="0"/>
          <w:numId w:val="0"/>
        </w:numPr>
        <w:ind w:left="1418" w:hanging="698"/>
        <w:rPr>
          <w:lang w:val="fr-CA"/>
        </w:rPr>
      </w:pPr>
      <w:r w:rsidRPr="00ED22D1">
        <w:rPr>
          <w:lang w:val="fr-CA"/>
        </w:rPr>
        <w:t>(a)</w:t>
      </w:r>
      <w:r w:rsidRPr="00ED22D1">
        <w:rPr>
          <w:lang w:val="fr-CA"/>
        </w:rPr>
        <w:tab/>
      </w:r>
      <w:r w:rsidR="00EB068A" w:rsidRPr="00ED22D1">
        <w:rPr>
          <w:lang w:val="fr-CA"/>
        </w:rPr>
        <w:t xml:space="preserve">L’établissement et la mise en oeuvre continue du système d’autorisation et de </w:t>
      </w:r>
      <w:r w:rsidR="00EB068A" w:rsidRPr="00ED22D1">
        <w:rPr>
          <w:lang w:val="fr-CA"/>
        </w:rPr>
        <w:tab/>
        <w:t>contingentement afin de contrôler la conformité globale de chacun des secteurs de la fabrication</w:t>
      </w:r>
      <w:r w:rsidR="0085675A" w:rsidRPr="00ED22D1">
        <w:rPr>
          <w:lang w:val="fr-CA"/>
        </w:rPr>
        <w:t xml:space="preserve">, </w:t>
      </w:r>
      <w:r w:rsidR="004B666A" w:rsidRPr="00ED22D1">
        <w:rPr>
          <w:lang w:val="fr-CA"/>
        </w:rPr>
        <w:t>y compris</w:t>
      </w:r>
      <w:r w:rsidR="0085675A" w:rsidRPr="00ED22D1">
        <w:rPr>
          <w:lang w:val="fr-CA"/>
        </w:rPr>
        <w:t xml:space="preserve"> </w:t>
      </w:r>
      <w:r w:rsidR="00EB068A" w:rsidRPr="00ED22D1">
        <w:rPr>
          <w:lang w:val="fr-CA"/>
        </w:rPr>
        <w:t>l’</w:t>
      </w:r>
      <w:r w:rsidR="0085675A" w:rsidRPr="00ED22D1">
        <w:rPr>
          <w:lang w:val="fr-CA"/>
        </w:rPr>
        <w:t xml:space="preserve">application </w:t>
      </w:r>
      <w:r w:rsidR="00EB068A" w:rsidRPr="00ED22D1">
        <w:rPr>
          <w:lang w:val="fr-CA"/>
        </w:rPr>
        <w:t>des permis de contingentement aux entreprises qui</w:t>
      </w:r>
      <w:r w:rsidR="00F206F2" w:rsidRPr="00ED22D1">
        <w:rPr>
          <w:lang w:val="fr-CA"/>
        </w:rPr>
        <w:t> </w:t>
      </w:r>
      <w:r w:rsidR="00EB068A" w:rsidRPr="00ED22D1">
        <w:rPr>
          <w:lang w:val="fr-CA"/>
        </w:rPr>
        <w:t xml:space="preserve">consomment plus de </w:t>
      </w:r>
      <w:r w:rsidR="0085675A" w:rsidRPr="00ED22D1">
        <w:rPr>
          <w:lang w:val="fr-CA"/>
        </w:rPr>
        <w:t>100</w:t>
      </w:r>
      <w:r w:rsidR="004B666A" w:rsidRPr="00ED22D1">
        <w:rPr>
          <w:lang w:val="fr-CA"/>
        </w:rPr>
        <w:t xml:space="preserve"> tm </w:t>
      </w:r>
      <w:r w:rsidR="00EB068A" w:rsidRPr="00ED22D1">
        <w:rPr>
          <w:lang w:val="fr-CA"/>
        </w:rPr>
        <w:t>de</w:t>
      </w:r>
      <w:r w:rsidR="0085675A" w:rsidRPr="00ED22D1">
        <w:rPr>
          <w:lang w:val="fr-CA"/>
        </w:rPr>
        <w:t xml:space="preserve"> </w:t>
      </w:r>
      <w:r w:rsidR="00181884" w:rsidRPr="00ED22D1">
        <w:rPr>
          <w:lang w:val="fr-CA"/>
        </w:rPr>
        <w:t>HCFC</w:t>
      </w:r>
      <w:r w:rsidR="0085675A" w:rsidRPr="00ED22D1">
        <w:rPr>
          <w:lang w:val="fr-CA"/>
        </w:rPr>
        <w:t xml:space="preserve"> p</w:t>
      </w:r>
      <w:r w:rsidR="00EB068A" w:rsidRPr="00ED22D1">
        <w:rPr>
          <w:lang w:val="fr-CA"/>
        </w:rPr>
        <w:t>a</w:t>
      </w:r>
      <w:r w:rsidR="0085675A" w:rsidRPr="00ED22D1">
        <w:rPr>
          <w:lang w:val="fr-CA"/>
        </w:rPr>
        <w:t xml:space="preserve">r </w:t>
      </w:r>
      <w:r w:rsidR="0052712E" w:rsidRPr="00ED22D1">
        <w:rPr>
          <w:lang w:val="fr-CA"/>
        </w:rPr>
        <w:t>année</w:t>
      </w:r>
      <w:r w:rsidR="00EB068A" w:rsidRPr="00ED22D1">
        <w:rPr>
          <w:lang w:val="fr-CA"/>
        </w:rPr>
        <w:t xml:space="preserve">, ce qui entraîne la </w:t>
      </w:r>
      <w:r w:rsidR="00CE7FEC" w:rsidRPr="00ED22D1">
        <w:rPr>
          <w:lang w:val="fr-CA"/>
        </w:rPr>
        <w:t>conformité</w:t>
      </w:r>
      <w:r w:rsidR="0085675A" w:rsidRPr="00ED22D1">
        <w:rPr>
          <w:lang w:val="fr-CA"/>
        </w:rPr>
        <w:t xml:space="preserve"> </w:t>
      </w:r>
      <w:r w:rsidR="00EB068A" w:rsidRPr="00ED22D1">
        <w:rPr>
          <w:lang w:val="fr-CA"/>
        </w:rPr>
        <w:t>aux limites totales de consommation du secteur de la fabrication durant les années de mise en</w:t>
      </w:r>
      <w:r w:rsidR="00F206F2" w:rsidRPr="00ED22D1">
        <w:rPr>
          <w:lang w:val="fr-CA"/>
        </w:rPr>
        <w:t> </w:t>
      </w:r>
      <w:r w:rsidR="00EB068A" w:rsidRPr="00ED22D1">
        <w:rPr>
          <w:lang w:val="fr-CA"/>
        </w:rPr>
        <w:t>oeuvre</w:t>
      </w:r>
      <w:r w:rsidR="0085675A" w:rsidRPr="00ED22D1">
        <w:rPr>
          <w:lang w:val="fr-CA"/>
        </w:rPr>
        <w:t xml:space="preserve">; </w:t>
      </w:r>
    </w:p>
    <w:p w:rsidR="007D2C9E" w:rsidRPr="00ED22D1" w:rsidRDefault="007D2C9E" w:rsidP="00DE369D">
      <w:pPr>
        <w:pStyle w:val="Heading2"/>
        <w:numPr>
          <w:ilvl w:val="0"/>
          <w:numId w:val="0"/>
        </w:numPr>
        <w:ind w:left="1418" w:hanging="698"/>
        <w:rPr>
          <w:lang w:val="fr-CA"/>
        </w:rPr>
      </w:pPr>
      <w:r w:rsidRPr="00ED22D1">
        <w:rPr>
          <w:lang w:val="fr-CA"/>
        </w:rPr>
        <w:t>(b)</w:t>
      </w:r>
      <w:r w:rsidRPr="00ED22D1">
        <w:rPr>
          <w:i/>
          <w:lang w:val="fr-CA"/>
        </w:rPr>
        <w:tab/>
      </w:r>
      <w:r w:rsidR="00EB068A" w:rsidRPr="00ED22D1">
        <w:rPr>
          <w:i/>
          <w:lang w:val="fr-CA"/>
        </w:rPr>
        <w:t xml:space="preserve">Secteur des mousses </w:t>
      </w:r>
      <w:r w:rsidRPr="00ED22D1">
        <w:rPr>
          <w:i/>
          <w:lang w:val="fr-CA"/>
        </w:rPr>
        <w:t>XPS</w:t>
      </w:r>
      <w:r w:rsidR="00791BF7" w:rsidRPr="00ED22D1">
        <w:rPr>
          <w:i/>
          <w:lang w:val="fr-CA"/>
        </w:rPr>
        <w:t> :</w:t>
      </w:r>
      <w:r w:rsidRPr="00ED22D1">
        <w:rPr>
          <w:lang w:val="fr-CA"/>
        </w:rPr>
        <w:t xml:space="preserve"> </w:t>
      </w:r>
      <w:r w:rsidR="00EB068A" w:rsidRPr="00ED22D1">
        <w:rPr>
          <w:lang w:val="fr-CA"/>
        </w:rPr>
        <w:t>Le contrat entre l’</w:t>
      </w:r>
      <w:r w:rsidRPr="00ED22D1">
        <w:rPr>
          <w:lang w:val="fr-CA"/>
        </w:rPr>
        <w:t>IECO</w:t>
      </w:r>
      <w:r w:rsidR="00316FD8" w:rsidRPr="00ED22D1">
        <w:rPr>
          <w:lang w:val="fr-CA"/>
        </w:rPr>
        <w:t xml:space="preserve"> et </w:t>
      </w:r>
      <w:r w:rsidR="00EB068A" w:rsidRPr="00ED22D1">
        <w:rPr>
          <w:lang w:val="fr-CA"/>
        </w:rPr>
        <w:t>l’ONUDI</w:t>
      </w:r>
      <w:r w:rsidRPr="00ED22D1">
        <w:rPr>
          <w:lang w:val="fr-CA"/>
        </w:rPr>
        <w:t xml:space="preserve"> </w:t>
      </w:r>
      <w:r w:rsidR="00EB068A" w:rsidRPr="00ED22D1">
        <w:rPr>
          <w:lang w:val="fr-CA"/>
        </w:rPr>
        <w:t xml:space="preserve">pour la mise en oeuvre du plan du secteurs des mousses </w:t>
      </w:r>
      <w:r w:rsidRPr="00ED22D1">
        <w:rPr>
          <w:lang w:val="fr-CA"/>
        </w:rPr>
        <w:t xml:space="preserve">XPS </w:t>
      </w:r>
      <w:r w:rsidR="00EB068A" w:rsidRPr="00ED22D1">
        <w:rPr>
          <w:lang w:val="fr-CA"/>
        </w:rPr>
        <w:t>a été signé en septembre</w:t>
      </w:r>
      <w:r w:rsidRPr="00ED22D1">
        <w:rPr>
          <w:lang w:val="fr-CA"/>
        </w:rPr>
        <w:t xml:space="preserve"> 2017. </w:t>
      </w:r>
      <w:r w:rsidR="00EB068A" w:rsidRPr="00ED22D1">
        <w:rPr>
          <w:lang w:val="fr-CA"/>
        </w:rPr>
        <w:t xml:space="preserve">Onze entreprises de mousses </w:t>
      </w:r>
      <w:r w:rsidRPr="00ED22D1">
        <w:rPr>
          <w:lang w:val="fr-CA"/>
        </w:rPr>
        <w:t>XPS (4,522 </w:t>
      </w:r>
      <w:r w:rsidR="00EB068A" w:rsidRPr="00ED22D1">
        <w:rPr>
          <w:lang w:val="fr-CA"/>
        </w:rPr>
        <w:t>t</w:t>
      </w:r>
      <w:r w:rsidRPr="00ED22D1">
        <w:rPr>
          <w:lang w:val="fr-CA"/>
        </w:rPr>
        <w:t xml:space="preserve">m </w:t>
      </w:r>
      <w:r w:rsidR="00EB068A" w:rsidRPr="00ED22D1">
        <w:rPr>
          <w:lang w:val="fr-CA"/>
        </w:rPr>
        <w:t>de</w:t>
      </w:r>
      <w:r w:rsidRPr="00ED22D1">
        <w:rPr>
          <w:lang w:val="fr-CA"/>
        </w:rPr>
        <w:t xml:space="preserve"> HCFC-22</w:t>
      </w:r>
      <w:r w:rsidR="00316FD8" w:rsidRPr="00ED22D1">
        <w:rPr>
          <w:lang w:val="fr-CA"/>
        </w:rPr>
        <w:t xml:space="preserve"> et </w:t>
      </w:r>
      <w:r w:rsidR="00EB068A" w:rsidRPr="00ED22D1">
        <w:rPr>
          <w:lang w:val="fr-CA"/>
        </w:rPr>
        <w:t xml:space="preserve">de </w:t>
      </w:r>
      <w:r w:rsidRPr="00ED22D1">
        <w:rPr>
          <w:lang w:val="fr-CA"/>
        </w:rPr>
        <w:t xml:space="preserve">HCFC-142b) </w:t>
      </w:r>
      <w:r w:rsidR="00EB068A" w:rsidRPr="00ED22D1">
        <w:rPr>
          <w:lang w:val="fr-CA"/>
        </w:rPr>
        <w:t>ont été identifiées, et dix d’entre elles</w:t>
      </w:r>
      <w:r w:rsidRPr="00ED22D1">
        <w:rPr>
          <w:lang w:val="fr-CA"/>
        </w:rPr>
        <w:t xml:space="preserve"> (4,297</w:t>
      </w:r>
      <w:r w:rsidR="00EB068A" w:rsidRPr="00ED22D1">
        <w:rPr>
          <w:lang w:val="fr-CA"/>
        </w:rPr>
        <w:t xml:space="preserve"> tm </w:t>
      </w:r>
      <w:r w:rsidRPr="00ED22D1">
        <w:rPr>
          <w:lang w:val="fr-CA"/>
        </w:rPr>
        <w:t>o</w:t>
      </w:r>
      <w:r w:rsidR="00EB068A" w:rsidRPr="00ED22D1">
        <w:rPr>
          <w:lang w:val="fr-CA"/>
        </w:rPr>
        <w:t>u</w:t>
      </w:r>
      <w:r w:rsidRPr="00ED22D1">
        <w:rPr>
          <w:lang w:val="fr-CA"/>
        </w:rPr>
        <w:t xml:space="preserve"> 245</w:t>
      </w:r>
      <w:r w:rsidR="00EB068A" w:rsidRPr="00ED22D1">
        <w:rPr>
          <w:lang w:val="fr-CA"/>
        </w:rPr>
        <w:t>,</w:t>
      </w:r>
      <w:r w:rsidRPr="00ED22D1">
        <w:rPr>
          <w:lang w:val="fr-CA"/>
        </w:rPr>
        <w:t>43 </w:t>
      </w:r>
      <w:r w:rsidR="00EB068A" w:rsidRPr="00ED22D1">
        <w:rPr>
          <w:lang w:val="fr-CA"/>
        </w:rPr>
        <w:t>tonnes PAO</w:t>
      </w:r>
      <w:r w:rsidRPr="00ED22D1">
        <w:rPr>
          <w:lang w:val="fr-CA"/>
        </w:rPr>
        <w:t xml:space="preserve"> </w:t>
      </w:r>
      <w:r w:rsidR="00EB068A" w:rsidRPr="00ED22D1">
        <w:rPr>
          <w:lang w:val="fr-CA"/>
        </w:rPr>
        <w:t xml:space="preserve">de </w:t>
      </w:r>
      <w:r w:rsidRPr="00ED22D1">
        <w:rPr>
          <w:lang w:val="fr-CA"/>
        </w:rPr>
        <w:t>HCFC-22</w:t>
      </w:r>
      <w:r w:rsidR="00316FD8" w:rsidRPr="00ED22D1">
        <w:rPr>
          <w:lang w:val="fr-CA"/>
        </w:rPr>
        <w:t xml:space="preserve"> et </w:t>
      </w:r>
      <w:r w:rsidR="00EB068A" w:rsidRPr="00ED22D1">
        <w:rPr>
          <w:lang w:val="fr-CA"/>
        </w:rPr>
        <w:t xml:space="preserve">de </w:t>
      </w:r>
      <w:r w:rsidRPr="00ED22D1">
        <w:rPr>
          <w:lang w:val="fr-CA"/>
        </w:rPr>
        <w:t xml:space="preserve">HCFC-142b) </w:t>
      </w:r>
      <w:r w:rsidR="00EB068A" w:rsidRPr="00ED22D1">
        <w:rPr>
          <w:lang w:val="fr-CA"/>
        </w:rPr>
        <w:t>ont été vérifiées, des contrats ont été signés avec l’</w:t>
      </w:r>
      <w:r w:rsidRPr="00ED22D1">
        <w:rPr>
          <w:lang w:val="fr-CA"/>
        </w:rPr>
        <w:t xml:space="preserve">IECO </w:t>
      </w:r>
      <w:r w:rsidR="00EB068A" w:rsidRPr="00ED22D1">
        <w:rPr>
          <w:lang w:val="fr-CA"/>
        </w:rPr>
        <w:t>pour la reconversion</w:t>
      </w:r>
      <w:r w:rsidRPr="00ED22D1">
        <w:rPr>
          <w:lang w:val="fr-CA"/>
        </w:rPr>
        <w:t xml:space="preserve"> </w:t>
      </w:r>
      <w:r w:rsidR="00EB068A" w:rsidRPr="00ED22D1">
        <w:rPr>
          <w:lang w:val="fr-CA"/>
        </w:rPr>
        <w:t xml:space="preserve">à la technologie avec </w:t>
      </w:r>
      <w:r w:rsidRPr="00ED22D1">
        <w:rPr>
          <w:lang w:val="fr-CA"/>
        </w:rPr>
        <w:t>CO</w:t>
      </w:r>
      <w:r w:rsidRPr="00ED22D1">
        <w:rPr>
          <w:vertAlign w:val="subscript"/>
          <w:lang w:val="fr-CA"/>
        </w:rPr>
        <w:t>2</w:t>
      </w:r>
      <w:r w:rsidR="00EB068A" w:rsidRPr="00ED22D1">
        <w:rPr>
          <w:vertAlign w:val="subscript"/>
          <w:lang w:val="fr-CA"/>
        </w:rPr>
        <w:t>,</w:t>
      </w:r>
      <w:r w:rsidR="00316FD8" w:rsidRPr="00ED22D1">
        <w:rPr>
          <w:lang w:val="fr-CA"/>
        </w:rPr>
        <w:t xml:space="preserve"> et</w:t>
      </w:r>
      <w:r w:rsidR="00F206F2" w:rsidRPr="00ED22D1">
        <w:rPr>
          <w:lang w:val="fr-CA"/>
        </w:rPr>
        <w:t> </w:t>
      </w:r>
      <w:r w:rsidR="00EB068A" w:rsidRPr="00ED22D1">
        <w:rPr>
          <w:lang w:val="fr-CA"/>
        </w:rPr>
        <w:t>elles ont reçu les premiers décaissements</w:t>
      </w:r>
      <w:r w:rsidR="00C420BC" w:rsidRPr="00ED22D1">
        <w:rPr>
          <w:lang w:val="fr-CA"/>
        </w:rPr>
        <w:t>. L’</w:t>
      </w:r>
      <w:r w:rsidR="00EB068A" w:rsidRPr="00ED22D1">
        <w:rPr>
          <w:lang w:val="fr-CA"/>
        </w:rPr>
        <w:t>une de ces entreprises</w:t>
      </w:r>
      <w:r w:rsidRPr="00ED22D1">
        <w:rPr>
          <w:lang w:val="fr-CA"/>
        </w:rPr>
        <w:t xml:space="preserve"> (655</w:t>
      </w:r>
      <w:r w:rsidR="00F206F2" w:rsidRPr="00ED22D1">
        <w:rPr>
          <w:lang w:val="fr-CA"/>
        </w:rPr>
        <w:t> </w:t>
      </w:r>
      <w:r w:rsidR="00EB068A" w:rsidRPr="00ED22D1">
        <w:rPr>
          <w:lang w:val="fr-CA"/>
        </w:rPr>
        <w:t xml:space="preserve">tm </w:t>
      </w:r>
      <w:r w:rsidRPr="00ED22D1">
        <w:rPr>
          <w:lang w:val="fr-CA"/>
        </w:rPr>
        <w:t>o</w:t>
      </w:r>
      <w:r w:rsidR="00EB068A" w:rsidRPr="00ED22D1">
        <w:rPr>
          <w:lang w:val="fr-CA"/>
        </w:rPr>
        <w:t>u</w:t>
      </w:r>
      <w:r w:rsidR="00F206F2" w:rsidRPr="00ED22D1">
        <w:rPr>
          <w:lang w:val="fr-CA"/>
        </w:rPr>
        <w:t> </w:t>
      </w:r>
      <w:r w:rsidRPr="00ED22D1">
        <w:rPr>
          <w:lang w:val="fr-CA"/>
        </w:rPr>
        <w:t>36</w:t>
      </w:r>
      <w:r w:rsidR="00EB068A" w:rsidRPr="00ED22D1">
        <w:rPr>
          <w:lang w:val="fr-CA"/>
        </w:rPr>
        <w:t>,</w:t>
      </w:r>
      <w:r w:rsidRPr="00ED22D1">
        <w:rPr>
          <w:lang w:val="fr-CA"/>
        </w:rPr>
        <w:t>03</w:t>
      </w:r>
      <w:r w:rsidR="00F206F2" w:rsidRPr="00ED22D1">
        <w:rPr>
          <w:lang w:val="fr-CA"/>
        </w:rPr>
        <w:t> </w:t>
      </w:r>
      <w:r w:rsidR="00EB068A" w:rsidRPr="00ED22D1">
        <w:rPr>
          <w:lang w:val="fr-CA"/>
        </w:rPr>
        <w:t>tonnes PAO</w:t>
      </w:r>
      <w:r w:rsidRPr="00ED22D1">
        <w:rPr>
          <w:lang w:val="fr-CA"/>
        </w:rPr>
        <w:t xml:space="preserve">) </w:t>
      </w:r>
      <w:r w:rsidR="00EB068A" w:rsidRPr="00ED22D1">
        <w:rPr>
          <w:lang w:val="fr-CA"/>
        </w:rPr>
        <w:t xml:space="preserve">a déjà reçu et installé les équipements, et cinq autres </w:t>
      </w:r>
      <w:r w:rsidRPr="00ED22D1">
        <w:rPr>
          <w:lang w:val="fr-CA"/>
        </w:rPr>
        <w:t>(1,899</w:t>
      </w:r>
      <w:r w:rsidR="00EB068A" w:rsidRPr="00ED22D1">
        <w:rPr>
          <w:lang w:val="fr-CA"/>
        </w:rPr>
        <w:t xml:space="preserve"> tm ou</w:t>
      </w:r>
      <w:r w:rsidR="00F206F2" w:rsidRPr="00ED22D1">
        <w:rPr>
          <w:lang w:val="fr-CA"/>
        </w:rPr>
        <w:t> </w:t>
      </w:r>
      <w:r w:rsidRPr="00ED22D1">
        <w:rPr>
          <w:lang w:val="fr-CA"/>
        </w:rPr>
        <w:t>109</w:t>
      </w:r>
      <w:r w:rsidR="00EB068A" w:rsidRPr="00ED22D1">
        <w:rPr>
          <w:lang w:val="fr-CA"/>
        </w:rPr>
        <w:t>,</w:t>
      </w:r>
      <w:r w:rsidRPr="00ED22D1">
        <w:rPr>
          <w:lang w:val="fr-CA"/>
        </w:rPr>
        <w:t>20</w:t>
      </w:r>
      <w:r w:rsidR="00EB068A" w:rsidRPr="00ED22D1">
        <w:rPr>
          <w:lang w:val="fr-CA"/>
        </w:rPr>
        <w:t xml:space="preserve"> tonnes PAO</w:t>
      </w:r>
      <w:r w:rsidRPr="00ED22D1">
        <w:rPr>
          <w:lang w:val="fr-CA"/>
        </w:rPr>
        <w:t xml:space="preserve">) </w:t>
      </w:r>
      <w:r w:rsidR="00EB068A" w:rsidRPr="00ED22D1">
        <w:rPr>
          <w:lang w:val="fr-CA"/>
        </w:rPr>
        <w:t>ont déjà signé des contrats d’achat avec les fournisseurs d’équipements et attendent l</w:t>
      </w:r>
      <w:r w:rsidR="00F206F2" w:rsidRPr="00ED22D1">
        <w:rPr>
          <w:lang w:val="fr-CA"/>
        </w:rPr>
        <w:t>eur</w:t>
      </w:r>
      <w:r w:rsidR="00EB068A" w:rsidRPr="00ED22D1">
        <w:rPr>
          <w:lang w:val="fr-CA"/>
        </w:rPr>
        <w:t xml:space="preserve"> livraison</w:t>
      </w:r>
      <w:r w:rsidRPr="00ED22D1">
        <w:rPr>
          <w:lang w:val="fr-CA"/>
        </w:rPr>
        <w:t>;</w:t>
      </w:r>
    </w:p>
    <w:p w:rsidR="0085675A" w:rsidRPr="00ED22D1" w:rsidRDefault="007D2C9E" w:rsidP="00DE369D">
      <w:pPr>
        <w:pStyle w:val="Heading2"/>
        <w:numPr>
          <w:ilvl w:val="0"/>
          <w:numId w:val="0"/>
        </w:numPr>
        <w:ind w:left="1440" w:hanging="731"/>
        <w:rPr>
          <w:lang w:val="fr-CA"/>
        </w:rPr>
      </w:pPr>
      <w:r w:rsidRPr="00ED22D1">
        <w:rPr>
          <w:lang w:val="fr-CA"/>
        </w:rPr>
        <w:t>(c)</w:t>
      </w:r>
      <w:r w:rsidRPr="00ED22D1">
        <w:rPr>
          <w:i/>
          <w:lang w:val="fr-CA"/>
        </w:rPr>
        <w:tab/>
      </w:r>
      <w:r w:rsidR="00DE369D" w:rsidRPr="00ED22D1">
        <w:rPr>
          <w:i/>
          <w:lang w:val="fr-CA"/>
        </w:rPr>
        <w:t>Secteur de la climatisation et de la réfrigération industrielle et commerciale (</w:t>
      </w:r>
      <w:r w:rsidR="0085675A" w:rsidRPr="00ED22D1">
        <w:rPr>
          <w:i/>
          <w:lang w:val="fr-CA"/>
        </w:rPr>
        <w:t>ICR</w:t>
      </w:r>
      <w:r w:rsidR="00DE369D" w:rsidRPr="00ED22D1">
        <w:rPr>
          <w:i/>
          <w:lang w:val="fr-CA"/>
        </w:rPr>
        <w:t>)</w:t>
      </w:r>
      <w:r w:rsidR="00791BF7" w:rsidRPr="00ED22D1">
        <w:rPr>
          <w:i/>
          <w:lang w:val="fr-CA"/>
        </w:rPr>
        <w:t> :</w:t>
      </w:r>
      <w:r w:rsidR="0085675A" w:rsidRPr="00ED22D1">
        <w:rPr>
          <w:lang w:val="fr-CA"/>
        </w:rPr>
        <w:t xml:space="preserve"> </w:t>
      </w:r>
      <w:r w:rsidR="00DE369D" w:rsidRPr="00ED22D1">
        <w:rPr>
          <w:lang w:val="fr-CA"/>
        </w:rPr>
        <w:t>Des</w:t>
      </w:r>
      <w:r w:rsidR="00F206F2" w:rsidRPr="00ED22D1">
        <w:rPr>
          <w:lang w:val="fr-CA"/>
        </w:rPr>
        <w:t> </w:t>
      </w:r>
      <w:r w:rsidR="00DE369D" w:rsidRPr="00ED22D1">
        <w:rPr>
          <w:lang w:val="fr-CA"/>
        </w:rPr>
        <w:t>c</w:t>
      </w:r>
      <w:r w:rsidR="00921BDE" w:rsidRPr="00ED22D1">
        <w:rPr>
          <w:lang w:val="fr-CA"/>
        </w:rPr>
        <w:t>ontrats</w:t>
      </w:r>
      <w:r w:rsidR="0085675A" w:rsidRPr="00ED22D1">
        <w:rPr>
          <w:lang w:val="fr-CA"/>
        </w:rPr>
        <w:t xml:space="preserve"> </w:t>
      </w:r>
      <w:r w:rsidR="00DE369D" w:rsidRPr="00ED22D1">
        <w:rPr>
          <w:lang w:val="fr-CA"/>
        </w:rPr>
        <w:t xml:space="preserve">ont été signés avec </w:t>
      </w:r>
      <w:r w:rsidR="0085675A" w:rsidRPr="00ED22D1">
        <w:rPr>
          <w:lang w:val="fr-CA"/>
        </w:rPr>
        <w:t xml:space="preserve">12 </w:t>
      </w:r>
      <w:r w:rsidR="00921BDE" w:rsidRPr="00ED22D1">
        <w:rPr>
          <w:lang w:val="fr-CA"/>
        </w:rPr>
        <w:t>entreprise</w:t>
      </w:r>
      <w:r w:rsidR="0085675A" w:rsidRPr="00ED22D1">
        <w:rPr>
          <w:lang w:val="fr-CA"/>
        </w:rPr>
        <w:t xml:space="preserve">s </w:t>
      </w:r>
      <w:r w:rsidR="00DE369D" w:rsidRPr="00ED22D1">
        <w:rPr>
          <w:lang w:val="fr-CA"/>
        </w:rPr>
        <w:t xml:space="preserve">pour la </w:t>
      </w:r>
      <w:r w:rsidR="00F206F2" w:rsidRPr="00ED22D1">
        <w:rPr>
          <w:lang w:val="fr-CA"/>
        </w:rPr>
        <w:t xml:space="preserve">reconversion </w:t>
      </w:r>
      <w:r w:rsidR="00DE369D" w:rsidRPr="00ED22D1">
        <w:rPr>
          <w:lang w:val="fr-CA"/>
        </w:rPr>
        <w:t>de</w:t>
      </w:r>
      <w:r w:rsidR="00F206F2" w:rsidRPr="00ED22D1">
        <w:rPr>
          <w:lang w:val="fr-CA"/>
        </w:rPr>
        <w:t> </w:t>
      </w:r>
      <w:r w:rsidR="0085675A" w:rsidRPr="00ED22D1">
        <w:rPr>
          <w:lang w:val="fr-CA"/>
        </w:rPr>
        <w:t>18 </w:t>
      </w:r>
      <w:r w:rsidR="00DE369D" w:rsidRPr="00ED22D1">
        <w:rPr>
          <w:lang w:val="fr-CA"/>
        </w:rPr>
        <w:t>circuits</w:t>
      </w:r>
      <w:r w:rsidR="00F206F2" w:rsidRPr="00ED22D1">
        <w:rPr>
          <w:lang w:val="fr-CA"/>
        </w:rPr>
        <w:t> </w:t>
      </w:r>
      <w:r w:rsidR="00DE369D" w:rsidRPr="00ED22D1">
        <w:rPr>
          <w:lang w:val="fr-CA"/>
        </w:rPr>
        <w:t xml:space="preserve">de fabrication afin d’éliminer </w:t>
      </w:r>
      <w:r w:rsidR="004A6828" w:rsidRPr="00ED22D1">
        <w:rPr>
          <w:lang w:val="fr-CA"/>
        </w:rPr>
        <w:t>2 </w:t>
      </w:r>
      <w:r w:rsidR="0085675A" w:rsidRPr="00ED22D1">
        <w:rPr>
          <w:lang w:val="fr-CA"/>
        </w:rPr>
        <w:t>55</w:t>
      </w:r>
      <w:r w:rsidR="004A6828" w:rsidRPr="00ED22D1">
        <w:rPr>
          <w:lang w:val="fr-CA"/>
        </w:rPr>
        <w:t>8,</w:t>
      </w:r>
      <w:r w:rsidR="0085675A" w:rsidRPr="00ED22D1">
        <w:rPr>
          <w:lang w:val="fr-CA"/>
        </w:rPr>
        <w:t>18</w:t>
      </w:r>
      <w:r w:rsidR="004B666A" w:rsidRPr="00ED22D1">
        <w:rPr>
          <w:lang w:val="fr-CA"/>
        </w:rPr>
        <w:t xml:space="preserve"> tm </w:t>
      </w:r>
      <w:r w:rsidR="00DE369D" w:rsidRPr="00ED22D1">
        <w:rPr>
          <w:lang w:val="fr-CA"/>
        </w:rPr>
        <w:t>de</w:t>
      </w:r>
      <w:r w:rsidR="0085675A" w:rsidRPr="00ED22D1">
        <w:rPr>
          <w:lang w:val="fr-CA"/>
        </w:rPr>
        <w:t xml:space="preserve"> HCFC-22 </w:t>
      </w:r>
      <w:r w:rsidR="00DE369D" w:rsidRPr="00ED22D1">
        <w:rPr>
          <w:lang w:val="fr-CA"/>
        </w:rPr>
        <w:t xml:space="preserve">après </w:t>
      </w:r>
      <w:r w:rsidR="00921BDE" w:rsidRPr="00ED22D1">
        <w:rPr>
          <w:lang w:val="fr-CA"/>
        </w:rPr>
        <w:t>vérification</w:t>
      </w:r>
      <w:r w:rsidR="0085675A" w:rsidRPr="00ED22D1">
        <w:rPr>
          <w:lang w:val="fr-CA"/>
        </w:rPr>
        <w:t xml:space="preserve"> </w:t>
      </w:r>
      <w:r w:rsidR="00DE369D" w:rsidRPr="00ED22D1">
        <w:rPr>
          <w:lang w:val="fr-CA"/>
        </w:rPr>
        <w:t xml:space="preserve">de la consommation de </w:t>
      </w:r>
      <w:r w:rsidR="00CD72DB" w:rsidRPr="00ED22D1">
        <w:rPr>
          <w:lang w:val="fr-CA"/>
        </w:rPr>
        <w:t>référence</w:t>
      </w:r>
      <w:r w:rsidR="0085675A" w:rsidRPr="00ED22D1">
        <w:rPr>
          <w:lang w:val="fr-CA"/>
        </w:rPr>
        <w:t xml:space="preserve"> </w:t>
      </w:r>
      <w:r w:rsidR="004A6828" w:rsidRPr="00ED22D1">
        <w:rPr>
          <w:lang w:val="fr-CA"/>
        </w:rPr>
        <w:t xml:space="preserve">et </w:t>
      </w:r>
      <w:r w:rsidR="00DE369D" w:rsidRPr="00ED22D1">
        <w:rPr>
          <w:lang w:val="fr-CA"/>
        </w:rPr>
        <w:t>de la capacité de ces circuits</w:t>
      </w:r>
      <w:r w:rsidR="0085675A" w:rsidRPr="00ED22D1">
        <w:rPr>
          <w:lang w:val="fr-CA"/>
        </w:rPr>
        <w:t xml:space="preserve">. </w:t>
      </w:r>
      <w:r w:rsidR="00921BDE" w:rsidRPr="00ED22D1">
        <w:rPr>
          <w:lang w:val="fr-CA"/>
        </w:rPr>
        <w:t xml:space="preserve">La mise en oeuvre </w:t>
      </w:r>
      <w:r w:rsidR="00E71388" w:rsidRPr="00ED22D1">
        <w:rPr>
          <w:lang w:val="fr-CA"/>
        </w:rPr>
        <w:t>d</w:t>
      </w:r>
      <w:r w:rsidR="00DE369D" w:rsidRPr="00ED22D1">
        <w:rPr>
          <w:lang w:val="fr-CA"/>
        </w:rPr>
        <w:t>e ces</w:t>
      </w:r>
      <w:r w:rsidR="00E71388" w:rsidRPr="00ED22D1">
        <w:rPr>
          <w:lang w:val="fr-CA"/>
        </w:rPr>
        <w:t xml:space="preserve"> projet</w:t>
      </w:r>
      <w:r w:rsidR="001B45EC" w:rsidRPr="00ED22D1">
        <w:rPr>
          <w:lang w:val="fr-CA"/>
        </w:rPr>
        <w:t>s de reconversion</w:t>
      </w:r>
      <w:r w:rsidR="0085675A" w:rsidRPr="00ED22D1">
        <w:rPr>
          <w:lang w:val="fr-CA"/>
        </w:rPr>
        <w:t xml:space="preserve"> </w:t>
      </w:r>
      <w:r w:rsidR="00DE369D" w:rsidRPr="00ED22D1">
        <w:rPr>
          <w:lang w:val="fr-CA"/>
        </w:rPr>
        <w:t xml:space="preserve">avance et on en assure un suivi étroit conformément </w:t>
      </w:r>
      <w:r w:rsidR="00055A09" w:rsidRPr="00ED22D1">
        <w:rPr>
          <w:lang w:val="fr-CA"/>
        </w:rPr>
        <w:t>aux</w:t>
      </w:r>
      <w:r w:rsidR="00DE369D" w:rsidRPr="00ED22D1">
        <w:rPr>
          <w:lang w:val="fr-CA"/>
        </w:rPr>
        <w:t xml:space="preserve"> objectifs </w:t>
      </w:r>
      <w:r w:rsidR="00DE369D" w:rsidRPr="00ED22D1">
        <w:rPr>
          <w:lang w:val="fr-CA"/>
        </w:rPr>
        <w:lastRenderedPageBreak/>
        <w:t>déterminés</w:t>
      </w:r>
      <w:r w:rsidR="0085675A" w:rsidRPr="00ED22D1">
        <w:rPr>
          <w:lang w:val="fr-CA"/>
        </w:rPr>
        <w:t>.</w:t>
      </w:r>
      <w:r w:rsidR="0085675A" w:rsidRPr="00ED22D1">
        <w:rPr>
          <w:rStyle w:val="FootnoteReference"/>
          <w:lang w:val="fr-CA"/>
        </w:rPr>
        <w:footnoteReference w:id="6"/>
      </w:r>
      <w:r w:rsidR="00921BDE" w:rsidRPr="00ED22D1">
        <w:rPr>
          <w:lang w:val="fr-CA"/>
        </w:rPr>
        <w:t xml:space="preserve"> </w:t>
      </w:r>
      <w:r w:rsidR="00DE369D" w:rsidRPr="00ED22D1">
        <w:rPr>
          <w:lang w:val="fr-CA"/>
        </w:rPr>
        <w:t>D</w:t>
      </w:r>
      <w:r w:rsidR="00921BDE" w:rsidRPr="00ED22D1">
        <w:rPr>
          <w:lang w:val="fr-CA"/>
        </w:rPr>
        <w:t xml:space="preserve">ix </w:t>
      </w:r>
      <w:r w:rsidR="00DE369D" w:rsidRPr="00ED22D1">
        <w:rPr>
          <w:lang w:val="fr-CA"/>
        </w:rPr>
        <w:t>circuits ont terminé l</w:t>
      </w:r>
      <w:r w:rsidR="00D21823">
        <w:rPr>
          <w:lang w:val="fr-CA"/>
        </w:rPr>
        <w:t>’élaboration d’un</w:t>
      </w:r>
      <w:r w:rsidR="00DE369D" w:rsidRPr="00ED22D1">
        <w:rPr>
          <w:lang w:val="fr-CA"/>
        </w:rPr>
        <w:t xml:space="preserve"> prototype, la </w:t>
      </w:r>
      <w:r w:rsidR="00FB1DC4" w:rsidRPr="00ED22D1">
        <w:rPr>
          <w:lang w:val="fr-CA"/>
        </w:rPr>
        <w:t>reconversion</w:t>
      </w:r>
      <w:r w:rsidR="004A6828" w:rsidRPr="00ED22D1">
        <w:rPr>
          <w:lang w:val="fr-CA"/>
        </w:rPr>
        <w:t xml:space="preserve"> et </w:t>
      </w:r>
      <w:r w:rsidR="00DE369D" w:rsidRPr="00ED22D1">
        <w:rPr>
          <w:lang w:val="fr-CA"/>
        </w:rPr>
        <w:t>l’essai de</w:t>
      </w:r>
      <w:r w:rsidR="00F206F2" w:rsidRPr="00ED22D1">
        <w:rPr>
          <w:lang w:val="fr-CA"/>
        </w:rPr>
        <w:t> </w:t>
      </w:r>
      <w:r w:rsidR="005A6A81" w:rsidRPr="00ED22D1">
        <w:rPr>
          <w:lang w:val="fr-CA"/>
        </w:rPr>
        <w:t>rendement</w:t>
      </w:r>
      <w:r w:rsidR="0085675A" w:rsidRPr="00ED22D1">
        <w:rPr>
          <w:lang w:val="fr-CA"/>
        </w:rPr>
        <w:t xml:space="preserve">; </w:t>
      </w:r>
      <w:r w:rsidR="005A6A81" w:rsidRPr="00ED22D1">
        <w:rPr>
          <w:lang w:val="fr-CA"/>
        </w:rPr>
        <w:t>un circuit a terminé la conception et signé le contrat d’achat</w:t>
      </w:r>
      <w:r w:rsidR="0085675A" w:rsidRPr="00ED22D1">
        <w:rPr>
          <w:lang w:val="fr-CA"/>
        </w:rPr>
        <w:t xml:space="preserve">; six </w:t>
      </w:r>
      <w:r w:rsidR="005A6A81" w:rsidRPr="00ED22D1">
        <w:rPr>
          <w:lang w:val="fr-CA"/>
        </w:rPr>
        <w:t>circuits ont terminé la conception</w:t>
      </w:r>
      <w:r w:rsidR="0085675A" w:rsidRPr="00ED22D1">
        <w:rPr>
          <w:lang w:val="fr-CA"/>
        </w:rPr>
        <w:t>;</w:t>
      </w:r>
      <w:r w:rsidR="004A6828" w:rsidRPr="00ED22D1">
        <w:rPr>
          <w:lang w:val="fr-CA"/>
        </w:rPr>
        <w:t xml:space="preserve"> et</w:t>
      </w:r>
      <w:r w:rsidR="005A6A81" w:rsidRPr="00ED22D1">
        <w:rPr>
          <w:lang w:val="fr-CA"/>
        </w:rPr>
        <w:t xml:space="preserve"> un circuit vient de signer le contrat de </w:t>
      </w:r>
      <w:r w:rsidR="00FB1DC4" w:rsidRPr="00ED22D1">
        <w:rPr>
          <w:lang w:val="fr-CA"/>
        </w:rPr>
        <w:t>reconversion</w:t>
      </w:r>
      <w:r w:rsidR="0085675A" w:rsidRPr="00ED22D1">
        <w:rPr>
          <w:lang w:val="fr-CA"/>
        </w:rPr>
        <w:t xml:space="preserve"> </w:t>
      </w:r>
      <w:r w:rsidR="005A6A81" w:rsidRPr="00ED22D1">
        <w:rPr>
          <w:lang w:val="fr-CA"/>
        </w:rPr>
        <w:t>et est</w:t>
      </w:r>
      <w:r w:rsidR="00F206F2" w:rsidRPr="00ED22D1">
        <w:rPr>
          <w:lang w:val="fr-CA"/>
        </w:rPr>
        <w:t> </w:t>
      </w:r>
      <w:r w:rsidR="005A6A81" w:rsidRPr="00ED22D1">
        <w:rPr>
          <w:lang w:val="fr-CA"/>
        </w:rPr>
        <w:t>en</w:t>
      </w:r>
      <w:r w:rsidR="00F206F2" w:rsidRPr="00ED22D1">
        <w:rPr>
          <w:lang w:val="fr-CA"/>
        </w:rPr>
        <w:t> </w:t>
      </w:r>
      <w:r w:rsidR="005A6A81" w:rsidRPr="00ED22D1">
        <w:rPr>
          <w:lang w:val="fr-CA"/>
        </w:rPr>
        <w:t>cours de conception</w:t>
      </w:r>
      <w:r w:rsidR="0085675A" w:rsidRPr="00ED22D1">
        <w:rPr>
          <w:lang w:val="fr-CA"/>
        </w:rPr>
        <w:t xml:space="preserve">.  </w:t>
      </w:r>
    </w:p>
    <w:p w:rsidR="0085675A" w:rsidRPr="00ED22D1" w:rsidRDefault="007D2C9E" w:rsidP="004D1673">
      <w:pPr>
        <w:pStyle w:val="Heading2"/>
        <w:numPr>
          <w:ilvl w:val="0"/>
          <w:numId w:val="0"/>
        </w:numPr>
        <w:ind w:left="1418" w:hanging="698"/>
        <w:rPr>
          <w:u w:val="single"/>
          <w:lang w:val="fr-CA"/>
        </w:rPr>
      </w:pPr>
      <w:r w:rsidRPr="00ED22D1">
        <w:rPr>
          <w:lang w:val="fr-CA"/>
        </w:rPr>
        <w:t>(d)</w:t>
      </w:r>
      <w:r w:rsidRPr="00ED22D1">
        <w:rPr>
          <w:i/>
          <w:lang w:val="fr-CA"/>
        </w:rPr>
        <w:tab/>
      </w:r>
      <w:r w:rsidR="004D1673" w:rsidRPr="00ED22D1">
        <w:rPr>
          <w:i/>
          <w:lang w:val="fr-CA"/>
        </w:rPr>
        <w:t>Secteur des climatiseurs résidentiels</w:t>
      </w:r>
      <w:r w:rsidR="00791BF7" w:rsidRPr="00ED22D1">
        <w:rPr>
          <w:i/>
          <w:lang w:val="fr-CA"/>
        </w:rPr>
        <w:t> :</w:t>
      </w:r>
      <w:r w:rsidR="0085675A" w:rsidRPr="00ED22D1">
        <w:rPr>
          <w:lang w:val="fr-CA"/>
        </w:rPr>
        <w:t xml:space="preserve"> </w:t>
      </w:r>
      <w:r w:rsidR="00F320D6" w:rsidRPr="00ED22D1">
        <w:rPr>
          <w:lang w:val="fr-CA"/>
        </w:rPr>
        <w:t xml:space="preserve">Contrat </w:t>
      </w:r>
      <w:r w:rsidR="004A6828" w:rsidRPr="00ED22D1">
        <w:rPr>
          <w:lang w:val="fr-CA"/>
        </w:rPr>
        <w:t>entre</w:t>
      </w:r>
      <w:r w:rsidR="00F320D6" w:rsidRPr="00ED22D1">
        <w:rPr>
          <w:lang w:val="fr-CA"/>
        </w:rPr>
        <w:t xml:space="preserve"> l’IECO</w:t>
      </w:r>
      <w:r w:rsidR="004A6828" w:rsidRPr="00ED22D1">
        <w:rPr>
          <w:lang w:val="fr-CA"/>
        </w:rPr>
        <w:t xml:space="preserve"> et</w:t>
      </w:r>
      <w:r w:rsidR="001F19C1" w:rsidRPr="00ED22D1">
        <w:rPr>
          <w:lang w:val="fr-CA"/>
        </w:rPr>
        <w:t xml:space="preserve"> l’ONUDI</w:t>
      </w:r>
      <w:r w:rsidR="0085675A" w:rsidRPr="00ED22D1">
        <w:rPr>
          <w:lang w:val="fr-CA"/>
        </w:rPr>
        <w:t xml:space="preserve"> </w:t>
      </w:r>
      <w:r w:rsidR="00921BDE" w:rsidRPr="00ED22D1">
        <w:rPr>
          <w:lang w:val="fr-CA"/>
        </w:rPr>
        <w:t>pour la mise en</w:t>
      </w:r>
      <w:r w:rsidR="00F206F2" w:rsidRPr="00ED22D1">
        <w:rPr>
          <w:lang w:val="fr-CA"/>
        </w:rPr>
        <w:t> </w:t>
      </w:r>
      <w:r w:rsidR="00921BDE" w:rsidRPr="00ED22D1">
        <w:rPr>
          <w:lang w:val="fr-CA"/>
        </w:rPr>
        <w:t xml:space="preserve">oeuvre </w:t>
      </w:r>
      <w:r w:rsidR="00F320D6" w:rsidRPr="00ED22D1">
        <w:rPr>
          <w:lang w:val="fr-CA"/>
        </w:rPr>
        <w:t>du</w:t>
      </w:r>
      <w:r w:rsidR="004A6828" w:rsidRPr="00ED22D1">
        <w:rPr>
          <w:lang w:val="fr-CA"/>
        </w:rPr>
        <w:t xml:space="preserve"> </w:t>
      </w:r>
      <w:r w:rsidR="00F320D6" w:rsidRPr="00ED22D1">
        <w:rPr>
          <w:lang w:val="fr-CA"/>
        </w:rPr>
        <w:t xml:space="preserve">plan du </w:t>
      </w:r>
      <w:r w:rsidR="00DE118B" w:rsidRPr="00ED22D1">
        <w:rPr>
          <w:lang w:val="fr-CA"/>
        </w:rPr>
        <w:t>secteur des climatiseurs résidentiels</w:t>
      </w:r>
      <w:r w:rsidR="0085675A" w:rsidRPr="00ED22D1">
        <w:rPr>
          <w:lang w:val="fr-CA"/>
        </w:rPr>
        <w:t xml:space="preserve"> </w:t>
      </w:r>
      <w:r w:rsidR="00352A3F" w:rsidRPr="00ED22D1">
        <w:rPr>
          <w:lang w:val="fr-CA"/>
        </w:rPr>
        <w:t xml:space="preserve">a été </w:t>
      </w:r>
      <w:r w:rsidR="00F320D6" w:rsidRPr="00ED22D1">
        <w:rPr>
          <w:lang w:val="fr-CA"/>
        </w:rPr>
        <w:t>signé</w:t>
      </w:r>
      <w:r w:rsidR="0085675A" w:rsidRPr="00ED22D1">
        <w:rPr>
          <w:lang w:val="fr-CA"/>
        </w:rPr>
        <w:t xml:space="preserve"> </w:t>
      </w:r>
      <w:r w:rsidR="00352A3F" w:rsidRPr="00ED22D1">
        <w:rPr>
          <w:lang w:val="fr-CA"/>
        </w:rPr>
        <w:t>e</w:t>
      </w:r>
      <w:r w:rsidR="0085675A" w:rsidRPr="00ED22D1">
        <w:rPr>
          <w:lang w:val="fr-CA"/>
        </w:rPr>
        <w:t>n</w:t>
      </w:r>
      <w:r w:rsidR="00F320D6" w:rsidRPr="00ED22D1">
        <w:rPr>
          <w:lang w:val="fr-CA"/>
        </w:rPr>
        <w:t xml:space="preserve"> octobre</w:t>
      </w:r>
      <w:r w:rsidR="0085675A" w:rsidRPr="00ED22D1">
        <w:rPr>
          <w:lang w:val="fr-CA"/>
        </w:rPr>
        <w:t xml:space="preserve"> 2017</w:t>
      </w:r>
      <w:r w:rsidR="0031390F" w:rsidRPr="00ED22D1">
        <w:rPr>
          <w:lang w:val="fr-CA"/>
        </w:rPr>
        <w:t>. Le</w:t>
      </w:r>
      <w:r w:rsidR="00F206F2" w:rsidRPr="00ED22D1">
        <w:rPr>
          <w:lang w:val="fr-CA"/>
        </w:rPr>
        <w:t> </w:t>
      </w:r>
      <w:r w:rsidR="00F320D6" w:rsidRPr="00ED22D1">
        <w:rPr>
          <w:lang w:val="fr-CA"/>
        </w:rPr>
        <w:t xml:space="preserve">FECO </w:t>
      </w:r>
      <w:r w:rsidR="00352A3F" w:rsidRPr="00ED22D1">
        <w:rPr>
          <w:lang w:val="fr-CA"/>
        </w:rPr>
        <w:t xml:space="preserve">a </w:t>
      </w:r>
      <w:r w:rsidR="00F320D6" w:rsidRPr="00ED22D1">
        <w:rPr>
          <w:lang w:val="fr-CA"/>
        </w:rPr>
        <w:t>signé</w:t>
      </w:r>
      <w:r w:rsidR="0085675A" w:rsidRPr="00ED22D1">
        <w:rPr>
          <w:lang w:val="fr-CA"/>
        </w:rPr>
        <w:t xml:space="preserve"> </w:t>
      </w:r>
      <w:r w:rsidR="00352A3F" w:rsidRPr="00ED22D1">
        <w:rPr>
          <w:lang w:val="fr-CA"/>
        </w:rPr>
        <w:t xml:space="preserve">des </w:t>
      </w:r>
      <w:r w:rsidR="00921BDE" w:rsidRPr="00ED22D1">
        <w:rPr>
          <w:lang w:val="fr-CA"/>
        </w:rPr>
        <w:t>contrats</w:t>
      </w:r>
      <w:r w:rsidR="0085675A" w:rsidRPr="00ED22D1">
        <w:rPr>
          <w:lang w:val="fr-CA"/>
        </w:rPr>
        <w:t xml:space="preserve"> </w:t>
      </w:r>
      <w:r w:rsidR="00B84F94" w:rsidRPr="00ED22D1">
        <w:rPr>
          <w:lang w:val="fr-CA"/>
        </w:rPr>
        <w:t xml:space="preserve">avec </w:t>
      </w:r>
      <w:r w:rsidR="00352A3F" w:rsidRPr="00ED22D1">
        <w:rPr>
          <w:lang w:val="fr-CA"/>
        </w:rPr>
        <w:t>la</w:t>
      </w:r>
      <w:r w:rsidR="0085675A" w:rsidRPr="00ED22D1">
        <w:rPr>
          <w:lang w:val="fr-CA"/>
        </w:rPr>
        <w:t xml:space="preserve"> </w:t>
      </w:r>
      <w:r w:rsidR="00D26EF9" w:rsidRPr="00ED22D1">
        <w:rPr>
          <w:lang w:val="fr-CA"/>
        </w:rPr>
        <w:t>Chin</w:t>
      </w:r>
      <w:r w:rsidR="00352A3F" w:rsidRPr="00ED22D1">
        <w:rPr>
          <w:lang w:val="fr-CA"/>
        </w:rPr>
        <w:t>a</w:t>
      </w:r>
      <w:r w:rsidR="0085675A" w:rsidRPr="00ED22D1">
        <w:rPr>
          <w:lang w:val="fr-CA"/>
        </w:rPr>
        <w:t xml:space="preserve"> Household Electric Appliances Association (CHEAA)</w:t>
      </w:r>
      <w:r w:rsidR="004A6828" w:rsidRPr="00ED22D1">
        <w:rPr>
          <w:lang w:val="fr-CA"/>
        </w:rPr>
        <w:t xml:space="preserve"> et </w:t>
      </w:r>
      <w:r w:rsidR="00352A3F" w:rsidRPr="00ED22D1">
        <w:rPr>
          <w:lang w:val="fr-CA"/>
        </w:rPr>
        <w:t xml:space="preserve">le cabinet de vérification comptable vérifiera indépendamment les </w:t>
      </w:r>
      <w:r w:rsidR="00BD2F3B" w:rsidRPr="00ED22D1">
        <w:rPr>
          <w:lang w:val="fr-CA"/>
        </w:rPr>
        <w:t xml:space="preserve">circuits </w:t>
      </w:r>
      <w:r w:rsidR="00352A3F" w:rsidRPr="00ED22D1">
        <w:rPr>
          <w:lang w:val="fr-CA"/>
        </w:rPr>
        <w:t>à</w:t>
      </w:r>
      <w:r w:rsidR="00F206F2" w:rsidRPr="00ED22D1">
        <w:rPr>
          <w:lang w:val="fr-CA"/>
        </w:rPr>
        <w:t> </w:t>
      </w:r>
      <w:r w:rsidR="00352A3F" w:rsidRPr="00ED22D1">
        <w:rPr>
          <w:lang w:val="fr-CA"/>
        </w:rPr>
        <w:t>reconvertir</w:t>
      </w:r>
      <w:r w:rsidR="0085675A" w:rsidRPr="00ED22D1">
        <w:rPr>
          <w:lang w:val="fr-CA"/>
        </w:rPr>
        <w:t xml:space="preserve">. </w:t>
      </w:r>
      <w:r w:rsidR="00352A3F" w:rsidRPr="00ED22D1">
        <w:rPr>
          <w:lang w:val="fr-CA"/>
        </w:rPr>
        <w:t>Des c</w:t>
      </w:r>
      <w:r w:rsidR="00921BDE" w:rsidRPr="00ED22D1">
        <w:rPr>
          <w:lang w:val="fr-CA"/>
        </w:rPr>
        <w:t>ontrats</w:t>
      </w:r>
      <w:r w:rsidR="0085675A" w:rsidRPr="00ED22D1">
        <w:rPr>
          <w:lang w:val="fr-CA"/>
        </w:rPr>
        <w:t xml:space="preserve"> </w:t>
      </w:r>
      <w:r w:rsidR="00352A3F" w:rsidRPr="00ED22D1">
        <w:rPr>
          <w:lang w:val="fr-CA"/>
        </w:rPr>
        <w:t xml:space="preserve">pour la </w:t>
      </w:r>
      <w:r w:rsidR="00FB1DC4" w:rsidRPr="00ED22D1">
        <w:rPr>
          <w:lang w:val="fr-CA"/>
        </w:rPr>
        <w:t>reconversion</w:t>
      </w:r>
      <w:r w:rsidR="0085675A" w:rsidRPr="00ED22D1">
        <w:rPr>
          <w:lang w:val="fr-CA"/>
        </w:rPr>
        <w:t xml:space="preserve"> </w:t>
      </w:r>
      <w:r w:rsidR="00352A3F" w:rsidRPr="00ED22D1">
        <w:rPr>
          <w:lang w:val="fr-CA"/>
        </w:rPr>
        <w:t>de</w:t>
      </w:r>
      <w:r w:rsidR="0085675A" w:rsidRPr="00ED22D1">
        <w:rPr>
          <w:lang w:val="fr-CA"/>
        </w:rPr>
        <w:t xml:space="preserve"> </w:t>
      </w:r>
      <w:r w:rsidR="00352A3F" w:rsidRPr="00ED22D1">
        <w:rPr>
          <w:lang w:val="fr-CA"/>
        </w:rPr>
        <w:t>quatre circuits de fabrication de</w:t>
      </w:r>
      <w:r w:rsidR="00F206F2" w:rsidRPr="00ED22D1">
        <w:rPr>
          <w:lang w:val="fr-CA"/>
        </w:rPr>
        <w:t> </w:t>
      </w:r>
      <w:r w:rsidR="00352A3F" w:rsidRPr="00ED22D1">
        <w:rPr>
          <w:lang w:val="fr-CA"/>
        </w:rPr>
        <w:t xml:space="preserve">compresseurs avec une capacité totale de production de </w:t>
      </w:r>
      <w:r w:rsidR="004A6828" w:rsidRPr="00ED22D1">
        <w:rPr>
          <w:lang w:val="fr-CA"/>
        </w:rPr>
        <w:t>5 </w:t>
      </w:r>
      <w:r w:rsidR="0085675A" w:rsidRPr="00ED22D1">
        <w:rPr>
          <w:lang w:val="fr-CA"/>
        </w:rPr>
        <w:t>42</w:t>
      </w:r>
      <w:r w:rsidR="004A6828" w:rsidRPr="00ED22D1">
        <w:rPr>
          <w:lang w:val="fr-CA"/>
        </w:rPr>
        <w:t>3 </w:t>
      </w:r>
      <w:r w:rsidR="0085675A" w:rsidRPr="00ED22D1">
        <w:rPr>
          <w:lang w:val="fr-CA"/>
        </w:rPr>
        <w:t>441 unit</w:t>
      </w:r>
      <w:r w:rsidR="00352A3F" w:rsidRPr="00ED22D1">
        <w:rPr>
          <w:lang w:val="fr-CA"/>
        </w:rPr>
        <w:t>é</w:t>
      </w:r>
      <w:r w:rsidR="0085675A" w:rsidRPr="00ED22D1">
        <w:rPr>
          <w:lang w:val="fr-CA"/>
        </w:rPr>
        <w:t>s</w:t>
      </w:r>
      <w:r w:rsidR="00352A3F" w:rsidRPr="00ED22D1">
        <w:rPr>
          <w:lang w:val="fr-CA"/>
        </w:rPr>
        <w:t xml:space="preserve"> par </w:t>
      </w:r>
      <w:r w:rsidR="0052712E" w:rsidRPr="00ED22D1">
        <w:rPr>
          <w:lang w:val="fr-CA"/>
        </w:rPr>
        <w:t>année</w:t>
      </w:r>
      <w:r w:rsidR="004A6828" w:rsidRPr="00ED22D1">
        <w:rPr>
          <w:lang w:val="fr-CA"/>
        </w:rPr>
        <w:t xml:space="preserve"> et </w:t>
      </w:r>
      <w:r w:rsidR="00B84F94" w:rsidRPr="00ED22D1">
        <w:rPr>
          <w:lang w:val="fr-CA"/>
        </w:rPr>
        <w:t xml:space="preserve">avec </w:t>
      </w:r>
      <w:r w:rsidR="00352A3F" w:rsidRPr="00ED22D1">
        <w:rPr>
          <w:lang w:val="fr-CA"/>
        </w:rPr>
        <w:t xml:space="preserve">cinq circuits de </w:t>
      </w:r>
      <w:r w:rsidR="004A6828" w:rsidRPr="00ED22D1">
        <w:rPr>
          <w:lang w:val="fr-CA"/>
        </w:rPr>
        <w:t xml:space="preserve">climatiseurs résidentiels </w:t>
      </w:r>
      <w:r w:rsidR="00B84F94" w:rsidRPr="00ED22D1">
        <w:rPr>
          <w:lang w:val="fr-CA"/>
        </w:rPr>
        <w:t xml:space="preserve">avec </w:t>
      </w:r>
      <w:r w:rsidR="0085675A" w:rsidRPr="00ED22D1">
        <w:rPr>
          <w:lang w:val="fr-CA"/>
        </w:rPr>
        <w:t xml:space="preserve">a </w:t>
      </w:r>
      <w:r w:rsidR="00046133" w:rsidRPr="00ED22D1">
        <w:rPr>
          <w:lang w:val="fr-CA"/>
        </w:rPr>
        <w:t>consommation totale</w:t>
      </w:r>
      <w:r w:rsidR="00AE1617" w:rsidRPr="00ED22D1">
        <w:rPr>
          <w:lang w:val="fr-CA"/>
        </w:rPr>
        <w:t xml:space="preserve"> de</w:t>
      </w:r>
      <w:r w:rsidR="0085675A" w:rsidRPr="00ED22D1">
        <w:rPr>
          <w:lang w:val="fr-CA"/>
        </w:rPr>
        <w:t xml:space="preserve"> </w:t>
      </w:r>
      <w:r w:rsidR="004A6828" w:rsidRPr="00ED22D1">
        <w:rPr>
          <w:lang w:val="fr-CA"/>
        </w:rPr>
        <w:t>2 </w:t>
      </w:r>
      <w:r w:rsidR="0085675A" w:rsidRPr="00ED22D1">
        <w:rPr>
          <w:lang w:val="fr-CA"/>
        </w:rPr>
        <w:t>221</w:t>
      </w:r>
      <w:r w:rsidR="004B666A" w:rsidRPr="00ED22D1">
        <w:rPr>
          <w:lang w:val="fr-CA"/>
        </w:rPr>
        <w:t xml:space="preserve"> tm </w:t>
      </w:r>
      <w:r w:rsidR="008D5B5F" w:rsidRPr="00ED22D1">
        <w:rPr>
          <w:lang w:val="fr-CA"/>
        </w:rPr>
        <w:t>de HCFC</w:t>
      </w:r>
      <w:r w:rsidR="0085675A" w:rsidRPr="00ED22D1">
        <w:rPr>
          <w:lang w:val="fr-CA"/>
        </w:rPr>
        <w:t>-22</w:t>
      </w:r>
      <w:r w:rsidR="00903152" w:rsidRPr="00ED22D1">
        <w:rPr>
          <w:lang w:val="fr-CA"/>
        </w:rPr>
        <w:t xml:space="preserve"> ont été</w:t>
      </w:r>
      <w:r w:rsidR="00F320D6" w:rsidRPr="00ED22D1">
        <w:rPr>
          <w:lang w:val="fr-CA"/>
        </w:rPr>
        <w:t xml:space="preserve"> signé</w:t>
      </w:r>
      <w:r w:rsidR="00352A3F" w:rsidRPr="00ED22D1">
        <w:rPr>
          <w:lang w:val="fr-CA"/>
        </w:rPr>
        <w:t>s</w:t>
      </w:r>
      <w:r w:rsidR="0085675A" w:rsidRPr="00ED22D1">
        <w:rPr>
          <w:lang w:val="fr-CA"/>
        </w:rPr>
        <w:t>.</w:t>
      </w:r>
      <w:r w:rsidR="00352A3F" w:rsidRPr="00ED22D1">
        <w:rPr>
          <w:lang w:val="fr-CA"/>
        </w:rPr>
        <w:t xml:space="preserve"> Des</w:t>
      </w:r>
      <w:r w:rsidR="0085675A" w:rsidRPr="00ED22D1">
        <w:rPr>
          <w:lang w:val="fr-CA"/>
        </w:rPr>
        <w:t xml:space="preserve"> 3</w:t>
      </w:r>
      <w:r w:rsidR="004A6828" w:rsidRPr="00ED22D1">
        <w:rPr>
          <w:lang w:val="fr-CA"/>
        </w:rPr>
        <w:t>1 </w:t>
      </w:r>
      <w:r w:rsidR="0085675A" w:rsidRPr="00ED22D1">
        <w:rPr>
          <w:lang w:val="fr-CA"/>
        </w:rPr>
        <w:t>56</w:t>
      </w:r>
      <w:r w:rsidR="004A6828" w:rsidRPr="00ED22D1">
        <w:rPr>
          <w:lang w:val="fr-CA"/>
        </w:rPr>
        <w:t>2 </w:t>
      </w:r>
      <w:r w:rsidR="0085675A" w:rsidRPr="00ED22D1">
        <w:rPr>
          <w:lang w:val="fr-CA"/>
        </w:rPr>
        <w:t>981</w:t>
      </w:r>
      <w:r w:rsidR="00F5397E" w:rsidRPr="00ED22D1">
        <w:rPr>
          <w:lang w:val="fr-CA"/>
        </w:rPr>
        <w:t> $US</w:t>
      </w:r>
      <w:r w:rsidR="0085675A" w:rsidRPr="00ED22D1">
        <w:rPr>
          <w:lang w:val="fr-CA"/>
        </w:rPr>
        <w:t xml:space="preserve"> </w:t>
      </w:r>
      <w:r w:rsidR="00AA6E77" w:rsidRPr="00ED22D1">
        <w:rPr>
          <w:lang w:val="fr-CA"/>
        </w:rPr>
        <w:t>approuvé</w:t>
      </w:r>
      <w:r w:rsidR="00352A3F" w:rsidRPr="00ED22D1">
        <w:rPr>
          <w:lang w:val="fr-CA"/>
        </w:rPr>
        <w:t>s</w:t>
      </w:r>
      <w:r w:rsidR="0085675A" w:rsidRPr="00ED22D1">
        <w:rPr>
          <w:lang w:val="fr-CA"/>
        </w:rPr>
        <w:t>,</w:t>
      </w:r>
      <w:r w:rsidR="00352A3F" w:rsidRPr="00ED22D1">
        <w:rPr>
          <w:lang w:val="fr-CA"/>
        </w:rPr>
        <w:t xml:space="preserve"> </w:t>
      </w:r>
      <w:r w:rsidR="00F206F2" w:rsidRPr="00ED22D1">
        <w:rPr>
          <w:lang w:val="fr-CA"/>
        </w:rPr>
        <w:t xml:space="preserve">un montant total de </w:t>
      </w:r>
      <w:r w:rsidR="004A6828" w:rsidRPr="00ED22D1">
        <w:rPr>
          <w:lang w:val="fr-CA"/>
        </w:rPr>
        <w:t>3 </w:t>
      </w:r>
      <w:r w:rsidR="0085675A" w:rsidRPr="00ED22D1">
        <w:rPr>
          <w:lang w:val="fr-CA"/>
        </w:rPr>
        <w:t>45</w:t>
      </w:r>
      <w:r w:rsidR="004A6828" w:rsidRPr="00ED22D1">
        <w:rPr>
          <w:lang w:val="fr-CA"/>
        </w:rPr>
        <w:t>4 </w:t>
      </w:r>
      <w:r w:rsidR="0085675A" w:rsidRPr="00ED22D1">
        <w:rPr>
          <w:lang w:val="fr-CA"/>
        </w:rPr>
        <w:t>396</w:t>
      </w:r>
      <w:r w:rsidR="00F5397E" w:rsidRPr="00ED22D1">
        <w:rPr>
          <w:lang w:val="fr-CA"/>
        </w:rPr>
        <w:t> $US</w:t>
      </w:r>
      <w:r w:rsidR="00352A3F" w:rsidRPr="00ED22D1">
        <w:rPr>
          <w:lang w:val="fr-CA"/>
        </w:rPr>
        <w:t> </w:t>
      </w:r>
      <w:r w:rsidR="0085675A" w:rsidRPr="00ED22D1">
        <w:rPr>
          <w:lang w:val="fr-CA"/>
        </w:rPr>
        <w:t>(10 </w:t>
      </w:r>
      <w:r w:rsidR="001B31BF" w:rsidRPr="00ED22D1">
        <w:rPr>
          <w:lang w:val="fr-CA"/>
        </w:rPr>
        <w:t>pour</w:t>
      </w:r>
      <w:r w:rsidR="00021613">
        <w:rPr>
          <w:lang w:val="fr-CA"/>
        </w:rPr>
        <w:t> </w:t>
      </w:r>
      <w:r w:rsidR="001B31BF" w:rsidRPr="00ED22D1">
        <w:rPr>
          <w:lang w:val="fr-CA"/>
        </w:rPr>
        <w:t>cent</w:t>
      </w:r>
      <w:r w:rsidR="0085675A" w:rsidRPr="00ED22D1">
        <w:rPr>
          <w:lang w:val="fr-CA"/>
        </w:rPr>
        <w:t>)</w:t>
      </w:r>
      <w:r w:rsidR="00104BF4" w:rsidRPr="00ED22D1">
        <w:rPr>
          <w:lang w:val="fr-CA"/>
        </w:rPr>
        <w:t xml:space="preserve"> </w:t>
      </w:r>
      <w:r w:rsidR="00F206F2" w:rsidRPr="00ED22D1">
        <w:rPr>
          <w:lang w:val="fr-CA"/>
        </w:rPr>
        <w:t>a</w:t>
      </w:r>
      <w:r w:rsidR="00104BF4" w:rsidRPr="00ED22D1">
        <w:rPr>
          <w:lang w:val="fr-CA"/>
        </w:rPr>
        <w:t xml:space="preserve"> </w:t>
      </w:r>
      <w:r w:rsidR="00903152" w:rsidRPr="00ED22D1">
        <w:rPr>
          <w:lang w:val="fr-CA"/>
        </w:rPr>
        <w:t>été</w:t>
      </w:r>
      <w:r w:rsidR="0085675A" w:rsidRPr="00ED22D1">
        <w:rPr>
          <w:lang w:val="fr-CA"/>
        </w:rPr>
        <w:t xml:space="preserve"> </w:t>
      </w:r>
      <w:r w:rsidR="00181884" w:rsidRPr="00ED22D1">
        <w:rPr>
          <w:lang w:val="fr-CA"/>
        </w:rPr>
        <w:t>décaissé</w:t>
      </w:r>
      <w:r w:rsidR="00352A3F" w:rsidRPr="00ED22D1">
        <w:rPr>
          <w:lang w:val="fr-CA"/>
        </w:rPr>
        <w:t xml:space="preserve"> aux bénéficiaires finals</w:t>
      </w:r>
      <w:r w:rsidR="0085675A" w:rsidRPr="00ED22D1">
        <w:rPr>
          <w:lang w:val="fr-CA"/>
        </w:rPr>
        <w:t xml:space="preserve">. </w:t>
      </w:r>
      <w:r w:rsidR="00352A3F" w:rsidRPr="00ED22D1">
        <w:rPr>
          <w:lang w:val="fr-CA"/>
        </w:rPr>
        <w:t xml:space="preserve">Aucune activité supplémentaire ni </w:t>
      </w:r>
      <w:r w:rsidR="00181884" w:rsidRPr="00ED22D1">
        <w:rPr>
          <w:lang w:val="fr-CA"/>
        </w:rPr>
        <w:t>décaissement</w:t>
      </w:r>
      <w:r w:rsidR="00F206F2" w:rsidRPr="00ED22D1">
        <w:rPr>
          <w:lang w:val="fr-CA"/>
        </w:rPr>
        <w:t xml:space="preserve"> </w:t>
      </w:r>
      <w:r w:rsidR="00962539" w:rsidRPr="00ED22D1">
        <w:rPr>
          <w:lang w:val="fr-CA"/>
        </w:rPr>
        <w:t>n’ont</w:t>
      </w:r>
      <w:r w:rsidR="00F206F2" w:rsidRPr="00ED22D1">
        <w:rPr>
          <w:lang w:val="fr-CA"/>
        </w:rPr>
        <w:t xml:space="preserve"> </w:t>
      </w:r>
      <w:r w:rsidR="00352A3F" w:rsidRPr="00ED22D1">
        <w:rPr>
          <w:lang w:val="fr-CA"/>
        </w:rPr>
        <w:t>été déclaré</w:t>
      </w:r>
      <w:r w:rsidR="00F206F2" w:rsidRPr="00ED22D1">
        <w:rPr>
          <w:lang w:val="fr-CA"/>
        </w:rPr>
        <w:t>s</w:t>
      </w:r>
      <w:r w:rsidR="00352A3F" w:rsidRPr="00ED22D1">
        <w:rPr>
          <w:lang w:val="fr-CA"/>
        </w:rPr>
        <w:t xml:space="preserve"> depuis la 8</w:t>
      </w:r>
      <w:r w:rsidR="0085675A" w:rsidRPr="00ED22D1">
        <w:rPr>
          <w:lang w:val="fr-CA"/>
        </w:rPr>
        <w:t>2</w:t>
      </w:r>
      <w:r w:rsidR="00352A3F" w:rsidRPr="00ED22D1">
        <w:rPr>
          <w:vertAlign w:val="superscript"/>
          <w:lang w:val="fr-CA"/>
        </w:rPr>
        <w:t>e</w:t>
      </w:r>
      <w:r w:rsidR="00352A3F" w:rsidRPr="00ED22D1">
        <w:rPr>
          <w:lang w:val="fr-CA"/>
        </w:rPr>
        <w:t xml:space="preserve"> </w:t>
      </w:r>
      <w:r w:rsidR="00DD185D" w:rsidRPr="00ED22D1">
        <w:rPr>
          <w:lang w:val="fr-CA"/>
        </w:rPr>
        <w:t>réunion</w:t>
      </w:r>
      <w:r w:rsidR="0085675A" w:rsidRPr="00ED22D1">
        <w:rPr>
          <w:lang w:val="fr-CA"/>
        </w:rPr>
        <w:t xml:space="preserve">. </w:t>
      </w:r>
      <w:r w:rsidR="00352A3F" w:rsidRPr="00ED22D1">
        <w:rPr>
          <w:lang w:val="fr-CA"/>
        </w:rPr>
        <w:t>Un</w:t>
      </w:r>
      <w:r w:rsidR="0085675A" w:rsidRPr="00ED22D1">
        <w:rPr>
          <w:lang w:val="fr-CA"/>
        </w:rPr>
        <w:t xml:space="preserve"> </w:t>
      </w:r>
      <w:r w:rsidR="004A6828" w:rsidRPr="00ED22D1">
        <w:rPr>
          <w:lang w:val="fr-CA"/>
        </w:rPr>
        <w:t>rapport périodique</w:t>
      </w:r>
      <w:r w:rsidR="0085675A" w:rsidRPr="00ED22D1">
        <w:rPr>
          <w:lang w:val="fr-CA"/>
        </w:rPr>
        <w:t xml:space="preserve"> </w:t>
      </w:r>
      <w:r w:rsidR="00352A3F" w:rsidRPr="00ED22D1">
        <w:rPr>
          <w:lang w:val="fr-CA"/>
        </w:rPr>
        <w:t xml:space="preserve">sera </w:t>
      </w:r>
      <w:r w:rsidR="00616B46" w:rsidRPr="00ED22D1">
        <w:rPr>
          <w:lang w:val="fr-CA"/>
        </w:rPr>
        <w:t>présenté</w:t>
      </w:r>
      <w:r w:rsidR="00352A3F" w:rsidRPr="00ED22D1">
        <w:rPr>
          <w:lang w:val="fr-CA"/>
        </w:rPr>
        <w:t xml:space="preserve"> à la 8</w:t>
      </w:r>
      <w:r w:rsidR="0085675A" w:rsidRPr="00ED22D1">
        <w:rPr>
          <w:lang w:val="fr-CA"/>
        </w:rPr>
        <w:t>4</w:t>
      </w:r>
      <w:r w:rsidR="00352A3F" w:rsidRPr="00ED22D1">
        <w:rPr>
          <w:vertAlign w:val="superscript"/>
          <w:lang w:val="fr-CA"/>
        </w:rPr>
        <w:t>e</w:t>
      </w:r>
      <w:r w:rsidR="00352A3F" w:rsidRPr="00ED22D1">
        <w:rPr>
          <w:lang w:val="fr-CA"/>
        </w:rPr>
        <w:t xml:space="preserve"> </w:t>
      </w:r>
      <w:r w:rsidR="00DD185D" w:rsidRPr="00ED22D1">
        <w:rPr>
          <w:lang w:val="fr-CA"/>
        </w:rPr>
        <w:t>réunion</w:t>
      </w:r>
      <w:r w:rsidR="0085675A" w:rsidRPr="00ED22D1">
        <w:rPr>
          <w:lang w:val="fr-CA"/>
        </w:rPr>
        <w:t>;</w:t>
      </w:r>
    </w:p>
    <w:p w:rsidR="0085675A" w:rsidRPr="00ED22D1" w:rsidRDefault="007D2C9E" w:rsidP="00D37BFE">
      <w:pPr>
        <w:pStyle w:val="Heading2"/>
        <w:numPr>
          <w:ilvl w:val="0"/>
          <w:numId w:val="0"/>
        </w:numPr>
        <w:ind w:left="1418" w:hanging="698"/>
        <w:rPr>
          <w:u w:val="single"/>
          <w:lang w:val="fr-CA"/>
        </w:rPr>
      </w:pPr>
      <w:r w:rsidRPr="00ED22D1">
        <w:rPr>
          <w:lang w:val="fr-CA"/>
        </w:rPr>
        <w:t>(e)</w:t>
      </w:r>
      <w:r w:rsidRPr="00ED22D1">
        <w:rPr>
          <w:i/>
          <w:lang w:val="fr-CA"/>
        </w:rPr>
        <w:tab/>
      </w:r>
      <w:r w:rsidR="001B31BF" w:rsidRPr="00ED22D1">
        <w:rPr>
          <w:i/>
          <w:lang w:val="fr-CA"/>
        </w:rPr>
        <w:t>Secteur des solvants</w:t>
      </w:r>
      <w:r w:rsidR="00791BF7" w:rsidRPr="00ED22D1">
        <w:rPr>
          <w:i/>
          <w:lang w:val="fr-CA"/>
        </w:rPr>
        <w:t> :</w:t>
      </w:r>
      <w:r w:rsidR="0085675A" w:rsidRPr="00ED22D1">
        <w:rPr>
          <w:lang w:val="fr-CA"/>
        </w:rPr>
        <w:t xml:space="preserve"> </w:t>
      </w:r>
      <w:r w:rsidR="00352A3F" w:rsidRPr="00ED22D1">
        <w:rPr>
          <w:lang w:val="fr-CA"/>
        </w:rPr>
        <w:t>Vingt-quatre</w:t>
      </w:r>
      <w:r w:rsidR="0085675A" w:rsidRPr="00ED22D1">
        <w:rPr>
          <w:lang w:val="fr-CA"/>
        </w:rPr>
        <w:t xml:space="preserve"> </w:t>
      </w:r>
      <w:r w:rsidR="00D50B9A" w:rsidRPr="00ED22D1">
        <w:rPr>
          <w:lang w:val="fr-CA"/>
        </w:rPr>
        <w:t>entreprises admissibles</w:t>
      </w:r>
      <w:r w:rsidR="00903152" w:rsidRPr="00ED22D1">
        <w:rPr>
          <w:lang w:val="fr-CA"/>
        </w:rPr>
        <w:t xml:space="preserve"> ont </w:t>
      </w:r>
      <w:r w:rsidR="00F320D6" w:rsidRPr="00ED22D1">
        <w:rPr>
          <w:lang w:val="fr-CA"/>
        </w:rPr>
        <w:t>signé</w:t>
      </w:r>
      <w:r w:rsidR="0085675A" w:rsidRPr="00ED22D1">
        <w:rPr>
          <w:lang w:val="fr-CA"/>
        </w:rPr>
        <w:t xml:space="preserve"> </w:t>
      </w:r>
      <w:r w:rsidR="00352A3F" w:rsidRPr="00ED22D1">
        <w:rPr>
          <w:lang w:val="fr-CA"/>
        </w:rPr>
        <w:t xml:space="preserve">des </w:t>
      </w:r>
      <w:r w:rsidR="00921BDE" w:rsidRPr="00ED22D1">
        <w:rPr>
          <w:lang w:val="fr-CA"/>
        </w:rPr>
        <w:t>contrats</w:t>
      </w:r>
      <w:r w:rsidR="0085675A" w:rsidRPr="00ED22D1">
        <w:rPr>
          <w:lang w:val="fr-CA"/>
        </w:rPr>
        <w:t xml:space="preserve"> </w:t>
      </w:r>
      <w:r w:rsidR="00B84F94" w:rsidRPr="00ED22D1">
        <w:rPr>
          <w:lang w:val="fr-CA"/>
        </w:rPr>
        <w:t>avec</w:t>
      </w:r>
      <w:r w:rsidR="00F320D6" w:rsidRPr="00ED22D1">
        <w:rPr>
          <w:lang w:val="fr-CA"/>
        </w:rPr>
        <w:t xml:space="preserve"> </w:t>
      </w:r>
      <w:r w:rsidR="00097BE3" w:rsidRPr="00ED22D1">
        <w:rPr>
          <w:lang w:val="fr-CA"/>
        </w:rPr>
        <w:tab/>
      </w:r>
      <w:r w:rsidR="00F320D6" w:rsidRPr="00ED22D1">
        <w:rPr>
          <w:lang w:val="fr-CA"/>
        </w:rPr>
        <w:t>l’IECO</w:t>
      </w:r>
      <w:r w:rsidR="0085675A" w:rsidRPr="00ED22D1">
        <w:rPr>
          <w:lang w:val="fr-CA"/>
        </w:rPr>
        <w:t xml:space="preserve">. </w:t>
      </w:r>
      <w:r w:rsidR="00352A3F" w:rsidRPr="00ED22D1">
        <w:rPr>
          <w:lang w:val="fr-CA"/>
        </w:rPr>
        <w:t xml:space="preserve">Vingt d’entre elles </w:t>
      </w:r>
      <w:r w:rsidR="00D37BFE" w:rsidRPr="00ED22D1">
        <w:rPr>
          <w:lang w:val="fr-CA"/>
        </w:rPr>
        <w:t>ont complété le</w:t>
      </w:r>
      <w:r w:rsidR="00616B46" w:rsidRPr="00ED22D1">
        <w:rPr>
          <w:lang w:val="fr-CA"/>
        </w:rPr>
        <w:t xml:space="preserve"> </w:t>
      </w:r>
      <w:r w:rsidR="00D37BFE" w:rsidRPr="00ED22D1">
        <w:rPr>
          <w:lang w:val="fr-CA"/>
        </w:rPr>
        <w:t>processus d’achat d’équipements et signé des contrats avec les fournisseurs d’équipement</w:t>
      </w:r>
      <w:r w:rsidR="0085675A" w:rsidRPr="00ED22D1">
        <w:rPr>
          <w:lang w:val="fr-CA"/>
        </w:rPr>
        <w:t>.</w:t>
      </w:r>
      <w:r w:rsidR="00D37BFE" w:rsidRPr="00ED22D1">
        <w:rPr>
          <w:lang w:val="fr-CA"/>
        </w:rPr>
        <w:t> Les quatre entreprises qui restent se</w:t>
      </w:r>
      <w:r w:rsidR="00F206F2" w:rsidRPr="00ED22D1">
        <w:rPr>
          <w:lang w:val="fr-CA"/>
        </w:rPr>
        <w:t> </w:t>
      </w:r>
      <w:r w:rsidR="00D37BFE" w:rsidRPr="00ED22D1">
        <w:rPr>
          <w:lang w:val="fr-CA"/>
        </w:rPr>
        <w:t xml:space="preserve">préparent au processus d’approvisionnement des </w:t>
      </w:r>
      <w:r w:rsidR="00921BDE" w:rsidRPr="00ED22D1">
        <w:rPr>
          <w:lang w:val="fr-CA"/>
        </w:rPr>
        <w:t>équipements</w:t>
      </w:r>
      <w:r w:rsidR="0085675A" w:rsidRPr="00ED22D1">
        <w:rPr>
          <w:lang w:val="fr-CA"/>
        </w:rPr>
        <w:t xml:space="preserve">. </w:t>
      </w:r>
      <w:r w:rsidR="00D37BFE" w:rsidRPr="00ED22D1">
        <w:rPr>
          <w:lang w:val="fr-CA"/>
        </w:rPr>
        <w:t>L’</w:t>
      </w:r>
      <w:r w:rsidR="004A6828" w:rsidRPr="00ED22D1">
        <w:rPr>
          <w:lang w:val="fr-CA"/>
        </w:rPr>
        <w:t>élimination</w:t>
      </w:r>
      <w:r w:rsidR="0085675A" w:rsidRPr="00ED22D1">
        <w:rPr>
          <w:lang w:val="fr-CA"/>
        </w:rPr>
        <w:t xml:space="preserve"> </w:t>
      </w:r>
      <w:r w:rsidR="00D37BFE" w:rsidRPr="00ED22D1">
        <w:rPr>
          <w:lang w:val="fr-CA"/>
        </w:rPr>
        <w:t>totale en</w:t>
      </w:r>
      <w:r w:rsidR="00F206F2" w:rsidRPr="00ED22D1">
        <w:rPr>
          <w:lang w:val="fr-CA"/>
        </w:rPr>
        <w:t> r</w:t>
      </w:r>
      <w:r w:rsidR="00D37BFE" w:rsidRPr="00ED22D1">
        <w:rPr>
          <w:lang w:val="fr-CA"/>
        </w:rPr>
        <w:t xml:space="preserve">apport </w:t>
      </w:r>
      <w:r w:rsidR="00B84F94" w:rsidRPr="00ED22D1">
        <w:rPr>
          <w:lang w:val="fr-CA"/>
        </w:rPr>
        <w:t xml:space="preserve">avec </w:t>
      </w:r>
      <w:r w:rsidR="00BB7CCB" w:rsidRPr="00ED22D1">
        <w:rPr>
          <w:lang w:val="fr-CA"/>
        </w:rPr>
        <w:t xml:space="preserve">ces </w:t>
      </w:r>
      <w:r w:rsidR="00921BDE" w:rsidRPr="00ED22D1">
        <w:rPr>
          <w:lang w:val="fr-CA"/>
        </w:rPr>
        <w:t>entreprise</w:t>
      </w:r>
      <w:r w:rsidR="0085675A" w:rsidRPr="00ED22D1">
        <w:rPr>
          <w:lang w:val="fr-CA"/>
        </w:rPr>
        <w:t>s</w:t>
      </w:r>
      <w:r w:rsidR="00903152" w:rsidRPr="00ED22D1">
        <w:rPr>
          <w:lang w:val="fr-CA"/>
        </w:rPr>
        <w:t xml:space="preserve"> est </w:t>
      </w:r>
      <w:r w:rsidR="00D37BFE" w:rsidRPr="00ED22D1">
        <w:rPr>
          <w:lang w:val="fr-CA"/>
        </w:rPr>
        <w:t xml:space="preserve">de </w:t>
      </w:r>
      <w:r w:rsidR="004A6828" w:rsidRPr="00ED22D1">
        <w:rPr>
          <w:lang w:val="fr-CA"/>
        </w:rPr>
        <w:t>1 </w:t>
      </w:r>
      <w:r w:rsidR="0085675A" w:rsidRPr="00ED22D1">
        <w:rPr>
          <w:lang w:val="fr-CA"/>
        </w:rPr>
        <w:t>17</w:t>
      </w:r>
      <w:r w:rsidR="004A6828" w:rsidRPr="00ED22D1">
        <w:rPr>
          <w:lang w:val="fr-CA"/>
        </w:rPr>
        <w:t>6,</w:t>
      </w:r>
      <w:r w:rsidR="0085675A" w:rsidRPr="00ED22D1">
        <w:rPr>
          <w:lang w:val="fr-CA"/>
        </w:rPr>
        <w:t>19</w:t>
      </w:r>
      <w:r w:rsidR="004B666A" w:rsidRPr="00ED22D1">
        <w:rPr>
          <w:lang w:val="fr-CA"/>
        </w:rPr>
        <w:t xml:space="preserve"> tm </w:t>
      </w:r>
      <w:r w:rsidR="0085675A" w:rsidRPr="00ED22D1">
        <w:rPr>
          <w:lang w:val="fr-CA"/>
        </w:rPr>
        <w:t>(12</w:t>
      </w:r>
      <w:r w:rsidR="004A6828" w:rsidRPr="00ED22D1">
        <w:rPr>
          <w:lang w:val="fr-CA"/>
        </w:rPr>
        <w:t>9,</w:t>
      </w:r>
      <w:r w:rsidR="0085675A" w:rsidRPr="00ED22D1">
        <w:rPr>
          <w:lang w:val="fr-CA"/>
        </w:rPr>
        <w:t>38</w:t>
      </w:r>
      <w:r w:rsidR="0052712E" w:rsidRPr="00ED22D1">
        <w:rPr>
          <w:lang w:val="fr-CA"/>
        </w:rPr>
        <w:t xml:space="preserve"> tonnes PAO)</w:t>
      </w:r>
      <w:r w:rsidR="0085675A" w:rsidRPr="00ED22D1">
        <w:rPr>
          <w:lang w:val="fr-CA"/>
        </w:rPr>
        <w:t xml:space="preserve"> </w:t>
      </w:r>
      <w:r w:rsidR="00DB7C5D" w:rsidRPr="00ED22D1">
        <w:rPr>
          <w:lang w:val="fr-CA"/>
        </w:rPr>
        <w:t>de HCFC</w:t>
      </w:r>
      <w:r w:rsidR="0085675A" w:rsidRPr="00ED22D1">
        <w:rPr>
          <w:lang w:val="fr-CA"/>
        </w:rPr>
        <w:t xml:space="preserve">-141b. </w:t>
      </w:r>
      <w:r w:rsidR="00D37BFE" w:rsidRPr="00ED22D1">
        <w:rPr>
          <w:lang w:val="fr-CA"/>
        </w:rPr>
        <w:t xml:space="preserve">Un deuxième lot de </w:t>
      </w:r>
      <w:r w:rsidR="0085675A" w:rsidRPr="00ED22D1">
        <w:rPr>
          <w:lang w:val="fr-CA"/>
        </w:rPr>
        <w:t xml:space="preserve">26 </w:t>
      </w:r>
      <w:r w:rsidR="00921BDE" w:rsidRPr="00ED22D1">
        <w:rPr>
          <w:lang w:val="fr-CA"/>
        </w:rPr>
        <w:t>entreprise</w:t>
      </w:r>
      <w:r w:rsidR="0085675A" w:rsidRPr="00ED22D1">
        <w:rPr>
          <w:lang w:val="fr-CA"/>
        </w:rPr>
        <w:t>s (</w:t>
      </w:r>
      <w:r w:rsidR="00D37BFE" w:rsidRPr="00ED22D1">
        <w:rPr>
          <w:lang w:val="fr-CA"/>
        </w:rPr>
        <w:t>la plupart des petites et moyennes entreprises</w:t>
      </w:r>
      <w:r w:rsidR="0085675A" w:rsidRPr="00ED22D1">
        <w:rPr>
          <w:lang w:val="fr-CA"/>
        </w:rPr>
        <w:t xml:space="preserve">) </w:t>
      </w:r>
      <w:r w:rsidR="00D37BFE" w:rsidRPr="00ED22D1">
        <w:rPr>
          <w:lang w:val="fr-CA"/>
        </w:rPr>
        <w:t>dont la</w:t>
      </w:r>
      <w:r w:rsidR="00F206F2" w:rsidRPr="00ED22D1">
        <w:rPr>
          <w:lang w:val="fr-CA"/>
        </w:rPr>
        <w:t> </w:t>
      </w:r>
      <w:r w:rsidR="00D37BFE" w:rsidRPr="00ED22D1">
        <w:rPr>
          <w:lang w:val="fr-CA"/>
        </w:rPr>
        <w:t xml:space="preserve">consommation annuelle est supérieure à cinq tonnes métriques de </w:t>
      </w:r>
      <w:r w:rsidR="008D5B5F" w:rsidRPr="00ED22D1">
        <w:rPr>
          <w:lang w:val="fr-CA"/>
        </w:rPr>
        <w:t>HCFC</w:t>
      </w:r>
      <w:r w:rsidR="0085675A" w:rsidRPr="00ED22D1">
        <w:rPr>
          <w:lang w:val="fr-CA"/>
        </w:rPr>
        <w:t>-141b)</w:t>
      </w:r>
      <w:r w:rsidR="00903152" w:rsidRPr="00ED22D1">
        <w:rPr>
          <w:lang w:val="fr-CA"/>
        </w:rPr>
        <w:t xml:space="preserve"> ont été</w:t>
      </w:r>
      <w:r w:rsidR="0080736A" w:rsidRPr="00ED22D1">
        <w:rPr>
          <w:lang w:val="fr-CA"/>
        </w:rPr>
        <w:t xml:space="preserve"> identifié</w:t>
      </w:r>
      <w:r w:rsidR="00D37BFE" w:rsidRPr="00ED22D1">
        <w:rPr>
          <w:lang w:val="fr-CA"/>
        </w:rPr>
        <w:t>es</w:t>
      </w:r>
      <w:r w:rsidR="0085675A" w:rsidRPr="00ED22D1">
        <w:rPr>
          <w:lang w:val="fr-CA"/>
        </w:rPr>
        <w:t xml:space="preserve"> </w:t>
      </w:r>
      <w:r w:rsidR="00B84F94" w:rsidRPr="00ED22D1">
        <w:rPr>
          <w:lang w:val="fr-CA"/>
        </w:rPr>
        <w:t>avec</w:t>
      </w:r>
      <w:r w:rsidR="00D37BFE" w:rsidRPr="00ED22D1">
        <w:rPr>
          <w:lang w:val="fr-CA"/>
        </w:rPr>
        <w:t xml:space="preserve"> une élimination estimative de </w:t>
      </w:r>
      <w:r w:rsidR="0085675A" w:rsidRPr="00ED22D1">
        <w:rPr>
          <w:lang w:val="fr-CA"/>
        </w:rPr>
        <w:t>372</w:t>
      </w:r>
      <w:r w:rsidR="004B666A" w:rsidRPr="00ED22D1">
        <w:rPr>
          <w:lang w:val="fr-CA"/>
        </w:rPr>
        <w:t xml:space="preserve"> tm </w:t>
      </w:r>
      <w:r w:rsidR="0085675A" w:rsidRPr="00ED22D1">
        <w:rPr>
          <w:lang w:val="fr-CA"/>
        </w:rPr>
        <w:t>(4</w:t>
      </w:r>
      <w:r w:rsidR="004A6828" w:rsidRPr="00ED22D1">
        <w:rPr>
          <w:lang w:val="fr-CA"/>
        </w:rPr>
        <w:t>0,</w:t>
      </w:r>
      <w:r w:rsidR="0085675A" w:rsidRPr="00ED22D1">
        <w:rPr>
          <w:lang w:val="fr-CA"/>
        </w:rPr>
        <w:t>92</w:t>
      </w:r>
      <w:r w:rsidR="0052712E" w:rsidRPr="00ED22D1">
        <w:rPr>
          <w:lang w:val="fr-CA"/>
        </w:rPr>
        <w:t xml:space="preserve"> tonnes PAO)</w:t>
      </w:r>
      <w:r w:rsidR="0085675A" w:rsidRPr="00ED22D1">
        <w:rPr>
          <w:lang w:val="fr-CA"/>
        </w:rPr>
        <w:t xml:space="preserve"> </w:t>
      </w:r>
      <w:r w:rsidR="008D5B5F" w:rsidRPr="00ED22D1">
        <w:rPr>
          <w:lang w:val="fr-CA"/>
        </w:rPr>
        <w:t>de HCFC</w:t>
      </w:r>
      <w:r w:rsidR="00F206F2" w:rsidRPr="00ED22D1">
        <w:rPr>
          <w:lang w:val="fr-CA"/>
        </w:rPr>
        <w:t> </w:t>
      </w:r>
      <w:r w:rsidR="0085675A" w:rsidRPr="00ED22D1">
        <w:rPr>
          <w:lang w:val="fr-CA"/>
        </w:rPr>
        <w:t>141b</w:t>
      </w:r>
      <w:r w:rsidR="00F206F2" w:rsidRPr="00ED22D1">
        <w:rPr>
          <w:lang w:val="fr-CA"/>
        </w:rPr>
        <w:t>. L</w:t>
      </w:r>
      <w:r w:rsidR="00F320D6" w:rsidRPr="00ED22D1">
        <w:rPr>
          <w:lang w:val="fr-CA"/>
        </w:rPr>
        <w:t>’IECO</w:t>
      </w:r>
      <w:r w:rsidR="0085675A" w:rsidRPr="00ED22D1">
        <w:rPr>
          <w:lang w:val="fr-CA"/>
        </w:rPr>
        <w:t xml:space="preserve"> </w:t>
      </w:r>
      <w:r w:rsidR="00D37BFE" w:rsidRPr="00ED22D1">
        <w:rPr>
          <w:lang w:val="fr-CA"/>
        </w:rPr>
        <w:t>procédera aux vérifications de référence de ces entreprises</w:t>
      </w:r>
      <w:r w:rsidR="00B84F94" w:rsidRPr="00ED22D1">
        <w:rPr>
          <w:lang w:val="fr-CA"/>
        </w:rPr>
        <w:t xml:space="preserve">; et </w:t>
      </w:r>
    </w:p>
    <w:p w:rsidR="0085675A" w:rsidRPr="00ED22D1" w:rsidRDefault="007D2C9E" w:rsidP="007D2C9E">
      <w:pPr>
        <w:pStyle w:val="Heading2"/>
        <w:keepNext/>
        <w:keepLines/>
        <w:numPr>
          <w:ilvl w:val="0"/>
          <w:numId w:val="0"/>
        </w:numPr>
        <w:ind w:left="1418" w:hanging="698"/>
        <w:rPr>
          <w:lang w:val="fr-CA"/>
        </w:rPr>
      </w:pPr>
      <w:r w:rsidRPr="00ED22D1">
        <w:rPr>
          <w:lang w:val="fr-CA"/>
        </w:rPr>
        <w:lastRenderedPageBreak/>
        <w:t xml:space="preserve">(f) </w:t>
      </w:r>
      <w:r w:rsidRPr="00ED22D1">
        <w:rPr>
          <w:lang w:val="fr-CA"/>
        </w:rPr>
        <w:tab/>
      </w:r>
      <w:r w:rsidR="00181884" w:rsidRPr="00ED22D1">
        <w:rPr>
          <w:i/>
          <w:lang w:val="fr-CA"/>
        </w:rPr>
        <w:t>Secteur de l’entretien en réfrigération</w:t>
      </w:r>
      <w:r w:rsidR="00791BF7" w:rsidRPr="00ED22D1">
        <w:rPr>
          <w:i/>
          <w:lang w:val="fr-CA"/>
        </w:rPr>
        <w:t> :</w:t>
      </w:r>
      <w:r w:rsidR="0085675A" w:rsidRPr="00ED22D1">
        <w:rPr>
          <w:lang w:val="fr-CA"/>
        </w:rPr>
        <w:t xml:space="preserve"> </w:t>
      </w:r>
      <w:r w:rsidR="00F320D6" w:rsidRPr="00ED22D1">
        <w:rPr>
          <w:lang w:val="fr-CA"/>
        </w:rPr>
        <w:t>L’accord de coopération sur les projets</w:t>
      </w:r>
      <w:r w:rsidR="0085675A" w:rsidRPr="00ED22D1">
        <w:rPr>
          <w:lang w:val="fr-CA"/>
        </w:rPr>
        <w:t xml:space="preserve"> (PCA) </w:t>
      </w:r>
      <w:r w:rsidR="00945536" w:rsidRPr="00ED22D1">
        <w:rPr>
          <w:lang w:val="fr-CA"/>
        </w:rPr>
        <w:t xml:space="preserve">pour la </w:t>
      </w:r>
      <w:r w:rsidR="00921BDE" w:rsidRPr="00ED22D1">
        <w:rPr>
          <w:lang w:val="fr-CA"/>
        </w:rPr>
        <w:t>deuxième</w:t>
      </w:r>
      <w:r w:rsidR="0085675A" w:rsidRPr="00ED22D1">
        <w:rPr>
          <w:lang w:val="fr-CA"/>
        </w:rPr>
        <w:t xml:space="preserve"> tranche </w:t>
      </w:r>
      <w:r w:rsidR="00945536" w:rsidRPr="00ED22D1">
        <w:rPr>
          <w:lang w:val="fr-CA"/>
        </w:rPr>
        <w:t>du</w:t>
      </w:r>
      <w:r w:rsidR="0085675A" w:rsidRPr="00ED22D1">
        <w:rPr>
          <w:lang w:val="fr-CA"/>
        </w:rPr>
        <w:t xml:space="preserve"> </w:t>
      </w:r>
      <w:r w:rsidR="00181884" w:rsidRPr="00ED22D1">
        <w:rPr>
          <w:lang w:val="fr-CA"/>
        </w:rPr>
        <w:t>secteur de l’entretien en réfrigération</w:t>
      </w:r>
      <w:r w:rsidR="004A6828" w:rsidRPr="00ED22D1">
        <w:rPr>
          <w:lang w:val="fr-CA"/>
        </w:rPr>
        <w:t xml:space="preserve"> et </w:t>
      </w:r>
      <w:r w:rsidR="00945536" w:rsidRPr="00ED22D1">
        <w:rPr>
          <w:lang w:val="fr-CA"/>
        </w:rPr>
        <w:t>les éléments habilitants</w:t>
      </w:r>
      <w:r w:rsidR="0085675A" w:rsidRPr="00ED22D1">
        <w:rPr>
          <w:lang w:val="fr-CA"/>
        </w:rPr>
        <w:t xml:space="preserve"> </w:t>
      </w:r>
      <w:r w:rsidR="004A6828" w:rsidRPr="00ED22D1">
        <w:rPr>
          <w:lang w:val="fr-CA"/>
        </w:rPr>
        <w:t>entre</w:t>
      </w:r>
      <w:r w:rsidR="0085675A" w:rsidRPr="00ED22D1">
        <w:rPr>
          <w:lang w:val="fr-CA"/>
        </w:rPr>
        <w:t xml:space="preserve"> </w:t>
      </w:r>
      <w:r w:rsidR="00945536" w:rsidRPr="00ED22D1">
        <w:rPr>
          <w:lang w:val="fr-CA"/>
        </w:rPr>
        <w:t xml:space="preserve">le </w:t>
      </w:r>
      <w:r w:rsidR="001C722B" w:rsidRPr="00ED22D1">
        <w:rPr>
          <w:lang w:val="fr-CA"/>
        </w:rPr>
        <w:t>PNUE</w:t>
      </w:r>
      <w:r w:rsidR="004A6828" w:rsidRPr="00ED22D1">
        <w:rPr>
          <w:lang w:val="fr-CA"/>
        </w:rPr>
        <w:t xml:space="preserve"> et</w:t>
      </w:r>
      <w:r w:rsidR="00F320D6" w:rsidRPr="00ED22D1">
        <w:rPr>
          <w:lang w:val="fr-CA"/>
        </w:rPr>
        <w:t xml:space="preserve"> l’IECO</w:t>
      </w:r>
      <w:r w:rsidR="0085675A" w:rsidRPr="00ED22D1">
        <w:rPr>
          <w:lang w:val="fr-CA"/>
        </w:rPr>
        <w:t xml:space="preserve"> </w:t>
      </w:r>
      <w:r w:rsidR="00945536" w:rsidRPr="00ED22D1">
        <w:rPr>
          <w:lang w:val="fr-CA"/>
        </w:rPr>
        <w:t>a été</w:t>
      </w:r>
      <w:r w:rsidR="00F320D6" w:rsidRPr="00ED22D1">
        <w:rPr>
          <w:lang w:val="fr-CA"/>
        </w:rPr>
        <w:t xml:space="preserve"> signé</w:t>
      </w:r>
      <w:r w:rsidR="0085675A" w:rsidRPr="00ED22D1">
        <w:rPr>
          <w:lang w:val="fr-CA"/>
        </w:rPr>
        <w:t xml:space="preserve"> </w:t>
      </w:r>
      <w:r w:rsidR="00945536" w:rsidRPr="00ED22D1">
        <w:rPr>
          <w:lang w:val="fr-CA"/>
        </w:rPr>
        <w:t>e</w:t>
      </w:r>
      <w:r w:rsidR="0085675A" w:rsidRPr="00ED22D1">
        <w:rPr>
          <w:lang w:val="fr-CA"/>
        </w:rPr>
        <w:t>n</w:t>
      </w:r>
      <w:r w:rsidR="00921BDE" w:rsidRPr="00ED22D1">
        <w:rPr>
          <w:lang w:val="fr-CA"/>
        </w:rPr>
        <w:t xml:space="preserve"> septembre</w:t>
      </w:r>
      <w:r w:rsidR="0085675A" w:rsidRPr="00ED22D1">
        <w:rPr>
          <w:lang w:val="fr-CA"/>
        </w:rPr>
        <w:t xml:space="preserve"> 201</w:t>
      </w:r>
      <w:r w:rsidR="004A6828" w:rsidRPr="00ED22D1">
        <w:rPr>
          <w:lang w:val="fr-CA"/>
        </w:rPr>
        <w:t>8</w:t>
      </w:r>
      <w:r w:rsidR="00945536" w:rsidRPr="00ED22D1">
        <w:rPr>
          <w:lang w:val="fr-CA"/>
        </w:rPr>
        <w:t>,</w:t>
      </w:r>
      <w:r w:rsidR="004A6828" w:rsidRPr="00ED22D1">
        <w:rPr>
          <w:lang w:val="fr-CA"/>
        </w:rPr>
        <w:t xml:space="preserve"> et </w:t>
      </w:r>
      <w:r w:rsidR="00945536" w:rsidRPr="00ED22D1">
        <w:rPr>
          <w:lang w:val="fr-CA"/>
        </w:rPr>
        <w:t xml:space="preserve">les fonds ont été par la suite transférés en </w:t>
      </w:r>
      <w:r w:rsidR="00F320D6" w:rsidRPr="00ED22D1">
        <w:rPr>
          <w:lang w:val="fr-CA"/>
        </w:rPr>
        <w:t>octobre</w:t>
      </w:r>
      <w:r w:rsidR="0085675A" w:rsidRPr="00ED22D1">
        <w:rPr>
          <w:lang w:val="fr-CA"/>
        </w:rPr>
        <w:t> 201</w:t>
      </w:r>
      <w:r w:rsidR="004A6828" w:rsidRPr="00ED22D1">
        <w:rPr>
          <w:lang w:val="fr-CA"/>
        </w:rPr>
        <w:t>8</w:t>
      </w:r>
      <w:r w:rsidR="00945536" w:rsidRPr="00ED22D1">
        <w:rPr>
          <w:lang w:val="fr-CA"/>
        </w:rPr>
        <w:t>.</w:t>
      </w:r>
      <w:r w:rsidR="0085675A" w:rsidRPr="00ED22D1">
        <w:rPr>
          <w:lang w:val="fr-CA"/>
        </w:rPr>
        <w:t xml:space="preserve"> </w:t>
      </w:r>
      <w:r w:rsidR="00945536" w:rsidRPr="00ED22D1">
        <w:rPr>
          <w:lang w:val="fr-CA"/>
        </w:rPr>
        <w:t>Des</w:t>
      </w:r>
      <w:r w:rsidR="001B45EC" w:rsidRPr="00ED22D1">
        <w:rPr>
          <w:lang w:val="fr-CA"/>
        </w:rPr>
        <w:t xml:space="preserve"> accord</w:t>
      </w:r>
      <w:r w:rsidR="0085675A" w:rsidRPr="00ED22D1">
        <w:rPr>
          <w:lang w:val="fr-CA"/>
        </w:rPr>
        <w:t xml:space="preserve">s </w:t>
      </w:r>
      <w:r w:rsidR="00B84F94" w:rsidRPr="00ED22D1">
        <w:rPr>
          <w:lang w:val="fr-CA"/>
        </w:rPr>
        <w:t xml:space="preserve">avec </w:t>
      </w:r>
      <w:r w:rsidR="00945536" w:rsidRPr="00ED22D1">
        <w:rPr>
          <w:lang w:val="fr-CA"/>
        </w:rPr>
        <w:t>trois</w:t>
      </w:r>
      <w:r w:rsidR="0085675A" w:rsidRPr="00ED22D1">
        <w:rPr>
          <w:lang w:val="fr-CA"/>
        </w:rPr>
        <w:t xml:space="preserve"> </w:t>
      </w:r>
      <w:r w:rsidR="00945536" w:rsidRPr="00ED22D1">
        <w:rPr>
          <w:lang w:val="fr-CA"/>
        </w:rPr>
        <w:t>villes pilotes</w:t>
      </w:r>
      <w:r w:rsidR="0085675A" w:rsidRPr="00ED22D1">
        <w:rPr>
          <w:lang w:val="fr-CA"/>
        </w:rPr>
        <w:t xml:space="preserve"> (Guangzhou, Shenzhen</w:t>
      </w:r>
      <w:r w:rsidR="004A6828" w:rsidRPr="00ED22D1">
        <w:rPr>
          <w:lang w:val="fr-CA"/>
        </w:rPr>
        <w:t xml:space="preserve"> et </w:t>
      </w:r>
      <w:r w:rsidR="0085675A" w:rsidRPr="00ED22D1">
        <w:rPr>
          <w:lang w:val="fr-CA"/>
        </w:rPr>
        <w:t xml:space="preserve">Tianjin) </w:t>
      </w:r>
      <w:r w:rsidR="00F206F2" w:rsidRPr="00ED22D1">
        <w:rPr>
          <w:lang w:val="fr-CA"/>
        </w:rPr>
        <w:t>et des</w:t>
      </w:r>
      <w:r w:rsidR="00945536" w:rsidRPr="00ED22D1">
        <w:rPr>
          <w:lang w:val="fr-CA"/>
        </w:rPr>
        <w:t xml:space="preserve"> plans de travail convenus ont été finalisés. Un atelier de</w:t>
      </w:r>
      <w:r w:rsidR="00C2293E" w:rsidRPr="00ED22D1">
        <w:rPr>
          <w:lang w:val="fr-CA"/>
        </w:rPr>
        <w:t> </w:t>
      </w:r>
      <w:r w:rsidR="00945536" w:rsidRPr="00ED22D1">
        <w:rPr>
          <w:lang w:val="fr-CA"/>
        </w:rPr>
        <w:t xml:space="preserve">renforcement des capacités pour les règlements des </w:t>
      </w:r>
      <w:r w:rsidR="001B31BF" w:rsidRPr="00ED22D1">
        <w:rPr>
          <w:lang w:val="fr-CA"/>
        </w:rPr>
        <w:t xml:space="preserve">SAO </w:t>
      </w:r>
      <w:r w:rsidR="00945536" w:rsidRPr="00ED22D1">
        <w:rPr>
          <w:lang w:val="fr-CA"/>
        </w:rPr>
        <w:t>pour les Bureaux européens de l’environnement locaux (</w:t>
      </w:r>
      <w:r w:rsidR="0085675A" w:rsidRPr="00ED22D1">
        <w:rPr>
          <w:lang w:val="fr-CA"/>
        </w:rPr>
        <w:t>EEB</w:t>
      </w:r>
      <w:r w:rsidR="00945536" w:rsidRPr="00ED22D1">
        <w:rPr>
          <w:lang w:val="fr-CA"/>
        </w:rPr>
        <w:t>)</w:t>
      </w:r>
      <w:r w:rsidR="0085675A" w:rsidRPr="00ED22D1">
        <w:rPr>
          <w:lang w:val="fr-CA"/>
        </w:rPr>
        <w:t xml:space="preserve"> </w:t>
      </w:r>
      <w:r w:rsidR="00945536" w:rsidRPr="00ED22D1">
        <w:rPr>
          <w:lang w:val="fr-CA"/>
        </w:rPr>
        <w:t xml:space="preserve">a été dispensé. Un accord et un plan de travail pour l’agence d’exécution nationale pour la livraison du programme de formation de techniciens </w:t>
      </w:r>
      <w:r w:rsidR="00D211C8" w:rsidRPr="00ED22D1">
        <w:rPr>
          <w:lang w:val="fr-CA"/>
        </w:rPr>
        <w:t xml:space="preserve">ont été finalisés. On a finalisé le mandat </w:t>
      </w:r>
      <w:r w:rsidR="0085675A" w:rsidRPr="00ED22D1">
        <w:rPr>
          <w:lang w:val="fr-CA"/>
        </w:rPr>
        <w:t xml:space="preserve">(TOR) </w:t>
      </w:r>
      <w:r w:rsidR="00D211C8" w:rsidRPr="00ED22D1">
        <w:rPr>
          <w:lang w:val="fr-CA"/>
        </w:rPr>
        <w:t>pour l’élaboration des codes pour les unités d’</w:t>
      </w:r>
      <w:r w:rsidR="001B31BF" w:rsidRPr="00ED22D1">
        <w:rPr>
          <w:lang w:val="fr-CA"/>
        </w:rPr>
        <w:t>entretien</w:t>
      </w:r>
      <w:r w:rsidR="004A6828" w:rsidRPr="00ED22D1">
        <w:rPr>
          <w:lang w:val="fr-CA"/>
        </w:rPr>
        <w:t xml:space="preserve"> et </w:t>
      </w:r>
      <w:r w:rsidR="00D211C8" w:rsidRPr="00ED22D1">
        <w:rPr>
          <w:lang w:val="fr-CA"/>
        </w:rPr>
        <w:t xml:space="preserve">la </w:t>
      </w:r>
      <w:r w:rsidR="0085675A" w:rsidRPr="00ED22D1">
        <w:rPr>
          <w:lang w:val="fr-CA"/>
        </w:rPr>
        <w:t xml:space="preserve">maintenance </w:t>
      </w:r>
      <w:r w:rsidR="00D211C8" w:rsidRPr="00ED22D1">
        <w:rPr>
          <w:lang w:val="fr-CA"/>
        </w:rPr>
        <w:t>des climatiseurs et des refroidisseurs d’eau et</w:t>
      </w:r>
      <w:r w:rsidR="00C2293E" w:rsidRPr="00ED22D1">
        <w:rPr>
          <w:lang w:val="fr-CA"/>
        </w:rPr>
        <w:t> </w:t>
      </w:r>
      <w:r w:rsidR="00D211C8" w:rsidRPr="00ED22D1">
        <w:rPr>
          <w:lang w:val="fr-CA"/>
        </w:rPr>
        <w:t>initié le processus d’achat et de contrats</w:t>
      </w:r>
      <w:r w:rsidR="00C420BC" w:rsidRPr="00ED22D1">
        <w:rPr>
          <w:lang w:val="fr-CA"/>
        </w:rPr>
        <w:t>. L’</w:t>
      </w:r>
      <w:r w:rsidR="00D211C8" w:rsidRPr="00ED22D1">
        <w:rPr>
          <w:lang w:val="fr-CA"/>
        </w:rPr>
        <w:t>accord de</w:t>
      </w:r>
      <w:r w:rsidR="00921BDE" w:rsidRPr="00ED22D1">
        <w:rPr>
          <w:lang w:val="fr-CA"/>
        </w:rPr>
        <w:t xml:space="preserve"> mise en oeuvre</w:t>
      </w:r>
      <w:r w:rsidR="001B45EC" w:rsidRPr="00ED22D1">
        <w:rPr>
          <w:lang w:val="fr-CA"/>
        </w:rPr>
        <w:t xml:space="preserve"> </w:t>
      </w:r>
      <w:r w:rsidR="00D211C8" w:rsidRPr="00ED22D1">
        <w:rPr>
          <w:lang w:val="fr-CA"/>
        </w:rPr>
        <w:t>des éléments de la</w:t>
      </w:r>
      <w:r w:rsidR="00C2293E" w:rsidRPr="00ED22D1">
        <w:rPr>
          <w:lang w:val="fr-CA"/>
        </w:rPr>
        <w:t> </w:t>
      </w:r>
      <w:r w:rsidR="00D211C8" w:rsidRPr="00ED22D1">
        <w:rPr>
          <w:lang w:val="fr-CA"/>
        </w:rPr>
        <w:t xml:space="preserve">première tranche du </w:t>
      </w:r>
      <w:r w:rsidR="00921BDE" w:rsidRPr="00ED22D1">
        <w:rPr>
          <w:lang w:val="fr-CA"/>
        </w:rPr>
        <w:t>gouvernement</w:t>
      </w:r>
      <w:r w:rsidR="001F19C1" w:rsidRPr="00ED22D1">
        <w:rPr>
          <w:lang w:val="fr-CA"/>
        </w:rPr>
        <w:t xml:space="preserve"> de l’Allemagne</w:t>
      </w:r>
      <w:r w:rsidR="00D211C8" w:rsidRPr="00ED22D1">
        <w:rPr>
          <w:lang w:val="fr-CA"/>
        </w:rPr>
        <w:t xml:space="preserve"> a été signé</w:t>
      </w:r>
      <w:r w:rsidR="0085675A" w:rsidRPr="00ED22D1">
        <w:rPr>
          <w:lang w:val="fr-CA"/>
        </w:rPr>
        <w:t>,</w:t>
      </w:r>
      <w:r w:rsidR="004A6828" w:rsidRPr="00ED22D1">
        <w:rPr>
          <w:lang w:val="fr-CA"/>
        </w:rPr>
        <w:t xml:space="preserve"> et </w:t>
      </w:r>
      <w:r w:rsidR="00D211C8" w:rsidRPr="00ED22D1">
        <w:rPr>
          <w:lang w:val="fr-CA"/>
        </w:rPr>
        <w:t xml:space="preserve">on a identifié un </w:t>
      </w:r>
      <w:r w:rsidR="00393F6B" w:rsidRPr="00ED22D1">
        <w:rPr>
          <w:lang w:val="fr-CA"/>
        </w:rPr>
        <w:t>bénéficiaire</w:t>
      </w:r>
      <w:r w:rsidR="0085675A" w:rsidRPr="00ED22D1">
        <w:rPr>
          <w:lang w:val="fr-CA"/>
        </w:rPr>
        <w:t xml:space="preserve"> </w:t>
      </w:r>
      <w:r w:rsidR="00D211C8" w:rsidRPr="00ED22D1">
        <w:rPr>
          <w:lang w:val="fr-CA"/>
        </w:rPr>
        <w:t>(chaîne de supermarchés Chaoshifa</w:t>
      </w:r>
      <w:r w:rsidR="0085675A" w:rsidRPr="00ED22D1">
        <w:rPr>
          <w:lang w:val="fr-CA"/>
        </w:rPr>
        <w:t xml:space="preserve">) </w:t>
      </w:r>
      <w:r w:rsidR="00D211C8" w:rsidRPr="00ED22D1">
        <w:rPr>
          <w:lang w:val="fr-CA"/>
        </w:rPr>
        <w:t xml:space="preserve">pour la </w:t>
      </w:r>
      <w:r w:rsidR="00E71388" w:rsidRPr="00ED22D1">
        <w:rPr>
          <w:lang w:val="fr-CA"/>
        </w:rPr>
        <w:t>démonstration</w:t>
      </w:r>
      <w:r w:rsidR="0085675A" w:rsidRPr="00ED22D1">
        <w:rPr>
          <w:lang w:val="fr-CA"/>
        </w:rPr>
        <w:t xml:space="preserve"> </w:t>
      </w:r>
      <w:r w:rsidR="00D211C8" w:rsidRPr="00ED22D1">
        <w:rPr>
          <w:lang w:val="fr-CA"/>
        </w:rPr>
        <w:t>d’une application d’un système transcritique de</w:t>
      </w:r>
      <w:r w:rsidR="0085675A" w:rsidRPr="00ED22D1">
        <w:rPr>
          <w:lang w:val="fr-CA"/>
        </w:rPr>
        <w:t xml:space="preserve"> CO</w:t>
      </w:r>
      <w:r w:rsidR="0085675A" w:rsidRPr="00ED22D1">
        <w:rPr>
          <w:vertAlign w:val="subscript"/>
          <w:lang w:val="fr-CA"/>
        </w:rPr>
        <w:t>2</w:t>
      </w:r>
      <w:r w:rsidR="00C2293E" w:rsidRPr="00ED22D1">
        <w:rPr>
          <w:lang w:val="fr-CA"/>
        </w:rPr>
        <w:t>. S</w:t>
      </w:r>
      <w:r w:rsidR="0085675A" w:rsidRPr="00ED22D1">
        <w:rPr>
          <w:lang w:val="fr-CA"/>
        </w:rPr>
        <w:t xml:space="preserve">ix </w:t>
      </w:r>
      <w:r w:rsidR="001F6F17" w:rsidRPr="00ED22D1">
        <w:rPr>
          <w:lang w:val="fr-CA"/>
        </w:rPr>
        <w:t>formateur</w:t>
      </w:r>
      <w:r w:rsidR="0085675A" w:rsidRPr="00ED22D1">
        <w:rPr>
          <w:lang w:val="fr-CA"/>
        </w:rPr>
        <w:t xml:space="preserve">s </w:t>
      </w:r>
      <w:r w:rsidR="001F6F17" w:rsidRPr="00ED22D1">
        <w:rPr>
          <w:lang w:val="fr-CA"/>
        </w:rPr>
        <w:t>de centres de formation professionnelle</w:t>
      </w:r>
      <w:r w:rsidR="004A6828" w:rsidRPr="00ED22D1">
        <w:rPr>
          <w:lang w:val="fr-CA"/>
        </w:rPr>
        <w:t xml:space="preserve"> et </w:t>
      </w:r>
      <w:r w:rsidR="0085675A" w:rsidRPr="00ED22D1">
        <w:rPr>
          <w:lang w:val="fr-CA"/>
        </w:rPr>
        <w:t xml:space="preserve">six </w:t>
      </w:r>
      <w:r w:rsidR="001F6F17" w:rsidRPr="00ED22D1">
        <w:rPr>
          <w:lang w:val="fr-CA"/>
        </w:rPr>
        <w:t>directeurs/ingénieurs du sous-secteur de la chaîne frigorifique</w:t>
      </w:r>
      <w:r w:rsidR="004A6828" w:rsidRPr="00ED22D1">
        <w:rPr>
          <w:lang w:val="fr-CA"/>
        </w:rPr>
        <w:t xml:space="preserve"> et </w:t>
      </w:r>
      <w:r w:rsidR="001F6F17" w:rsidRPr="00ED22D1">
        <w:rPr>
          <w:lang w:val="fr-CA"/>
        </w:rPr>
        <w:t>des supermarchés ont participé à une tournée d’étude sur l’</w:t>
      </w:r>
      <w:r w:rsidR="0085675A" w:rsidRPr="00ED22D1">
        <w:rPr>
          <w:lang w:val="fr-CA"/>
        </w:rPr>
        <w:t xml:space="preserve">application </w:t>
      </w:r>
      <w:r w:rsidR="001F6F17" w:rsidRPr="00ED22D1">
        <w:rPr>
          <w:lang w:val="fr-CA"/>
        </w:rPr>
        <w:t>de frigorigènes à faible potentiel de réchauffement de la planète dans le sous-secteur</w:t>
      </w:r>
      <w:r w:rsidR="00733306" w:rsidRPr="00ED22D1">
        <w:rPr>
          <w:lang w:val="fr-CA"/>
        </w:rPr>
        <w:t>.</w:t>
      </w:r>
      <w:r w:rsidR="0085675A" w:rsidRPr="00ED22D1">
        <w:rPr>
          <w:lang w:val="fr-CA"/>
        </w:rPr>
        <w:t xml:space="preserve"> </w:t>
      </w:r>
      <w:r w:rsidR="001F6F17" w:rsidRPr="00ED22D1">
        <w:rPr>
          <w:lang w:val="fr-CA"/>
        </w:rPr>
        <w:t xml:space="preserve">Un atelier de formation national sur les produits de remplacement du </w:t>
      </w:r>
      <w:r w:rsidR="0085675A" w:rsidRPr="00ED22D1">
        <w:rPr>
          <w:lang w:val="fr-CA"/>
        </w:rPr>
        <w:t xml:space="preserve">HCFC-22 </w:t>
      </w:r>
      <w:r w:rsidR="001F6F17" w:rsidRPr="00ED22D1">
        <w:rPr>
          <w:lang w:val="fr-CA"/>
        </w:rPr>
        <w:t>dans le secteur des supermarchés a été organisé</w:t>
      </w:r>
      <w:r w:rsidR="0031390F" w:rsidRPr="00ED22D1">
        <w:rPr>
          <w:lang w:val="fr-CA"/>
        </w:rPr>
        <w:t>. Le</w:t>
      </w:r>
      <w:r w:rsidR="001F6F17" w:rsidRPr="00ED22D1">
        <w:rPr>
          <w:lang w:val="fr-CA"/>
        </w:rPr>
        <w:t xml:space="preserve"> mandat et les critères de sélection pour la livraison du programme de</w:t>
      </w:r>
      <w:r w:rsidR="00C2293E" w:rsidRPr="00ED22D1">
        <w:rPr>
          <w:lang w:val="fr-CA"/>
        </w:rPr>
        <w:t> </w:t>
      </w:r>
      <w:r w:rsidR="001F6F17" w:rsidRPr="00ED22D1">
        <w:rPr>
          <w:lang w:val="fr-CA"/>
        </w:rPr>
        <w:t>formation des techniciens</w:t>
      </w:r>
      <w:r w:rsidR="0085675A" w:rsidRPr="00ED22D1">
        <w:rPr>
          <w:lang w:val="fr-CA"/>
        </w:rPr>
        <w:t xml:space="preserve"> </w:t>
      </w:r>
      <w:r w:rsidR="001F6F17" w:rsidRPr="00ED22D1">
        <w:rPr>
          <w:lang w:val="fr-CA"/>
        </w:rPr>
        <w:t xml:space="preserve">dans des ateliers d’entretien des </w:t>
      </w:r>
      <w:r w:rsidR="00E71388" w:rsidRPr="00ED22D1">
        <w:rPr>
          <w:lang w:val="fr-CA"/>
        </w:rPr>
        <w:t>fabricant</w:t>
      </w:r>
      <w:r w:rsidR="0085675A" w:rsidRPr="00ED22D1">
        <w:rPr>
          <w:lang w:val="fr-CA"/>
        </w:rPr>
        <w:t xml:space="preserve">s </w:t>
      </w:r>
      <w:r w:rsidR="001F6F17" w:rsidRPr="00ED22D1">
        <w:rPr>
          <w:lang w:val="fr-CA"/>
        </w:rPr>
        <w:t>ont été finalisés</w:t>
      </w:r>
      <w:r w:rsidR="0031390F" w:rsidRPr="00ED22D1">
        <w:rPr>
          <w:lang w:val="fr-CA"/>
        </w:rPr>
        <w:t>. Le</w:t>
      </w:r>
      <w:r w:rsidR="001F6F17" w:rsidRPr="00ED22D1">
        <w:rPr>
          <w:lang w:val="fr-CA"/>
        </w:rPr>
        <w:t xml:space="preserve"> rapport d’étude sur l’analyse des barrières et l’étude des mécanismes du marché pour la récupération des</w:t>
      </w:r>
      <w:r w:rsidR="0085675A" w:rsidRPr="00ED22D1">
        <w:rPr>
          <w:lang w:val="fr-CA"/>
        </w:rPr>
        <w:t xml:space="preserve"> HCFC </w:t>
      </w:r>
      <w:r w:rsidR="001F6F17" w:rsidRPr="00ED22D1">
        <w:rPr>
          <w:lang w:val="fr-CA"/>
        </w:rPr>
        <w:t>a fait l’objet d’un examen et il a été révisé pour publication finale. On a poursuivi les activités d’accroissement de la sensibilisation</w:t>
      </w:r>
      <w:r w:rsidR="0085675A" w:rsidRPr="00ED22D1">
        <w:rPr>
          <w:lang w:val="fr-CA"/>
        </w:rPr>
        <w:t>.</w:t>
      </w:r>
    </w:p>
    <w:p w:rsidR="00C567EA" w:rsidRPr="00ED22D1" w:rsidRDefault="00C567EA" w:rsidP="0085675A">
      <w:pPr>
        <w:pStyle w:val="Heading1"/>
        <w:numPr>
          <w:ilvl w:val="0"/>
          <w:numId w:val="0"/>
        </w:numPr>
        <w:rPr>
          <w:u w:val="single"/>
          <w:lang w:val="fr-CA"/>
        </w:rPr>
      </w:pPr>
    </w:p>
    <w:p w:rsidR="0085675A" w:rsidRPr="00ED22D1" w:rsidRDefault="00181884" w:rsidP="0085675A">
      <w:pPr>
        <w:pStyle w:val="Heading1"/>
        <w:numPr>
          <w:ilvl w:val="0"/>
          <w:numId w:val="0"/>
        </w:numPr>
        <w:rPr>
          <w:u w:val="single"/>
          <w:lang w:val="fr-CA"/>
        </w:rPr>
      </w:pPr>
      <w:r w:rsidRPr="00ED22D1">
        <w:rPr>
          <w:u w:val="single"/>
          <w:lang w:val="fr-CA"/>
        </w:rPr>
        <w:t>Décaissement</w:t>
      </w:r>
      <w:r w:rsidR="0085675A" w:rsidRPr="00ED22D1">
        <w:rPr>
          <w:u w:val="single"/>
          <w:lang w:val="fr-CA"/>
        </w:rPr>
        <w:t xml:space="preserve"> </w:t>
      </w:r>
      <w:r w:rsidR="001F6F17" w:rsidRPr="00ED22D1">
        <w:rPr>
          <w:u w:val="single"/>
          <w:lang w:val="fr-CA"/>
        </w:rPr>
        <w:t>du</w:t>
      </w:r>
      <w:r w:rsidR="0085675A" w:rsidRPr="00ED22D1">
        <w:rPr>
          <w:u w:val="single"/>
          <w:lang w:val="fr-CA"/>
        </w:rPr>
        <w:t xml:space="preserve"> </w:t>
      </w:r>
      <w:r w:rsidR="00905638" w:rsidRPr="00ED22D1">
        <w:rPr>
          <w:u w:val="single"/>
          <w:lang w:val="fr-CA"/>
        </w:rPr>
        <w:t>financement</w:t>
      </w:r>
      <w:r w:rsidR="0085675A" w:rsidRPr="00ED22D1">
        <w:rPr>
          <w:u w:val="single"/>
          <w:lang w:val="fr-CA"/>
        </w:rPr>
        <w:t xml:space="preserve"> </w:t>
      </w:r>
    </w:p>
    <w:p w:rsidR="0085675A" w:rsidRPr="00ED22D1" w:rsidRDefault="007D2C9E" w:rsidP="007D2C9E">
      <w:pPr>
        <w:pStyle w:val="Heading1"/>
        <w:numPr>
          <w:ilvl w:val="0"/>
          <w:numId w:val="0"/>
        </w:numPr>
        <w:rPr>
          <w:lang w:val="fr-CA"/>
        </w:rPr>
      </w:pPr>
      <w:r w:rsidRPr="00ED22D1">
        <w:rPr>
          <w:lang w:val="fr-CA"/>
        </w:rPr>
        <w:t>46.</w:t>
      </w:r>
      <w:r w:rsidRPr="00ED22D1">
        <w:rPr>
          <w:lang w:val="fr-CA"/>
        </w:rPr>
        <w:tab/>
      </w:r>
      <w:r w:rsidR="00350E4F" w:rsidRPr="00ED22D1">
        <w:rPr>
          <w:lang w:val="fr-CA"/>
        </w:rPr>
        <w:t>En date d’avril</w:t>
      </w:r>
      <w:r w:rsidR="0085675A" w:rsidRPr="00ED22D1">
        <w:rPr>
          <w:lang w:val="fr-CA"/>
        </w:rPr>
        <w:t xml:space="preserve"> 201</w:t>
      </w:r>
      <w:r w:rsidR="004A6828" w:rsidRPr="00ED22D1">
        <w:rPr>
          <w:lang w:val="fr-CA"/>
        </w:rPr>
        <w:t>9</w:t>
      </w:r>
      <w:r w:rsidR="00350E4F" w:rsidRPr="00ED22D1">
        <w:rPr>
          <w:lang w:val="fr-CA"/>
        </w:rPr>
        <w:t>, des</w:t>
      </w:r>
      <w:r w:rsidR="0085675A" w:rsidRPr="00ED22D1">
        <w:rPr>
          <w:lang w:val="fr-CA"/>
        </w:rPr>
        <w:t xml:space="preserve"> 10</w:t>
      </w:r>
      <w:r w:rsidR="004A6828" w:rsidRPr="00ED22D1">
        <w:rPr>
          <w:lang w:val="fr-CA"/>
        </w:rPr>
        <w:t>1 </w:t>
      </w:r>
      <w:r w:rsidR="0085675A" w:rsidRPr="00ED22D1">
        <w:rPr>
          <w:lang w:val="fr-CA"/>
        </w:rPr>
        <w:t>41</w:t>
      </w:r>
      <w:r w:rsidR="004A6828" w:rsidRPr="00ED22D1">
        <w:rPr>
          <w:lang w:val="fr-CA"/>
        </w:rPr>
        <w:t>9 </w:t>
      </w:r>
      <w:r w:rsidR="0085675A" w:rsidRPr="00ED22D1">
        <w:rPr>
          <w:lang w:val="fr-CA"/>
        </w:rPr>
        <w:t>890</w:t>
      </w:r>
      <w:r w:rsidR="00F5397E" w:rsidRPr="00ED22D1">
        <w:rPr>
          <w:lang w:val="fr-CA"/>
        </w:rPr>
        <w:t> $US</w:t>
      </w:r>
      <w:r w:rsidR="0085675A" w:rsidRPr="00ED22D1">
        <w:rPr>
          <w:lang w:val="fr-CA"/>
        </w:rPr>
        <w:t xml:space="preserve"> </w:t>
      </w:r>
      <w:r w:rsidR="00AA6E77" w:rsidRPr="00ED22D1">
        <w:rPr>
          <w:lang w:val="fr-CA"/>
        </w:rPr>
        <w:t>approuvé</w:t>
      </w:r>
      <w:r w:rsidR="00350E4F" w:rsidRPr="00ED22D1">
        <w:rPr>
          <w:lang w:val="fr-CA"/>
        </w:rPr>
        <w:t>s</w:t>
      </w:r>
      <w:r w:rsidR="0085675A" w:rsidRPr="00ED22D1">
        <w:rPr>
          <w:lang w:val="fr-CA"/>
        </w:rPr>
        <w:t xml:space="preserve"> </w:t>
      </w:r>
      <w:r w:rsidR="00350E4F" w:rsidRPr="00ED22D1">
        <w:rPr>
          <w:lang w:val="fr-CA"/>
        </w:rPr>
        <w:t xml:space="preserve">dans le cadre des </w:t>
      </w:r>
      <w:r w:rsidR="00181884" w:rsidRPr="00ED22D1">
        <w:rPr>
          <w:lang w:val="fr-CA"/>
        </w:rPr>
        <w:t>première</w:t>
      </w:r>
      <w:r w:rsidR="004A6828" w:rsidRPr="00ED22D1">
        <w:rPr>
          <w:lang w:val="fr-CA"/>
        </w:rPr>
        <w:t xml:space="preserve"> et </w:t>
      </w:r>
      <w:r w:rsidR="00921BDE" w:rsidRPr="00ED22D1">
        <w:rPr>
          <w:lang w:val="fr-CA"/>
        </w:rPr>
        <w:t>deuxième</w:t>
      </w:r>
      <w:r w:rsidR="0085675A" w:rsidRPr="00ED22D1">
        <w:rPr>
          <w:lang w:val="fr-CA"/>
        </w:rPr>
        <w:t xml:space="preserve"> tranches, 5</w:t>
      </w:r>
      <w:r w:rsidR="004A6828" w:rsidRPr="00ED22D1">
        <w:rPr>
          <w:lang w:val="fr-CA"/>
        </w:rPr>
        <w:t>1 </w:t>
      </w:r>
      <w:r w:rsidR="0085675A" w:rsidRPr="00ED22D1">
        <w:rPr>
          <w:lang w:val="fr-CA"/>
        </w:rPr>
        <w:t>13</w:t>
      </w:r>
      <w:r w:rsidR="004A6828" w:rsidRPr="00ED22D1">
        <w:rPr>
          <w:lang w:val="fr-CA"/>
        </w:rPr>
        <w:t>9 </w:t>
      </w:r>
      <w:r w:rsidR="0085675A" w:rsidRPr="00ED22D1">
        <w:rPr>
          <w:lang w:val="fr-CA"/>
        </w:rPr>
        <w:t>064</w:t>
      </w:r>
      <w:r w:rsidR="00F5397E" w:rsidRPr="00ED22D1">
        <w:rPr>
          <w:lang w:val="fr-CA"/>
        </w:rPr>
        <w:t> $US</w:t>
      </w:r>
      <w:r w:rsidR="0085675A" w:rsidRPr="00ED22D1">
        <w:rPr>
          <w:lang w:val="fr-CA"/>
        </w:rPr>
        <w:t xml:space="preserve"> </w:t>
      </w:r>
      <w:r w:rsidR="00350E4F" w:rsidRPr="00ED22D1">
        <w:rPr>
          <w:lang w:val="fr-CA"/>
        </w:rPr>
        <w:t xml:space="preserve">avaient été décaissés des </w:t>
      </w:r>
      <w:r w:rsidR="00B53D8B" w:rsidRPr="00ED22D1">
        <w:rPr>
          <w:lang w:val="fr-CA"/>
        </w:rPr>
        <w:t>agences d’exécution</w:t>
      </w:r>
      <w:r w:rsidR="0085675A" w:rsidRPr="00ED22D1">
        <w:rPr>
          <w:lang w:val="fr-CA"/>
        </w:rPr>
        <w:t xml:space="preserve"> </w:t>
      </w:r>
      <w:r w:rsidR="00350E4F" w:rsidRPr="00ED22D1">
        <w:rPr>
          <w:lang w:val="fr-CA"/>
        </w:rPr>
        <w:t>à</w:t>
      </w:r>
      <w:r w:rsidR="00F320D6" w:rsidRPr="00ED22D1">
        <w:rPr>
          <w:lang w:val="fr-CA"/>
        </w:rPr>
        <w:t xml:space="preserve"> l’IECO</w:t>
      </w:r>
      <w:r w:rsidR="0085675A" w:rsidRPr="00ED22D1">
        <w:rPr>
          <w:lang w:val="fr-CA"/>
        </w:rPr>
        <w:t>,</w:t>
      </w:r>
      <w:r w:rsidR="004A6828" w:rsidRPr="00ED22D1">
        <w:rPr>
          <w:lang w:val="fr-CA"/>
        </w:rPr>
        <w:t xml:space="preserve"> et </w:t>
      </w:r>
      <w:r w:rsidR="0085675A" w:rsidRPr="00ED22D1">
        <w:rPr>
          <w:lang w:val="fr-CA"/>
        </w:rPr>
        <w:t>3</w:t>
      </w:r>
      <w:r w:rsidR="004A6828" w:rsidRPr="00ED22D1">
        <w:rPr>
          <w:lang w:val="fr-CA"/>
        </w:rPr>
        <w:t>0 </w:t>
      </w:r>
      <w:r w:rsidR="0085675A" w:rsidRPr="00ED22D1">
        <w:rPr>
          <w:lang w:val="fr-CA"/>
        </w:rPr>
        <w:t>60</w:t>
      </w:r>
      <w:r w:rsidR="004A6828" w:rsidRPr="00ED22D1">
        <w:rPr>
          <w:lang w:val="fr-CA"/>
        </w:rPr>
        <w:t>2 </w:t>
      </w:r>
      <w:r w:rsidR="0085675A" w:rsidRPr="00ED22D1">
        <w:rPr>
          <w:lang w:val="fr-CA"/>
        </w:rPr>
        <w:t>616</w:t>
      </w:r>
      <w:r w:rsidR="00F5397E" w:rsidRPr="00ED22D1">
        <w:rPr>
          <w:lang w:val="fr-CA"/>
        </w:rPr>
        <w:t> $US</w:t>
      </w:r>
      <w:r w:rsidR="0085675A" w:rsidRPr="00ED22D1">
        <w:rPr>
          <w:lang w:val="fr-CA"/>
        </w:rPr>
        <w:t xml:space="preserve"> </w:t>
      </w:r>
      <w:r w:rsidR="00350E4F" w:rsidRPr="00ED22D1">
        <w:rPr>
          <w:lang w:val="fr-CA"/>
        </w:rPr>
        <w:t xml:space="preserve">avaient été décaissés de </w:t>
      </w:r>
      <w:r w:rsidR="00F320D6" w:rsidRPr="00ED22D1">
        <w:rPr>
          <w:lang w:val="fr-CA"/>
        </w:rPr>
        <w:t>l’IECO</w:t>
      </w:r>
      <w:r w:rsidR="0085675A" w:rsidRPr="00ED22D1">
        <w:rPr>
          <w:lang w:val="fr-CA"/>
        </w:rPr>
        <w:t xml:space="preserve"> </w:t>
      </w:r>
      <w:r w:rsidR="00350E4F" w:rsidRPr="00ED22D1">
        <w:rPr>
          <w:lang w:val="fr-CA"/>
        </w:rPr>
        <w:t>aux</w:t>
      </w:r>
      <w:r w:rsidR="0085675A" w:rsidRPr="00ED22D1">
        <w:rPr>
          <w:lang w:val="fr-CA"/>
        </w:rPr>
        <w:t xml:space="preserve"> </w:t>
      </w:r>
      <w:r w:rsidR="00921BDE" w:rsidRPr="00ED22D1">
        <w:rPr>
          <w:lang w:val="fr-CA"/>
        </w:rPr>
        <w:t>bénéficiaires</w:t>
      </w:r>
      <w:r w:rsidR="00350E4F" w:rsidRPr="00ED22D1">
        <w:rPr>
          <w:lang w:val="fr-CA"/>
        </w:rPr>
        <w:t xml:space="preserve"> (T</w:t>
      </w:r>
      <w:r w:rsidR="00CE7FEC" w:rsidRPr="00ED22D1">
        <w:rPr>
          <w:lang w:val="fr-CA"/>
        </w:rPr>
        <w:t xml:space="preserve">ableau </w:t>
      </w:r>
      <w:r w:rsidR="004A6828" w:rsidRPr="00ED22D1">
        <w:rPr>
          <w:lang w:val="fr-CA"/>
        </w:rPr>
        <w:t>3</w:t>
      </w:r>
      <w:r w:rsidR="00350E4F" w:rsidRPr="00ED22D1">
        <w:rPr>
          <w:lang w:val="fr-CA"/>
        </w:rPr>
        <w:t>)</w:t>
      </w:r>
      <w:r w:rsidR="00F5397E" w:rsidRPr="00ED22D1">
        <w:rPr>
          <w:lang w:val="fr-CA"/>
        </w:rPr>
        <w:t>.</w:t>
      </w:r>
    </w:p>
    <w:p w:rsidR="0085675A" w:rsidRPr="00ED22D1" w:rsidRDefault="00CE7FEC" w:rsidP="0085675A">
      <w:pPr>
        <w:rPr>
          <w:b/>
          <w:lang w:val="fr-CA"/>
        </w:rPr>
      </w:pPr>
      <w:r w:rsidRPr="00ED22D1">
        <w:rPr>
          <w:b/>
          <w:lang w:val="fr-CA"/>
        </w:rPr>
        <w:t xml:space="preserve">Tableau </w:t>
      </w:r>
      <w:r w:rsidR="004A6828" w:rsidRPr="00ED22D1">
        <w:rPr>
          <w:b/>
          <w:lang w:val="fr-CA"/>
        </w:rPr>
        <w:t>3</w:t>
      </w:r>
      <w:r w:rsidR="00F5397E" w:rsidRPr="00ED22D1">
        <w:rPr>
          <w:b/>
          <w:lang w:val="fr-CA"/>
        </w:rPr>
        <w:t>.</w:t>
      </w:r>
      <w:r w:rsidR="0085675A" w:rsidRPr="00ED22D1">
        <w:rPr>
          <w:b/>
          <w:lang w:val="fr-CA"/>
        </w:rPr>
        <w:t xml:space="preserve"> </w:t>
      </w:r>
      <w:r w:rsidR="00350E4F" w:rsidRPr="00ED22D1">
        <w:rPr>
          <w:b/>
          <w:lang w:val="fr-CA"/>
        </w:rPr>
        <w:t xml:space="preserve">Niveau de </w:t>
      </w:r>
      <w:r w:rsidR="00181884" w:rsidRPr="00ED22D1">
        <w:rPr>
          <w:b/>
          <w:lang w:val="fr-CA"/>
        </w:rPr>
        <w:t>décaissement</w:t>
      </w:r>
      <w:r w:rsidR="00350E4F" w:rsidRPr="00ED22D1">
        <w:rPr>
          <w:b/>
          <w:lang w:val="fr-CA"/>
        </w:rPr>
        <w:t xml:space="preserve"> par </w:t>
      </w:r>
      <w:r w:rsidR="00733306" w:rsidRPr="00ED22D1">
        <w:rPr>
          <w:b/>
          <w:lang w:val="fr-CA"/>
        </w:rPr>
        <w:t xml:space="preserve">secteur </w:t>
      </w:r>
      <w:r w:rsidR="0085675A" w:rsidRPr="00ED22D1">
        <w:rPr>
          <w:b/>
          <w:lang w:val="fr-CA"/>
        </w:rPr>
        <w:t>(</w:t>
      </w:r>
      <w:r w:rsidR="00350E4F" w:rsidRPr="00ED22D1">
        <w:rPr>
          <w:b/>
          <w:lang w:val="fr-CA"/>
        </w:rPr>
        <w:t>en date d’avril</w:t>
      </w:r>
      <w:r w:rsidR="0085675A" w:rsidRPr="00ED22D1">
        <w:rPr>
          <w:b/>
          <w:lang w:val="fr-CA"/>
        </w:rPr>
        <w:t xml:space="preserve"> 2019)</w:t>
      </w:r>
    </w:p>
    <w:tbl>
      <w:tblPr>
        <w:tblW w:w="9243" w:type="dxa"/>
        <w:tblInd w:w="108" w:type="dxa"/>
        <w:tblLook w:val="04A0" w:firstRow="1" w:lastRow="0" w:firstColumn="1" w:lastColumn="0" w:noHBand="0" w:noVBand="1"/>
      </w:tblPr>
      <w:tblGrid>
        <w:gridCol w:w="3148"/>
        <w:gridCol w:w="1984"/>
        <w:gridCol w:w="1276"/>
        <w:gridCol w:w="1417"/>
        <w:gridCol w:w="1418"/>
      </w:tblGrid>
      <w:tr w:rsidR="0085675A" w:rsidRPr="00ED22D1" w:rsidTr="005950FA">
        <w:trPr>
          <w:cantSplit/>
          <w:trHeight w:val="50"/>
          <w:tblHeader/>
        </w:trPr>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tcPr>
          <w:p w:rsidR="0085675A" w:rsidRPr="00ED22D1" w:rsidRDefault="0085675A" w:rsidP="0085675A">
            <w:pPr>
              <w:jc w:val="left"/>
              <w:rPr>
                <w:b/>
                <w:bCs/>
                <w:color w:val="000000"/>
                <w:sz w:val="18"/>
                <w:szCs w:val="18"/>
                <w:lang w:val="fr-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5675A" w:rsidRPr="00ED22D1" w:rsidRDefault="0085675A" w:rsidP="0085675A">
            <w:pPr>
              <w:jc w:val="center"/>
              <w:rPr>
                <w:b/>
                <w:bCs/>
                <w:color w:val="000000"/>
                <w:sz w:val="18"/>
                <w:szCs w:val="18"/>
                <w:lang w:val="fr-CA" w:eastAsia="en-CA"/>
              </w:rPr>
            </w:pPr>
            <w:r w:rsidRPr="00ED22D1">
              <w:rPr>
                <w:b/>
                <w:bCs/>
                <w:color w:val="000000"/>
                <w:sz w:val="18"/>
                <w:szCs w:val="18"/>
                <w:lang w:val="fr-CA" w:eastAsia="en-CA"/>
              </w:rPr>
              <w:t>Tranche 1</w:t>
            </w:r>
          </w:p>
        </w:tc>
        <w:tc>
          <w:tcPr>
            <w:tcW w:w="1417"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center"/>
              <w:rPr>
                <w:b/>
                <w:bCs/>
                <w:color w:val="000000"/>
                <w:sz w:val="18"/>
                <w:szCs w:val="18"/>
                <w:lang w:val="fr-CA" w:eastAsia="en-CA"/>
              </w:rPr>
            </w:pPr>
            <w:r w:rsidRPr="00ED22D1">
              <w:rPr>
                <w:b/>
                <w:bCs/>
                <w:color w:val="000000"/>
                <w:sz w:val="18"/>
                <w:szCs w:val="18"/>
                <w:lang w:val="fr-CA" w:eastAsia="en-CA"/>
              </w:rPr>
              <w:t>Tranche 2</w:t>
            </w:r>
          </w:p>
        </w:tc>
        <w:tc>
          <w:tcPr>
            <w:tcW w:w="1418"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center"/>
              <w:rPr>
                <w:b/>
                <w:bCs/>
                <w:color w:val="000000"/>
                <w:sz w:val="18"/>
                <w:szCs w:val="18"/>
                <w:lang w:val="fr-CA" w:eastAsia="en-CA"/>
              </w:rPr>
            </w:pPr>
            <w:r w:rsidRPr="00ED22D1">
              <w:rPr>
                <w:b/>
                <w:bCs/>
                <w:color w:val="000000"/>
                <w:sz w:val="18"/>
                <w:szCs w:val="18"/>
                <w:lang w:val="fr-CA" w:eastAsia="en-CA"/>
              </w:rPr>
              <w:t>Total</w:t>
            </w:r>
          </w:p>
        </w:tc>
      </w:tr>
      <w:tr w:rsidR="0085675A" w:rsidRPr="00C80221" w:rsidTr="005950FA">
        <w:trPr>
          <w:trHeight w:val="50"/>
        </w:trPr>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tcPr>
          <w:p w:rsidR="0085675A" w:rsidRPr="00ED22D1" w:rsidRDefault="00350E4F" w:rsidP="00350E4F">
            <w:pPr>
              <w:jc w:val="left"/>
              <w:rPr>
                <w:b/>
                <w:bCs/>
                <w:color w:val="000000"/>
                <w:sz w:val="18"/>
                <w:szCs w:val="18"/>
                <w:lang w:val="fr-CA" w:eastAsia="en-CA"/>
              </w:rPr>
            </w:pPr>
            <w:r w:rsidRPr="00ED22D1">
              <w:rPr>
                <w:b/>
                <w:bCs/>
                <w:color w:val="000000"/>
                <w:sz w:val="18"/>
                <w:szCs w:val="18"/>
                <w:lang w:val="fr-CA" w:eastAsia="en-CA"/>
              </w:rPr>
              <w:t xml:space="preserve">Plan du secteur des mousses </w:t>
            </w:r>
            <w:r w:rsidR="0085675A" w:rsidRPr="00ED22D1">
              <w:rPr>
                <w:b/>
                <w:bCs/>
                <w:color w:val="000000"/>
                <w:sz w:val="18"/>
                <w:szCs w:val="18"/>
                <w:lang w:val="fr-CA" w:eastAsia="en-CA"/>
              </w:rPr>
              <w:t>XPS (</w:t>
            </w:r>
            <w:r w:rsidR="004A6828" w:rsidRPr="00ED22D1">
              <w:rPr>
                <w:b/>
                <w:bCs/>
                <w:color w:val="000000"/>
                <w:sz w:val="18"/>
                <w:szCs w:val="18"/>
                <w:lang w:val="fr-CA" w:eastAsia="en-CA"/>
              </w:rPr>
              <w:t>ONUDI</w:t>
            </w:r>
            <w:r w:rsidR="0085675A" w:rsidRPr="00ED22D1">
              <w:rPr>
                <w:b/>
                <w:bCs/>
                <w:color w:val="000000"/>
                <w:sz w:val="18"/>
                <w:szCs w:val="18"/>
                <w:lang w:val="fr-CA" w:eastAsia="en-CA"/>
              </w:rPr>
              <w:t>/</w:t>
            </w:r>
            <w:r w:rsidR="004A6828" w:rsidRPr="00ED22D1">
              <w:rPr>
                <w:b/>
                <w:bCs/>
                <w:color w:val="000000"/>
                <w:sz w:val="18"/>
                <w:szCs w:val="18"/>
                <w:lang w:val="fr-CA" w:eastAsia="en-CA"/>
              </w:rPr>
              <w:t>Allemagne</w:t>
            </w:r>
            <w:r w:rsidR="0085675A" w:rsidRPr="00ED22D1">
              <w:rPr>
                <w:b/>
                <w:bCs/>
                <w:color w:val="000000"/>
                <w:sz w:val="18"/>
                <w:szCs w:val="18"/>
                <w:lang w:val="fr-CA" w:eastAsia="en-CA"/>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5675A" w:rsidRPr="00ED22D1" w:rsidRDefault="0085675A" w:rsidP="0085675A">
            <w:pPr>
              <w:jc w:val="center"/>
              <w:rPr>
                <w:b/>
                <w:bCs/>
                <w:color w:val="000000"/>
                <w:sz w:val="18"/>
                <w:szCs w:val="18"/>
                <w:lang w:val="fr-CA" w:eastAsia="en-CA"/>
              </w:rPr>
            </w:pPr>
          </w:p>
        </w:tc>
        <w:tc>
          <w:tcPr>
            <w:tcW w:w="1417"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center"/>
              <w:rPr>
                <w:b/>
                <w:bCs/>
                <w:color w:val="000000"/>
                <w:sz w:val="18"/>
                <w:szCs w:val="18"/>
                <w:lang w:val="fr-CA" w:eastAsia="en-CA"/>
              </w:rPr>
            </w:pPr>
          </w:p>
        </w:tc>
        <w:tc>
          <w:tcPr>
            <w:tcW w:w="1418" w:type="dxa"/>
            <w:tcBorders>
              <w:top w:val="single" w:sz="4" w:space="0" w:color="auto"/>
              <w:left w:val="nil"/>
              <w:bottom w:val="single" w:sz="4" w:space="0" w:color="auto"/>
              <w:right w:val="single" w:sz="4" w:space="0" w:color="auto"/>
            </w:tcBorders>
            <w:shd w:val="clear" w:color="auto" w:fill="auto"/>
            <w:noWrap/>
          </w:tcPr>
          <w:p w:rsidR="0085675A" w:rsidRPr="00ED22D1" w:rsidRDefault="0085675A" w:rsidP="0085675A">
            <w:pPr>
              <w:jc w:val="center"/>
              <w:rPr>
                <w:b/>
                <w:bCs/>
                <w:color w:val="000000"/>
                <w:sz w:val="18"/>
                <w:szCs w:val="18"/>
                <w:lang w:val="fr-CA" w:eastAsia="en-CA"/>
              </w:rPr>
            </w:pPr>
          </w:p>
        </w:tc>
      </w:tr>
      <w:tr w:rsidR="0085675A" w:rsidRPr="00ED22D1" w:rsidTr="005950FA">
        <w:trPr>
          <w:trHeight w:val="155"/>
        </w:trPr>
        <w:tc>
          <w:tcPr>
            <w:tcW w:w="51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7 </w:t>
            </w:r>
            <w:r w:rsidR="0085675A" w:rsidRPr="00ED22D1">
              <w:rPr>
                <w:color w:val="000000"/>
                <w:sz w:val="18"/>
                <w:szCs w:val="18"/>
                <w:lang w:val="fr-CA" w:eastAsia="en-CA"/>
              </w:rPr>
              <w:t>51</w:t>
            </w:r>
            <w:r w:rsidRPr="00ED22D1">
              <w:rPr>
                <w:color w:val="000000"/>
                <w:sz w:val="18"/>
                <w:szCs w:val="18"/>
                <w:lang w:val="fr-CA" w:eastAsia="en-CA"/>
              </w:rPr>
              <w:t>4 </w:t>
            </w:r>
            <w:r w:rsidR="0085675A" w:rsidRPr="00ED22D1">
              <w:rPr>
                <w:color w:val="000000"/>
                <w:sz w:val="18"/>
                <w:szCs w:val="18"/>
                <w:lang w:val="fr-CA" w:eastAsia="en-CA"/>
              </w:rPr>
              <w:t>867</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9 </w:t>
            </w:r>
            <w:r w:rsidR="0085675A" w:rsidRPr="00ED22D1">
              <w:rPr>
                <w:color w:val="000000"/>
                <w:sz w:val="18"/>
                <w:szCs w:val="18"/>
                <w:lang w:val="fr-CA" w:eastAsia="en-CA"/>
              </w:rPr>
              <w:t>00</w:t>
            </w:r>
            <w:r w:rsidRPr="00ED22D1">
              <w:rPr>
                <w:color w:val="000000"/>
                <w:sz w:val="18"/>
                <w:szCs w:val="18"/>
                <w:lang w:val="fr-CA" w:eastAsia="en-CA"/>
              </w:rPr>
              <w:t>0 </w:t>
            </w:r>
            <w:r w:rsidR="0085675A" w:rsidRPr="00ED22D1">
              <w:rPr>
                <w:color w:val="000000"/>
                <w:sz w:val="18"/>
                <w:szCs w:val="18"/>
                <w:lang w:val="fr-CA" w:eastAsia="en-CA"/>
              </w:rPr>
              <w:t>000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6 </w:t>
            </w:r>
            <w:r w:rsidRPr="00ED22D1">
              <w:rPr>
                <w:color w:val="000000"/>
                <w:sz w:val="18"/>
                <w:szCs w:val="18"/>
                <w:lang w:val="fr-CA" w:eastAsia="en-CA"/>
              </w:rPr>
              <w:t>51</w:t>
            </w:r>
            <w:r w:rsidR="004A6828" w:rsidRPr="00ED22D1">
              <w:rPr>
                <w:color w:val="000000"/>
                <w:sz w:val="18"/>
                <w:szCs w:val="18"/>
                <w:lang w:val="fr-CA" w:eastAsia="en-CA"/>
              </w:rPr>
              <w:t>4 </w:t>
            </w:r>
            <w:r w:rsidRPr="00ED22D1">
              <w:rPr>
                <w:color w:val="000000"/>
                <w:sz w:val="18"/>
                <w:szCs w:val="18"/>
                <w:lang w:val="fr-CA" w:eastAsia="en-CA"/>
              </w:rPr>
              <w:t>867</w:t>
            </w:r>
          </w:p>
        </w:tc>
      </w:tr>
      <w:tr w:rsidR="0085675A" w:rsidRPr="00ED22D1" w:rsidTr="005950FA">
        <w:trPr>
          <w:trHeight w:val="50"/>
        </w:trPr>
        <w:tc>
          <w:tcPr>
            <w:tcW w:w="3148" w:type="dxa"/>
            <w:vMerge w:val="restart"/>
            <w:tcBorders>
              <w:top w:val="nil"/>
              <w:left w:val="single" w:sz="4" w:space="0" w:color="auto"/>
              <w:bottom w:val="single" w:sz="4" w:space="0" w:color="000000"/>
              <w:right w:val="single" w:sz="4" w:space="0" w:color="auto"/>
            </w:tcBorders>
            <w:shd w:val="clear" w:color="auto" w:fill="auto"/>
            <w:hideMark/>
          </w:tcPr>
          <w:p w:rsidR="0085675A" w:rsidRPr="00ED22D1" w:rsidRDefault="00181884" w:rsidP="00350E4F">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s </w:t>
            </w:r>
            <w:r w:rsidR="00350E4F" w:rsidRPr="00ED22D1">
              <w:rPr>
                <w:color w:val="000000"/>
                <w:sz w:val="18"/>
                <w:szCs w:val="18"/>
                <w:lang w:val="fr-CA" w:eastAsia="en-CA"/>
              </w:rPr>
              <w:t xml:space="preserve">des </w:t>
            </w:r>
            <w:r w:rsidR="00B53D8B" w:rsidRPr="00ED22D1">
              <w:rPr>
                <w:color w:val="000000"/>
                <w:sz w:val="18"/>
                <w:szCs w:val="18"/>
                <w:lang w:val="fr-CA" w:eastAsia="en-CA"/>
              </w:rPr>
              <w:t>agences d’exécution</w:t>
            </w:r>
            <w:r w:rsidR="0085675A" w:rsidRPr="00ED22D1">
              <w:rPr>
                <w:color w:val="000000"/>
                <w:sz w:val="18"/>
                <w:szCs w:val="18"/>
                <w:lang w:val="fr-CA" w:eastAsia="en-CA"/>
              </w:rPr>
              <w:t xml:space="preserve"> </w:t>
            </w:r>
            <w:r w:rsidR="00350E4F" w:rsidRPr="00ED22D1">
              <w:rPr>
                <w:color w:val="000000"/>
                <w:sz w:val="18"/>
                <w:szCs w:val="18"/>
                <w:lang w:val="fr-CA" w:eastAsia="en-CA"/>
              </w:rPr>
              <w:t xml:space="preserve">  à </w:t>
            </w:r>
            <w:r w:rsidR="00F320D6" w:rsidRPr="00ED22D1">
              <w:rPr>
                <w:color w:val="000000"/>
                <w:sz w:val="18"/>
                <w:szCs w:val="18"/>
                <w:lang w:val="fr-CA" w:eastAsia="en-CA"/>
              </w:rPr>
              <w:t>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3 </w:t>
            </w:r>
            <w:r w:rsidR="0085675A" w:rsidRPr="00ED22D1">
              <w:rPr>
                <w:sz w:val="18"/>
                <w:szCs w:val="18"/>
                <w:lang w:val="fr-CA"/>
              </w:rPr>
              <w:t>75</w:t>
            </w:r>
            <w:r w:rsidRPr="00ED22D1">
              <w:rPr>
                <w:sz w:val="18"/>
                <w:szCs w:val="18"/>
                <w:lang w:val="fr-CA"/>
              </w:rPr>
              <w:t>7 </w:t>
            </w:r>
            <w:r w:rsidR="0085675A" w:rsidRPr="00ED22D1">
              <w:rPr>
                <w:sz w:val="18"/>
                <w:szCs w:val="18"/>
                <w:lang w:val="fr-CA"/>
              </w:rPr>
              <w:t>434</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4 </w:t>
            </w:r>
            <w:r w:rsidR="0085675A" w:rsidRPr="00ED22D1">
              <w:rPr>
                <w:sz w:val="18"/>
                <w:szCs w:val="18"/>
                <w:lang w:val="fr-CA"/>
              </w:rPr>
              <w:t>36</w:t>
            </w:r>
            <w:r w:rsidRPr="00ED22D1">
              <w:rPr>
                <w:sz w:val="18"/>
                <w:szCs w:val="18"/>
                <w:lang w:val="fr-CA"/>
              </w:rPr>
              <w:t>6 </w:t>
            </w:r>
            <w:r w:rsidR="0085675A" w:rsidRPr="00ED22D1">
              <w:rPr>
                <w:sz w:val="18"/>
                <w:szCs w:val="18"/>
                <w:lang w:val="fr-CA"/>
              </w:rPr>
              <w:t>307</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8 </w:t>
            </w:r>
            <w:r w:rsidR="0085675A" w:rsidRPr="00ED22D1">
              <w:rPr>
                <w:sz w:val="18"/>
                <w:szCs w:val="18"/>
                <w:lang w:val="fr-CA"/>
              </w:rPr>
              <w:t>12</w:t>
            </w:r>
            <w:r w:rsidRPr="00ED22D1">
              <w:rPr>
                <w:sz w:val="18"/>
                <w:szCs w:val="18"/>
                <w:lang w:val="fr-CA"/>
              </w:rPr>
              <w:t>3 </w:t>
            </w:r>
            <w:r w:rsidR="0085675A" w:rsidRPr="00ED22D1">
              <w:rPr>
                <w:sz w:val="18"/>
                <w:szCs w:val="18"/>
                <w:lang w:val="fr-CA"/>
              </w:rPr>
              <w:t>741</w:t>
            </w:r>
          </w:p>
        </w:tc>
      </w:tr>
      <w:tr w:rsidR="0085675A" w:rsidRPr="00ED22D1" w:rsidTr="005950FA">
        <w:trPr>
          <w:trHeight w:val="54"/>
        </w:trPr>
        <w:tc>
          <w:tcPr>
            <w:tcW w:w="3148" w:type="dxa"/>
            <w:vMerge/>
            <w:tcBorders>
              <w:top w:val="nil"/>
              <w:left w:val="single" w:sz="4" w:space="0" w:color="auto"/>
              <w:bottom w:val="single" w:sz="4" w:space="0" w:color="000000"/>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5</w:t>
            </w:r>
            <w:r w:rsidR="004A6828" w:rsidRPr="00ED22D1">
              <w:rPr>
                <w:sz w:val="18"/>
                <w:szCs w:val="18"/>
                <w:lang w:val="fr-CA"/>
              </w:rPr>
              <w:t>0,</w:t>
            </w:r>
            <w:r w:rsidRPr="00ED22D1">
              <w:rPr>
                <w:sz w:val="18"/>
                <w:szCs w:val="18"/>
                <w:lang w:val="fr-CA"/>
              </w:rPr>
              <w:t>0</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4</w:t>
            </w:r>
            <w:r w:rsidR="004A6828" w:rsidRPr="00ED22D1">
              <w:rPr>
                <w:sz w:val="18"/>
                <w:szCs w:val="18"/>
                <w:lang w:val="fr-CA"/>
              </w:rPr>
              <w:t>8,</w:t>
            </w:r>
            <w:r w:rsidRPr="00ED22D1">
              <w:rPr>
                <w:sz w:val="18"/>
                <w:szCs w:val="18"/>
                <w:lang w:val="fr-CA"/>
              </w:rPr>
              <w:t>5</w:t>
            </w:r>
            <w:r w:rsidR="002D6976" w:rsidRPr="00ED22D1">
              <w:rPr>
                <w:sz w:val="18"/>
                <w:szCs w:val="18"/>
                <w:lang w:val="fr-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4</w:t>
            </w:r>
            <w:r w:rsidR="004A6828" w:rsidRPr="00ED22D1">
              <w:rPr>
                <w:sz w:val="18"/>
                <w:szCs w:val="18"/>
                <w:lang w:val="fr-CA"/>
              </w:rPr>
              <w:t>9,</w:t>
            </w:r>
            <w:r w:rsidRPr="00ED22D1">
              <w:rPr>
                <w:sz w:val="18"/>
                <w:szCs w:val="18"/>
                <w:lang w:val="fr-CA"/>
              </w:rPr>
              <w:t>2</w:t>
            </w:r>
            <w:r w:rsidR="002D6976" w:rsidRPr="00ED22D1">
              <w:rPr>
                <w:sz w:val="18"/>
                <w:szCs w:val="18"/>
                <w:lang w:val="fr-CA"/>
              </w:rPr>
              <w:t> %</w:t>
            </w:r>
          </w:p>
        </w:tc>
      </w:tr>
      <w:tr w:rsidR="0085675A" w:rsidRPr="00ED22D1" w:rsidTr="005950FA">
        <w:trPr>
          <w:trHeight w:val="50"/>
        </w:trPr>
        <w:tc>
          <w:tcPr>
            <w:tcW w:w="3148" w:type="dxa"/>
            <w:vMerge w:val="restart"/>
            <w:tcBorders>
              <w:top w:val="nil"/>
              <w:left w:val="single" w:sz="4" w:space="0" w:color="auto"/>
              <w:bottom w:val="single" w:sz="4" w:space="0" w:color="000000"/>
              <w:right w:val="single" w:sz="4" w:space="0" w:color="auto"/>
            </w:tcBorders>
            <w:shd w:val="clear" w:color="auto" w:fill="auto"/>
            <w:hideMark/>
          </w:tcPr>
          <w:p w:rsidR="0085675A" w:rsidRPr="00ED22D1" w:rsidRDefault="00181884" w:rsidP="00350E4F">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s </w:t>
            </w:r>
            <w:r w:rsidR="00350E4F" w:rsidRPr="00ED22D1">
              <w:rPr>
                <w:color w:val="000000"/>
                <w:sz w:val="18"/>
                <w:szCs w:val="18"/>
                <w:lang w:val="fr-CA" w:eastAsia="en-CA"/>
              </w:rPr>
              <w:t>de</w:t>
            </w:r>
            <w:r w:rsidR="00F320D6" w:rsidRPr="00ED22D1">
              <w:rPr>
                <w:color w:val="000000"/>
                <w:sz w:val="18"/>
                <w:szCs w:val="18"/>
                <w:lang w:val="fr-CA" w:eastAsia="en-CA"/>
              </w:rPr>
              <w:t xml:space="preserve"> l’IECO</w:t>
            </w:r>
            <w:r w:rsidR="0085675A" w:rsidRPr="00ED22D1">
              <w:rPr>
                <w:color w:val="000000"/>
                <w:sz w:val="18"/>
                <w:szCs w:val="18"/>
                <w:lang w:val="fr-CA" w:eastAsia="en-CA"/>
              </w:rPr>
              <w:t xml:space="preserve"> </w:t>
            </w:r>
            <w:r w:rsidR="00350E4F" w:rsidRPr="00ED22D1">
              <w:rPr>
                <w:color w:val="000000"/>
                <w:sz w:val="18"/>
                <w:szCs w:val="18"/>
                <w:lang w:val="fr-CA" w:eastAsia="en-CA"/>
              </w:rPr>
              <w:t>aux</w:t>
            </w:r>
            <w:r w:rsidR="0085675A" w:rsidRPr="00ED22D1">
              <w:rPr>
                <w:color w:val="000000"/>
                <w:sz w:val="18"/>
                <w:szCs w:val="18"/>
                <w:lang w:val="fr-CA" w:eastAsia="en-CA"/>
              </w:rPr>
              <w:t xml:space="preserve"> </w:t>
            </w:r>
            <w:r w:rsidR="00921BDE" w:rsidRPr="00ED22D1">
              <w:rPr>
                <w:color w:val="000000"/>
                <w:sz w:val="18"/>
                <w:szCs w:val="18"/>
                <w:lang w:val="fr-CA" w:eastAsia="en-CA"/>
              </w:rPr>
              <w:t>bénéficiaires</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2 </w:t>
            </w:r>
            <w:r w:rsidR="0085675A" w:rsidRPr="00ED22D1">
              <w:rPr>
                <w:sz w:val="18"/>
                <w:szCs w:val="18"/>
                <w:lang w:val="fr-CA"/>
              </w:rPr>
              <w:t>03</w:t>
            </w:r>
            <w:r w:rsidRPr="00ED22D1">
              <w:rPr>
                <w:sz w:val="18"/>
                <w:szCs w:val="18"/>
                <w:lang w:val="fr-CA"/>
              </w:rPr>
              <w:t>1 </w:t>
            </w:r>
            <w:r w:rsidR="0085675A" w:rsidRPr="00ED22D1">
              <w:rPr>
                <w:sz w:val="18"/>
                <w:szCs w:val="18"/>
                <w:lang w:val="fr-CA"/>
              </w:rPr>
              <w:t>287</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2 </w:t>
            </w:r>
            <w:r w:rsidR="0085675A" w:rsidRPr="00ED22D1">
              <w:rPr>
                <w:sz w:val="18"/>
                <w:szCs w:val="18"/>
                <w:lang w:val="fr-CA"/>
              </w:rPr>
              <w:t>31</w:t>
            </w:r>
            <w:r w:rsidRPr="00ED22D1">
              <w:rPr>
                <w:sz w:val="18"/>
                <w:szCs w:val="18"/>
                <w:lang w:val="fr-CA"/>
              </w:rPr>
              <w:t>3 </w:t>
            </w:r>
            <w:r w:rsidR="0085675A" w:rsidRPr="00ED22D1">
              <w:rPr>
                <w:sz w:val="18"/>
                <w:szCs w:val="18"/>
                <w:lang w:val="fr-CA"/>
              </w:rPr>
              <w:t>886</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4 </w:t>
            </w:r>
            <w:r w:rsidR="0085675A" w:rsidRPr="00ED22D1">
              <w:rPr>
                <w:sz w:val="18"/>
                <w:szCs w:val="18"/>
                <w:lang w:val="fr-CA"/>
              </w:rPr>
              <w:t>34</w:t>
            </w:r>
            <w:r w:rsidRPr="00ED22D1">
              <w:rPr>
                <w:sz w:val="18"/>
                <w:szCs w:val="18"/>
                <w:lang w:val="fr-CA"/>
              </w:rPr>
              <w:t>5 </w:t>
            </w:r>
            <w:r w:rsidR="0085675A" w:rsidRPr="00ED22D1">
              <w:rPr>
                <w:sz w:val="18"/>
                <w:szCs w:val="18"/>
                <w:lang w:val="fr-CA"/>
              </w:rPr>
              <w:t>173</w:t>
            </w:r>
          </w:p>
        </w:tc>
      </w:tr>
      <w:tr w:rsidR="0085675A" w:rsidRPr="00ED22D1" w:rsidTr="005950FA">
        <w:trPr>
          <w:trHeight w:val="50"/>
        </w:trPr>
        <w:tc>
          <w:tcPr>
            <w:tcW w:w="3148" w:type="dxa"/>
            <w:vMerge/>
            <w:tcBorders>
              <w:top w:val="nil"/>
              <w:left w:val="single" w:sz="4" w:space="0" w:color="auto"/>
              <w:bottom w:val="single" w:sz="4" w:space="0" w:color="000000"/>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2</w:t>
            </w:r>
            <w:r w:rsidR="004A6828" w:rsidRPr="00ED22D1">
              <w:rPr>
                <w:sz w:val="18"/>
                <w:szCs w:val="18"/>
                <w:lang w:val="fr-CA"/>
              </w:rPr>
              <w:t>7,</w:t>
            </w:r>
            <w:r w:rsidRPr="00ED22D1">
              <w:rPr>
                <w:sz w:val="18"/>
                <w:szCs w:val="18"/>
                <w:lang w:val="fr-CA"/>
              </w:rPr>
              <w:t>0</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2</w:t>
            </w:r>
            <w:r w:rsidR="004A6828" w:rsidRPr="00ED22D1">
              <w:rPr>
                <w:sz w:val="18"/>
                <w:szCs w:val="18"/>
                <w:lang w:val="fr-CA"/>
              </w:rPr>
              <w:t>5,</w:t>
            </w:r>
            <w:r w:rsidRPr="00ED22D1">
              <w:rPr>
                <w:sz w:val="18"/>
                <w:szCs w:val="18"/>
                <w:lang w:val="fr-CA"/>
              </w:rPr>
              <w:t>7</w:t>
            </w:r>
            <w:r w:rsidR="002D6976" w:rsidRPr="00ED22D1">
              <w:rPr>
                <w:sz w:val="18"/>
                <w:szCs w:val="18"/>
                <w:lang w:val="fr-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2</w:t>
            </w:r>
            <w:r w:rsidR="004A6828" w:rsidRPr="00ED22D1">
              <w:rPr>
                <w:sz w:val="18"/>
                <w:szCs w:val="18"/>
                <w:lang w:val="fr-CA"/>
              </w:rPr>
              <w:t>6,</w:t>
            </w:r>
            <w:r w:rsidRPr="00ED22D1">
              <w:rPr>
                <w:sz w:val="18"/>
                <w:szCs w:val="18"/>
                <w:lang w:val="fr-CA"/>
              </w:rPr>
              <w:t>3</w:t>
            </w:r>
            <w:r w:rsidR="002D6976" w:rsidRPr="00ED22D1">
              <w:rPr>
                <w:sz w:val="18"/>
                <w:szCs w:val="18"/>
                <w:lang w:val="fr-CA"/>
              </w:rPr>
              <w:t> %</w:t>
            </w:r>
          </w:p>
        </w:tc>
      </w:tr>
      <w:tr w:rsidR="0085675A" w:rsidRPr="00C80221" w:rsidTr="005950FA">
        <w:trPr>
          <w:trHeight w:val="106"/>
        </w:trPr>
        <w:tc>
          <w:tcPr>
            <w:tcW w:w="513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675A" w:rsidRPr="00ED22D1" w:rsidRDefault="0085675A" w:rsidP="00350E4F">
            <w:pPr>
              <w:jc w:val="left"/>
              <w:rPr>
                <w:b/>
                <w:bCs/>
                <w:color w:val="000000"/>
                <w:sz w:val="18"/>
                <w:szCs w:val="18"/>
                <w:lang w:val="fr-CA" w:eastAsia="en-CA"/>
              </w:rPr>
            </w:pPr>
            <w:r w:rsidRPr="00ED22D1">
              <w:rPr>
                <w:b/>
                <w:bCs/>
                <w:color w:val="000000"/>
                <w:sz w:val="18"/>
                <w:szCs w:val="18"/>
                <w:lang w:val="fr-CA" w:eastAsia="en-CA"/>
              </w:rPr>
              <w:t>P</w:t>
            </w:r>
            <w:r w:rsidR="00350E4F" w:rsidRPr="00ED22D1">
              <w:rPr>
                <w:b/>
                <w:bCs/>
                <w:color w:val="000000"/>
                <w:sz w:val="18"/>
                <w:szCs w:val="18"/>
                <w:lang w:val="fr-CA" w:eastAsia="en-CA"/>
              </w:rPr>
              <w:t>lan du secteur des mousses de polyuréthane</w:t>
            </w:r>
            <w:r w:rsidRPr="00ED22D1">
              <w:rPr>
                <w:b/>
                <w:bCs/>
                <w:color w:val="000000"/>
                <w:sz w:val="18"/>
                <w:szCs w:val="18"/>
                <w:lang w:val="fr-CA" w:eastAsia="en-CA"/>
              </w:rPr>
              <w:t xml:space="preserve"> (</w:t>
            </w:r>
            <w:r w:rsidR="004A6828" w:rsidRPr="00ED22D1">
              <w:rPr>
                <w:b/>
                <w:bCs/>
                <w:color w:val="000000"/>
                <w:sz w:val="18"/>
                <w:szCs w:val="18"/>
                <w:lang w:val="fr-CA" w:eastAsia="en-CA"/>
              </w:rPr>
              <w:t>Banque mondiale</w:t>
            </w:r>
            <w:r w:rsidRPr="00ED22D1">
              <w:rPr>
                <w:b/>
                <w:bCs/>
                <w:color w:val="000000"/>
                <w:sz w:val="18"/>
                <w:szCs w:val="18"/>
                <w:lang w:val="fr-CA" w:eastAsia="en-CA"/>
              </w:rPr>
              <w:t>)</w:t>
            </w:r>
          </w:p>
        </w:tc>
        <w:tc>
          <w:tcPr>
            <w:tcW w:w="1276"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c>
          <w:tcPr>
            <w:tcW w:w="1417"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c>
          <w:tcPr>
            <w:tcW w:w="1418"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r>
      <w:tr w:rsidR="0085675A" w:rsidRPr="00ED22D1" w:rsidTr="005950FA">
        <w:trPr>
          <w:trHeight w:val="50"/>
        </w:trPr>
        <w:tc>
          <w:tcPr>
            <w:tcW w:w="513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7 </w:t>
            </w:r>
            <w:r w:rsidR="0085675A" w:rsidRPr="00ED22D1">
              <w:rPr>
                <w:color w:val="000000"/>
                <w:sz w:val="18"/>
                <w:szCs w:val="18"/>
                <w:lang w:val="fr-CA" w:eastAsia="en-CA"/>
              </w:rPr>
              <w:t>04</w:t>
            </w:r>
            <w:r w:rsidRPr="00ED22D1">
              <w:rPr>
                <w:color w:val="000000"/>
                <w:sz w:val="18"/>
                <w:szCs w:val="18"/>
                <w:lang w:val="fr-CA" w:eastAsia="en-CA"/>
              </w:rPr>
              <w:t>5 </w:t>
            </w:r>
            <w:r w:rsidR="0085675A" w:rsidRPr="00ED22D1">
              <w:rPr>
                <w:color w:val="000000"/>
                <w:sz w:val="18"/>
                <w:szCs w:val="18"/>
                <w:lang w:val="fr-CA" w:eastAsia="en-CA"/>
              </w:rPr>
              <w:t>027</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7 </w:t>
            </w:r>
            <w:r w:rsidR="0085675A" w:rsidRPr="00ED22D1">
              <w:rPr>
                <w:color w:val="000000"/>
                <w:sz w:val="18"/>
                <w:szCs w:val="18"/>
                <w:lang w:val="fr-CA" w:eastAsia="en-CA"/>
              </w:rPr>
              <w:t>04</w:t>
            </w:r>
            <w:r w:rsidRPr="00ED22D1">
              <w:rPr>
                <w:color w:val="000000"/>
                <w:sz w:val="18"/>
                <w:szCs w:val="18"/>
                <w:lang w:val="fr-CA" w:eastAsia="en-CA"/>
              </w:rPr>
              <w:t>5 </w:t>
            </w:r>
            <w:r w:rsidR="0085675A" w:rsidRPr="00ED22D1">
              <w:rPr>
                <w:color w:val="000000"/>
                <w:sz w:val="18"/>
                <w:szCs w:val="18"/>
                <w:lang w:val="fr-CA" w:eastAsia="en-CA"/>
              </w:rPr>
              <w:t>027</w:t>
            </w:r>
          </w:p>
        </w:tc>
      </w:tr>
      <w:tr w:rsidR="0085675A" w:rsidRPr="00ED22D1" w:rsidTr="005950FA">
        <w:trPr>
          <w:trHeight w:val="98"/>
        </w:trPr>
        <w:tc>
          <w:tcPr>
            <w:tcW w:w="3148" w:type="dxa"/>
            <w:vMerge w:val="restart"/>
            <w:tcBorders>
              <w:top w:val="nil"/>
              <w:left w:val="single" w:sz="4" w:space="0" w:color="auto"/>
              <w:bottom w:val="single" w:sz="4" w:space="0" w:color="000000"/>
              <w:right w:val="single" w:sz="4" w:space="0" w:color="auto"/>
            </w:tcBorders>
            <w:shd w:val="clear" w:color="auto" w:fill="auto"/>
            <w:hideMark/>
          </w:tcPr>
          <w:p w:rsidR="0085675A" w:rsidRPr="00ED22D1" w:rsidRDefault="00181884" w:rsidP="00350E4F">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 </w:t>
            </w:r>
            <w:r w:rsidR="00350E4F" w:rsidRPr="00ED22D1">
              <w:rPr>
                <w:color w:val="000000"/>
                <w:sz w:val="18"/>
                <w:szCs w:val="18"/>
                <w:lang w:val="fr-CA" w:eastAsia="en-CA"/>
              </w:rPr>
              <w:t xml:space="preserve">de </w:t>
            </w:r>
            <w:r w:rsidR="001F19C1" w:rsidRPr="00ED22D1">
              <w:rPr>
                <w:color w:val="000000"/>
                <w:sz w:val="18"/>
                <w:szCs w:val="18"/>
                <w:lang w:val="fr-CA" w:eastAsia="en-CA"/>
              </w:rPr>
              <w:t>la Banque mondiale</w:t>
            </w:r>
            <w:r w:rsidR="0085675A" w:rsidRPr="00ED22D1">
              <w:rPr>
                <w:color w:val="000000"/>
                <w:sz w:val="18"/>
                <w:szCs w:val="18"/>
                <w:lang w:val="fr-CA" w:eastAsia="en-CA"/>
              </w:rPr>
              <w:t xml:space="preserve"> </w:t>
            </w:r>
            <w:r w:rsidR="00350E4F" w:rsidRPr="00ED22D1">
              <w:rPr>
                <w:color w:val="000000"/>
                <w:sz w:val="18"/>
                <w:szCs w:val="18"/>
                <w:lang w:val="fr-CA" w:eastAsia="en-CA"/>
              </w:rPr>
              <w:t xml:space="preserve">        à</w:t>
            </w:r>
            <w:r w:rsidR="00F320D6" w:rsidRPr="00ED22D1">
              <w:rPr>
                <w:color w:val="000000"/>
                <w:sz w:val="18"/>
                <w:szCs w:val="18"/>
                <w:lang w:val="fr-CA" w:eastAsia="en-CA"/>
              </w:rPr>
              <w:t xml:space="preserve">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r>
      <w:tr w:rsidR="0085675A" w:rsidRPr="00ED22D1" w:rsidTr="005950FA">
        <w:trPr>
          <w:trHeight w:val="172"/>
        </w:trPr>
        <w:tc>
          <w:tcPr>
            <w:tcW w:w="3148" w:type="dxa"/>
            <w:vMerge/>
            <w:tcBorders>
              <w:top w:val="nil"/>
              <w:left w:val="single" w:sz="4" w:space="0" w:color="auto"/>
              <w:bottom w:val="single" w:sz="4" w:space="0" w:color="000000"/>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r>
      <w:tr w:rsidR="0085675A" w:rsidRPr="00ED22D1" w:rsidTr="005950FA">
        <w:trPr>
          <w:trHeight w:val="91"/>
        </w:trPr>
        <w:tc>
          <w:tcPr>
            <w:tcW w:w="3148" w:type="dxa"/>
            <w:vMerge w:val="restart"/>
            <w:tcBorders>
              <w:top w:val="nil"/>
              <w:left w:val="single" w:sz="4" w:space="0" w:color="auto"/>
              <w:bottom w:val="single" w:sz="4" w:space="0" w:color="000000"/>
              <w:right w:val="single" w:sz="4" w:space="0" w:color="auto"/>
            </w:tcBorders>
            <w:shd w:val="clear" w:color="auto" w:fill="auto"/>
            <w:hideMark/>
          </w:tcPr>
          <w:p w:rsidR="0085675A" w:rsidRPr="00ED22D1" w:rsidRDefault="00181884" w:rsidP="00350E4F">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 </w:t>
            </w:r>
            <w:r w:rsidR="00350E4F" w:rsidRPr="00ED22D1">
              <w:rPr>
                <w:color w:val="000000"/>
                <w:sz w:val="18"/>
                <w:szCs w:val="18"/>
                <w:lang w:val="fr-CA" w:eastAsia="en-CA"/>
              </w:rPr>
              <w:t xml:space="preserve">de </w:t>
            </w:r>
            <w:r w:rsidR="00F320D6" w:rsidRPr="00ED22D1">
              <w:rPr>
                <w:color w:val="000000"/>
                <w:sz w:val="18"/>
                <w:szCs w:val="18"/>
                <w:lang w:val="fr-CA" w:eastAsia="en-CA"/>
              </w:rPr>
              <w:t>l’IECO</w:t>
            </w:r>
            <w:r w:rsidR="0085675A" w:rsidRPr="00ED22D1">
              <w:rPr>
                <w:color w:val="000000"/>
                <w:sz w:val="18"/>
                <w:szCs w:val="18"/>
                <w:lang w:val="fr-CA" w:eastAsia="en-CA"/>
              </w:rPr>
              <w:t xml:space="preserve"> </w:t>
            </w:r>
            <w:r w:rsidR="00350E4F" w:rsidRPr="00ED22D1">
              <w:rPr>
                <w:color w:val="000000"/>
                <w:sz w:val="18"/>
                <w:szCs w:val="18"/>
                <w:lang w:val="fr-CA" w:eastAsia="en-CA"/>
              </w:rPr>
              <w:t>aux</w:t>
            </w:r>
            <w:r w:rsidR="0085675A" w:rsidRPr="00ED22D1">
              <w:rPr>
                <w:color w:val="000000"/>
                <w:sz w:val="18"/>
                <w:szCs w:val="18"/>
                <w:lang w:val="fr-CA" w:eastAsia="en-CA"/>
              </w:rPr>
              <w:t xml:space="preserve"> </w:t>
            </w:r>
            <w:r w:rsidR="00921BDE" w:rsidRPr="00ED22D1">
              <w:rPr>
                <w:color w:val="000000"/>
                <w:sz w:val="18"/>
                <w:szCs w:val="18"/>
                <w:lang w:val="fr-CA" w:eastAsia="en-CA"/>
              </w:rPr>
              <w:t>bénéficiaires</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r>
      <w:tr w:rsidR="0085675A" w:rsidRPr="00ED22D1" w:rsidTr="005950FA">
        <w:trPr>
          <w:trHeight w:val="150"/>
        </w:trPr>
        <w:tc>
          <w:tcPr>
            <w:tcW w:w="3148" w:type="dxa"/>
            <w:vMerge/>
            <w:tcBorders>
              <w:top w:val="nil"/>
              <w:left w:val="single" w:sz="4" w:space="0" w:color="auto"/>
              <w:bottom w:val="single" w:sz="4" w:space="0" w:color="000000"/>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r>
      <w:tr w:rsidR="0085675A" w:rsidRPr="00C80221" w:rsidTr="005950FA">
        <w:trPr>
          <w:trHeight w:val="82"/>
        </w:trPr>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675A" w:rsidRPr="00ED22D1" w:rsidRDefault="00F5455E" w:rsidP="00F5455E">
            <w:pPr>
              <w:jc w:val="left"/>
              <w:rPr>
                <w:b/>
                <w:bCs/>
                <w:color w:val="000000"/>
                <w:sz w:val="18"/>
                <w:szCs w:val="18"/>
                <w:lang w:val="fr-CA" w:eastAsia="en-CA"/>
              </w:rPr>
            </w:pPr>
            <w:r w:rsidRPr="00ED22D1">
              <w:rPr>
                <w:b/>
                <w:bCs/>
                <w:color w:val="000000"/>
                <w:sz w:val="18"/>
                <w:szCs w:val="18"/>
                <w:lang w:val="fr-CA" w:eastAsia="en-CA"/>
              </w:rPr>
              <w:t>Plan du secteur de l’</w:t>
            </w:r>
            <w:r w:rsidR="0085675A" w:rsidRPr="00ED22D1">
              <w:rPr>
                <w:b/>
                <w:bCs/>
                <w:color w:val="000000"/>
                <w:sz w:val="18"/>
                <w:szCs w:val="18"/>
                <w:lang w:val="fr-CA" w:eastAsia="en-CA"/>
              </w:rPr>
              <w:t>ICR (</w:t>
            </w:r>
            <w:r w:rsidR="001C722B" w:rsidRPr="00ED22D1">
              <w:rPr>
                <w:b/>
                <w:bCs/>
                <w:color w:val="000000"/>
                <w:sz w:val="18"/>
                <w:szCs w:val="18"/>
                <w:lang w:val="fr-CA" w:eastAsia="en-CA"/>
              </w:rPr>
              <w:t>PNUD</w:t>
            </w:r>
            <w:r w:rsidR="0085675A" w:rsidRPr="00ED22D1">
              <w:rPr>
                <w:b/>
                <w:bCs/>
                <w:color w:val="000000"/>
                <w:sz w:val="18"/>
                <w:szCs w:val="18"/>
                <w:lang w:val="fr-CA" w:eastAsia="en-CA"/>
              </w:rPr>
              <w:t>)</w:t>
            </w:r>
          </w:p>
        </w:tc>
        <w:tc>
          <w:tcPr>
            <w:tcW w:w="1276"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c>
          <w:tcPr>
            <w:tcW w:w="1417"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c>
          <w:tcPr>
            <w:tcW w:w="1418"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r>
      <w:tr w:rsidR="0085675A" w:rsidRPr="00ED22D1" w:rsidTr="005950FA">
        <w:trPr>
          <w:trHeight w:val="142"/>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3 </w:t>
            </w:r>
            <w:r w:rsidRPr="00ED22D1">
              <w:rPr>
                <w:color w:val="000000"/>
                <w:sz w:val="18"/>
                <w:szCs w:val="18"/>
                <w:lang w:val="fr-CA" w:eastAsia="en-CA"/>
              </w:rPr>
              <w:t>36</w:t>
            </w:r>
            <w:r w:rsidR="004A6828" w:rsidRPr="00ED22D1">
              <w:rPr>
                <w:color w:val="000000"/>
                <w:sz w:val="18"/>
                <w:szCs w:val="18"/>
                <w:lang w:val="fr-CA" w:eastAsia="en-CA"/>
              </w:rPr>
              <w:t>8 </w:t>
            </w:r>
            <w:r w:rsidRPr="00ED22D1">
              <w:rPr>
                <w:color w:val="000000"/>
                <w:sz w:val="18"/>
                <w:szCs w:val="18"/>
                <w:lang w:val="fr-CA" w:eastAsia="en-CA"/>
              </w:rPr>
              <w:t>756</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0 </w:t>
            </w:r>
            <w:r w:rsidRPr="00ED22D1">
              <w:rPr>
                <w:color w:val="000000"/>
                <w:sz w:val="18"/>
                <w:szCs w:val="18"/>
                <w:lang w:val="fr-CA" w:eastAsia="en-CA"/>
              </w:rPr>
              <w:t>00</w:t>
            </w:r>
            <w:r w:rsidR="004A6828" w:rsidRPr="00ED22D1">
              <w:rPr>
                <w:color w:val="000000"/>
                <w:sz w:val="18"/>
                <w:szCs w:val="18"/>
                <w:lang w:val="fr-CA" w:eastAsia="en-CA"/>
              </w:rPr>
              <w:t>0 </w:t>
            </w:r>
            <w:r w:rsidRPr="00ED22D1">
              <w:rPr>
                <w:color w:val="000000"/>
                <w:sz w:val="18"/>
                <w:szCs w:val="18"/>
                <w:lang w:val="fr-CA" w:eastAsia="en-CA"/>
              </w:rPr>
              <w:t>000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3</w:t>
            </w:r>
            <w:r w:rsidR="004A6828" w:rsidRPr="00ED22D1">
              <w:rPr>
                <w:color w:val="000000"/>
                <w:sz w:val="18"/>
                <w:szCs w:val="18"/>
                <w:lang w:val="fr-CA" w:eastAsia="en-CA"/>
              </w:rPr>
              <w:t>3 </w:t>
            </w:r>
            <w:r w:rsidRPr="00ED22D1">
              <w:rPr>
                <w:color w:val="000000"/>
                <w:sz w:val="18"/>
                <w:szCs w:val="18"/>
                <w:lang w:val="fr-CA" w:eastAsia="en-CA"/>
              </w:rPr>
              <w:t>36</w:t>
            </w:r>
            <w:r w:rsidR="004A6828" w:rsidRPr="00ED22D1">
              <w:rPr>
                <w:color w:val="000000"/>
                <w:sz w:val="18"/>
                <w:szCs w:val="18"/>
                <w:lang w:val="fr-CA" w:eastAsia="en-CA"/>
              </w:rPr>
              <w:t>8 </w:t>
            </w:r>
            <w:r w:rsidRPr="00ED22D1">
              <w:rPr>
                <w:color w:val="000000"/>
                <w:sz w:val="18"/>
                <w:szCs w:val="18"/>
                <w:lang w:val="fr-CA" w:eastAsia="en-CA"/>
              </w:rPr>
              <w:t>756</w:t>
            </w:r>
          </w:p>
        </w:tc>
      </w:tr>
      <w:tr w:rsidR="0085675A" w:rsidRPr="00ED22D1" w:rsidTr="005950FA">
        <w:trPr>
          <w:trHeight w:val="216"/>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s </w:t>
            </w:r>
            <w:r w:rsidR="00F5455E" w:rsidRPr="00ED22D1">
              <w:rPr>
                <w:color w:val="000000"/>
                <w:sz w:val="18"/>
                <w:szCs w:val="18"/>
                <w:lang w:val="fr-CA" w:eastAsia="en-CA"/>
              </w:rPr>
              <w:t>du</w:t>
            </w:r>
            <w:r w:rsidR="001F19C1" w:rsidRPr="00ED22D1">
              <w:rPr>
                <w:color w:val="000000"/>
                <w:sz w:val="18"/>
                <w:szCs w:val="18"/>
                <w:lang w:val="fr-CA" w:eastAsia="en-CA"/>
              </w:rPr>
              <w:t xml:space="preserve"> PNUD</w:t>
            </w:r>
            <w:r w:rsidR="0085675A" w:rsidRPr="00ED22D1">
              <w:rPr>
                <w:color w:val="000000"/>
                <w:sz w:val="18"/>
                <w:szCs w:val="18"/>
                <w:lang w:val="fr-CA" w:eastAsia="en-CA"/>
              </w:rPr>
              <w:t xml:space="preserve"> </w:t>
            </w:r>
            <w:r w:rsidR="00F5455E" w:rsidRPr="00ED22D1">
              <w:rPr>
                <w:color w:val="000000"/>
                <w:sz w:val="18"/>
                <w:szCs w:val="18"/>
                <w:lang w:val="fr-CA" w:eastAsia="en-CA"/>
              </w:rPr>
              <w:t>à</w:t>
            </w:r>
            <w:r w:rsidR="00F320D6" w:rsidRPr="00ED22D1">
              <w:rPr>
                <w:color w:val="000000"/>
                <w:sz w:val="18"/>
                <w:szCs w:val="18"/>
                <w:lang w:val="fr-CA" w:eastAsia="en-CA"/>
              </w:rPr>
              <w:t xml:space="preserve">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3 </w:t>
            </w:r>
            <w:r w:rsidRPr="00ED22D1">
              <w:rPr>
                <w:color w:val="000000"/>
                <w:sz w:val="18"/>
                <w:szCs w:val="18"/>
                <w:lang w:val="fr-CA" w:eastAsia="en-CA"/>
              </w:rPr>
              <w:t>36</w:t>
            </w:r>
            <w:r w:rsidR="004A6828" w:rsidRPr="00ED22D1">
              <w:rPr>
                <w:color w:val="000000"/>
                <w:sz w:val="18"/>
                <w:szCs w:val="18"/>
                <w:lang w:val="fr-CA" w:eastAsia="en-CA"/>
              </w:rPr>
              <w:t>8 </w:t>
            </w:r>
            <w:r w:rsidRPr="00ED22D1">
              <w:rPr>
                <w:color w:val="000000"/>
                <w:sz w:val="18"/>
                <w:szCs w:val="18"/>
                <w:lang w:val="fr-CA" w:eastAsia="en-CA"/>
              </w:rPr>
              <w:t>756</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5 </w:t>
            </w:r>
            <w:r w:rsidRPr="00ED22D1">
              <w:rPr>
                <w:color w:val="000000"/>
                <w:sz w:val="18"/>
                <w:szCs w:val="18"/>
                <w:lang w:val="fr-CA" w:eastAsia="en-CA"/>
              </w:rPr>
              <w:t>81</w:t>
            </w:r>
            <w:r w:rsidR="004A6828" w:rsidRPr="00ED22D1">
              <w:rPr>
                <w:color w:val="000000"/>
                <w:sz w:val="18"/>
                <w:szCs w:val="18"/>
                <w:lang w:val="fr-CA" w:eastAsia="en-CA"/>
              </w:rPr>
              <w:t>9 </w:t>
            </w:r>
            <w:r w:rsidRPr="00ED22D1">
              <w:rPr>
                <w:color w:val="000000"/>
                <w:sz w:val="18"/>
                <w:szCs w:val="18"/>
                <w:lang w:val="fr-CA" w:eastAsia="en-CA"/>
              </w:rPr>
              <w:t>515</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9 </w:t>
            </w:r>
            <w:r w:rsidRPr="00ED22D1">
              <w:rPr>
                <w:color w:val="000000"/>
                <w:sz w:val="18"/>
                <w:szCs w:val="18"/>
                <w:lang w:val="fr-CA" w:eastAsia="en-CA"/>
              </w:rPr>
              <w:t>18</w:t>
            </w:r>
            <w:r w:rsidR="004A6828" w:rsidRPr="00ED22D1">
              <w:rPr>
                <w:color w:val="000000"/>
                <w:sz w:val="18"/>
                <w:szCs w:val="18"/>
                <w:lang w:val="fr-CA" w:eastAsia="en-CA"/>
              </w:rPr>
              <w:t>8 </w:t>
            </w:r>
            <w:r w:rsidRPr="00ED22D1">
              <w:rPr>
                <w:color w:val="000000"/>
                <w:sz w:val="18"/>
                <w:szCs w:val="18"/>
                <w:lang w:val="fr-CA" w:eastAsia="en-CA"/>
              </w:rPr>
              <w:t>271</w:t>
            </w:r>
          </w:p>
        </w:tc>
      </w:tr>
      <w:tr w:rsidR="0085675A" w:rsidRPr="00ED22D1" w:rsidTr="005950FA">
        <w:trPr>
          <w:trHeight w:val="134"/>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10</w:t>
            </w:r>
            <w:r w:rsidR="004A6828" w:rsidRPr="00ED22D1">
              <w:rPr>
                <w:color w:val="000000"/>
                <w:sz w:val="18"/>
                <w:szCs w:val="18"/>
                <w:lang w:val="fr-CA" w:eastAsia="en-CA"/>
              </w:rPr>
              <w:t>0,</w:t>
            </w:r>
            <w:r w:rsidRPr="00ED22D1">
              <w:rPr>
                <w:color w:val="000000"/>
                <w:sz w:val="18"/>
                <w:szCs w:val="18"/>
                <w:lang w:val="fr-CA" w:eastAsia="en-CA"/>
              </w:rPr>
              <w:t>0</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7</w:t>
            </w:r>
            <w:r w:rsidR="004A6828" w:rsidRPr="00ED22D1">
              <w:rPr>
                <w:color w:val="000000"/>
                <w:sz w:val="18"/>
                <w:szCs w:val="18"/>
                <w:lang w:val="fr-CA" w:eastAsia="en-CA"/>
              </w:rPr>
              <w:t>9,</w:t>
            </w:r>
            <w:r w:rsidRPr="00ED22D1">
              <w:rPr>
                <w:color w:val="000000"/>
                <w:sz w:val="18"/>
                <w:szCs w:val="18"/>
                <w:lang w:val="fr-CA" w:eastAsia="en-CA"/>
              </w:rPr>
              <w:t>10</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8</w:t>
            </w:r>
            <w:r w:rsidR="004A6828" w:rsidRPr="00ED22D1">
              <w:rPr>
                <w:color w:val="000000"/>
                <w:sz w:val="18"/>
                <w:szCs w:val="18"/>
                <w:lang w:val="fr-CA" w:eastAsia="en-CA"/>
              </w:rPr>
              <w:t>7,</w:t>
            </w:r>
            <w:r w:rsidRPr="00ED22D1">
              <w:rPr>
                <w:color w:val="000000"/>
                <w:sz w:val="18"/>
                <w:szCs w:val="18"/>
                <w:lang w:val="fr-CA" w:eastAsia="en-CA"/>
              </w:rPr>
              <w:t>47</w:t>
            </w:r>
            <w:r w:rsidR="002D6976" w:rsidRPr="00ED22D1">
              <w:rPr>
                <w:color w:val="000000"/>
                <w:sz w:val="18"/>
                <w:szCs w:val="18"/>
                <w:lang w:val="fr-CA" w:eastAsia="en-CA"/>
              </w:rPr>
              <w:t> %</w:t>
            </w:r>
          </w:p>
        </w:tc>
      </w:tr>
      <w:tr w:rsidR="0085675A" w:rsidRPr="00ED22D1" w:rsidTr="005950FA">
        <w:trPr>
          <w:trHeight w:val="194"/>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s </w:t>
            </w:r>
            <w:r w:rsidR="00F5455E" w:rsidRPr="00ED22D1">
              <w:rPr>
                <w:color w:val="000000"/>
                <w:sz w:val="18"/>
                <w:szCs w:val="18"/>
                <w:lang w:val="fr-CA" w:eastAsia="en-CA"/>
              </w:rPr>
              <w:t>de</w:t>
            </w:r>
            <w:r w:rsidR="00F320D6" w:rsidRPr="00ED22D1">
              <w:rPr>
                <w:color w:val="000000"/>
                <w:sz w:val="18"/>
                <w:szCs w:val="18"/>
                <w:lang w:val="fr-CA" w:eastAsia="en-CA"/>
              </w:rPr>
              <w:t xml:space="preserve"> l’IECO</w:t>
            </w:r>
            <w:r w:rsidR="0085675A" w:rsidRPr="00ED22D1">
              <w:rPr>
                <w:color w:val="000000"/>
                <w:sz w:val="18"/>
                <w:szCs w:val="18"/>
                <w:lang w:val="fr-CA" w:eastAsia="en-CA"/>
              </w:rPr>
              <w:t xml:space="preserve"> </w:t>
            </w:r>
            <w:r w:rsidR="00F5455E" w:rsidRPr="00ED22D1">
              <w:rPr>
                <w:color w:val="000000"/>
                <w:sz w:val="18"/>
                <w:szCs w:val="18"/>
                <w:lang w:val="fr-CA" w:eastAsia="en-CA"/>
              </w:rPr>
              <w:t xml:space="preserve">aux </w:t>
            </w:r>
            <w:r w:rsidR="0085675A" w:rsidRPr="00ED22D1">
              <w:rPr>
                <w:color w:val="000000"/>
                <w:sz w:val="18"/>
                <w:szCs w:val="18"/>
                <w:lang w:val="fr-CA" w:eastAsia="en-CA"/>
              </w:rPr>
              <w:t xml:space="preserve"> </w:t>
            </w:r>
            <w:r w:rsidR="00921BDE" w:rsidRPr="00ED22D1">
              <w:rPr>
                <w:color w:val="000000"/>
                <w:sz w:val="18"/>
                <w:szCs w:val="18"/>
                <w:lang w:val="fr-CA" w:eastAsia="en-CA"/>
              </w:rPr>
              <w:t>bénéficiaires</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8 </w:t>
            </w:r>
            <w:r w:rsidR="0085675A" w:rsidRPr="00ED22D1">
              <w:rPr>
                <w:sz w:val="18"/>
                <w:szCs w:val="18"/>
                <w:lang w:val="fr-CA"/>
              </w:rPr>
              <w:t>59</w:t>
            </w:r>
            <w:r w:rsidRPr="00ED22D1">
              <w:rPr>
                <w:sz w:val="18"/>
                <w:szCs w:val="18"/>
                <w:lang w:val="fr-CA"/>
              </w:rPr>
              <w:t>1 </w:t>
            </w:r>
            <w:r w:rsidR="0085675A" w:rsidRPr="00ED22D1">
              <w:rPr>
                <w:sz w:val="18"/>
                <w:szCs w:val="18"/>
                <w:lang w:val="fr-CA"/>
              </w:rPr>
              <w:t>773</w:t>
            </w:r>
          </w:p>
        </w:tc>
        <w:tc>
          <w:tcPr>
            <w:tcW w:w="1417" w:type="dxa"/>
            <w:tcBorders>
              <w:top w:val="nil"/>
              <w:left w:val="nil"/>
              <w:bottom w:val="single" w:sz="4" w:space="0" w:color="auto"/>
              <w:right w:val="single" w:sz="4" w:space="0" w:color="auto"/>
            </w:tcBorders>
            <w:shd w:val="clear" w:color="auto" w:fill="auto"/>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7 </w:t>
            </w:r>
            <w:r w:rsidR="0085675A" w:rsidRPr="00ED22D1">
              <w:rPr>
                <w:color w:val="000000"/>
                <w:sz w:val="18"/>
                <w:szCs w:val="18"/>
                <w:lang w:val="fr-CA" w:eastAsia="en-CA"/>
              </w:rPr>
              <w:t>75</w:t>
            </w:r>
            <w:r w:rsidRPr="00ED22D1">
              <w:rPr>
                <w:color w:val="000000"/>
                <w:sz w:val="18"/>
                <w:szCs w:val="18"/>
                <w:lang w:val="fr-CA" w:eastAsia="en-CA"/>
              </w:rPr>
              <w:t>3 </w:t>
            </w:r>
            <w:r w:rsidR="0085675A" w:rsidRPr="00ED22D1">
              <w:rPr>
                <w:color w:val="000000"/>
                <w:sz w:val="18"/>
                <w:szCs w:val="18"/>
                <w:lang w:val="fr-CA" w:eastAsia="en-CA"/>
              </w:rPr>
              <w:t>197</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6 </w:t>
            </w:r>
            <w:r w:rsidRPr="00ED22D1">
              <w:rPr>
                <w:color w:val="000000"/>
                <w:sz w:val="18"/>
                <w:szCs w:val="18"/>
                <w:lang w:val="fr-CA" w:eastAsia="en-CA"/>
              </w:rPr>
              <w:t>34</w:t>
            </w:r>
            <w:r w:rsidR="004A6828" w:rsidRPr="00ED22D1">
              <w:rPr>
                <w:color w:val="000000"/>
                <w:sz w:val="18"/>
                <w:szCs w:val="18"/>
                <w:lang w:val="fr-CA" w:eastAsia="en-CA"/>
              </w:rPr>
              <w:t>4 </w:t>
            </w:r>
            <w:r w:rsidRPr="00ED22D1">
              <w:rPr>
                <w:color w:val="000000"/>
                <w:sz w:val="18"/>
                <w:szCs w:val="18"/>
                <w:lang w:val="fr-CA" w:eastAsia="en-CA"/>
              </w:rPr>
              <w:t>970</w:t>
            </w:r>
          </w:p>
        </w:tc>
      </w:tr>
      <w:tr w:rsidR="0085675A" w:rsidRPr="00ED22D1" w:rsidTr="005950FA">
        <w:trPr>
          <w:trHeight w:val="112"/>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6</w:t>
            </w:r>
            <w:r w:rsidR="004A6828" w:rsidRPr="00ED22D1">
              <w:rPr>
                <w:sz w:val="18"/>
                <w:szCs w:val="18"/>
                <w:lang w:val="fr-CA"/>
              </w:rPr>
              <w:t>4,</w:t>
            </w:r>
            <w:r w:rsidRPr="00ED22D1">
              <w:rPr>
                <w:sz w:val="18"/>
                <w:szCs w:val="18"/>
                <w:lang w:val="fr-CA"/>
              </w:rPr>
              <w:t>27</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3</w:t>
            </w:r>
            <w:r w:rsidR="004A6828" w:rsidRPr="00ED22D1">
              <w:rPr>
                <w:color w:val="000000"/>
                <w:sz w:val="18"/>
                <w:szCs w:val="18"/>
                <w:lang w:val="fr-CA" w:eastAsia="en-CA"/>
              </w:rPr>
              <w:t>8,</w:t>
            </w:r>
            <w:r w:rsidRPr="00ED22D1">
              <w:rPr>
                <w:color w:val="000000"/>
                <w:sz w:val="18"/>
                <w:szCs w:val="18"/>
                <w:lang w:val="fr-CA" w:eastAsia="en-CA"/>
              </w:rPr>
              <w:t>77</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4</w:t>
            </w:r>
            <w:r w:rsidR="004A6828" w:rsidRPr="00ED22D1">
              <w:rPr>
                <w:color w:val="000000"/>
                <w:sz w:val="18"/>
                <w:szCs w:val="18"/>
                <w:lang w:val="fr-CA" w:eastAsia="en-CA"/>
              </w:rPr>
              <w:t>8,</w:t>
            </w:r>
            <w:r w:rsidRPr="00ED22D1">
              <w:rPr>
                <w:color w:val="000000"/>
                <w:sz w:val="18"/>
                <w:szCs w:val="18"/>
                <w:lang w:val="fr-CA" w:eastAsia="en-CA"/>
              </w:rPr>
              <w:t>98</w:t>
            </w:r>
            <w:r w:rsidR="002D6976" w:rsidRPr="00ED22D1">
              <w:rPr>
                <w:color w:val="000000"/>
                <w:sz w:val="18"/>
                <w:szCs w:val="18"/>
                <w:lang w:val="fr-CA" w:eastAsia="en-CA"/>
              </w:rPr>
              <w:t> %</w:t>
            </w:r>
          </w:p>
        </w:tc>
      </w:tr>
      <w:tr w:rsidR="0085675A" w:rsidRPr="00C80221" w:rsidTr="005950FA">
        <w:trPr>
          <w:cantSplit/>
          <w:trHeight w:val="50"/>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F5455E" w:rsidP="00F5455E">
            <w:pPr>
              <w:jc w:val="left"/>
              <w:rPr>
                <w:b/>
                <w:bCs/>
                <w:color w:val="000000"/>
                <w:sz w:val="18"/>
                <w:szCs w:val="18"/>
                <w:lang w:val="fr-CA" w:eastAsia="en-CA"/>
              </w:rPr>
            </w:pPr>
            <w:r w:rsidRPr="00ED22D1">
              <w:rPr>
                <w:b/>
                <w:bCs/>
                <w:color w:val="000000"/>
                <w:sz w:val="18"/>
                <w:szCs w:val="18"/>
                <w:lang w:val="fr-CA" w:eastAsia="en-CA"/>
              </w:rPr>
              <w:t>Plan du secteur des climatiseurs résidentiels (</w:t>
            </w:r>
            <w:r w:rsidR="0085675A" w:rsidRPr="00ED22D1">
              <w:rPr>
                <w:b/>
                <w:bCs/>
                <w:color w:val="000000"/>
                <w:sz w:val="18"/>
                <w:szCs w:val="18"/>
                <w:lang w:val="fr-CA" w:eastAsia="en-CA"/>
              </w:rPr>
              <w:t>RAC</w:t>
            </w:r>
            <w:r w:rsidRPr="00ED22D1">
              <w:rPr>
                <w:b/>
                <w:bCs/>
                <w:color w:val="000000"/>
                <w:sz w:val="18"/>
                <w:szCs w:val="18"/>
                <w:lang w:val="fr-CA" w:eastAsia="en-CA"/>
              </w:rPr>
              <w:t>)</w:t>
            </w:r>
            <w:r w:rsidR="0085675A" w:rsidRPr="00ED22D1">
              <w:rPr>
                <w:b/>
                <w:bCs/>
                <w:color w:val="000000"/>
                <w:sz w:val="18"/>
                <w:szCs w:val="18"/>
                <w:lang w:val="fr-CA" w:eastAsia="en-CA"/>
              </w:rPr>
              <w:t xml:space="preserve"> (</w:t>
            </w:r>
            <w:r w:rsidR="004A6828" w:rsidRPr="00ED22D1">
              <w:rPr>
                <w:b/>
                <w:bCs/>
                <w:color w:val="000000"/>
                <w:sz w:val="18"/>
                <w:szCs w:val="18"/>
                <w:lang w:val="fr-CA" w:eastAsia="en-CA"/>
              </w:rPr>
              <w:t>ONUDI</w:t>
            </w:r>
            <w:r w:rsidR="0085675A" w:rsidRPr="00ED22D1">
              <w:rPr>
                <w:b/>
                <w:bCs/>
                <w:color w:val="000000"/>
                <w:sz w:val="18"/>
                <w:szCs w:val="18"/>
                <w:lang w:val="fr-CA" w:eastAsia="en-CA"/>
              </w:rPr>
              <w:t>) </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18"/>
                <w:szCs w:val="18"/>
                <w:lang w:val="fr-CA" w:eastAsia="en-CA"/>
              </w:rPr>
            </w:pP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18"/>
                <w:szCs w:val="18"/>
                <w:lang w:val="fr-CA" w:eastAsia="en-CA"/>
              </w:rPr>
            </w:pPr>
          </w:p>
        </w:tc>
        <w:tc>
          <w:tcPr>
            <w:tcW w:w="1418"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r>
      <w:tr w:rsidR="0085675A" w:rsidRPr="00ED22D1" w:rsidTr="005950FA">
        <w:trPr>
          <w:cantSplit/>
          <w:trHeight w:val="134"/>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5 </w:t>
            </w:r>
            <w:r w:rsidRPr="00ED22D1">
              <w:rPr>
                <w:color w:val="000000"/>
                <w:sz w:val="18"/>
                <w:szCs w:val="18"/>
                <w:lang w:val="fr-CA" w:eastAsia="en-CA"/>
              </w:rPr>
              <w:t>56</w:t>
            </w:r>
            <w:r w:rsidR="004A6828" w:rsidRPr="00ED22D1">
              <w:rPr>
                <w:color w:val="000000"/>
                <w:sz w:val="18"/>
                <w:szCs w:val="18"/>
                <w:lang w:val="fr-CA" w:eastAsia="en-CA"/>
              </w:rPr>
              <w:t>2 </w:t>
            </w:r>
            <w:r w:rsidRPr="00ED22D1">
              <w:rPr>
                <w:color w:val="000000"/>
                <w:sz w:val="18"/>
                <w:szCs w:val="18"/>
                <w:lang w:val="fr-CA" w:eastAsia="en-CA"/>
              </w:rPr>
              <w:t>981</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6 </w:t>
            </w:r>
            <w:r w:rsidRPr="00ED22D1">
              <w:rPr>
                <w:color w:val="000000"/>
                <w:sz w:val="18"/>
                <w:szCs w:val="18"/>
                <w:lang w:val="fr-CA" w:eastAsia="en-CA"/>
              </w:rPr>
              <w:t>00</w:t>
            </w:r>
            <w:r w:rsidR="004A6828" w:rsidRPr="00ED22D1">
              <w:rPr>
                <w:color w:val="000000"/>
                <w:sz w:val="18"/>
                <w:szCs w:val="18"/>
                <w:lang w:val="fr-CA" w:eastAsia="en-CA"/>
              </w:rPr>
              <w:t>0 </w:t>
            </w:r>
            <w:r w:rsidRPr="00ED22D1">
              <w:rPr>
                <w:color w:val="000000"/>
                <w:sz w:val="18"/>
                <w:szCs w:val="18"/>
                <w:lang w:val="fr-CA" w:eastAsia="en-CA"/>
              </w:rPr>
              <w:t>000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3</w:t>
            </w:r>
            <w:r w:rsidR="004A6828" w:rsidRPr="00ED22D1">
              <w:rPr>
                <w:color w:val="000000"/>
                <w:sz w:val="18"/>
                <w:szCs w:val="18"/>
                <w:lang w:val="fr-CA" w:eastAsia="en-CA"/>
              </w:rPr>
              <w:t>1 </w:t>
            </w:r>
            <w:r w:rsidRPr="00ED22D1">
              <w:rPr>
                <w:color w:val="000000"/>
                <w:sz w:val="18"/>
                <w:szCs w:val="18"/>
                <w:lang w:val="fr-CA" w:eastAsia="en-CA"/>
              </w:rPr>
              <w:t>56</w:t>
            </w:r>
            <w:r w:rsidR="004A6828" w:rsidRPr="00ED22D1">
              <w:rPr>
                <w:color w:val="000000"/>
                <w:sz w:val="18"/>
                <w:szCs w:val="18"/>
                <w:lang w:val="fr-CA" w:eastAsia="en-CA"/>
              </w:rPr>
              <w:t>2 </w:t>
            </w:r>
            <w:r w:rsidRPr="00ED22D1">
              <w:rPr>
                <w:color w:val="000000"/>
                <w:sz w:val="18"/>
                <w:szCs w:val="18"/>
                <w:lang w:val="fr-CA" w:eastAsia="en-CA"/>
              </w:rPr>
              <w:t>981</w:t>
            </w:r>
          </w:p>
        </w:tc>
      </w:tr>
      <w:tr w:rsidR="0085675A" w:rsidRPr="00ED22D1" w:rsidTr="005950FA">
        <w:trPr>
          <w:trHeight w:val="134"/>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 </w:t>
            </w:r>
            <w:r w:rsidR="00F5455E" w:rsidRPr="00ED22D1">
              <w:rPr>
                <w:color w:val="000000"/>
                <w:sz w:val="18"/>
                <w:szCs w:val="18"/>
                <w:lang w:val="fr-CA" w:eastAsia="en-CA"/>
              </w:rPr>
              <w:t xml:space="preserve">de </w:t>
            </w:r>
            <w:r w:rsidR="001F19C1" w:rsidRPr="00ED22D1">
              <w:rPr>
                <w:color w:val="000000"/>
                <w:sz w:val="18"/>
                <w:szCs w:val="18"/>
                <w:lang w:val="fr-CA" w:eastAsia="en-CA"/>
              </w:rPr>
              <w:t>l’ONUDI</w:t>
            </w:r>
            <w:r w:rsidR="0085675A" w:rsidRPr="00ED22D1">
              <w:rPr>
                <w:color w:val="000000"/>
                <w:sz w:val="18"/>
                <w:szCs w:val="18"/>
                <w:lang w:val="fr-CA" w:eastAsia="en-CA"/>
              </w:rPr>
              <w:t xml:space="preserve"> </w:t>
            </w:r>
            <w:r w:rsidR="00F5455E" w:rsidRPr="00ED22D1">
              <w:rPr>
                <w:color w:val="000000"/>
                <w:sz w:val="18"/>
                <w:szCs w:val="18"/>
                <w:lang w:val="fr-CA" w:eastAsia="en-CA"/>
              </w:rPr>
              <w:t>à</w:t>
            </w:r>
            <w:r w:rsidR="00F320D6" w:rsidRPr="00ED22D1">
              <w:rPr>
                <w:color w:val="000000"/>
                <w:sz w:val="18"/>
                <w:szCs w:val="18"/>
                <w:lang w:val="fr-CA" w:eastAsia="en-CA"/>
              </w:rPr>
              <w:t xml:space="preserve">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4 </w:t>
            </w:r>
            <w:r w:rsidR="0085675A" w:rsidRPr="00ED22D1">
              <w:rPr>
                <w:color w:val="000000"/>
                <w:sz w:val="18"/>
                <w:szCs w:val="18"/>
                <w:lang w:val="fr-CA" w:eastAsia="en-CA"/>
              </w:rPr>
              <w:t>30</w:t>
            </w:r>
            <w:r w:rsidRPr="00ED22D1">
              <w:rPr>
                <w:color w:val="000000"/>
                <w:sz w:val="18"/>
                <w:szCs w:val="18"/>
                <w:lang w:val="fr-CA" w:eastAsia="en-CA"/>
              </w:rPr>
              <w:t>9 </w:t>
            </w:r>
            <w:r w:rsidR="0085675A" w:rsidRPr="00ED22D1">
              <w:rPr>
                <w:color w:val="000000"/>
                <w:sz w:val="18"/>
                <w:szCs w:val="18"/>
                <w:lang w:val="fr-CA" w:eastAsia="en-CA"/>
              </w:rPr>
              <w:t>022</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4 </w:t>
            </w:r>
            <w:r w:rsidR="0085675A" w:rsidRPr="00ED22D1">
              <w:rPr>
                <w:color w:val="000000"/>
                <w:sz w:val="18"/>
                <w:szCs w:val="18"/>
                <w:lang w:val="fr-CA" w:eastAsia="en-CA"/>
              </w:rPr>
              <w:t>30</w:t>
            </w:r>
            <w:r w:rsidRPr="00ED22D1">
              <w:rPr>
                <w:color w:val="000000"/>
                <w:sz w:val="18"/>
                <w:szCs w:val="18"/>
                <w:lang w:val="fr-CA" w:eastAsia="en-CA"/>
              </w:rPr>
              <w:t>9 </w:t>
            </w:r>
            <w:r w:rsidR="0085675A" w:rsidRPr="00ED22D1">
              <w:rPr>
                <w:color w:val="000000"/>
                <w:sz w:val="18"/>
                <w:szCs w:val="18"/>
                <w:lang w:val="fr-CA" w:eastAsia="en-CA"/>
              </w:rPr>
              <w:t>022</w:t>
            </w:r>
          </w:p>
        </w:tc>
      </w:tr>
      <w:tr w:rsidR="0085675A" w:rsidRPr="00ED22D1" w:rsidTr="005950FA">
        <w:trPr>
          <w:trHeight w:val="208"/>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7,</w:t>
            </w:r>
            <w:r w:rsidRPr="00ED22D1">
              <w:rPr>
                <w:color w:val="000000"/>
                <w:sz w:val="18"/>
                <w:szCs w:val="18"/>
                <w:lang w:val="fr-CA" w:eastAsia="en-CA"/>
              </w:rPr>
              <w:t>7</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3,</w:t>
            </w:r>
            <w:r w:rsidRPr="00ED22D1">
              <w:rPr>
                <w:color w:val="000000"/>
                <w:sz w:val="18"/>
                <w:szCs w:val="18"/>
                <w:lang w:val="fr-CA" w:eastAsia="en-CA"/>
              </w:rPr>
              <w:t>7</w:t>
            </w:r>
            <w:r w:rsidR="002D6976" w:rsidRPr="00ED22D1">
              <w:rPr>
                <w:color w:val="000000"/>
                <w:sz w:val="18"/>
                <w:szCs w:val="18"/>
                <w:lang w:val="fr-CA" w:eastAsia="en-CA"/>
              </w:rPr>
              <w:t> %</w:t>
            </w:r>
          </w:p>
        </w:tc>
      </w:tr>
      <w:tr w:rsidR="0085675A" w:rsidRPr="00ED22D1" w:rsidTr="005950FA">
        <w:trPr>
          <w:trHeight w:val="141"/>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lastRenderedPageBreak/>
              <w:t>Décaissement</w:t>
            </w:r>
            <w:r w:rsidR="0085675A" w:rsidRPr="00ED22D1">
              <w:rPr>
                <w:color w:val="000000"/>
                <w:sz w:val="18"/>
                <w:szCs w:val="18"/>
                <w:lang w:val="fr-CA" w:eastAsia="en-CA"/>
              </w:rPr>
              <w:t xml:space="preserve"> </w:t>
            </w:r>
            <w:r w:rsidR="00F5455E" w:rsidRPr="00ED22D1">
              <w:rPr>
                <w:color w:val="000000"/>
                <w:sz w:val="18"/>
                <w:szCs w:val="18"/>
                <w:lang w:val="fr-CA" w:eastAsia="en-CA"/>
              </w:rPr>
              <w:t>de</w:t>
            </w:r>
            <w:r w:rsidR="00F320D6" w:rsidRPr="00ED22D1">
              <w:rPr>
                <w:color w:val="000000"/>
                <w:sz w:val="18"/>
                <w:szCs w:val="18"/>
                <w:lang w:val="fr-CA" w:eastAsia="en-CA"/>
              </w:rPr>
              <w:t xml:space="preserve"> l’IECO</w:t>
            </w:r>
            <w:r w:rsidR="0085675A" w:rsidRPr="00ED22D1">
              <w:rPr>
                <w:color w:val="000000"/>
                <w:sz w:val="18"/>
                <w:szCs w:val="18"/>
                <w:lang w:val="fr-CA" w:eastAsia="en-CA"/>
              </w:rPr>
              <w:t xml:space="preserve"> </w:t>
            </w:r>
            <w:r w:rsidR="00F5455E" w:rsidRPr="00ED22D1">
              <w:rPr>
                <w:color w:val="000000"/>
                <w:sz w:val="18"/>
                <w:szCs w:val="18"/>
                <w:lang w:val="fr-CA" w:eastAsia="en-CA"/>
              </w:rPr>
              <w:t>aux</w:t>
            </w:r>
            <w:r w:rsidR="0085675A" w:rsidRPr="00ED22D1">
              <w:rPr>
                <w:color w:val="000000"/>
                <w:sz w:val="18"/>
                <w:szCs w:val="18"/>
                <w:lang w:val="fr-CA" w:eastAsia="en-CA"/>
              </w:rPr>
              <w:t xml:space="preserve"> </w:t>
            </w:r>
            <w:r w:rsidR="00921BDE" w:rsidRPr="00ED22D1">
              <w:rPr>
                <w:color w:val="000000"/>
                <w:sz w:val="18"/>
                <w:szCs w:val="18"/>
                <w:lang w:val="fr-CA" w:eastAsia="en-CA"/>
              </w:rPr>
              <w:t>bénéficiaires</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3 </w:t>
            </w:r>
            <w:r w:rsidR="0085675A" w:rsidRPr="00ED22D1">
              <w:rPr>
                <w:color w:val="000000"/>
                <w:sz w:val="18"/>
                <w:szCs w:val="18"/>
                <w:lang w:val="fr-CA" w:eastAsia="en-CA"/>
              </w:rPr>
              <w:t>45</w:t>
            </w:r>
            <w:r w:rsidRPr="00ED22D1">
              <w:rPr>
                <w:color w:val="000000"/>
                <w:sz w:val="18"/>
                <w:szCs w:val="18"/>
                <w:lang w:val="fr-CA" w:eastAsia="en-CA"/>
              </w:rPr>
              <w:t>4 </w:t>
            </w:r>
            <w:r w:rsidR="0085675A" w:rsidRPr="00ED22D1">
              <w:rPr>
                <w:color w:val="000000"/>
                <w:sz w:val="18"/>
                <w:szCs w:val="18"/>
                <w:lang w:val="fr-CA" w:eastAsia="en-CA"/>
              </w:rPr>
              <w:t>396</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3 </w:t>
            </w:r>
            <w:r w:rsidR="0085675A" w:rsidRPr="00ED22D1">
              <w:rPr>
                <w:color w:val="000000"/>
                <w:sz w:val="18"/>
                <w:szCs w:val="18"/>
                <w:lang w:val="fr-CA" w:eastAsia="en-CA"/>
              </w:rPr>
              <w:t>45</w:t>
            </w:r>
            <w:r w:rsidRPr="00ED22D1">
              <w:rPr>
                <w:color w:val="000000"/>
                <w:sz w:val="18"/>
                <w:szCs w:val="18"/>
                <w:lang w:val="fr-CA" w:eastAsia="en-CA"/>
              </w:rPr>
              <w:t>4 </w:t>
            </w:r>
            <w:r w:rsidR="0085675A" w:rsidRPr="00ED22D1">
              <w:rPr>
                <w:color w:val="000000"/>
                <w:sz w:val="18"/>
                <w:szCs w:val="18"/>
                <w:lang w:val="fr-CA" w:eastAsia="en-CA"/>
              </w:rPr>
              <w:t>396</w:t>
            </w:r>
          </w:p>
        </w:tc>
      </w:tr>
      <w:tr w:rsidR="0085675A" w:rsidRPr="00ED22D1" w:rsidTr="005950FA">
        <w:trPr>
          <w:trHeight w:val="58"/>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2,</w:t>
            </w:r>
            <w:r w:rsidRPr="00ED22D1">
              <w:rPr>
                <w:color w:val="000000"/>
                <w:sz w:val="18"/>
                <w:szCs w:val="18"/>
                <w:lang w:val="fr-CA" w:eastAsia="en-CA"/>
              </w:rPr>
              <w:t>2</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0,</w:t>
            </w:r>
            <w:r w:rsidR="0085675A" w:rsidRPr="00ED22D1">
              <w:rPr>
                <w:color w:val="000000"/>
                <w:sz w:val="18"/>
                <w:szCs w:val="18"/>
                <w:lang w:val="fr-CA" w:eastAsia="en-CA"/>
              </w:rPr>
              <w:t>0</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0,</w:t>
            </w:r>
            <w:r w:rsidRPr="00ED22D1">
              <w:rPr>
                <w:color w:val="000000"/>
                <w:sz w:val="18"/>
                <w:szCs w:val="18"/>
                <w:lang w:val="fr-CA" w:eastAsia="en-CA"/>
              </w:rPr>
              <w:t>9</w:t>
            </w:r>
            <w:r w:rsidR="002D6976" w:rsidRPr="00ED22D1">
              <w:rPr>
                <w:color w:val="000000"/>
                <w:sz w:val="18"/>
                <w:szCs w:val="18"/>
                <w:lang w:val="fr-CA" w:eastAsia="en-CA"/>
              </w:rPr>
              <w:t> %</w:t>
            </w:r>
          </w:p>
        </w:tc>
      </w:tr>
      <w:tr w:rsidR="0085675A" w:rsidRPr="00ED22D1" w:rsidTr="005950FA">
        <w:trPr>
          <w:trHeight w:val="118"/>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52712E" w:rsidP="0085675A">
            <w:pPr>
              <w:jc w:val="left"/>
              <w:rPr>
                <w:b/>
                <w:bCs/>
                <w:color w:val="000000"/>
                <w:sz w:val="18"/>
                <w:szCs w:val="18"/>
                <w:lang w:val="fr-CA" w:eastAsia="en-CA"/>
              </w:rPr>
            </w:pPr>
            <w:r w:rsidRPr="00ED22D1">
              <w:rPr>
                <w:b/>
                <w:bCs/>
                <w:color w:val="000000"/>
                <w:sz w:val="18"/>
                <w:szCs w:val="18"/>
                <w:lang w:val="fr-CA" w:eastAsia="en-CA"/>
              </w:rPr>
              <w:t>Solvant</w:t>
            </w:r>
            <w:r w:rsidR="0085675A" w:rsidRPr="00ED22D1">
              <w:rPr>
                <w:b/>
                <w:bCs/>
                <w:color w:val="000000"/>
                <w:sz w:val="18"/>
                <w:szCs w:val="18"/>
                <w:lang w:val="fr-CA" w:eastAsia="en-CA"/>
              </w:rPr>
              <w:t xml:space="preserve"> (</w:t>
            </w:r>
            <w:r w:rsidR="001C722B" w:rsidRPr="00ED22D1">
              <w:rPr>
                <w:b/>
                <w:bCs/>
                <w:color w:val="000000"/>
                <w:sz w:val="18"/>
                <w:szCs w:val="18"/>
                <w:lang w:val="fr-CA" w:eastAsia="en-CA"/>
              </w:rPr>
              <w:t>PNUD</w:t>
            </w:r>
            <w:r w:rsidR="0085675A" w:rsidRPr="00ED22D1">
              <w:rPr>
                <w:b/>
                <w:bCs/>
                <w:color w:val="000000"/>
                <w:sz w:val="18"/>
                <w:szCs w:val="18"/>
                <w:lang w:val="fr-CA" w:eastAsia="en-CA"/>
              </w:rPr>
              <w:t>) </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18"/>
                <w:szCs w:val="18"/>
                <w:lang w:val="fr-CA" w:eastAsia="en-CA"/>
              </w:rPr>
            </w:pP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18"/>
                <w:szCs w:val="18"/>
                <w:lang w:val="fr-CA" w:eastAsia="en-CA"/>
              </w:rPr>
            </w:pPr>
          </w:p>
        </w:tc>
        <w:tc>
          <w:tcPr>
            <w:tcW w:w="1418"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r>
      <w:tr w:rsidR="0085675A" w:rsidRPr="00ED22D1" w:rsidTr="005950FA">
        <w:trPr>
          <w:trHeight w:val="50"/>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2 </w:t>
            </w:r>
            <w:r w:rsidR="0085675A" w:rsidRPr="00ED22D1">
              <w:rPr>
                <w:color w:val="000000"/>
                <w:sz w:val="18"/>
                <w:szCs w:val="18"/>
                <w:lang w:val="fr-CA" w:eastAsia="en-CA"/>
              </w:rPr>
              <w:t>82</w:t>
            </w:r>
            <w:r w:rsidRPr="00ED22D1">
              <w:rPr>
                <w:color w:val="000000"/>
                <w:sz w:val="18"/>
                <w:szCs w:val="18"/>
                <w:lang w:val="fr-CA" w:eastAsia="en-CA"/>
              </w:rPr>
              <w:t>1 </w:t>
            </w:r>
            <w:r w:rsidR="0085675A" w:rsidRPr="00ED22D1">
              <w:rPr>
                <w:color w:val="000000"/>
                <w:sz w:val="18"/>
                <w:szCs w:val="18"/>
                <w:lang w:val="fr-CA" w:eastAsia="en-CA"/>
              </w:rPr>
              <w:t>937</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3 </w:t>
            </w:r>
            <w:r w:rsidR="0085675A" w:rsidRPr="00ED22D1">
              <w:rPr>
                <w:color w:val="000000"/>
                <w:sz w:val="18"/>
                <w:szCs w:val="18"/>
                <w:lang w:val="fr-CA" w:eastAsia="en-CA"/>
              </w:rPr>
              <w:t>77</w:t>
            </w:r>
            <w:r w:rsidRPr="00ED22D1">
              <w:rPr>
                <w:color w:val="000000"/>
                <w:sz w:val="18"/>
                <w:szCs w:val="18"/>
                <w:lang w:val="fr-CA" w:eastAsia="en-CA"/>
              </w:rPr>
              <w:t>7 </w:t>
            </w:r>
            <w:r w:rsidR="0085675A" w:rsidRPr="00ED22D1">
              <w:rPr>
                <w:color w:val="000000"/>
                <w:sz w:val="18"/>
                <w:szCs w:val="18"/>
                <w:lang w:val="fr-CA" w:eastAsia="en-CA"/>
              </w:rPr>
              <w:t>190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6 </w:t>
            </w:r>
            <w:r w:rsidR="0085675A" w:rsidRPr="00ED22D1">
              <w:rPr>
                <w:color w:val="000000"/>
                <w:sz w:val="18"/>
                <w:szCs w:val="18"/>
                <w:lang w:val="fr-CA" w:eastAsia="en-CA"/>
              </w:rPr>
              <w:t>59</w:t>
            </w:r>
            <w:r w:rsidRPr="00ED22D1">
              <w:rPr>
                <w:color w:val="000000"/>
                <w:sz w:val="18"/>
                <w:szCs w:val="18"/>
                <w:lang w:val="fr-CA" w:eastAsia="en-CA"/>
              </w:rPr>
              <w:t>9 </w:t>
            </w:r>
            <w:r w:rsidR="0085675A" w:rsidRPr="00ED22D1">
              <w:rPr>
                <w:color w:val="000000"/>
                <w:sz w:val="18"/>
                <w:szCs w:val="18"/>
                <w:lang w:val="fr-CA" w:eastAsia="en-CA"/>
              </w:rPr>
              <w:t>127</w:t>
            </w:r>
          </w:p>
        </w:tc>
      </w:tr>
      <w:tr w:rsidR="0085675A" w:rsidRPr="00ED22D1" w:rsidTr="005950FA">
        <w:trPr>
          <w:trHeight w:val="124"/>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 </w:t>
            </w:r>
            <w:r w:rsidR="00F5455E" w:rsidRPr="00ED22D1">
              <w:rPr>
                <w:color w:val="000000"/>
                <w:sz w:val="18"/>
                <w:szCs w:val="18"/>
                <w:lang w:val="fr-CA" w:eastAsia="en-CA"/>
              </w:rPr>
              <w:t>du</w:t>
            </w:r>
            <w:r w:rsidR="001F19C1" w:rsidRPr="00ED22D1">
              <w:rPr>
                <w:color w:val="000000"/>
                <w:sz w:val="18"/>
                <w:szCs w:val="18"/>
                <w:lang w:val="fr-CA" w:eastAsia="en-CA"/>
              </w:rPr>
              <w:t xml:space="preserve"> PNUD</w:t>
            </w:r>
            <w:r w:rsidR="0085675A" w:rsidRPr="00ED22D1">
              <w:rPr>
                <w:color w:val="000000"/>
                <w:sz w:val="18"/>
                <w:szCs w:val="18"/>
                <w:lang w:val="fr-CA" w:eastAsia="en-CA"/>
              </w:rPr>
              <w:t xml:space="preserve"> </w:t>
            </w:r>
            <w:r w:rsidR="00F5455E" w:rsidRPr="00ED22D1">
              <w:rPr>
                <w:color w:val="000000"/>
                <w:sz w:val="18"/>
                <w:szCs w:val="18"/>
                <w:lang w:val="fr-CA" w:eastAsia="en-CA"/>
              </w:rPr>
              <w:t>à</w:t>
            </w:r>
            <w:r w:rsidR="00F320D6" w:rsidRPr="00ED22D1">
              <w:rPr>
                <w:color w:val="000000"/>
                <w:sz w:val="18"/>
                <w:szCs w:val="18"/>
                <w:lang w:val="fr-CA" w:eastAsia="en-CA"/>
              </w:rPr>
              <w:t xml:space="preserve">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2 </w:t>
            </w:r>
            <w:r w:rsidR="0085675A" w:rsidRPr="00ED22D1">
              <w:rPr>
                <w:sz w:val="18"/>
                <w:szCs w:val="18"/>
                <w:lang w:val="fr-CA"/>
              </w:rPr>
              <w:t>79</w:t>
            </w:r>
            <w:r w:rsidRPr="00ED22D1">
              <w:rPr>
                <w:sz w:val="18"/>
                <w:szCs w:val="18"/>
                <w:lang w:val="fr-CA"/>
              </w:rPr>
              <w:t>4 </w:t>
            </w:r>
            <w:r w:rsidR="0085675A" w:rsidRPr="00ED22D1">
              <w:rPr>
                <w:sz w:val="18"/>
                <w:szCs w:val="18"/>
                <w:lang w:val="fr-CA"/>
              </w:rPr>
              <w:t>281</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3 </w:t>
            </w:r>
            <w:r w:rsidR="0085675A" w:rsidRPr="00ED22D1">
              <w:rPr>
                <w:sz w:val="18"/>
                <w:szCs w:val="18"/>
                <w:lang w:val="fr-CA"/>
              </w:rPr>
              <w:t>74</w:t>
            </w:r>
            <w:r w:rsidRPr="00ED22D1">
              <w:rPr>
                <w:sz w:val="18"/>
                <w:szCs w:val="18"/>
                <w:lang w:val="fr-CA"/>
              </w:rPr>
              <w:t>1 </w:t>
            </w:r>
            <w:r w:rsidR="0085675A" w:rsidRPr="00ED22D1">
              <w:rPr>
                <w:sz w:val="18"/>
                <w:szCs w:val="18"/>
                <w:lang w:val="fr-CA"/>
              </w:rPr>
              <w:t>089</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6 </w:t>
            </w:r>
            <w:r w:rsidR="0085675A" w:rsidRPr="00ED22D1">
              <w:rPr>
                <w:sz w:val="18"/>
                <w:szCs w:val="18"/>
                <w:lang w:val="fr-CA"/>
              </w:rPr>
              <w:t>53</w:t>
            </w:r>
            <w:r w:rsidRPr="00ED22D1">
              <w:rPr>
                <w:sz w:val="18"/>
                <w:szCs w:val="18"/>
                <w:lang w:val="fr-CA"/>
              </w:rPr>
              <w:t>5 </w:t>
            </w:r>
            <w:r w:rsidR="0085675A" w:rsidRPr="00ED22D1">
              <w:rPr>
                <w:sz w:val="18"/>
                <w:szCs w:val="18"/>
                <w:lang w:val="fr-CA"/>
              </w:rPr>
              <w:t>370</w:t>
            </w:r>
          </w:p>
        </w:tc>
      </w:tr>
      <w:tr w:rsidR="0085675A" w:rsidRPr="00ED22D1" w:rsidTr="005950FA">
        <w:trPr>
          <w:trHeight w:val="50"/>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9</w:t>
            </w:r>
            <w:r w:rsidR="004A6828" w:rsidRPr="00ED22D1">
              <w:rPr>
                <w:sz w:val="18"/>
                <w:szCs w:val="18"/>
                <w:lang w:val="fr-CA"/>
              </w:rPr>
              <w:t>9,</w:t>
            </w:r>
            <w:r w:rsidRPr="00ED22D1">
              <w:rPr>
                <w:sz w:val="18"/>
                <w:szCs w:val="18"/>
                <w:lang w:val="fr-CA"/>
              </w:rPr>
              <w:t>0</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9</w:t>
            </w:r>
            <w:r w:rsidR="004A6828" w:rsidRPr="00ED22D1">
              <w:rPr>
                <w:sz w:val="18"/>
                <w:szCs w:val="18"/>
                <w:lang w:val="fr-CA"/>
              </w:rPr>
              <w:t>9,</w:t>
            </w:r>
            <w:r w:rsidRPr="00ED22D1">
              <w:rPr>
                <w:sz w:val="18"/>
                <w:szCs w:val="18"/>
                <w:lang w:val="fr-CA"/>
              </w:rPr>
              <w:t>0</w:t>
            </w:r>
            <w:r w:rsidR="002D6976" w:rsidRPr="00ED22D1">
              <w:rPr>
                <w:sz w:val="18"/>
                <w:szCs w:val="18"/>
                <w:lang w:val="fr-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9</w:t>
            </w:r>
            <w:r w:rsidR="004A6828" w:rsidRPr="00ED22D1">
              <w:rPr>
                <w:sz w:val="18"/>
                <w:szCs w:val="18"/>
                <w:lang w:val="fr-CA"/>
              </w:rPr>
              <w:t>9,</w:t>
            </w:r>
            <w:r w:rsidRPr="00ED22D1">
              <w:rPr>
                <w:sz w:val="18"/>
                <w:szCs w:val="18"/>
                <w:lang w:val="fr-CA"/>
              </w:rPr>
              <w:t>0</w:t>
            </w:r>
            <w:r w:rsidR="002D6976" w:rsidRPr="00ED22D1">
              <w:rPr>
                <w:sz w:val="18"/>
                <w:szCs w:val="18"/>
                <w:lang w:val="fr-CA"/>
              </w:rPr>
              <w:t> %</w:t>
            </w:r>
          </w:p>
        </w:tc>
      </w:tr>
      <w:tr w:rsidR="0085675A" w:rsidRPr="00ED22D1" w:rsidTr="005950FA">
        <w:trPr>
          <w:trHeight w:val="101"/>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 </w:t>
            </w:r>
            <w:r w:rsidR="00F5455E" w:rsidRPr="00ED22D1">
              <w:rPr>
                <w:color w:val="000000"/>
                <w:sz w:val="18"/>
                <w:szCs w:val="18"/>
                <w:lang w:val="fr-CA" w:eastAsia="en-CA"/>
              </w:rPr>
              <w:t>du</w:t>
            </w:r>
            <w:r w:rsidR="00F320D6" w:rsidRPr="00ED22D1">
              <w:rPr>
                <w:color w:val="000000"/>
                <w:sz w:val="18"/>
                <w:szCs w:val="18"/>
                <w:lang w:val="fr-CA" w:eastAsia="en-CA"/>
              </w:rPr>
              <w:t xml:space="preserve"> l’IECO</w:t>
            </w:r>
            <w:r w:rsidR="0085675A" w:rsidRPr="00ED22D1">
              <w:rPr>
                <w:color w:val="000000"/>
                <w:sz w:val="18"/>
                <w:szCs w:val="18"/>
                <w:lang w:val="fr-CA" w:eastAsia="en-CA"/>
              </w:rPr>
              <w:t xml:space="preserve"> </w:t>
            </w:r>
            <w:r w:rsidR="00F5455E" w:rsidRPr="00ED22D1">
              <w:rPr>
                <w:color w:val="000000"/>
                <w:sz w:val="18"/>
                <w:szCs w:val="18"/>
                <w:lang w:val="fr-CA" w:eastAsia="en-CA"/>
              </w:rPr>
              <w:t>aux</w:t>
            </w:r>
            <w:r w:rsidR="0085675A" w:rsidRPr="00ED22D1">
              <w:rPr>
                <w:color w:val="000000"/>
                <w:sz w:val="18"/>
                <w:szCs w:val="18"/>
                <w:lang w:val="fr-CA" w:eastAsia="en-CA"/>
              </w:rPr>
              <w:t xml:space="preserve"> </w:t>
            </w:r>
            <w:r w:rsidR="00921BDE" w:rsidRPr="00ED22D1">
              <w:rPr>
                <w:color w:val="000000"/>
                <w:sz w:val="18"/>
                <w:szCs w:val="18"/>
                <w:lang w:val="fr-CA" w:eastAsia="en-CA"/>
              </w:rPr>
              <w:t>bénéficiaires</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2 </w:t>
            </w:r>
            <w:r w:rsidR="0085675A" w:rsidRPr="00ED22D1">
              <w:rPr>
                <w:sz w:val="18"/>
                <w:szCs w:val="18"/>
                <w:lang w:val="fr-CA"/>
              </w:rPr>
              <w:t>79</w:t>
            </w:r>
            <w:r w:rsidRPr="00ED22D1">
              <w:rPr>
                <w:sz w:val="18"/>
                <w:szCs w:val="18"/>
                <w:lang w:val="fr-CA"/>
              </w:rPr>
              <w:t>6 </w:t>
            </w:r>
            <w:r w:rsidR="0085675A" w:rsidRPr="00ED22D1">
              <w:rPr>
                <w:sz w:val="18"/>
                <w:szCs w:val="18"/>
                <w:lang w:val="fr-CA"/>
              </w:rPr>
              <w:t>937</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2 </w:t>
            </w:r>
            <w:r w:rsidR="0085675A" w:rsidRPr="00ED22D1">
              <w:rPr>
                <w:sz w:val="18"/>
                <w:szCs w:val="18"/>
                <w:lang w:val="fr-CA"/>
              </w:rPr>
              <w:t>81</w:t>
            </w:r>
            <w:r w:rsidRPr="00ED22D1">
              <w:rPr>
                <w:sz w:val="18"/>
                <w:szCs w:val="18"/>
                <w:lang w:val="fr-CA"/>
              </w:rPr>
              <w:t>9 </w:t>
            </w:r>
            <w:r w:rsidR="0085675A" w:rsidRPr="00ED22D1">
              <w:rPr>
                <w:sz w:val="18"/>
                <w:szCs w:val="18"/>
                <w:lang w:val="fr-CA"/>
              </w:rPr>
              <w:t>399</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5 </w:t>
            </w:r>
            <w:r w:rsidR="0085675A" w:rsidRPr="00ED22D1">
              <w:rPr>
                <w:sz w:val="18"/>
                <w:szCs w:val="18"/>
                <w:lang w:val="fr-CA"/>
              </w:rPr>
              <w:t>61</w:t>
            </w:r>
            <w:r w:rsidRPr="00ED22D1">
              <w:rPr>
                <w:sz w:val="18"/>
                <w:szCs w:val="18"/>
                <w:lang w:val="fr-CA"/>
              </w:rPr>
              <w:t>6 </w:t>
            </w:r>
            <w:r w:rsidR="0085675A" w:rsidRPr="00ED22D1">
              <w:rPr>
                <w:sz w:val="18"/>
                <w:szCs w:val="18"/>
                <w:lang w:val="fr-CA"/>
              </w:rPr>
              <w:t>336</w:t>
            </w:r>
          </w:p>
        </w:tc>
      </w:tr>
      <w:tr w:rsidR="0085675A" w:rsidRPr="00ED22D1" w:rsidTr="005950FA">
        <w:trPr>
          <w:trHeight w:val="175"/>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9</w:t>
            </w:r>
            <w:r w:rsidR="004A6828" w:rsidRPr="00ED22D1">
              <w:rPr>
                <w:sz w:val="18"/>
                <w:szCs w:val="18"/>
                <w:lang w:val="fr-CA"/>
              </w:rPr>
              <w:t>9,</w:t>
            </w:r>
            <w:r w:rsidRPr="00ED22D1">
              <w:rPr>
                <w:sz w:val="18"/>
                <w:szCs w:val="18"/>
                <w:lang w:val="fr-CA"/>
              </w:rPr>
              <w:t>1</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7</w:t>
            </w:r>
            <w:r w:rsidR="004A6828" w:rsidRPr="00ED22D1">
              <w:rPr>
                <w:sz w:val="18"/>
                <w:szCs w:val="18"/>
                <w:lang w:val="fr-CA"/>
              </w:rPr>
              <w:t>4,</w:t>
            </w:r>
            <w:r w:rsidRPr="00ED22D1">
              <w:rPr>
                <w:sz w:val="18"/>
                <w:szCs w:val="18"/>
                <w:lang w:val="fr-CA"/>
              </w:rPr>
              <w:t>6</w:t>
            </w:r>
            <w:r w:rsidR="002D6976" w:rsidRPr="00ED22D1">
              <w:rPr>
                <w:sz w:val="18"/>
                <w:szCs w:val="18"/>
                <w:lang w:val="fr-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8</w:t>
            </w:r>
            <w:r w:rsidR="004A6828" w:rsidRPr="00ED22D1">
              <w:rPr>
                <w:sz w:val="18"/>
                <w:szCs w:val="18"/>
                <w:lang w:val="fr-CA"/>
              </w:rPr>
              <w:t>5,</w:t>
            </w:r>
            <w:r w:rsidRPr="00ED22D1">
              <w:rPr>
                <w:sz w:val="18"/>
                <w:szCs w:val="18"/>
                <w:lang w:val="fr-CA"/>
              </w:rPr>
              <w:t>1</w:t>
            </w:r>
            <w:r w:rsidR="002D6976" w:rsidRPr="00ED22D1">
              <w:rPr>
                <w:sz w:val="18"/>
                <w:szCs w:val="18"/>
                <w:lang w:val="fr-CA"/>
              </w:rPr>
              <w:t> %</w:t>
            </w:r>
          </w:p>
        </w:tc>
      </w:tr>
      <w:tr w:rsidR="0085675A" w:rsidRPr="00ED22D1" w:rsidTr="005950FA">
        <w:trPr>
          <w:trHeight w:val="95"/>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1B31BF" w:rsidP="0085675A">
            <w:pPr>
              <w:jc w:val="left"/>
              <w:rPr>
                <w:b/>
                <w:bCs/>
                <w:color w:val="000000"/>
                <w:sz w:val="18"/>
                <w:szCs w:val="18"/>
                <w:lang w:val="fr-CA" w:eastAsia="en-CA"/>
              </w:rPr>
            </w:pPr>
            <w:r w:rsidRPr="00ED22D1">
              <w:rPr>
                <w:b/>
                <w:bCs/>
                <w:color w:val="000000"/>
                <w:sz w:val="18"/>
                <w:szCs w:val="18"/>
                <w:lang w:val="fr-CA" w:eastAsia="en-CA"/>
              </w:rPr>
              <w:t>Entretien</w:t>
            </w:r>
            <w:r w:rsidR="0085675A" w:rsidRPr="00ED22D1">
              <w:rPr>
                <w:b/>
                <w:bCs/>
                <w:color w:val="000000"/>
                <w:sz w:val="18"/>
                <w:szCs w:val="18"/>
                <w:lang w:val="fr-CA" w:eastAsia="en-CA"/>
              </w:rPr>
              <w:t xml:space="preserve"> (</w:t>
            </w:r>
            <w:r w:rsidR="001C722B" w:rsidRPr="00ED22D1">
              <w:rPr>
                <w:b/>
                <w:bCs/>
                <w:color w:val="000000"/>
                <w:sz w:val="18"/>
                <w:szCs w:val="18"/>
                <w:lang w:val="fr-CA" w:eastAsia="en-CA"/>
              </w:rPr>
              <w:t>PNUE</w:t>
            </w:r>
            <w:r w:rsidR="0085675A" w:rsidRPr="00ED22D1">
              <w:rPr>
                <w:b/>
                <w:bCs/>
                <w:color w:val="000000"/>
                <w:sz w:val="18"/>
                <w:szCs w:val="18"/>
                <w:lang w:val="fr-CA" w:eastAsia="en-CA"/>
              </w:rPr>
              <w:t>/</w:t>
            </w:r>
            <w:r w:rsidR="004A6828" w:rsidRPr="00ED22D1">
              <w:rPr>
                <w:b/>
                <w:bCs/>
                <w:color w:val="000000"/>
                <w:sz w:val="18"/>
                <w:szCs w:val="18"/>
                <w:lang w:val="fr-CA" w:eastAsia="en-CA"/>
              </w:rPr>
              <w:t>Allemagne</w:t>
            </w:r>
            <w:r w:rsidR="0085675A" w:rsidRPr="00ED22D1">
              <w:rPr>
                <w:b/>
                <w:bCs/>
                <w:color w:val="000000"/>
                <w:sz w:val="18"/>
                <w:szCs w:val="18"/>
                <w:lang w:val="fr-CA" w:eastAsia="en-CA"/>
              </w:rPr>
              <w:t>/</w:t>
            </w:r>
            <w:r w:rsidR="004A6828" w:rsidRPr="00ED22D1">
              <w:rPr>
                <w:b/>
                <w:bCs/>
                <w:color w:val="000000"/>
                <w:sz w:val="18"/>
                <w:szCs w:val="18"/>
                <w:lang w:val="fr-CA" w:eastAsia="en-CA"/>
              </w:rPr>
              <w:t>Japon</w:t>
            </w:r>
            <w:r w:rsidR="0085675A" w:rsidRPr="00ED22D1">
              <w:rPr>
                <w:b/>
                <w:bCs/>
                <w:color w:val="000000"/>
                <w:sz w:val="18"/>
                <w:szCs w:val="18"/>
                <w:lang w:val="fr-CA" w:eastAsia="en-CA"/>
              </w:rPr>
              <w:t>) </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18"/>
                <w:szCs w:val="18"/>
                <w:lang w:val="fr-CA" w:eastAsia="en-CA"/>
              </w:rPr>
            </w:pPr>
            <w:r w:rsidRPr="00ED22D1">
              <w:rPr>
                <w:b/>
                <w:bCs/>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b/>
                <w:bCs/>
                <w:color w:val="000000"/>
                <w:sz w:val="18"/>
                <w:szCs w:val="18"/>
                <w:lang w:val="fr-CA" w:eastAsia="en-CA"/>
              </w:rPr>
            </w:pPr>
            <w:r w:rsidRPr="00ED22D1">
              <w:rPr>
                <w:b/>
                <w:bCs/>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r w:rsidRPr="00ED22D1">
              <w:rPr>
                <w:b/>
                <w:bCs/>
                <w:color w:val="000000"/>
                <w:sz w:val="18"/>
                <w:szCs w:val="18"/>
                <w:lang w:val="fr-CA" w:eastAsia="en-CA"/>
              </w:rPr>
              <w:t> </w:t>
            </w:r>
          </w:p>
        </w:tc>
      </w:tr>
      <w:tr w:rsidR="0085675A" w:rsidRPr="00ED22D1" w:rsidTr="005950FA">
        <w:trPr>
          <w:trHeight w:val="41"/>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3 </w:t>
            </w:r>
            <w:r w:rsidR="0085675A" w:rsidRPr="00ED22D1">
              <w:rPr>
                <w:color w:val="000000"/>
                <w:sz w:val="18"/>
                <w:szCs w:val="18"/>
                <w:lang w:val="fr-CA" w:eastAsia="en-CA"/>
              </w:rPr>
              <w:t>67</w:t>
            </w:r>
            <w:r w:rsidRPr="00ED22D1">
              <w:rPr>
                <w:color w:val="000000"/>
                <w:sz w:val="18"/>
                <w:szCs w:val="18"/>
                <w:lang w:val="fr-CA" w:eastAsia="en-CA"/>
              </w:rPr>
              <w:t>9 </w:t>
            </w:r>
            <w:r w:rsidR="0085675A" w:rsidRPr="00ED22D1">
              <w:rPr>
                <w:color w:val="000000"/>
                <w:sz w:val="18"/>
                <w:szCs w:val="18"/>
                <w:lang w:val="fr-CA" w:eastAsia="en-CA"/>
              </w:rPr>
              <w:t>132</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2 </w:t>
            </w:r>
            <w:r w:rsidR="0085675A" w:rsidRPr="00ED22D1">
              <w:rPr>
                <w:color w:val="000000"/>
                <w:sz w:val="18"/>
                <w:szCs w:val="18"/>
                <w:lang w:val="fr-CA" w:eastAsia="en-CA"/>
              </w:rPr>
              <w:t>65</w:t>
            </w:r>
            <w:r w:rsidRPr="00ED22D1">
              <w:rPr>
                <w:color w:val="000000"/>
                <w:sz w:val="18"/>
                <w:szCs w:val="18"/>
                <w:lang w:val="fr-CA" w:eastAsia="en-CA"/>
              </w:rPr>
              <w:t>0 </w:t>
            </w:r>
            <w:r w:rsidR="0085675A" w:rsidRPr="00ED22D1">
              <w:rPr>
                <w:color w:val="000000"/>
                <w:sz w:val="18"/>
                <w:szCs w:val="18"/>
                <w:lang w:val="fr-CA" w:eastAsia="en-CA"/>
              </w:rPr>
              <w:t>000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color w:val="000000"/>
                <w:sz w:val="18"/>
                <w:szCs w:val="18"/>
                <w:lang w:val="fr-CA" w:eastAsia="en-CA"/>
              </w:rPr>
            </w:pPr>
            <w:r w:rsidRPr="00ED22D1">
              <w:rPr>
                <w:color w:val="000000"/>
                <w:sz w:val="18"/>
                <w:szCs w:val="18"/>
                <w:lang w:val="fr-CA" w:eastAsia="en-CA"/>
              </w:rPr>
              <w:t>6 </w:t>
            </w:r>
            <w:r w:rsidR="0085675A" w:rsidRPr="00ED22D1">
              <w:rPr>
                <w:color w:val="000000"/>
                <w:sz w:val="18"/>
                <w:szCs w:val="18"/>
                <w:lang w:val="fr-CA" w:eastAsia="en-CA"/>
              </w:rPr>
              <w:t>32</w:t>
            </w:r>
            <w:r w:rsidRPr="00ED22D1">
              <w:rPr>
                <w:color w:val="000000"/>
                <w:sz w:val="18"/>
                <w:szCs w:val="18"/>
                <w:lang w:val="fr-CA" w:eastAsia="en-CA"/>
              </w:rPr>
              <w:t>9 </w:t>
            </w:r>
            <w:r w:rsidR="0085675A" w:rsidRPr="00ED22D1">
              <w:rPr>
                <w:color w:val="000000"/>
                <w:sz w:val="18"/>
                <w:szCs w:val="18"/>
                <w:lang w:val="fr-CA" w:eastAsia="en-CA"/>
              </w:rPr>
              <w:t>132</w:t>
            </w:r>
          </w:p>
        </w:tc>
      </w:tr>
      <w:tr w:rsidR="0085675A" w:rsidRPr="00ED22D1" w:rsidTr="005950FA">
        <w:trPr>
          <w:trHeight w:val="86"/>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 </w:t>
            </w:r>
            <w:r w:rsidR="00F5455E" w:rsidRPr="00ED22D1">
              <w:rPr>
                <w:color w:val="000000"/>
                <w:sz w:val="18"/>
                <w:szCs w:val="18"/>
                <w:lang w:val="fr-CA" w:eastAsia="en-CA"/>
              </w:rPr>
              <w:t>des</w:t>
            </w:r>
            <w:r w:rsidR="0085675A" w:rsidRPr="00ED22D1">
              <w:rPr>
                <w:color w:val="000000"/>
                <w:sz w:val="18"/>
                <w:szCs w:val="18"/>
                <w:lang w:val="fr-CA" w:eastAsia="en-CA"/>
              </w:rPr>
              <w:t xml:space="preserve"> </w:t>
            </w:r>
            <w:r w:rsidR="00B53D8B" w:rsidRPr="00ED22D1">
              <w:rPr>
                <w:color w:val="000000"/>
                <w:sz w:val="18"/>
                <w:szCs w:val="18"/>
                <w:lang w:val="fr-CA" w:eastAsia="en-CA"/>
              </w:rPr>
              <w:t>agences d’exécution</w:t>
            </w:r>
            <w:r w:rsidR="0085675A" w:rsidRPr="00ED22D1">
              <w:rPr>
                <w:color w:val="000000"/>
                <w:sz w:val="18"/>
                <w:szCs w:val="18"/>
                <w:lang w:val="fr-CA" w:eastAsia="en-CA"/>
              </w:rPr>
              <w:t xml:space="preserve"> </w:t>
            </w:r>
            <w:r w:rsidR="00F5455E" w:rsidRPr="00ED22D1">
              <w:rPr>
                <w:color w:val="000000"/>
                <w:sz w:val="18"/>
                <w:szCs w:val="18"/>
                <w:lang w:val="fr-CA" w:eastAsia="en-CA"/>
              </w:rPr>
              <w:t xml:space="preserve">   à</w:t>
            </w:r>
            <w:r w:rsidR="00F320D6" w:rsidRPr="00ED22D1">
              <w:rPr>
                <w:color w:val="000000"/>
                <w:sz w:val="18"/>
                <w:szCs w:val="18"/>
                <w:lang w:val="fr-CA" w:eastAsia="en-CA"/>
              </w:rPr>
              <w:t xml:space="preserve">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1 </w:t>
            </w:r>
            <w:r w:rsidR="0085675A" w:rsidRPr="00ED22D1">
              <w:rPr>
                <w:sz w:val="18"/>
                <w:szCs w:val="18"/>
                <w:lang w:val="fr-CA"/>
              </w:rPr>
              <w:t>68</w:t>
            </w:r>
            <w:r w:rsidRPr="00ED22D1">
              <w:rPr>
                <w:sz w:val="18"/>
                <w:szCs w:val="18"/>
                <w:lang w:val="fr-CA"/>
              </w:rPr>
              <w:t>2 </w:t>
            </w:r>
            <w:r w:rsidR="0085675A" w:rsidRPr="00ED22D1">
              <w:rPr>
                <w:sz w:val="18"/>
                <w:szCs w:val="18"/>
                <w:lang w:val="fr-CA"/>
              </w:rPr>
              <w:t>660</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1 </w:t>
            </w:r>
            <w:r w:rsidR="0085675A" w:rsidRPr="00ED22D1">
              <w:rPr>
                <w:sz w:val="18"/>
                <w:szCs w:val="18"/>
                <w:lang w:val="fr-CA"/>
              </w:rPr>
              <w:t>30</w:t>
            </w:r>
            <w:r w:rsidRPr="00ED22D1">
              <w:rPr>
                <w:sz w:val="18"/>
                <w:szCs w:val="18"/>
                <w:lang w:val="fr-CA"/>
              </w:rPr>
              <w:t>0 </w:t>
            </w:r>
            <w:r w:rsidR="0085675A" w:rsidRPr="00ED22D1">
              <w:rPr>
                <w:sz w:val="18"/>
                <w:szCs w:val="18"/>
                <w:lang w:val="fr-CA"/>
              </w:rPr>
              <w:t>000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2 </w:t>
            </w:r>
            <w:r w:rsidR="0085675A" w:rsidRPr="00ED22D1">
              <w:rPr>
                <w:sz w:val="18"/>
                <w:szCs w:val="18"/>
                <w:lang w:val="fr-CA"/>
              </w:rPr>
              <w:t>98</w:t>
            </w:r>
            <w:r w:rsidRPr="00ED22D1">
              <w:rPr>
                <w:sz w:val="18"/>
                <w:szCs w:val="18"/>
                <w:lang w:val="fr-CA"/>
              </w:rPr>
              <w:t>2 </w:t>
            </w:r>
            <w:r w:rsidR="0085675A" w:rsidRPr="00ED22D1">
              <w:rPr>
                <w:sz w:val="18"/>
                <w:szCs w:val="18"/>
                <w:lang w:val="fr-CA"/>
              </w:rPr>
              <w:t>660</w:t>
            </w:r>
          </w:p>
        </w:tc>
      </w:tr>
      <w:tr w:rsidR="0085675A" w:rsidRPr="00ED22D1" w:rsidTr="005950FA">
        <w:trPr>
          <w:trHeight w:val="41"/>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r w:rsidR="0085675A" w:rsidRPr="00ED22D1">
              <w:rPr>
                <w:color w:val="000000"/>
                <w:sz w:val="18"/>
                <w:szCs w:val="18"/>
                <w:lang w:val="fr-CA" w:eastAsia="en-CA"/>
              </w:rPr>
              <w: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4</w:t>
            </w:r>
            <w:r w:rsidR="004A6828" w:rsidRPr="00ED22D1">
              <w:rPr>
                <w:sz w:val="18"/>
                <w:szCs w:val="18"/>
                <w:lang w:val="fr-CA"/>
              </w:rPr>
              <w:t>5,</w:t>
            </w:r>
            <w:r w:rsidRPr="00ED22D1">
              <w:rPr>
                <w:sz w:val="18"/>
                <w:szCs w:val="18"/>
                <w:lang w:val="fr-CA"/>
              </w:rPr>
              <w:t>7</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4</w:t>
            </w:r>
            <w:r w:rsidR="004A6828" w:rsidRPr="00ED22D1">
              <w:rPr>
                <w:sz w:val="18"/>
                <w:szCs w:val="18"/>
                <w:lang w:val="fr-CA"/>
              </w:rPr>
              <w:t>9,</w:t>
            </w:r>
            <w:r w:rsidRPr="00ED22D1">
              <w:rPr>
                <w:sz w:val="18"/>
                <w:szCs w:val="18"/>
                <w:lang w:val="fr-CA"/>
              </w:rPr>
              <w:t>1</w:t>
            </w:r>
            <w:r w:rsidR="002D6976" w:rsidRPr="00ED22D1">
              <w:rPr>
                <w:sz w:val="18"/>
                <w:szCs w:val="18"/>
                <w:lang w:val="fr-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4</w:t>
            </w:r>
            <w:r w:rsidR="004A6828" w:rsidRPr="00ED22D1">
              <w:rPr>
                <w:sz w:val="18"/>
                <w:szCs w:val="18"/>
                <w:lang w:val="fr-CA"/>
              </w:rPr>
              <w:t>7,</w:t>
            </w:r>
            <w:r w:rsidRPr="00ED22D1">
              <w:rPr>
                <w:sz w:val="18"/>
                <w:szCs w:val="18"/>
                <w:lang w:val="fr-CA"/>
              </w:rPr>
              <w:t>1</w:t>
            </w:r>
            <w:r w:rsidR="002D6976" w:rsidRPr="00ED22D1">
              <w:rPr>
                <w:sz w:val="18"/>
                <w:szCs w:val="18"/>
                <w:lang w:val="fr-CA"/>
              </w:rPr>
              <w:t> %</w:t>
            </w:r>
          </w:p>
        </w:tc>
      </w:tr>
      <w:tr w:rsidR="0085675A" w:rsidRPr="00ED22D1" w:rsidTr="005950FA">
        <w:trPr>
          <w:trHeight w:val="78"/>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85675A">
            <w:pPr>
              <w:jc w:val="left"/>
              <w:rPr>
                <w:color w:val="000000"/>
                <w:sz w:val="18"/>
                <w:szCs w:val="18"/>
                <w:lang w:val="fr-CA" w:eastAsia="en-CA"/>
              </w:rPr>
            </w:pPr>
            <w:r w:rsidRPr="00ED22D1">
              <w:rPr>
                <w:color w:val="000000"/>
                <w:sz w:val="18"/>
                <w:szCs w:val="18"/>
                <w:lang w:val="fr-CA" w:eastAsia="en-CA"/>
              </w:rPr>
              <w:t>Décaissement</w:t>
            </w:r>
            <w:r w:rsidR="00DE118B" w:rsidRPr="00ED22D1">
              <w:rPr>
                <w:color w:val="000000"/>
                <w:sz w:val="18"/>
                <w:szCs w:val="18"/>
                <w:lang w:val="fr-CA" w:eastAsia="en-CA"/>
              </w:rPr>
              <w:t xml:space="preserve"> par</w:t>
            </w:r>
            <w:r w:rsidR="00F320D6" w:rsidRPr="00ED22D1">
              <w:rPr>
                <w:color w:val="000000"/>
                <w:sz w:val="18"/>
                <w:szCs w:val="18"/>
                <w:lang w:val="fr-CA" w:eastAsia="en-CA"/>
              </w:rPr>
              <w:t xml:space="preserve">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74</w:t>
            </w:r>
            <w:r w:rsidR="004A6828" w:rsidRPr="00ED22D1">
              <w:rPr>
                <w:sz w:val="18"/>
                <w:szCs w:val="18"/>
                <w:lang w:val="fr-CA"/>
              </w:rPr>
              <w:t>1 </w:t>
            </w:r>
            <w:r w:rsidRPr="00ED22D1">
              <w:rPr>
                <w:sz w:val="18"/>
                <w:szCs w:val="18"/>
                <w:lang w:val="fr-CA"/>
              </w:rPr>
              <w:t>741</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10</w:t>
            </w:r>
            <w:r w:rsidR="004A6828" w:rsidRPr="00ED22D1">
              <w:rPr>
                <w:sz w:val="18"/>
                <w:szCs w:val="18"/>
                <w:lang w:val="fr-CA"/>
              </w:rPr>
              <w:t>0 </w:t>
            </w:r>
            <w:r w:rsidRPr="00ED22D1">
              <w:rPr>
                <w:sz w:val="18"/>
                <w:szCs w:val="18"/>
                <w:lang w:val="fr-CA"/>
              </w:rPr>
              <w:t>000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84</w:t>
            </w:r>
            <w:r w:rsidR="004A6828" w:rsidRPr="00ED22D1">
              <w:rPr>
                <w:sz w:val="18"/>
                <w:szCs w:val="18"/>
                <w:lang w:val="fr-CA"/>
              </w:rPr>
              <w:t>1 </w:t>
            </w:r>
            <w:r w:rsidRPr="00ED22D1">
              <w:rPr>
                <w:sz w:val="18"/>
                <w:szCs w:val="18"/>
                <w:lang w:val="fr-CA"/>
              </w:rPr>
              <w:t>741</w:t>
            </w:r>
          </w:p>
        </w:tc>
      </w:tr>
      <w:tr w:rsidR="0085675A" w:rsidRPr="00ED22D1" w:rsidTr="005950FA">
        <w:trPr>
          <w:trHeight w:val="153"/>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2</w:t>
            </w:r>
            <w:r w:rsidR="004A6828" w:rsidRPr="00ED22D1">
              <w:rPr>
                <w:sz w:val="18"/>
                <w:szCs w:val="18"/>
                <w:lang w:val="fr-CA"/>
              </w:rPr>
              <w:t>0,</w:t>
            </w:r>
            <w:r w:rsidRPr="00ED22D1">
              <w:rPr>
                <w:sz w:val="18"/>
                <w:szCs w:val="18"/>
                <w:lang w:val="fr-CA"/>
              </w:rPr>
              <w:t>1</w:t>
            </w:r>
            <w:r w:rsidR="002D6976" w:rsidRPr="00ED22D1">
              <w:rPr>
                <w:sz w:val="18"/>
                <w:szCs w:val="18"/>
                <w:lang w:val="fr-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4A6828" w:rsidP="0085675A">
            <w:pPr>
              <w:jc w:val="right"/>
              <w:rPr>
                <w:sz w:val="18"/>
                <w:szCs w:val="18"/>
                <w:lang w:val="fr-CA"/>
              </w:rPr>
            </w:pPr>
            <w:r w:rsidRPr="00ED22D1">
              <w:rPr>
                <w:sz w:val="18"/>
                <w:szCs w:val="18"/>
                <w:lang w:val="fr-CA"/>
              </w:rPr>
              <w:t>3,</w:t>
            </w:r>
            <w:r w:rsidR="0085675A" w:rsidRPr="00ED22D1">
              <w:rPr>
                <w:sz w:val="18"/>
                <w:szCs w:val="18"/>
                <w:lang w:val="fr-CA"/>
              </w:rPr>
              <w:t>8</w:t>
            </w:r>
            <w:r w:rsidR="002D6976" w:rsidRPr="00ED22D1">
              <w:rPr>
                <w:sz w:val="18"/>
                <w:szCs w:val="18"/>
                <w:lang w:val="fr-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sz w:val="18"/>
                <w:szCs w:val="18"/>
                <w:lang w:val="fr-CA"/>
              </w:rPr>
            </w:pPr>
            <w:r w:rsidRPr="00ED22D1">
              <w:rPr>
                <w:sz w:val="18"/>
                <w:szCs w:val="18"/>
                <w:lang w:val="fr-CA"/>
              </w:rPr>
              <w:t>1</w:t>
            </w:r>
            <w:r w:rsidR="004A6828" w:rsidRPr="00ED22D1">
              <w:rPr>
                <w:sz w:val="18"/>
                <w:szCs w:val="18"/>
                <w:lang w:val="fr-CA"/>
              </w:rPr>
              <w:t>3,</w:t>
            </w:r>
            <w:r w:rsidRPr="00ED22D1">
              <w:rPr>
                <w:sz w:val="18"/>
                <w:szCs w:val="18"/>
                <w:lang w:val="fr-CA"/>
              </w:rPr>
              <w:t>3</w:t>
            </w:r>
            <w:r w:rsidR="002D6976" w:rsidRPr="00ED22D1">
              <w:rPr>
                <w:sz w:val="18"/>
                <w:szCs w:val="18"/>
                <w:lang w:val="fr-CA"/>
              </w:rPr>
              <w:t> %</w:t>
            </w:r>
          </w:p>
        </w:tc>
      </w:tr>
      <w:tr w:rsidR="0085675A" w:rsidRPr="00ED22D1" w:rsidTr="005950FA">
        <w:trPr>
          <w:trHeight w:val="70"/>
        </w:trPr>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675A" w:rsidRPr="00ED22D1" w:rsidRDefault="0085675A" w:rsidP="00F5455E">
            <w:pPr>
              <w:jc w:val="left"/>
              <w:rPr>
                <w:b/>
                <w:bCs/>
                <w:color w:val="000000"/>
                <w:sz w:val="18"/>
                <w:szCs w:val="18"/>
                <w:lang w:val="fr-CA" w:eastAsia="en-CA"/>
              </w:rPr>
            </w:pPr>
            <w:r w:rsidRPr="00ED22D1">
              <w:rPr>
                <w:b/>
                <w:bCs/>
                <w:color w:val="000000"/>
                <w:sz w:val="18"/>
                <w:szCs w:val="18"/>
                <w:lang w:val="fr-CA" w:eastAsia="en-CA"/>
              </w:rPr>
              <w:t xml:space="preserve">Total </w:t>
            </w:r>
            <w:r w:rsidR="00F5455E" w:rsidRPr="00ED22D1">
              <w:rPr>
                <w:b/>
                <w:bCs/>
                <w:color w:val="000000"/>
                <w:sz w:val="18"/>
                <w:szCs w:val="18"/>
                <w:lang w:val="fr-CA" w:eastAsia="en-CA"/>
              </w:rPr>
              <w:t xml:space="preserve">– Tous les </w:t>
            </w:r>
            <w:r w:rsidR="00733306" w:rsidRPr="00ED22D1">
              <w:rPr>
                <w:b/>
                <w:bCs/>
                <w:color w:val="000000"/>
                <w:sz w:val="18"/>
                <w:szCs w:val="18"/>
                <w:lang w:val="fr-CA" w:eastAsia="en-CA"/>
              </w:rPr>
              <w:t>secteurs</w:t>
            </w:r>
          </w:p>
        </w:tc>
        <w:tc>
          <w:tcPr>
            <w:tcW w:w="1276"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c>
          <w:tcPr>
            <w:tcW w:w="1417"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c>
          <w:tcPr>
            <w:tcW w:w="1418" w:type="dxa"/>
            <w:tcBorders>
              <w:top w:val="nil"/>
              <w:left w:val="nil"/>
              <w:bottom w:val="single" w:sz="4" w:space="0" w:color="auto"/>
              <w:right w:val="single" w:sz="4" w:space="0" w:color="auto"/>
            </w:tcBorders>
            <w:shd w:val="clear" w:color="auto" w:fill="auto"/>
            <w:noWrap/>
            <w:hideMark/>
          </w:tcPr>
          <w:p w:rsidR="0085675A" w:rsidRPr="00ED22D1" w:rsidRDefault="0085675A" w:rsidP="0085675A">
            <w:pPr>
              <w:jc w:val="right"/>
              <w:rPr>
                <w:b/>
                <w:bCs/>
                <w:color w:val="000000"/>
                <w:sz w:val="18"/>
                <w:szCs w:val="18"/>
                <w:lang w:val="fr-CA" w:eastAsia="en-CA"/>
              </w:rPr>
            </w:pPr>
          </w:p>
        </w:tc>
      </w:tr>
      <w:tr w:rsidR="0085675A" w:rsidRPr="00ED22D1" w:rsidTr="005950FA">
        <w:trPr>
          <w:trHeight w:val="144"/>
        </w:trPr>
        <w:tc>
          <w:tcPr>
            <w:tcW w:w="5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75A" w:rsidRPr="00ED22D1" w:rsidRDefault="00905638" w:rsidP="0085675A">
            <w:pPr>
              <w:jc w:val="left"/>
              <w:rPr>
                <w:color w:val="000000"/>
                <w:sz w:val="18"/>
                <w:szCs w:val="18"/>
                <w:lang w:val="fr-CA" w:eastAsia="en-CA"/>
              </w:rPr>
            </w:pPr>
            <w:r w:rsidRPr="00ED22D1">
              <w:rPr>
                <w:color w:val="000000"/>
                <w:sz w:val="18"/>
                <w:szCs w:val="18"/>
                <w:lang w:val="fr-CA" w:eastAsia="en-CA"/>
              </w:rPr>
              <w:t>Financement</w:t>
            </w:r>
            <w:r w:rsidR="0085675A" w:rsidRPr="00ED22D1">
              <w:rPr>
                <w:color w:val="000000"/>
                <w:sz w:val="18"/>
                <w:szCs w:val="18"/>
                <w:lang w:val="fr-CA" w:eastAsia="en-CA"/>
              </w:rPr>
              <w:t xml:space="preserve"> </w:t>
            </w:r>
            <w:r w:rsidR="00AA6E77" w:rsidRPr="00ED22D1">
              <w:rPr>
                <w:color w:val="000000"/>
                <w:sz w:val="18"/>
                <w:szCs w:val="18"/>
                <w:lang w:val="fr-CA" w:eastAsia="en-CA"/>
              </w:rPr>
              <w:t>approuvé</w:t>
            </w:r>
            <w:r w:rsidR="00DE118B" w:rsidRPr="00ED22D1">
              <w:rPr>
                <w:color w:val="000000"/>
                <w:sz w:val="18"/>
                <w:szCs w:val="18"/>
                <w:lang w:val="fr-CA" w:eastAsia="en-CA"/>
              </w:rPr>
              <w:t xml:space="preserve"> par </w:t>
            </w:r>
            <w:r w:rsidR="00DD185D" w:rsidRPr="00ED22D1">
              <w:rPr>
                <w:color w:val="000000"/>
                <w:sz w:val="18"/>
                <w:szCs w:val="18"/>
                <w:lang w:val="fr-CA" w:eastAsia="en-CA"/>
              </w:rPr>
              <w:t>le Comité exécutif</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4</w:t>
            </w:r>
            <w:r w:rsidR="004A6828" w:rsidRPr="00ED22D1">
              <w:rPr>
                <w:color w:val="000000"/>
                <w:sz w:val="18"/>
                <w:szCs w:val="18"/>
                <w:lang w:val="fr-CA" w:eastAsia="en-CA"/>
              </w:rPr>
              <w:t>9 </w:t>
            </w:r>
            <w:r w:rsidRPr="00ED22D1">
              <w:rPr>
                <w:color w:val="000000"/>
                <w:sz w:val="18"/>
                <w:szCs w:val="18"/>
                <w:lang w:val="fr-CA" w:eastAsia="en-CA"/>
              </w:rPr>
              <w:t>99</w:t>
            </w:r>
            <w:r w:rsidR="004A6828" w:rsidRPr="00ED22D1">
              <w:rPr>
                <w:color w:val="000000"/>
                <w:sz w:val="18"/>
                <w:szCs w:val="18"/>
                <w:lang w:val="fr-CA" w:eastAsia="en-CA"/>
              </w:rPr>
              <w:t>2 </w:t>
            </w:r>
            <w:r w:rsidRPr="00ED22D1">
              <w:rPr>
                <w:color w:val="000000"/>
                <w:sz w:val="18"/>
                <w:szCs w:val="18"/>
                <w:lang w:val="fr-CA" w:eastAsia="en-CA"/>
              </w:rPr>
              <w:t>700</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5</w:t>
            </w:r>
            <w:r w:rsidR="004A6828" w:rsidRPr="00ED22D1">
              <w:rPr>
                <w:color w:val="000000"/>
                <w:sz w:val="18"/>
                <w:szCs w:val="18"/>
                <w:lang w:val="fr-CA" w:eastAsia="en-CA"/>
              </w:rPr>
              <w:t>1 </w:t>
            </w:r>
            <w:r w:rsidRPr="00ED22D1">
              <w:rPr>
                <w:color w:val="000000"/>
                <w:sz w:val="18"/>
                <w:szCs w:val="18"/>
                <w:lang w:val="fr-CA" w:eastAsia="en-CA"/>
              </w:rPr>
              <w:t>42</w:t>
            </w:r>
            <w:r w:rsidR="004A6828" w:rsidRPr="00ED22D1">
              <w:rPr>
                <w:color w:val="000000"/>
                <w:sz w:val="18"/>
                <w:szCs w:val="18"/>
                <w:lang w:val="fr-CA" w:eastAsia="en-CA"/>
              </w:rPr>
              <w:t>7 </w:t>
            </w:r>
            <w:r w:rsidRPr="00ED22D1">
              <w:rPr>
                <w:color w:val="000000"/>
                <w:sz w:val="18"/>
                <w:szCs w:val="18"/>
                <w:lang w:val="fr-CA" w:eastAsia="en-CA"/>
              </w:rPr>
              <w:t>190</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10</w:t>
            </w:r>
            <w:r w:rsidR="004A6828" w:rsidRPr="00ED22D1">
              <w:rPr>
                <w:color w:val="000000"/>
                <w:sz w:val="18"/>
                <w:szCs w:val="18"/>
                <w:lang w:val="fr-CA" w:eastAsia="en-CA"/>
              </w:rPr>
              <w:t>1 </w:t>
            </w:r>
            <w:r w:rsidRPr="00ED22D1">
              <w:rPr>
                <w:color w:val="000000"/>
                <w:sz w:val="18"/>
                <w:szCs w:val="18"/>
                <w:lang w:val="fr-CA" w:eastAsia="en-CA"/>
              </w:rPr>
              <w:t>41</w:t>
            </w:r>
            <w:r w:rsidR="004A6828" w:rsidRPr="00ED22D1">
              <w:rPr>
                <w:color w:val="000000"/>
                <w:sz w:val="18"/>
                <w:szCs w:val="18"/>
                <w:lang w:val="fr-CA" w:eastAsia="en-CA"/>
              </w:rPr>
              <w:t>9 </w:t>
            </w:r>
            <w:r w:rsidRPr="00ED22D1">
              <w:rPr>
                <w:color w:val="000000"/>
                <w:sz w:val="18"/>
                <w:szCs w:val="18"/>
                <w:lang w:val="fr-CA" w:eastAsia="en-CA"/>
              </w:rPr>
              <w:t>890</w:t>
            </w:r>
          </w:p>
        </w:tc>
      </w:tr>
      <w:tr w:rsidR="0085675A" w:rsidRPr="00ED22D1" w:rsidTr="005950FA">
        <w:trPr>
          <w:trHeight w:val="204"/>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85675A">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s </w:t>
            </w:r>
            <w:r w:rsidR="00F5455E" w:rsidRPr="00ED22D1">
              <w:rPr>
                <w:color w:val="000000"/>
                <w:sz w:val="18"/>
                <w:szCs w:val="18"/>
                <w:lang w:val="fr-CA" w:eastAsia="en-CA"/>
              </w:rPr>
              <w:t>à l’IECO</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02F71">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5 </w:t>
            </w:r>
            <w:r w:rsidRPr="00ED22D1">
              <w:rPr>
                <w:color w:val="000000"/>
                <w:sz w:val="18"/>
                <w:szCs w:val="18"/>
                <w:lang w:val="fr-CA" w:eastAsia="en-CA"/>
              </w:rPr>
              <w:t>91</w:t>
            </w:r>
            <w:r w:rsidR="004A6828" w:rsidRPr="00ED22D1">
              <w:rPr>
                <w:color w:val="000000"/>
                <w:sz w:val="18"/>
                <w:szCs w:val="18"/>
                <w:lang w:val="fr-CA" w:eastAsia="en-CA"/>
              </w:rPr>
              <w:t>2 </w:t>
            </w:r>
            <w:r w:rsidRPr="00ED22D1">
              <w:rPr>
                <w:color w:val="000000"/>
                <w:sz w:val="18"/>
                <w:szCs w:val="18"/>
                <w:lang w:val="fr-CA" w:eastAsia="en-CA"/>
              </w:rPr>
              <w:t>153</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5 </w:t>
            </w:r>
            <w:r w:rsidRPr="00ED22D1">
              <w:rPr>
                <w:color w:val="000000"/>
                <w:sz w:val="18"/>
                <w:szCs w:val="18"/>
                <w:lang w:val="fr-CA" w:eastAsia="en-CA"/>
              </w:rPr>
              <w:t>22</w:t>
            </w:r>
            <w:r w:rsidR="004A6828" w:rsidRPr="00ED22D1">
              <w:rPr>
                <w:color w:val="000000"/>
                <w:sz w:val="18"/>
                <w:szCs w:val="18"/>
                <w:lang w:val="fr-CA" w:eastAsia="en-CA"/>
              </w:rPr>
              <w:t>6 </w:t>
            </w:r>
            <w:r w:rsidRPr="00ED22D1">
              <w:rPr>
                <w:color w:val="000000"/>
                <w:sz w:val="18"/>
                <w:szCs w:val="18"/>
                <w:lang w:val="fr-CA" w:eastAsia="en-CA"/>
              </w:rPr>
              <w:t>911</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5</w:t>
            </w:r>
            <w:r w:rsidR="004A6828" w:rsidRPr="00ED22D1">
              <w:rPr>
                <w:color w:val="000000"/>
                <w:sz w:val="18"/>
                <w:szCs w:val="18"/>
                <w:lang w:val="fr-CA" w:eastAsia="en-CA"/>
              </w:rPr>
              <w:t>1 </w:t>
            </w:r>
            <w:r w:rsidRPr="00ED22D1">
              <w:rPr>
                <w:color w:val="000000"/>
                <w:sz w:val="18"/>
                <w:szCs w:val="18"/>
                <w:lang w:val="fr-CA" w:eastAsia="en-CA"/>
              </w:rPr>
              <w:t>13</w:t>
            </w:r>
            <w:r w:rsidR="004A6828" w:rsidRPr="00ED22D1">
              <w:rPr>
                <w:color w:val="000000"/>
                <w:sz w:val="18"/>
                <w:szCs w:val="18"/>
                <w:lang w:val="fr-CA" w:eastAsia="en-CA"/>
              </w:rPr>
              <w:t>9 </w:t>
            </w:r>
            <w:r w:rsidRPr="00ED22D1">
              <w:rPr>
                <w:color w:val="000000"/>
                <w:sz w:val="18"/>
                <w:szCs w:val="18"/>
                <w:lang w:val="fr-CA" w:eastAsia="en-CA"/>
              </w:rPr>
              <w:t>064</w:t>
            </w:r>
          </w:p>
        </w:tc>
      </w:tr>
      <w:tr w:rsidR="0085675A" w:rsidRPr="00ED22D1" w:rsidTr="005950FA">
        <w:trPr>
          <w:trHeight w:val="41"/>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5</w:t>
            </w:r>
            <w:r w:rsidR="004A6828" w:rsidRPr="00ED22D1">
              <w:rPr>
                <w:color w:val="000000"/>
                <w:sz w:val="18"/>
                <w:szCs w:val="18"/>
                <w:lang w:val="fr-CA" w:eastAsia="en-CA"/>
              </w:rPr>
              <w:t>1,</w:t>
            </w:r>
            <w:r w:rsidRPr="00ED22D1">
              <w:rPr>
                <w:color w:val="000000"/>
                <w:sz w:val="18"/>
                <w:szCs w:val="18"/>
                <w:lang w:val="fr-CA" w:eastAsia="en-CA"/>
              </w:rPr>
              <w:t>8</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4</w:t>
            </w:r>
            <w:r w:rsidR="004A6828" w:rsidRPr="00ED22D1">
              <w:rPr>
                <w:color w:val="000000"/>
                <w:sz w:val="18"/>
                <w:szCs w:val="18"/>
                <w:lang w:val="fr-CA" w:eastAsia="en-CA"/>
              </w:rPr>
              <w:t>9,</w:t>
            </w:r>
            <w:r w:rsidRPr="00ED22D1">
              <w:rPr>
                <w:color w:val="000000"/>
                <w:sz w:val="18"/>
                <w:szCs w:val="18"/>
                <w:lang w:val="fr-CA" w:eastAsia="en-CA"/>
              </w:rPr>
              <w:t>1</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5</w:t>
            </w:r>
            <w:r w:rsidR="004A6828" w:rsidRPr="00ED22D1">
              <w:rPr>
                <w:color w:val="000000"/>
                <w:sz w:val="18"/>
                <w:szCs w:val="18"/>
                <w:lang w:val="fr-CA" w:eastAsia="en-CA"/>
              </w:rPr>
              <w:t>0,</w:t>
            </w:r>
            <w:r w:rsidRPr="00ED22D1">
              <w:rPr>
                <w:color w:val="000000"/>
                <w:sz w:val="18"/>
                <w:szCs w:val="18"/>
                <w:lang w:val="fr-CA" w:eastAsia="en-CA"/>
              </w:rPr>
              <w:t>4</w:t>
            </w:r>
            <w:r w:rsidR="002D6976" w:rsidRPr="00ED22D1">
              <w:rPr>
                <w:color w:val="000000"/>
                <w:sz w:val="18"/>
                <w:szCs w:val="18"/>
                <w:lang w:val="fr-CA" w:eastAsia="en-CA"/>
              </w:rPr>
              <w:t> %</w:t>
            </w:r>
          </w:p>
        </w:tc>
      </w:tr>
      <w:tr w:rsidR="0085675A" w:rsidRPr="00ED22D1" w:rsidTr="005950FA">
        <w:trPr>
          <w:trHeight w:val="55"/>
        </w:trPr>
        <w:tc>
          <w:tcPr>
            <w:tcW w:w="3148" w:type="dxa"/>
            <w:vMerge w:val="restart"/>
            <w:tcBorders>
              <w:top w:val="nil"/>
              <w:left w:val="single" w:sz="4" w:space="0" w:color="auto"/>
              <w:bottom w:val="single" w:sz="4" w:space="0" w:color="auto"/>
              <w:right w:val="single" w:sz="4" w:space="0" w:color="auto"/>
            </w:tcBorders>
            <w:shd w:val="clear" w:color="auto" w:fill="auto"/>
            <w:hideMark/>
          </w:tcPr>
          <w:p w:rsidR="0085675A" w:rsidRPr="00ED22D1" w:rsidRDefault="00181884" w:rsidP="00F5455E">
            <w:pPr>
              <w:jc w:val="left"/>
              <w:rPr>
                <w:color w:val="000000"/>
                <w:sz w:val="18"/>
                <w:szCs w:val="18"/>
                <w:lang w:val="fr-CA" w:eastAsia="en-CA"/>
              </w:rPr>
            </w:pPr>
            <w:r w:rsidRPr="00ED22D1">
              <w:rPr>
                <w:color w:val="000000"/>
                <w:sz w:val="18"/>
                <w:szCs w:val="18"/>
                <w:lang w:val="fr-CA" w:eastAsia="en-CA"/>
              </w:rPr>
              <w:t>Décaissement</w:t>
            </w:r>
            <w:r w:rsidR="0085675A" w:rsidRPr="00ED22D1">
              <w:rPr>
                <w:color w:val="000000"/>
                <w:sz w:val="18"/>
                <w:szCs w:val="18"/>
                <w:lang w:val="fr-CA" w:eastAsia="en-CA"/>
              </w:rPr>
              <w:t xml:space="preserve">s </w:t>
            </w:r>
            <w:r w:rsidR="00F5455E" w:rsidRPr="00ED22D1">
              <w:rPr>
                <w:color w:val="000000"/>
                <w:sz w:val="18"/>
                <w:szCs w:val="18"/>
                <w:lang w:val="fr-CA" w:eastAsia="en-CA"/>
              </w:rPr>
              <w:t>de</w:t>
            </w:r>
            <w:r w:rsidR="00F320D6" w:rsidRPr="00ED22D1">
              <w:rPr>
                <w:color w:val="000000"/>
                <w:sz w:val="18"/>
                <w:szCs w:val="18"/>
                <w:lang w:val="fr-CA" w:eastAsia="en-CA"/>
              </w:rPr>
              <w:t xml:space="preserve"> l’IECO</w:t>
            </w:r>
            <w:r w:rsidR="0085675A" w:rsidRPr="00ED22D1">
              <w:rPr>
                <w:color w:val="000000"/>
                <w:sz w:val="18"/>
                <w:szCs w:val="18"/>
                <w:lang w:val="fr-CA" w:eastAsia="en-CA"/>
              </w:rPr>
              <w:t xml:space="preserve"> </w:t>
            </w:r>
            <w:r w:rsidR="00F5455E" w:rsidRPr="00ED22D1">
              <w:rPr>
                <w:color w:val="000000"/>
                <w:sz w:val="18"/>
                <w:szCs w:val="18"/>
                <w:lang w:val="fr-CA" w:eastAsia="en-CA"/>
              </w:rPr>
              <w:t xml:space="preserve">                    aux bénéficiaires</w:t>
            </w: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Montant</w:t>
            </w:r>
            <w:r w:rsidR="00802F71" w:rsidRPr="00ED22D1">
              <w:rPr>
                <w:color w:val="000000"/>
                <w:sz w:val="18"/>
                <w:szCs w:val="18"/>
                <w:lang w:val="fr-CA" w:eastAsia="en-CA"/>
              </w:rPr>
              <w:t xml:space="preserve"> </w:t>
            </w:r>
            <w:r w:rsidR="00874624" w:rsidRPr="00ED22D1">
              <w:rPr>
                <w:color w:val="000000"/>
                <w:sz w:val="18"/>
                <w:szCs w:val="18"/>
                <w:lang w:val="fr-CA" w:eastAsia="en-CA"/>
              </w:rPr>
              <w:t>($US)</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7 </w:t>
            </w:r>
            <w:r w:rsidRPr="00ED22D1">
              <w:rPr>
                <w:color w:val="000000"/>
                <w:sz w:val="18"/>
                <w:szCs w:val="18"/>
                <w:lang w:val="fr-CA" w:eastAsia="en-CA"/>
              </w:rPr>
              <w:t>61</w:t>
            </w:r>
            <w:r w:rsidR="004A6828" w:rsidRPr="00ED22D1">
              <w:rPr>
                <w:color w:val="000000"/>
                <w:sz w:val="18"/>
                <w:szCs w:val="18"/>
                <w:lang w:val="fr-CA" w:eastAsia="en-CA"/>
              </w:rPr>
              <w:t>6 </w:t>
            </w:r>
            <w:r w:rsidRPr="00ED22D1">
              <w:rPr>
                <w:color w:val="000000"/>
                <w:sz w:val="18"/>
                <w:szCs w:val="18"/>
                <w:lang w:val="fr-CA" w:eastAsia="en-CA"/>
              </w:rPr>
              <w:t>134</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1</w:t>
            </w:r>
            <w:r w:rsidR="004A6828" w:rsidRPr="00ED22D1">
              <w:rPr>
                <w:color w:val="000000"/>
                <w:sz w:val="18"/>
                <w:szCs w:val="18"/>
                <w:lang w:val="fr-CA" w:eastAsia="en-CA"/>
              </w:rPr>
              <w:t>2 </w:t>
            </w:r>
            <w:r w:rsidRPr="00ED22D1">
              <w:rPr>
                <w:color w:val="000000"/>
                <w:sz w:val="18"/>
                <w:szCs w:val="18"/>
                <w:lang w:val="fr-CA" w:eastAsia="en-CA"/>
              </w:rPr>
              <w:t>98</w:t>
            </w:r>
            <w:r w:rsidR="004A6828" w:rsidRPr="00ED22D1">
              <w:rPr>
                <w:color w:val="000000"/>
                <w:sz w:val="18"/>
                <w:szCs w:val="18"/>
                <w:lang w:val="fr-CA" w:eastAsia="en-CA"/>
              </w:rPr>
              <w:t>6 </w:t>
            </w:r>
            <w:r w:rsidRPr="00ED22D1">
              <w:rPr>
                <w:color w:val="000000"/>
                <w:sz w:val="18"/>
                <w:szCs w:val="18"/>
                <w:lang w:val="fr-CA" w:eastAsia="en-CA"/>
              </w:rPr>
              <w:t>482</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3</w:t>
            </w:r>
            <w:r w:rsidR="004A6828" w:rsidRPr="00ED22D1">
              <w:rPr>
                <w:color w:val="000000"/>
                <w:sz w:val="18"/>
                <w:szCs w:val="18"/>
                <w:lang w:val="fr-CA" w:eastAsia="en-CA"/>
              </w:rPr>
              <w:t>0 </w:t>
            </w:r>
            <w:r w:rsidRPr="00ED22D1">
              <w:rPr>
                <w:color w:val="000000"/>
                <w:sz w:val="18"/>
                <w:szCs w:val="18"/>
                <w:lang w:val="fr-CA" w:eastAsia="en-CA"/>
              </w:rPr>
              <w:t>60</w:t>
            </w:r>
            <w:r w:rsidR="004A6828" w:rsidRPr="00ED22D1">
              <w:rPr>
                <w:color w:val="000000"/>
                <w:sz w:val="18"/>
                <w:szCs w:val="18"/>
                <w:lang w:val="fr-CA" w:eastAsia="en-CA"/>
              </w:rPr>
              <w:t>2 </w:t>
            </w:r>
            <w:r w:rsidRPr="00ED22D1">
              <w:rPr>
                <w:color w:val="000000"/>
                <w:sz w:val="18"/>
                <w:szCs w:val="18"/>
                <w:lang w:val="fr-CA" w:eastAsia="en-CA"/>
              </w:rPr>
              <w:t>616</w:t>
            </w:r>
          </w:p>
        </w:tc>
      </w:tr>
      <w:tr w:rsidR="0085675A" w:rsidRPr="00ED22D1" w:rsidTr="005950FA">
        <w:trPr>
          <w:trHeight w:val="114"/>
        </w:trPr>
        <w:tc>
          <w:tcPr>
            <w:tcW w:w="3148" w:type="dxa"/>
            <w:vMerge/>
            <w:tcBorders>
              <w:top w:val="nil"/>
              <w:left w:val="single" w:sz="4" w:space="0" w:color="auto"/>
              <w:bottom w:val="single" w:sz="4" w:space="0" w:color="auto"/>
              <w:right w:val="single" w:sz="4" w:space="0" w:color="auto"/>
            </w:tcBorders>
            <w:hideMark/>
          </w:tcPr>
          <w:p w:rsidR="0085675A" w:rsidRPr="00ED22D1" w:rsidRDefault="0085675A" w:rsidP="0085675A">
            <w:pPr>
              <w:jc w:val="left"/>
              <w:rPr>
                <w:color w:val="000000"/>
                <w:sz w:val="18"/>
                <w:szCs w:val="18"/>
                <w:lang w:val="fr-CA" w:eastAsia="en-CA"/>
              </w:rPr>
            </w:pPr>
          </w:p>
        </w:tc>
        <w:tc>
          <w:tcPr>
            <w:tcW w:w="1984" w:type="dxa"/>
            <w:tcBorders>
              <w:top w:val="nil"/>
              <w:left w:val="nil"/>
              <w:bottom w:val="single" w:sz="4" w:space="0" w:color="auto"/>
              <w:right w:val="single" w:sz="4" w:space="0" w:color="auto"/>
            </w:tcBorders>
            <w:shd w:val="clear" w:color="auto" w:fill="auto"/>
            <w:noWrap/>
            <w:hideMark/>
          </w:tcPr>
          <w:p w:rsidR="0085675A" w:rsidRPr="00ED22D1" w:rsidRDefault="00350E4F" w:rsidP="0085675A">
            <w:pPr>
              <w:jc w:val="left"/>
              <w:rPr>
                <w:color w:val="000000"/>
                <w:sz w:val="18"/>
                <w:szCs w:val="18"/>
                <w:lang w:val="fr-CA" w:eastAsia="en-CA"/>
              </w:rPr>
            </w:pPr>
            <w:r w:rsidRPr="00ED22D1">
              <w:rPr>
                <w:color w:val="000000"/>
                <w:sz w:val="18"/>
                <w:szCs w:val="18"/>
                <w:lang w:val="fr-CA" w:eastAsia="en-CA"/>
              </w:rPr>
              <w:t>Ratio de décaissement</w:t>
            </w:r>
          </w:p>
        </w:tc>
        <w:tc>
          <w:tcPr>
            <w:tcW w:w="1276"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3</w:t>
            </w:r>
            <w:r w:rsidR="004A6828" w:rsidRPr="00ED22D1">
              <w:rPr>
                <w:color w:val="000000"/>
                <w:sz w:val="18"/>
                <w:szCs w:val="18"/>
                <w:lang w:val="fr-CA" w:eastAsia="en-CA"/>
              </w:rPr>
              <w:t>5,</w:t>
            </w:r>
            <w:r w:rsidRPr="00ED22D1">
              <w:rPr>
                <w:color w:val="000000"/>
                <w:sz w:val="18"/>
                <w:szCs w:val="18"/>
                <w:lang w:val="fr-CA" w:eastAsia="en-CA"/>
              </w:rPr>
              <w:t>2</w:t>
            </w:r>
            <w:r w:rsidR="002D6976" w:rsidRPr="00ED22D1">
              <w:rPr>
                <w:color w:val="000000"/>
                <w:sz w:val="18"/>
                <w:szCs w:val="18"/>
                <w:lang w:val="fr-CA" w:eastAsia="en-CA"/>
              </w:rPr>
              <w:t> %</w:t>
            </w:r>
          </w:p>
        </w:tc>
        <w:tc>
          <w:tcPr>
            <w:tcW w:w="1417"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2</w:t>
            </w:r>
            <w:r w:rsidR="004A6828" w:rsidRPr="00ED22D1">
              <w:rPr>
                <w:color w:val="000000"/>
                <w:sz w:val="18"/>
                <w:szCs w:val="18"/>
                <w:lang w:val="fr-CA" w:eastAsia="en-CA"/>
              </w:rPr>
              <w:t>5,</w:t>
            </w:r>
            <w:r w:rsidRPr="00ED22D1">
              <w:rPr>
                <w:color w:val="000000"/>
                <w:sz w:val="18"/>
                <w:szCs w:val="18"/>
                <w:lang w:val="fr-CA" w:eastAsia="en-CA"/>
              </w:rPr>
              <w:t>3</w:t>
            </w:r>
            <w:r w:rsidR="002D6976" w:rsidRPr="00ED22D1">
              <w:rPr>
                <w:color w:val="000000"/>
                <w:sz w:val="18"/>
                <w:szCs w:val="18"/>
                <w:lang w:val="fr-CA" w:eastAsia="en-CA"/>
              </w:rPr>
              <w:t> %</w:t>
            </w:r>
          </w:p>
        </w:tc>
        <w:tc>
          <w:tcPr>
            <w:tcW w:w="1418" w:type="dxa"/>
            <w:tcBorders>
              <w:top w:val="nil"/>
              <w:left w:val="nil"/>
              <w:bottom w:val="single" w:sz="4" w:space="0" w:color="auto"/>
              <w:right w:val="single" w:sz="4" w:space="0" w:color="auto"/>
            </w:tcBorders>
            <w:shd w:val="clear" w:color="auto" w:fill="auto"/>
            <w:hideMark/>
          </w:tcPr>
          <w:p w:rsidR="0085675A" w:rsidRPr="00ED22D1" w:rsidRDefault="0085675A" w:rsidP="0085675A">
            <w:pPr>
              <w:jc w:val="right"/>
              <w:rPr>
                <w:color w:val="000000"/>
                <w:sz w:val="18"/>
                <w:szCs w:val="18"/>
                <w:lang w:val="fr-CA" w:eastAsia="en-CA"/>
              </w:rPr>
            </w:pPr>
            <w:r w:rsidRPr="00ED22D1">
              <w:rPr>
                <w:color w:val="000000"/>
                <w:sz w:val="18"/>
                <w:szCs w:val="18"/>
                <w:lang w:val="fr-CA" w:eastAsia="en-CA"/>
              </w:rPr>
              <w:t>3</w:t>
            </w:r>
            <w:r w:rsidR="004A6828" w:rsidRPr="00ED22D1">
              <w:rPr>
                <w:color w:val="000000"/>
                <w:sz w:val="18"/>
                <w:szCs w:val="18"/>
                <w:lang w:val="fr-CA" w:eastAsia="en-CA"/>
              </w:rPr>
              <w:t>0,</w:t>
            </w:r>
            <w:r w:rsidRPr="00ED22D1">
              <w:rPr>
                <w:color w:val="000000"/>
                <w:sz w:val="18"/>
                <w:szCs w:val="18"/>
                <w:lang w:val="fr-CA" w:eastAsia="en-CA"/>
              </w:rPr>
              <w:t>2</w:t>
            </w:r>
            <w:r w:rsidR="002D6976" w:rsidRPr="00ED22D1">
              <w:rPr>
                <w:color w:val="000000"/>
                <w:sz w:val="18"/>
                <w:szCs w:val="18"/>
                <w:lang w:val="fr-CA" w:eastAsia="en-CA"/>
              </w:rPr>
              <w:t> %</w:t>
            </w:r>
          </w:p>
        </w:tc>
      </w:tr>
    </w:tbl>
    <w:p w:rsidR="0085675A" w:rsidRPr="00ED22D1" w:rsidRDefault="0085675A" w:rsidP="0085675A">
      <w:pPr>
        <w:keepNext/>
        <w:keepLines/>
        <w:jc w:val="left"/>
        <w:rPr>
          <w:sz w:val="16"/>
          <w:szCs w:val="16"/>
          <w:lang w:val="fr-CA"/>
        </w:rPr>
      </w:pPr>
      <w:r w:rsidRPr="00ED22D1">
        <w:rPr>
          <w:sz w:val="16"/>
          <w:szCs w:val="16"/>
          <w:lang w:val="fr-CA"/>
        </w:rPr>
        <w:t>*</w:t>
      </w:r>
      <w:r w:rsidR="00F5455E" w:rsidRPr="00ED22D1">
        <w:rPr>
          <w:sz w:val="16"/>
          <w:szCs w:val="16"/>
          <w:lang w:val="fr-CA"/>
        </w:rPr>
        <w:t>Référence</w:t>
      </w:r>
      <w:r w:rsidRPr="00ED22D1">
        <w:rPr>
          <w:sz w:val="16"/>
          <w:szCs w:val="16"/>
          <w:lang w:val="fr-CA"/>
        </w:rPr>
        <w:t xml:space="preserve"> </w:t>
      </w:r>
      <w:r w:rsidR="00F5455E" w:rsidRPr="00ED22D1">
        <w:rPr>
          <w:sz w:val="16"/>
          <w:szCs w:val="16"/>
          <w:lang w:val="fr-CA"/>
        </w:rPr>
        <w:t>pour le</w:t>
      </w:r>
      <w:r w:rsidRPr="00ED22D1">
        <w:rPr>
          <w:sz w:val="16"/>
          <w:szCs w:val="16"/>
          <w:lang w:val="fr-CA"/>
        </w:rPr>
        <w:t xml:space="preserve"> </w:t>
      </w:r>
      <w:r w:rsidR="00181884" w:rsidRPr="00ED22D1">
        <w:rPr>
          <w:sz w:val="16"/>
          <w:szCs w:val="16"/>
          <w:lang w:val="fr-CA"/>
        </w:rPr>
        <w:t>décaissement</w:t>
      </w:r>
      <w:r w:rsidRPr="00ED22D1">
        <w:rPr>
          <w:sz w:val="16"/>
          <w:szCs w:val="16"/>
          <w:lang w:val="fr-CA"/>
        </w:rPr>
        <w:t xml:space="preserve"> </w:t>
      </w:r>
      <w:r w:rsidR="00F5455E" w:rsidRPr="00ED22D1">
        <w:rPr>
          <w:sz w:val="16"/>
          <w:szCs w:val="16"/>
          <w:lang w:val="fr-CA"/>
        </w:rPr>
        <w:t xml:space="preserve">dans le </w:t>
      </w:r>
      <w:r w:rsidR="00181884" w:rsidRPr="00ED22D1">
        <w:rPr>
          <w:sz w:val="16"/>
          <w:szCs w:val="16"/>
          <w:lang w:val="fr-CA"/>
        </w:rPr>
        <w:t>secteur de l’entretien</w:t>
      </w:r>
      <w:r w:rsidRPr="00ED22D1">
        <w:rPr>
          <w:sz w:val="16"/>
          <w:szCs w:val="16"/>
          <w:lang w:val="fr-CA"/>
        </w:rPr>
        <w:t>.</w:t>
      </w:r>
    </w:p>
    <w:p w:rsidR="0085675A" w:rsidRPr="00ED22D1" w:rsidRDefault="0085675A" w:rsidP="0085675A">
      <w:pPr>
        <w:keepNext/>
        <w:keepLines/>
        <w:jc w:val="left"/>
        <w:rPr>
          <w:lang w:val="fr-CA"/>
        </w:rPr>
      </w:pPr>
    </w:p>
    <w:p w:rsidR="0085675A" w:rsidRPr="00ED22D1" w:rsidRDefault="00AA30E6" w:rsidP="003014CD">
      <w:pPr>
        <w:pStyle w:val="Heading1"/>
        <w:numPr>
          <w:ilvl w:val="0"/>
          <w:numId w:val="0"/>
        </w:numPr>
        <w:rPr>
          <w:color w:val="000000"/>
          <w:lang w:val="fr-CA"/>
        </w:rPr>
      </w:pPr>
      <w:r w:rsidRPr="00ED22D1">
        <w:rPr>
          <w:lang w:val="fr-CA"/>
        </w:rPr>
        <w:t>47.</w:t>
      </w:r>
      <w:r w:rsidR="007D2C9E" w:rsidRPr="00ED22D1">
        <w:rPr>
          <w:lang w:val="fr-CA"/>
        </w:rPr>
        <w:tab/>
      </w:r>
      <w:r w:rsidRPr="00ED22D1">
        <w:rPr>
          <w:lang w:val="fr-CA"/>
        </w:rPr>
        <w:t>A</w:t>
      </w:r>
      <w:r w:rsidR="00F5455E" w:rsidRPr="00ED22D1">
        <w:rPr>
          <w:lang w:val="fr-CA"/>
        </w:rPr>
        <w:t xml:space="preserve">u moment de la </w:t>
      </w:r>
      <w:r w:rsidR="00E81764" w:rsidRPr="00ED22D1">
        <w:rPr>
          <w:lang w:val="fr-CA"/>
        </w:rPr>
        <w:t>présentation</w:t>
      </w:r>
      <w:r w:rsidR="0085675A" w:rsidRPr="00ED22D1">
        <w:rPr>
          <w:lang w:val="fr-CA"/>
        </w:rPr>
        <w:t xml:space="preserve"> </w:t>
      </w:r>
      <w:r w:rsidR="00F5455E" w:rsidRPr="00ED22D1">
        <w:rPr>
          <w:lang w:val="fr-CA"/>
        </w:rPr>
        <w:t xml:space="preserve">des demandes de tranches </w:t>
      </w:r>
      <w:r w:rsidR="0085675A" w:rsidRPr="00ED22D1">
        <w:rPr>
          <w:lang w:val="fr-CA"/>
        </w:rPr>
        <w:t>(</w:t>
      </w:r>
      <w:r w:rsidR="00F5455E" w:rsidRPr="00ED22D1">
        <w:rPr>
          <w:lang w:val="fr-CA"/>
        </w:rPr>
        <w:t>douze semaines avant la 8</w:t>
      </w:r>
      <w:r w:rsidR="0085675A" w:rsidRPr="00ED22D1">
        <w:rPr>
          <w:lang w:val="fr-CA"/>
        </w:rPr>
        <w:t>3</w:t>
      </w:r>
      <w:r w:rsidR="00F5455E" w:rsidRPr="00ED22D1">
        <w:rPr>
          <w:vertAlign w:val="superscript"/>
          <w:lang w:val="fr-CA"/>
        </w:rPr>
        <w:t>e </w:t>
      </w:r>
      <w:r w:rsidR="00DD185D" w:rsidRPr="00ED22D1">
        <w:rPr>
          <w:lang w:val="fr-CA"/>
        </w:rPr>
        <w:t>réunion</w:t>
      </w:r>
      <w:r w:rsidR="0085675A" w:rsidRPr="00ED22D1">
        <w:rPr>
          <w:lang w:val="fr-CA"/>
        </w:rPr>
        <w:t xml:space="preserve">), </w:t>
      </w:r>
      <w:r w:rsidR="00F5455E" w:rsidRPr="00ED22D1">
        <w:rPr>
          <w:lang w:val="fr-CA"/>
        </w:rPr>
        <w:t>le</w:t>
      </w:r>
      <w:r w:rsidR="00230D07" w:rsidRPr="00ED22D1">
        <w:rPr>
          <w:lang w:val="fr-CA"/>
        </w:rPr>
        <w:t> </w:t>
      </w:r>
      <w:r w:rsidR="00F5455E" w:rsidRPr="00ED22D1">
        <w:rPr>
          <w:lang w:val="fr-CA"/>
        </w:rPr>
        <w:t xml:space="preserve">taux de </w:t>
      </w:r>
      <w:r w:rsidR="00181884" w:rsidRPr="00ED22D1">
        <w:rPr>
          <w:lang w:val="fr-CA"/>
        </w:rPr>
        <w:t>décaissement</w:t>
      </w:r>
      <w:r w:rsidR="0085675A" w:rsidRPr="00ED22D1">
        <w:rPr>
          <w:lang w:val="fr-CA"/>
        </w:rPr>
        <w:t xml:space="preserve"> </w:t>
      </w:r>
      <w:r w:rsidR="00F5455E" w:rsidRPr="00ED22D1">
        <w:rPr>
          <w:lang w:val="fr-CA"/>
        </w:rPr>
        <w:t>du</w:t>
      </w:r>
      <w:r w:rsidR="0085675A" w:rsidRPr="00ED22D1">
        <w:rPr>
          <w:lang w:val="fr-CA"/>
        </w:rPr>
        <w:t xml:space="preserve"> </w:t>
      </w:r>
      <w:r w:rsidR="00D15079" w:rsidRPr="00ED22D1">
        <w:rPr>
          <w:lang w:val="fr-CA"/>
        </w:rPr>
        <w:t>financement</w:t>
      </w:r>
      <w:r w:rsidR="0085675A" w:rsidRPr="00ED22D1">
        <w:rPr>
          <w:lang w:val="fr-CA"/>
        </w:rPr>
        <w:t xml:space="preserve"> </w:t>
      </w:r>
      <w:r w:rsidR="00F5455E" w:rsidRPr="00ED22D1">
        <w:rPr>
          <w:lang w:val="fr-CA"/>
        </w:rPr>
        <w:t>de</w:t>
      </w:r>
      <w:r w:rsidR="00F320D6" w:rsidRPr="00ED22D1">
        <w:rPr>
          <w:lang w:val="fr-CA"/>
        </w:rPr>
        <w:t xml:space="preserve"> l’IECO</w:t>
      </w:r>
      <w:r w:rsidR="0085675A" w:rsidRPr="00ED22D1">
        <w:rPr>
          <w:lang w:val="fr-CA"/>
        </w:rPr>
        <w:t xml:space="preserve"> </w:t>
      </w:r>
      <w:r w:rsidR="00F5455E" w:rsidRPr="00ED22D1">
        <w:rPr>
          <w:lang w:val="fr-CA"/>
        </w:rPr>
        <w:t>aux bénéficiaires</w:t>
      </w:r>
      <w:r w:rsidR="0085675A" w:rsidRPr="00ED22D1">
        <w:rPr>
          <w:lang w:val="fr-CA"/>
        </w:rPr>
        <w:t xml:space="preserve"> </w:t>
      </w:r>
      <w:r w:rsidR="00F5455E" w:rsidRPr="00ED22D1">
        <w:rPr>
          <w:lang w:val="fr-CA"/>
        </w:rPr>
        <w:t>était supérieur à</w:t>
      </w:r>
      <w:r w:rsidR="0085675A" w:rsidRPr="00ED22D1">
        <w:rPr>
          <w:lang w:val="fr-CA"/>
        </w:rPr>
        <w:t xml:space="preserve"> 20 </w:t>
      </w:r>
      <w:r w:rsidR="001B31BF" w:rsidRPr="00ED22D1">
        <w:rPr>
          <w:lang w:val="fr-CA"/>
        </w:rPr>
        <w:t>pour cent</w:t>
      </w:r>
      <w:r w:rsidR="0085675A" w:rsidRPr="00ED22D1">
        <w:rPr>
          <w:lang w:val="fr-CA"/>
        </w:rPr>
        <w:t xml:space="preserve"> </w:t>
      </w:r>
      <w:r w:rsidRPr="00ED22D1">
        <w:rPr>
          <w:lang w:val="fr-CA"/>
        </w:rPr>
        <w:t xml:space="preserve">dans les secteurs des </w:t>
      </w:r>
      <w:r w:rsidR="00921BDE" w:rsidRPr="00ED22D1">
        <w:rPr>
          <w:lang w:val="fr-CA"/>
        </w:rPr>
        <w:t>mousse</w:t>
      </w:r>
      <w:r w:rsidRPr="00ED22D1">
        <w:rPr>
          <w:lang w:val="fr-CA"/>
        </w:rPr>
        <w:t>s</w:t>
      </w:r>
      <w:r w:rsidR="00921BDE" w:rsidRPr="00ED22D1">
        <w:rPr>
          <w:lang w:val="fr-CA"/>
        </w:rPr>
        <w:t xml:space="preserve"> extrudée</w:t>
      </w:r>
      <w:r w:rsidRPr="00ED22D1">
        <w:rPr>
          <w:lang w:val="fr-CA"/>
        </w:rPr>
        <w:t>s</w:t>
      </w:r>
      <w:r w:rsidR="00921BDE" w:rsidRPr="00ED22D1">
        <w:rPr>
          <w:lang w:val="fr-CA"/>
        </w:rPr>
        <w:t xml:space="preserve"> (XPS)</w:t>
      </w:r>
      <w:r w:rsidR="0085675A" w:rsidRPr="00ED22D1">
        <w:rPr>
          <w:lang w:val="fr-CA"/>
        </w:rPr>
        <w:t>,</w:t>
      </w:r>
      <w:r w:rsidR="00905638" w:rsidRPr="00ED22D1">
        <w:rPr>
          <w:lang w:val="fr-CA"/>
        </w:rPr>
        <w:t xml:space="preserve"> </w:t>
      </w:r>
      <w:r w:rsidRPr="00ED22D1">
        <w:rPr>
          <w:lang w:val="fr-CA"/>
        </w:rPr>
        <w:t xml:space="preserve">de la </w:t>
      </w:r>
      <w:r w:rsidR="00905638" w:rsidRPr="00ED22D1">
        <w:rPr>
          <w:lang w:val="fr-CA"/>
        </w:rPr>
        <w:t xml:space="preserve">climatisation et de </w:t>
      </w:r>
      <w:r w:rsidRPr="00ED22D1">
        <w:rPr>
          <w:lang w:val="fr-CA"/>
        </w:rPr>
        <w:t xml:space="preserve">la </w:t>
      </w:r>
      <w:r w:rsidR="00905638" w:rsidRPr="00ED22D1">
        <w:rPr>
          <w:lang w:val="fr-CA"/>
        </w:rPr>
        <w:t>réfrigération industrielle et commerciale</w:t>
      </w:r>
      <w:r w:rsidR="00230D07" w:rsidRPr="00ED22D1">
        <w:rPr>
          <w:lang w:val="fr-CA"/>
        </w:rPr>
        <w:t>,</w:t>
      </w:r>
      <w:r w:rsidR="004A6828" w:rsidRPr="00ED22D1">
        <w:rPr>
          <w:lang w:val="fr-CA"/>
        </w:rPr>
        <w:t xml:space="preserve"> et </w:t>
      </w:r>
      <w:r w:rsidRPr="00ED22D1">
        <w:rPr>
          <w:lang w:val="fr-CA"/>
        </w:rPr>
        <w:t>des</w:t>
      </w:r>
      <w:r w:rsidR="001B31BF" w:rsidRPr="00ED22D1">
        <w:rPr>
          <w:lang w:val="fr-CA"/>
        </w:rPr>
        <w:t xml:space="preserve"> solvant</w:t>
      </w:r>
      <w:r w:rsidR="0085675A" w:rsidRPr="00ED22D1">
        <w:rPr>
          <w:lang w:val="fr-CA"/>
        </w:rPr>
        <w:t>s</w:t>
      </w:r>
      <w:r w:rsidR="0085675A" w:rsidRPr="00ED22D1">
        <w:rPr>
          <w:color w:val="000000"/>
          <w:lang w:val="fr-CA"/>
        </w:rPr>
        <w:t xml:space="preserve">. </w:t>
      </w:r>
      <w:r w:rsidRPr="00ED22D1">
        <w:rPr>
          <w:color w:val="000000"/>
          <w:lang w:val="fr-CA"/>
        </w:rPr>
        <w:t>Pour le</w:t>
      </w:r>
      <w:r w:rsidR="0085675A" w:rsidRPr="00ED22D1">
        <w:rPr>
          <w:color w:val="000000"/>
          <w:lang w:val="fr-CA"/>
        </w:rPr>
        <w:t xml:space="preserve"> </w:t>
      </w:r>
      <w:r w:rsidR="00181884" w:rsidRPr="00ED22D1">
        <w:rPr>
          <w:color w:val="000000"/>
          <w:lang w:val="fr-CA"/>
        </w:rPr>
        <w:t>secteur de l’entretien</w:t>
      </w:r>
      <w:r w:rsidRPr="00ED22D1">
        <w:rPr>
          <w:color w:val="000000"/>
          <w:lang w:val="fr-CA"/>
        </w:rPr>
        <w:t>, le</w:t>
      </w:r>
      <w:r w:rsidR="0085675A" w:rsidRPr="00ED22D1">
        <w:rPr>
          <w:color w:val="000000"/>
          <w:lang w:val="fr-CA"/>
        </w:rPr>
        <w:t xml:space="preserve"> </w:t>
      </w:r>
      <w:r w:rsidR="00181884" w:rsidRPr="00ED22D1">
        <w:rPr>
          <w:color w:val="000000"/>
          <w:lang w:val="fr-CA"/>
        </w:rPr>
        <w:t>décaissement</w:t>
      </w:r>
      <w:r w:rsidR="0085675A" w:rsidRPr="00ED22D1">
        <w:rPr>
          <w:color w:val="000000"/>
          <w:lang w:val="fr-CA"/>
        </w:rPr>
        <w:t xml:space="preserve"> </w:t>
      </w:r>
      <w:r w:rsidRPr="00ED22D1">
        <w:rPr>
          <w:color w:val="000000"/>
          <w:lang w:val="fr-CA"/>
        </w:rPr>
        <w:t>des agences bilatérales et</w:t>
      </w:r>
      <w:r w:rsidR="00230D07" w:rsidRPr="00ED22D1">
        <w:rPr>
          <w:color w:val="000000"/>
          <w:lang w:val="fr-CA"/>
        </w:rPr>
        <w:t> </w:t>
      </w:r>
      <w:r w:rsidRPr="00ED22D1">
        <w:rPr>
          <w:color w:val="000000"/>
          <w:lang w:val="fr-CA"/>
        </w:rPr>
        <w:t xml:space="preserve">d’exécution à </w:t>
      </w:r>
      <w:r w:rsidR="00F5455E" w:rsidRPr="00ED22D1">
        <w:rPr>
          <w:color w:val="000000"/>
          <w:lang w:val="fr-CA"/>
        </w:rPr>
        <w:t>l’IECO</w:t>
      </w:r>
      <w:r w:rsidR="0085675A" w:rsidRPr="00ED22D1">
        <w:rPr>
          <w:color w:val="000000"/>
          <w:lang w:val="fr-CA"/>
        </w:rPr>
        <w:t xml:space="preserve"> </w:t>
      </w:r>
      <w:r w:rsidRPr="00ED22D1">
        <w:rPr>
          <w:color w:val="000000"/>
          <w:lang w:val="fr-CA"/>
        </w:rPr>
        <w:t xml:space="preserve">était supérieur à </w:t>
      </w:r>
      <w:r w:rsidR="0085675A" w:rsidRPr="00ED22D1">
        <w:rPr>
          <w:color w:val="000000"/>
          <w:lang w:val="fr-CA"/>
        </w:rPr>
        <w:t>20 </w:t>
      </w:r>
      <w:r w:rsidR="001B31BF" w:rsidRPr="00ED22D1">
        <w:rPr>
          <w:color w:val="000000"/>
          <w:lang w:val="fr-CA"/>
        </w:rPr>
        <w:t>pour cent</w:t>
      </w:r>
      <w:r w:rsidR="0085675A" w:rsidRPr="00ED22D1">
        <w:rPr>
          <w:color w:val="000000"/>
          <w:lang w:val="fr-CA"/>
        </w:rPr>
        <w:t xml:space="preserve">. </w:t>
      </w:r>
    </w:p>
    <w:p w:rsidR="00230D07" w:rsidRPr="00ED22D1" w:rsidRDefault="00230D07" w:rsidP="0085675A">
      <w:pPr>
        <w:rPr>
          <w:u w:val="single"/>
          <w:lang w:val="fr-CA"/>
        </w:rPr>
      </w:pPr>
    </w:p>
    <w:p w:rsidR="0085675A" w:rsidRPr="00ED22D1" w:rsidRDefault="00802F71" w:rsidP="0085675A">
      <w:pPr>
        <w:rPr>
          <w:u w:val="single"/>
          <w:lang w:val="fr-CA"/>
        </w:rPr>
      </w:pPr>
      <w:r w:rsidRPr="00ED22D1">
        <w:rPr>
          <w:u w:val="single"/>
          <w:lang w:val="fr-CA"/>
        </w:rPr>
        <w:t>Révision</w:t>
      </w:r>
      <w:r w:rsidR="0085675A" w:rsidRPr="00ED22D1">
        <w:rPr>
          <w:u w:val="single"/>
          <w:lang w:val="fr-CA"/>
        </w:rPr>
        <w:t xml:space="preserve"> </w:t>
      </w:r>
      <w:r w:rsidR="00AA30E6" w:rsidRPr="00ED22D1">
        <w:rPr>
          <w:u w:val="single"/>
          <w:lang w:val="fr-CA"/>
        </w:rPr>
        <w:t>de</w:t>
      </w:r>
      <w:r w:rsidR="0085675A" w:rsidRPr="00ED22D1">
        <w:rPr>
          <w:u w:val="single"/>
          <w:lang w:val="fr-CA"/>
        </w:rPr>
        <w:t xml:space="preserve"> </w:t>
      </w:r>
      <w:r w:rsidR="00CE7FEC" w:rsidRPr="00ED22D1">
        <w:rPr>
          <w:u w:val="single"/>
          <w:lang w:val="fr-CA"/>
        </w:rPr>
        <w:t>l’accord</w:t>
      </w:r>
      <w:r w:rsidR="0085675A" w:rsidRPr="00ED22D1">
        <w:rPr>
          <w:u w:val="single"/>
          <w:lang w:val="fr-CA"/>
        </w:rPr>
        <w:t xml:space="preserve"> </w:t>
      </w:r>
      <w:r w:rsidR="00AA30E6" w:rsidRPr="00ED22D1">
        <w:rPr>
          <w:u w:val="single"/>
          <w:lang w:val="fr-CA"/>
        </w:rPr>
        <w:t>pour la</w:t>
      </w:r>
      <w:r w:rsidR="004A6828" w:rsidRPr="00ED22D1">
        <w:rPr>
          <w:u w:val="single"/>
          <w:lang w:val="fr-CA"/>
        </w:rPr>
        <w:t xml:space="preserve"> phase </w:t>
      </w:r>
      <w:r w:rsidR="0085675A" w:rsidRPr="00ED22D1">
        <w:rPr>
          <w:u w:val="single"/>
          <w:lang w:val="fr-CA"/>
        </w:rPr>
        <w:t>II</w:t>
      </w:r>
    </w:p>
    <w:p w:rsidR="0085675A" w:rsidRPr="00ED22D1" w:rsidRDefault="0085675A" w:rsidP="0085675A">
      <w:pPr>
        <w:rPr>
          <w:u w:val="single"/>
          <w:lang w:val="fr-CA"/>
        </w:rPr>
      </w:pPr>
    </w:p>
    <w:p w:rsidR="0085675A" w:rsidRPr="00ED22D1" w:rsidRDefault="007D2C9E" w:rsidP="007D2C9E">
      <w:pPr>
        <w:pStyle w:val="Heading2"/>
        <w:numPr>
          <w:ilvl w:val="0"/>
          <w:numId w:val="0"/>
        </w:numPr>
        <w:rPr>
          <w:lang w:val="fr-CA"/>
        </w:rPr>
      </w:pPr>
      <w:r w:rsidRPr="00ED22D1">
        <w:rPr>
          <w:lang w:val="fr-CA"/>
        </w:rPr>
        <w:t>48.</w:t>
      </w:r>
      <w:r w:rsidRPr="00ED22D1">
        <w:rPr>
          <w:lang w:val="fr-CA"/>
        </w:rPr>
        <w:tab/>
      </w:r>
      <w:r w:rsidR="00CE7FEC" w:rsidRPr="00ED22D1">
        <w:rPr>
          <w:lang w:val="fr-CA"/>
        </w:rPr>
        <w:t>L’accord</w:t>
      </w:r>
      <w:r w:rsidR="0085675A" w:rsidRPr="00ED22D1">
        <w:rPr>
          <w:lang w:val="fr-CA"/>
        </w:rPr>
        <w:t xml:space="preserve"> </w:t>
      </w:r>
      <w:r w:rsidR="004A6828" w:rsidRPr="00ED22D1">
        <w:rPr>
          <w:lang w:val="fr-CA"/>
        </w:rPr>
        <w:t>entre</w:t>
      </w:r>
      <w:r w:rsidR="0085675A"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 Comité exécutif</w:t>
      </w:r>
      <w:r w:rsidR="0085675A" w:rsidRPr="00ED22D1">
        <w:rPr>
          <w:lang w:val="fr-CA"/>
        </w:rPr>
        <w:t xml:space="preserve"> </w:t>
      </w:r>
      <w:r w:rsidR="00AA30E6" w:rsidRPr="00ED22D1">
        <w:rPr>
          <w:lang w:val="fr-CA"/>
        </w:rPr>
        <w:t xml:space="preserve">pour la </w:t>
      </w:r>
      <w:r w:rsidR="004A6828" w:rsidRPr="00ED22D1">
        <w:rPr>
          <w:lang w:val="fr-CA"/>
        </w:rPr>
        <w:t xml:space="preserve">phase </w:t>
      </w:r>
      <w:r w:rsidR="0085675A" w:rsidRPr="00ED22D1">
        <w:rPr>
          <w:lang w:val="fr-CA"/>
        </w:rPr>
        <w:t xml:space="preserve">II </w:t>
      </w:r>
      <w:r w:rsidR="001F19C1" w:rsidRPr="00ED22D1">
        <w:rPr>
          <w:lang w:val="fr-CA"/>
        </w:rPr>
        <w:t>du PGEH</w:t>
      </w:r>
      <w:r w:rsidR="0085675A" w:rsidRPr="00ED22D1">
        <w:rPr>
          <w:lang w:val="fr-CA"/>
        </w:rPr>
        <w:t xml:space="preserve"> </w:t>
      </w:r>
      <w:r w:rsidR="00AA30E6" w:rsidRPr="00ED22D1">
        <w:rPr>
          <w:lang w:val="fr-CA"/>
        </w:rPr>
        <w:t>avait été convenu à la 7</w:t>
      </w:r>
      <w:r w:rsidR="0085675A" w:rsidRPr="00ED22D1">
        <w:rPr>
          <w:lang w:val="fr-CA"/>
        </w:rPr>
        <w:t>9</w:t>
      </w:r>
      <w:r w:rsidR="00AA30E6" w:rsidRPr="00ED22D1">
        <w:rPr>
          <w:vertAlign w:val="superscript"/>
          <w:lang w:val="fr-CA"/>
        </w:rPr>
        <w:t>e</w:t>
      </w:r>
      <w:r w:rsidR="00AA30E6" w:rsidRPr="00ED22D1">
        <w:rPr>
          <w:lang w:val="fr-CA"/>
        </w:rPr>
        <w:t xml:space="preserve"> </w:t>
      </w:r>
      <w:r w:rsidR="00DD185D" w:rsidRPr="00ED22D1">
        <w:rPr>
          <w:lang w:val="fr-CA"/>
        </w:rPr>
        <w:t>réunion</w:t>
      </w:r>
      <w:r w:rsidR="0085675A" w:rsidRPr="00ED22D1">
        <w:rPr>
          <w:lang w:val="fr-CA"/>
        </w:rPr>
        <w:t xml:space="preserve"> (</w:t>
      </w:r>
      <w:r w:rsidR="00AA6E77" w:rsidRPr="00ED22D1">
        <w:rPr>
          <w:lang w:val="fr-CA"/>
        </w:rPr>
        <w:t>décision</w:t>
      </w:r>
      <w:r w:rsidR="0085675A" w:rsidRPr="00ED22D1">
        <w:rPr>
          <w:lang w:val="fr-CA"/>
        </w:rPr>
        <w:t xml:space="preserve"> 79/35). </w:t>
      </w:r>
      <w:r w:rsidR="00733306" w:rsidRPr="00ED22D1">
        <w:rPr>
          <w:lang w:val="fr-CA"/>
        </w:rPr>
        <w:t xml:space="preserve">À la </w:t>
      </w:r>
      <w:r w:rsidR="00AA30E6" w:rsidRPr="00ED22D1">
        <w:rPr>
          <w:lang w:val="fr-CA"/>
        </w:rPr>
        <w:t>8</w:t>
      </w:r>
      <w:r w:rsidR="0085675A" w:rsidRPr="00ED22D1">
        <w:rPr>
          <w:lang w:val="fr-CA"/>
        </w:rPr>
        <w:t>1</w:t>
      </w:r>
      <w:r w:rsidR="00AA30E6" w:rsidRPr="00ED22D1">
        <w:rPr>
          <w:vertAlign w:val="superscript"/>
          <w:lang w:val="fr-CA"/>
        </w:rPr>
        <w:t>e</w:t>
      </w:r>
      <w:r w:rsidR="00AA30E6" w:rsidRPr="00ED22D1">
        <w:rPr>
          <w:lang w:val="fr-CA"/>
        </w:rPr>
        <w:t xml:space="preserve"> </w:t>
      </w:r>
      <w:r w:rsidR="00DD185D" w:rsidRPr="00ED22D1">
        <w:rPr>
          <w:lang w:val="fr-CA"/>
        </w:rPr>
        <w:t>réunion</w:t>
      </w:r>
      <w:r w:rsidR="00AA30E6" w:rsidRPr="00ED22D1">
        <w:rPr>
          <w:lang w:val="fr-CA"/>
        </w:rPr>
        <w:t>,</w:t>
      </w:r>
      <w:r w:rsidR="00DD185D" w:rsidRPr="00ED22D1">
        <w:rPr>
          <w:lang w:val="fr-CA"/>
        </w:rPr>
        <w:t xml:space="preserve"> le Secrétariat</w:t>
      </w:r>
      <w:r w:rsidR="0085675A" w:rsidRPr="00ED22D1">
        <w:rPr>
          <w:lang w:val="fr-CA"/>
        </w:rPr>
        <w:t xml:space="preserve"> </w:t>
      </w:r>
      <w:r w:rsidR="00AA30E6" w:rsidRPr="00ED22D1">
        <w:rPr>
          <w:lang w:val="fr-CA"/>
        </w:rPr>
        <w:t xml:space="preserve">a souligné que </w:t>
      </w:r>
      <w:r w:rsidR="00CE7FEC" w:rsidRPr="00ED22D1">
        <w:rPr>
          <w:lang w:val="fr-CA"/>
        </w:rPr>
        <w:t>l’accord</w:t>
      </w:r>
      <w:r w:rsidR="0085675A" w:rsidRPr="00ED22D1">
        <w:rPr>
          <w:lang w:val="fr-CA"/>
        </w:rPr>
        <w:t xml:space="preserve"> </w:t>
      </w:r>
      <w:r w:rsidR="00AA30E6" w:rsidRPr="00ED22D1">
        <w:rPr>
          <w:lang w:val="fr-CA"/>
        </w:rPr>
        <w:t xml:space="preserve">devrait être révisé afin d’inclure le niveau des </w:t>
      </w:r>
      <w:r w:rsidR="00DD185D" w:rsidRPr="00ED22D1">
        <w:rPr>
          <w:lang w:val="fr-CA"/>
        </w:rPr>
        <w:t>coûts d’appui d’agence</w:t>
      </w:r>
      <w:r w:rsidR="0085675A" w:rsidRPr="00ED22D1">
        <w:rPr>
          <w:lang w:val="fr-CA"/>
        </w:rPr>
        <w:t xml:space="preserve"> </w:t>
      </w:r>
      <w:r w:rsidR="00230D07" w:rsidRPr="00ED22D1">
        <w:rPr>
          <w:lang w:val="fr-CA"/>
        </w:rPr>
        <w:t>dont</w:t>
      </w:r>
      <w:r w:rsidR="0085675A" w:rsidRPr="00ED22D1">
        <w:rPr>
          <w:lang w:val="fr-CA"/>
        </w:rPr>
        <w:t xml:space="preserve"> </w:t>
      </w:r>
      <w:r w:rsidR="00DD185D" w:rsidRPr="00ED22D1">
        <w:rPr>
          <w:lang w:val="fr-CA"/>
        </w:rPr>
        <w:t>le Comité exécutif</w:t>
      </w:r>
      <w:r w:rsidR="0085675A" w:rsidRPr="00ED22D1">
        <w:rPr>
          <w:lang w:val="fr-CA"/>
        </w:rPr>
        <w:t xml:space="preserve"> </w:t>
      </w:r>
      <w:r w:rsidR="00AA30E6" w:rsidRPr="00ED22D1">
        <w:rPr>
          <w:lang w:val="fr-CA"/>
        </w:rPr>
        <w:t xml:space="preserve">pourrait décider à la </w:t>
      </w:r>
      <w:r w:rsidR="00802F71" w:rsidRPr="00ED22D1">
        <w:rPr>
          <w:lang w:val="fr-CA"/>
        </w:rPr>
        <w:t>8</w:t>
      </w:r>
      <w:r w:rsidR="0085675A" w:rsidRPr="00ED22D1">
        <w:rPr>
          <w:lang w:val="fr-CA"/>
        </w:rPr>
        <w:t>1</w:t>
      </w:r>
      <w:r w:rsidR="00802F71" w:rsidRPr="00ED22D1">
        <w:rPr>
          <w:vertAlign w:val="superscript"/>
          <w:lang w:val="fr-CA"/>
        </w:rPr>
        <w:t>e</w:t>
      </w:r>
      <w:r w:rsidR="00802F71" w:rsidRPr="00ED22D1">
        <w:rPr>
          <w:lang w:val="fr-CA"/>
        </w:rPr>
        <w:t xml:space="preserve"> </w:t>
      </w:r>
      <w:r w:rsidR="00DD185D" w:rsidRPr="00ED22D1">
        <w:rPr>
          <w:lang w:val="fr-CA"/>
        </w:rPr>
        <w:t>réunion</w:t>
      </w:r>
      <w:r w:rsidR="0085675A" w:rsidRPr="00ED22D1">
        <w:rPr>
          <w:lang w:val="fr-CA"/>
        </w:rPr>
        <w:t>,</w:t>
      </w:r>
      <w:r w:rsidR="004A6828" w:rsidRPr="00ED22D1">
        <w:rPr>
          <w:lang w:val="fr-CA"/>
        </w:rPr>
        <w:t xml:space="preserve"> et </w:t>
      </w:r>
      <w:r w:rsidR="00AA30E6" w:rsidRPr="00ED22D1">
        <w:rPr>
          <w:lang w:val="fr-CA"/>
        </w:rPr>
        <w:t xml:space="preserve">pour refléter les changements potentiels dans la distribution des fonds dans </w:t>
      </w:r>
      <w:r w:rsidR="00502C24" w:rsidRPr="00ED22D1">
        <w:rPr>
          <w:lang w:val="fr-CA"/>
        </w:rPr>
        <w:t>le</w:t>
      </w:r>
      <w:r w:rsidR="00230D07" w:rsidRPr="00ED22D1">
        <w:rPr>
          <w:lang w:val="fr-CA"/>
        </w:rPr>
        <w:t> </w:t>
      </w:r>
      <w:r w:rsidR="00502C24" w:rsidRPr="00ED22D1">
        <w:rPr>
          <w:lang w:val="fr-CA"/>
        </w:rPr>
        <w:t xml:space="preserve">plan </w:t>
      </w:r>
      <w:r w:rsidR="00CA0808" w:rsidRPr="00ED22D1">
        <w:rPr>
          <w:lang w:val="fr-CA"/>
        </w:rPr>
        <w:t>du secteur de</w:t>
      </w:r>
      <w:r w:rsidR="00AA30E6" w:rsidRPr="00ED22D1">
        <w:rPr>
          <w:lang w:val="fr-CA"/>
        </w:rPr>
        <w:t>s</w:t>
      </w:r>
      <w:r w:rsidR="00CA0808" w:rsidRPr="00ED22D1">
        <w:rPr>
          <w:lang w:val="fr-CA"/>
        </w:rPr>
        <w:t xml:space="preserve"> mousse</w:t>
      </w:r>
      <w:r w:rsidR="00AA30E6" w:rsidRPr="00ED22D1">
        <w:rPr>
          <w:lang w:val="fr-CA"/>
        </w:rPr>
        <w:t>s</w:t>
      </w:r>
      <w:r w:rsidR="00CA0808" w:rsidRPr="00ED22D1">
        <w:rPr>
          <w:lang w:val="fr-CA"/>
        </w:rPr>
        <w:t xml:space="preserve"> de polyuréthane</w:t>
      </w:r>
      <w:r w:rsidR="0085675A" w:rsidRPr="00ED22D1">
        <w:rPr>
          <w:lang w:val="fr-CA"/>
        </w:rPr>
        <w:t xml:space="preserve"> </w:t>
      </w:r>
      <w:r w:rsidR="00AA30E6" w:rsidRPr="00ED22D1">
        <w:rPr>
          <w:lang w:val="fr-CA"/>
        </w:rPr>
        <w:t xml:space="preserve">étant donné le délai dans la </w:t>
      </w:r>
      <w:r w:rsidR="00E81764" w:rsidRPr="00ED22D1">
        <w:rPr>
          <w:lang w:val="fr-CA"/>
        </w:rPr>
        <w:t>présentation</w:t>
      </w:r>
      <w:r w:rsidR="0085675A" w:rsidRPr="00ED22D1">
        <w:rPr>
          <w:lang w:val="fr-CA"/>
        </w:rPr>
        <w:t xml:space="preserve"> </w:t>
      </w:r>
      <w:r w:rsidR="00AA30E6" w:rsidRPr="00ED22D1">
        <w:rPr>
          <w:lang w:val="fr-CA"/>
        </w:rPr>
        <w:t xml:space="preserve">de la </w:t>
      </w:r>
      <w:r w:rsidR="00921BDE" w:rsidRPr="00ED22D1">
        <w:rPr>
          <w:lang w:val="fr-CA"/>
        </w:rPr>
        <w:t>deuxième</w:t>
      </w:r>
      <w:r w:rsidR="0085675A" w:rsidRPr="00ED22D1">
        <w:rPr>
          <w:lang w:val="fr-CA"/>
        </w:rPr>
        <w:t xml:space="preserve"> tranche, </w:t>
      </w:r>
      <w:r w:rsidR="00AA30E6" w:rsidRPr="00ED22D1">
        <w:rPr>
          <w:lang w:val="fr-CA"/>
        </w:rPr>
        <w:t xml:space="preserve">ce qui entraînerait aussi des changements dans la </w:t>
      </w:r>
      <w:r w:rsidR="0085675A" w:rsidRPr="00ED22D1">
        <w:rPr>
          <w:lang w:val="fr-CA"/>
        </w:rPr>
        <w:t xml:space="preserve">distribution </w:t>
      </w:r>
      <w:r w:rsidR="00AA30E6" w:rsidRPr="00ED22D1">
        <w:rPr>
          <w:lang w:val="fr-CA"/>
        </w:rPr>
        <w:t>du financement global</w:t>
      </w:r>
      <w:r w:rsidR="0085675A" w:rsidRPr="00ED22D1">
        <w:rPr>
          <w:lang w:val="fr-CA"/>
        </w:rPr>
        <w:t xml:space="preserve"> </w:t>
      </w:r>
      <w:r w:rsidR="00921BDE" w:rsidRPr="00ED22D1">
        <w:rPr>
          <w:lang w:val="fr-CA"/>
        </w:rPr>
        <w:t>de</w:t>
      </w:r>
      <w:r w:rsidR="00230D07" w:rsidRPr="00ED22D1">
        <w:rPr>
          <w:lang w:val="fr-CA"/>
        </w:rPr>
        <w:t> </w:t>
      </w:r>
      <w:r w:rsidR="00921BDE" w:rsidRPr="00ED22D1">
        <w:rPr>
          <w:lang w:val="fr-CA"/>
        </w:rPr>
        <w:t>la</w:t>
      </w:r>
      <w:r w:rsidR="00AA30E6" w:rsidRPr="00ED22D1">
        <w:rPr>
          <w:lang w:val="fr-CA"/>
        </w:rPr>
        <w:t> </w:t>
      </w:r>
      <w:r w:rsidR="00921BDE" w:rsidRPr="00ED22D1">
        <w:rPr>
          <w:lang w:val="fr-CA"/>
        </w:rPr>
        <w:t>phase</w:t>
      </w:r>
      <w:r w:rsidR="00AA30E6" w:rsidRPr="00ED22D1">
        <w:rPr>
          <w:lang w:val="fr-CA"/>
        </w:rPr>
        <w:t> </w:t>
      </w:r>
      <w:r w:rsidR="0085675A" w:rsidRPr="00ED22D1">
        <w:rPr>
          <w:lang w:val="fr-CA"/>
        </w:rPr>
        <w:t xml:space="preserve">II </w:t>
      </w:r>
      <w:r w:rsidR="001F19C1" w:rsidRPr="00ED22D1">
        <w:rPr>
          <w:lang w:val="fr-CA"/>
        </w:rPr>
        <w:t>du PGEH</w:t>
      </w:r>
      <w:r w:rsidR="0085675A" w:rsidRPr="00ED22D1">
        <w:rPr>
          <w:lang w:val="fr-CA"/>
        </w:rPr>
        <w:t xml:space="preserve">. </w:t>
      </w:r>
      <w:r w:rsidR="00AA30E6" w:rsidRPr="00ED22D1">
        <w:rPr>
          <w:lang w:val="fr-CA"/>
        </w:rPr>
        <w:t xml:space="preserve">Par la suite, </w:t>
      </w:r>
      <w:r w:rsidR="00DD185D" w:rsidRPr="00ED22D1">
        <w:rPr>
          <w:lang w:val="fr-CA"/>
        </w:rPr>
        <w:t>le Comité exécutif</w:t>
      </w:r>
      <w:r w:rsidR="0085675A" w:rsidRPr="00ED22D1">
        <w:rPr>
          <w:lang w:val="fr-CA"/>
        </w:rPr>
        <w:t xml:space="preserve"> </w:t>
      </w:r>
      <w:r w:rsidR="00AA30E6" w:rsidRPr="00ED22D1">
        <w:rPr>
          <w:lang w:val="fr-CA"/>
        </w:rPr>
        <w:t xml:space="preserve">a décidé de rajuster à </w:t>
      </w:r>
      <w:r w:rsidR="0085675A" w:rsidRPr="00ED22D1">
        <w:rPr>
          <w:lang w:val="fr-CA"/>
        </w:rPr>
        <w:t>7 </w:t>
      </w:r>
      <w:r w:rsidR="001B31BF" w:rsidRPr="00ED22D1">
        <w:rPr>
          <w:lang w:val="fr-CA"/>
        </w:rPr>
        <w:t>pour cent</w:t>
      </w:r>
      <w:r w:rsidR="0085675A" w:rsidRPr="00ED22D1">
        <w:rPr>
          <w:lang w:val="fr-CA"/>
        </w:rPr>
        <w:t xml:space="preserve"> </w:t>
      </w:r>
      <w:r w:rsidR="00AA30E6" w:rsidRPr="00ED22D1">
        <w:rPr>
          <w:lang w:val="fr-CA"/>
        </w:rPr>
        <w:t>les</w:t>
      </w:r>
      <w:r w:rsidR="0085675A" w:rsidRPr="00ED22D1">
        <w:rPr>
          <w:lang w:val="fr-CA"/>
        </w:rPr>
        <w:t xml:space="preserve"> </w:t>
      </w:r>
      <w:r w:rsidR="00DD185D" w:rsidRPr="00ED22D1">
        <w:rPr>
          <w:lang w:val="fr-CA"/>
        </w:rPr>
        <w:t>coûts d’appui d’agence</w:t>
      </w:r>
      <w:r w:rsidR="0085675A" w:rsidRPr="00ED22D1">
        <w:rPr>
          <w:lang w:val="fr-CA"/>
        </w:rPr>
        <w:t xml:space="preserve"> </w:t>
      </w:r>
      <w:r w:rsidR="004B666A" w:rsidRPr="00ED22D1">
        <w:rPr>
          <w:lang w:val="fr-CA"/>
        </w:rPr>
        <w:t>associé</w:t>
      </w:r>
      <w:r w:rsidR="00AA30E6" w:rsidRPr="00ED22D1">
        <w:rPr>
          <w:lang w:val="fr-CA"/>
        </w:rPr>
        <w:t>s</w:t>
      </w:r>
      <w:r w:rsidR="0085675A" w:rsidRPr="00ED22D1">
        <w:rPr>
          <w:lang w:val="fr-CA"/>
        </w:rPr>
        <w:t xml:space="preserve"> </w:t>
      </w:r>
      <w:r w:rsidR="00230D07" w:rsidRPr="00ED22D1">
        <w:rPr>
          <w:lang w:val="fr-CA"/>
        </w:rPr>
        <w:t>à la d</w:t>
      </w:r>
      <w:r w:rsidR="00921BDE" w:rsidRPr="00ED22D1">
        <w:rPr>
          <w:lang w:val="fr-CA"/>
        </w:rPr>
        <w:t>euxième</w:t>
      </w:r>
      <w:r w:rsidR="004A6828" w:rsidRPr="00ED22D1">
        <w:rPr>
          <w:lang w:val="fr-CA"/>
        </w:rPr>
        <w:t xml:space="preserve"> et </w:t>
      </w:r>
      <w:r w:rsidR="00230D07" w:rsidRPr="00ED22D1">
        <w:rPr>
          <w:lang w:val="fr-CA"/>
        </w:rPr>
        <w:t xml:space="preserve">aux </w:t>
      </w:r>
      <w:r w:rsidR="0085675A" w:rsidRPr="00ED22D1">
        <w:rPr>
          <w:lang w:val="fr-CA"/>
        </w:rPr>
        <w:t>future</w:t>
      </w:r>
      <w:r w:rsidR="00AA30E6" w:rsidRPr="00ED22D1">
        <w:rPr>
          <w:lang w:val="fr-CA"/>
        </w:rPr>
        <w:t>s</w:t>
      </w:r>
      <w:r w:rsidR="0085675A" w:rsidRPr="00ED22D1">
        <w:rPr>
          <w:lang w:val="fr-CA"/>
        </w:rPr>
        <w:t xml:space="preserve"> tranches </w:t>
      </w:r>
      <w:r w:rsidR="00AA30E6" w:rsidRPr="00ED22D1">
        <w:rPr>
          <w:lang w:val="fr-CA"/>
        </w:rPr>
        <w:t xml:space="preserve">de tous les plans sectoriels </w:t>
      </w:r>
      <w:r w:rsidR="00921BDE" w:rsidRPr="00ED22D1">
        <w:rPr>
          <w:lang w:val="fr-CA"/>
        </w:rPr>
        <w:t>de la phase</w:t>
      </w:r>
      <w:r w:rsidR="004A6828" w:rsidRPr="00ED22D1">
        <w:rPr>
          <w:lang w:val="fr-CA"/>
        </w:rPr>
        <w:t xml:space="preserve"> </w:t>
      </w:r>
      <w:r w:rsidR="0085675A" w:rsidRPr="00ED22D1">
        <w:rPr>
          <w:lang w:val="fr-CA"/>
        </w:rPr>
        <w:t xml:space="preserve">II </w:t>
      </w:r>
      <w:r w:rsidR="001F19C1" w:rsidRPr="00ED22D1">
        <w:rPr>
          <w:lang w:val="fr-CA"/>
        </w:rPr>
        <w:t>du PGEH</w:t>
      </w:r>
      <w:r w:rsidR="0085675A" w:rsidRPr="00ED22D1">
        <w:rPr>
          <w:lang w:val="fr-CA"/>
        </w:rPr>
        <w:t xml:space="preserve"> </w:t>
      </w:r>
      <w:r w:rsidR="001B31BF" w:rsidRPr="00ED22D1">
        <w:rPr>
          <w:lang w:val="fr-CA"/>
        </w:rPr>
        <w:t>de la Chine</w:t>
      </w:r>
      <w:r w:rsidR="0085675A" w:rsidRPr="00ED22D1">
        <w:rPr>
          <w:lang w:val="fr-CA"/>
        </w:rPr>
        <w:t xml:space="preserve"> </w:t>
      </w:r>
      <w:r w:rsidR="00921BDE" w:rsidRPr="00ED22D1">
        <w:rPr>
          <w:lang w:val="fr-CA"/>
        </w:rPr>
        <w:t xml:space="preserve">pour le </w:t>
      </w:r>
      <w:r w:rsidR="001F19C1" w:rsidRPr="00ED22D1">
        <w:rPr>
          <w:lang w:val="fr-CA"/>
        </w:rPr>
        <w:t>PNUD, l’ONUDI</w:t>
      </w:r>
      <w:r w:rsidR="004A6828" w:rsidRPr="00ED22D1">
        <w:rPr>
          <w:lang w:val="fr-CA"/>
        </w:rPr>
        <w:t xml:space="preserve"> et</w:t>
      </w:r>
      <w:r w:rsidR="001F19C1" w:rsidRPr="00ED22D1">
        <w:rPr>
          <w:lang w:val="fr-CA"/>
        </w:rPr>
        <w:t xml:space="preserve"> la Banque mondiale</w:t>
      </w:r>
      <w:r w:rsidR="0085675A" w:rsidRPr="00ED22D1">
        <w:rPr>
          <w:lang w:val="fr-CA"/>
        </w:rPr>
        <w:t>;</w:t>
      </w:r>
      <w:r w:rsidR="004A6828" w:rsidRPr="00ED22D1">
        <w:rPr>
          <w:lang w:val="fr-CA"/>
        </w:rPr>
        <w:t xml:space="preserve"> et </w:t>
      </w:r>
      <w:r w:rsidR="00AA30E6" w:rsidRPr="00ED22D1">
        <w:rPr>
          <w:lang w:val="fr-CA"/>
        </w:rPr>
        <w:t xml:space="preserve">de réviser, </w:t>
      </w:r>
      <w:r w:rsidR="00733306" w:rsidRPr="00ED22D1">
        <w:rPr>
          <w:lang w:val="fr-CA"/>
        </w:rPr>
        <w:t xml:space="preserve">à la </w:t>
      </w:r>
      <w:r w:rsidR="00AA30E6" w:rsidRPr="00ED22D1">
        <w:rPr>
          <w:lang w:val="fr-CA"/>
        </w:rPr>
        <w:t>8</w:t>
      </w:r>
      <w:r w:rsidR="0085675A" w:rsidRPr="00ED22D1">
        <w:rPr>
          <w:lang w:val="fr-CA"/>
        </w:rPr>
        <w:t>2</w:t>
      </w:r>
      <w:r w:rsidR="00AA30E6" w:rsidRPr="00ED22D1">
        <w:rPr>
          <w:vertAlign w:val="superscript"/>
          <w:lang w:val="fr-CA"/>
        </w:rPr>
        <w:t>e</w:t>
      </w:r>
      <w:r w:rsidR="00AA30E6" w:rsidRPr="00ED22D1">
        <w:rPr>
          <w:lang w:val="fr-CA"/>
        </w:rPr>
        <w:t xml:space="preserve"> </w:t>
      </w:r>
      <w:r w:rsidR="00DD185D" w:rsidRPr="00ED22D1">
        <w:rPr>
          <w:lang w:val="fr-CA"/>
        </w:rPr>
        <w:t>réunion</w:t>
      </w:r>
      <w:r w:rsidR="0085675A" w:rsidRPr="00ED22D1">
        <w:rPr>
          <w:lang w:val="fr-CA"/>
        </w:rPr>
        <w:t xml:space="preserve">, </w:t>
      </w:r>
      <w:r w:rsidR="00CE7FEC" w:rsidRPr="00ED22D1">
        <w:rPr>
          <w:lang w:val="fr-CA"/>
        </w:rPr>
        <w:t>l’accord</w:t>
      </w:r>
      <w:r w:rsidR="0085675A" w:rsidRPr="00ED22D1">
        <w:rPr>
          <w:lang w:val="fr-CA"/>
        </w:rPr>
        <w:t xml:space="preserve"> </w:t>
      </w:r>
      <w:r w:rsidR="00AA30E6" w:rsidRPr="00ED22D1">
        <w:rPr>
          <w:lang w:val="fr-CA"/>
        </w:rPr>
        <w:t xml:space="preserve">de la </w:t>
      </w:r>
      <w:r w:rsidR="004A6828" w:rsidRPr="00ED22D1">
        <w:rPr>
          <w:lang w:val="fr-CA"/>
        </w:rPr>
        <w:t xml:space="preserve">phase </w:t>
      </w:r>
      <w:r w:rsidR="0085675A" w:rsidRPr="00ED22D1">
        <w:rPr>
          <w:lang w:val="fr-CA"/>
        </w:rPr>
        <w:t xml:space="preserve">II </w:t>
      </w:r>
      <w:r w:rsidR="001F19C1" w:rsidRPr="00ED22D1">
        <w:rPr>
          <w:lang w:val="fr-CA"/>
        </w:rPr>
        <w:t>du PGEH</w:t>
      </w:r>
      <w:r w:rsidR="0085675A" w:rsidRPr="00ED22D1">
        <w:rPr>
          <w:lang w:val="fr-CA"/>
        </w:rPr>
        <w:t xml:space="preserve"> (</w:t>
      </w:r>
      <w:r w:rsidR="00AA6E77" w:rsidRPr="00ED22D1">
        <w:rPr>
          <w:lang w:val="fr-CA"/>
        </w:rPr>
        <w:t>décision</w:t>
      </w:r>
      <w:r w:rsidR="0085675A" w:rsidRPr="00ED22D1">
        <w:rPr>
          <w:lang w:val="fr-CA"/>
        </w:rPr>
        <w:t> 81/45).</w:t>
      </w:r>
    </w:p>
    <w:p w:rsidR="0085675A" w:rsidRPr="00ED22D1" w:rsidRDefault="00934B3A" w:rsidP="007D2C9E">
      <w:pPr>
        <w:pStyle w:val="Heading1"/>
        <w:numPr>
          <w:ilvl w:val="0"/>
          <w:numId w:val="0"/>
        </w:numPr>
        <w:rPr>
          <w:lang w:val="fr-CA"/>
        </w:rPr>
      </w:pPr>
      <w:r w:rsidRPr="00ED22D1">
        <w:rPr>
          <w:lang w:val="fr-CA"/>
        </w:rPr>
        <w:t>49.</w:t>
      </w:r>
      <w:r w:rsidR="007D2C9E" w:rsidRPr="00ED22D1">
        <w:rPr>
          <w:lang w:val="fr-CA"/>
        </w:rPr>
        <w:tab/>
      </w:r>
      <w:r w:rsidR="00CB2326" w:rsidRPr="00ED22D1">
        <w:rPr>
          <w:lang w:val="fr-CA"/>
        </w:rPr>
        <w:t>E</w:t>
      </w:r>
      <w:r w:rsidR="0085675A" w:rsidRPr="00ED22D1">
        <w:rPr>
          <w:lang w:val="fr-CA"/>
        </w:rPr>
        <w:t>n pr</w:t>
      </w:r>
      <w:r w:rsidR="00CB2326" w:rsidRPr="00ED22D1">
        <w:rPr>
          <w:lang w:val="fr-CA"/>
        </w:rPr>
        <w:t>é</w:t>
      </w:r>
      <w:r w:rsidR="0085675A" w:rsidRPr="00ED22D1">
        <w:rPr>
          <w:lang w:val="fr-CA"/>
        </w:rPr>
        <w:t xml:space="preserve">paration </w:t>
      </w:r>
      <w:r w:rsidR="00CB2326" w:rsidRPr="00ED22D1">
        <w:rPr>
          <w:lang w:val="fr-CA"/>
        </w:rPr>
        <w:t>pour la 8</w:t>
      </w:r>
      <w:r w:rsidR="0085675A" w:rsidRPr="00ED22D1">
        <w:rPr>
          <w:lang w:val="fr-CA"/>
        </w:rPr>
        <w:t>2</w:t>
      </w:r>
      <w:r w:rsidR="00CB2326" w:rsidRPr="00ED22D1">
        <w:rPr>
          <w:vertAlign w:val="superscript"/>
          <w:lang w:val="fr-CA"/>
        </w:rPr>
        <w:t>e</w:t>
      </w:r>
      <w:r w:rsidR="00CB2326" w:rsidRPr="00ED22D1">
        <w:rPr>
          <w:lang w:val="fr-CA"/>
        </w:rPr>
        <w:t xml:space="preserve"> </w:t>
      </w:r>
      <w:r w:rsidR="00DD185D" w:rsidRPr="00ED22D1">
        <w:rPr>
          <w:lang w:val="fr-CA"/>
        </w:rPr>
        <w:t>réunion</w:t>
      </w:r>
      <w:r w:rsidR="0085675A" w:rsidRPr="00ED22D1">
        <w:rPr>
          <w:lang w:val="fr-CA"/>
        </w:rPr>
        <w:t>,</w:t>
      </w:r>
      <w:r w:rsidR="00DD185D" w:rsidRPr="00ED22D1">
        <w:rPr>
          <w:lang w:val="fr-CA"/>
        </w:rPr>
        <w:t xml:space="preserve"> le Secrétariat</w:t>
      </w:r>
      <w:r w:rsidR="004A6828" w:rsidRPr="00ED22D1">
        <w:rPr>
          <w:lang w:val="fr-CA"/>
        </w:rPr>
        <w:t xml:space="preserve"> et</w:t>
      </w:r>
      <w:r w:rsidR="001F19C1" w:rsidRPr="00ED22D1">
        <w:rPr>
          <w:lang w:val="fr-CA"/>
        </w:rPr>
        <w:t xml:space="preserve"> le PNUD</w:t>
      </w:r>
      <w:r w:rsidR="0085675A" w:rsidRPr="00ED22D1">
        <w:rPr>
          <w:lang w:val="fr-CA"/>
        </w:rPr>
        <w:t xml:space="preserve"> </w:t>
      </w:r>
      <w:r w:rsidR="00CB2326" w:rsidRPr="00ED22D1">
        <w:rPr>
          <w:lang w:val="fr-CA"/>
        </w:rPr>
        <w:t xml:space="preserve">à titre d’agence principale ont discuté d’un accord révisé pour la </w:t>
      </w:r>
      <w:r w:rsidR="004A6828" w:rsidRPr="00ED22D1">
        <w:rPr>
          <w:lang w:val="fr-CA"/>
        </w:rPr>
        <w:t xml:space="preserve">phase </w:t>
      </w:r>
      <w:r w:rsidR="0085675A" w:rsidRPr="00ED22D1">
        <w:rPr>
          <w:lang w:val="fr-CA"/>
        </w:rPr>
        <w:t xml:space="preserve">II </w:t>
      </w:r>
      <w:r w:rsidR="001F19C1" w:rsidRPr="00ED22D1">
        <w:rPr>
          <w:lang w:val="fr-CA"/>
        </w:rPr>
        <w:t>du PGEH</w:t>
      </w:r>
      <w:r w:rsidR="0085675A" w:rsidRPr="00ED22D1">
        <w:rPr>
          <w:lang w:val="fr-CA"/>
        </w:rPr>
        <w:t xml:space="preserve"> </w:t>
      </w:r>
      <w:r w:rsidR="00FB1DC4" w:rsidRPr="00ED22D1">
        <w:rPr>
          <w:lang w:val="fr-CA"/>
        </w:rPr>
        <w:t>présenté</w:t>
      </w:r>
      <w:r w:rsidR="0085675A" w:rsidRPr="00ED22D1">
        <w:rPr>
          <w:lang w:val="fr-CA"/>
        </w:rPr>
        <w:t xml:space="preserve"> </w:t>
      </w:r>
      <w:r w:rsidR="00CB2326" w:rsidRPr="00ED22D1">
        <w:rPr>
          <w:lang w:val="fr-CA"/>
        </w:rPr>
        <w:t xml:space="preserve">pour examen, </w:t>
      </w:r>
      <w:r w:rsidR="004B666A" w:rsidRPr="00ED22D1">
        <w:rPr>
          <w:lang w:val="fr-CA"/>
        </w:rPr>
        <w:t>y compris</w:t>
      </w:r>
      <w:r w:rsidR="0085675A" w:rsidRPr="00ED22D1">
        <w:rPr>
          <w:lang w:val="fr-CA"/>
        </w:rPr>
        <w:t xml:space="preserve"> </w:t>
      </w:r>
      <w:r w:rsidR="00CB2326" w:rsidRPr="00ED22D1">
        <w:rPr>
          <w:lang w:val="fr-CA"/>
        </w:rPr>
        <w:t>les rajustements suivants à l’appendice</w:t>
      </w:r>
      <w:r w:rsidR="0085675A" w:rsidRPr="00ED22D1">
        <w:rPr>
          <w:lang w:val="fr-CA"/>
        </w:rPr>
        <w:t> 2</w:t>
      </w:r>
      <w:r w:rsidR="0085675A" w:rsidRPr="00ED22D1">
        <w:rPr>
          <w:lang w:val="fr-CA"/>
        </w:rPr>
        <w:noBreakHyphen/>
        <w:t>A</w:t>
      </w:r>
      <w:r w:rsidR="00791BF7" w:rsidRPr="00ED22D1">
        <w:rPr>
          <w:lang w:val="fr-CA"/>
        </w:rPr>
        <w:t> :</w:t>
      </w:r>
    </w:p>
    <w:p w:rsidR="0085675A" w:rsidRPr="00B53B89" w:rsidRDefault="00CB2326" w:rsidP="00B53B89">
      <w:pPr>
        <w:pStyle w:val="Heading2"/>
        <w:numPr>
          <w:ilvl w:val="1"/>
          <w:numId w:val="30"/>
        </w:numPr>
        <w:rPr>
          <w:lang w:val="fr-CA"/>
        </w:rPr>
      </w:pPr>
      <w:r w:rsidRPr="00B53B89">
        <w:rPr>
          <w:lang w:val="fr-CA"/>
        </w:rPr>
        <w:t>Les c</w:t>
      </w:r>
      <w:r w:rsidR="00DD185D" w:rsidRPr="00B53B89">
        <w:rPr>
          <w:lang w:val="fr-CA"/>
        </w:rPr>
        <w:t>oûts d’appui d’agence</w:t>
      </w:r>
      <w:r w:rsidR="0085675A" w:rsidRPr="00B53B89">
        <w:rPr>
          <w:lang w:val="fr-CA"/>
        </w:rPr>
        <w:t xml:space="preserve"> </w:t>
      </w:r>
      <w:r w:rsidR="00921BDE" w:rsidRPr="00B53B89">
        <w:rPr>
          <w:lang w:val="fr-CA"/>
        </w:rPr>
        <w:t xml:space="preserve">pour le </w:t>
      </w:r>
      <w:r w:rsidR="001F19C1" w:rsidRPr="00B53B89">
        <w:rPr>
          <w:lang w:val="fr-CA"/>
        </w:rPr>
        <w:t>PNUD, l’ONUDI</w:t>
      </w:r>
      <w:r w:rsidR="004A6828" w:rsidRPr="00B53B89">
        <w:rPr>
          <w:lang w:val="fr-CA"/>
        </w:rPr>
        <w:t xml:space="preserve"> et</w:t>
      </w:r>
      <w:r w:rsidR="001F19C1" w:rsidRPr="00B53B89">
        <w:rPr>
          <w:lang w:val="fr-CA"/>
        </w:rPr>
        <w:t xml:space="preserve"> la Banque mondiale</w:t>
      </w:r>
      <w:r w:rsidR="0085675A" w:rsidRPr="00B53B89">
        <w:rPr>
          <w:lang w:val="fr-CA"/>
        </w:rPr>
        <w:t xml:space="preserve"> </w:t>
      </w:r>
      <w:r w:rsidRPr="00B53B89">
        <w:rPr>
          <w:lang w:val="fr-CA"/>
        </w:rPr>
        <w:t>ont été rajusté</w:t>
      </w:r>
      <w:r w:rsidR="00802F71" w:rsidRPr="00B53B89">
        <w:rPr>
          <w:lang w:val="fr-CA"/>
        </w:rPr>
        <w:t>s</w:t>
      </w:r>
      <w:r w:rsidRPr="00B53B89">
        <w:rPr>
          <w:lang w:val="fr-CA"/>
        </w:rPr>
        <w:t xml:space="preserve"> à </w:t>
      </w:r>
      <w:r w:rsidR="0085675A" w:rsidRPr="00B53B89">
        <w:rPr>
          <w:lang w:val="fr-CA"/>
        </w:rPr>
        <w:t>7 </w:t>
      </w:r>
      <w:r w:rsidR="001B31BF" w:rsidRPr="00B53B89">
        <w:rPr>
          <w:lang w:val="fr-CA"/>
        </w:rPr>
        <w:t>pour cent</w:t>
      </w:r>
      <w:r w:rsidR="0085675A" w:rsidRPr="00B53B89">
        <w:rPr>
          <w:lang w:val="fr-CA"/>
        </w:rPr>
        <w:t xml:space="preserve"> </w:t>
      </w:r>
      <w:r w:rsidRPr="00B53B89">
        <w:rPr>
          <w:lang w:val="fr-CA"/>
        </w:rPr>
        <w:t xml:space="preserve">de la </w:t>
      </w:r>
      <w:r w:rsidR="00921BDE" w:rsidRPr="00B53B89">
        <w:rPr>
          <w:lang w:val="fr-CA"/>
        </w:rPr>
        <w:t>deuxième</w:t>
      </w:r>
      <w:r w:rsidR="0085675A" w:rsidRPr="00B53B89">
        <w:rPr>
          <w:lang w:val="fr-CA"/>
        </w:rPr>
        <w:t xml:space="preserve"> </w:t>
      </w:r>
      <w:r w:rsidRPr="00B53B89">
        <w:rPr>
          <w:lang w:val="fr-CA"/>
        </w:rPr>
        <w:t xml:space="preserve">à la dernière </w:t>
      </w:r>
      <w:r w:rsidR="0085675A" w:rsidRPr="00B53B89">
        <w:rPr>
          <w:lang w:val="fr-CA"/>
        </w:rPr>
        <w:t xml:space="preserve">tranche </w:t>
      </w:r>
      <w:r w:rsidRPr="00B53B89">
        <w:rPr>
          <w:lang w:val="fr-CA"/>
        </w:rPr>
        <w:t>conformément à</w:t>
      </w:r>
      <w:r w:rsidR="00230D07" w:rsidRPr="00B53B89">
        <w:rPr>
          <w:lang w:val="fr-CA"/>
        </w:rPr>
        <w:t> </w:t>
      </w:r>
      <w:r w:rsidRPr="00B53B89">
        <w:rPr>
          <w:lang w:val="fr-CA"/>
        </w:rPr>
        <w:t>la</w:t>
      </w:r>
      <w:r w:rsidR="00230D07" w:rsidRPr="00B53B89">
        <w:rPr>
          <w:lang w:val="fr-CA"/>
        </w:rPr>
        <w:t> </w:t>
      </w:r>
      <w:r w:rsidR="00AA6E77" w:rsidRPr="00B53B89">
        <w:rPr>
          <w:lang w:val="fr-CA"/>
        </w:rPr>
        <w:t>décision</w:t>
      </w:r>
      <w:r w:rsidR="0085675A" w:rsidRPr="00B53B89">
        <w:rPr>
          <w:lang w:val="fr-CA"/>
        </w:rPr>
        <w:t> 81/45</w:t>
      </w:r>
      <w:r w:rsidRPr="00B53B89">
        <w:rPr>
          <w:lang w:val="fr-CA"/>
        </w:rPr>
        <w:t> </w:t>
      </w:r>
      <w:r w:rsidR="0085675A" w:rsidRPr="00B53B89">
        <w:rPr>
          <w:lang w:val="fr-CA"/>
        </w:rPr>
        <w:t xml:space="preserve">a). </w:t>
      </w:r>
      <w:r w:rsidRPr="00B53B89">
        <w:rPr>
          <w:lang w:val="fr-CA"/>
        </w:rPr>
        <w:t xml:space="preserve">Ce rajustement représente une augmentation de </w:t>
      </w:r>
      <w:r w:rsidR="004A6828" w:rsidRPr="00B53B89">
        <w:rPr>
          <w:lang w:val="fr-CA"/>
        </w:rPr>
        <w:t>2 </w:t>
      </w:r>
      <w:r w:rsidR="0085675A" w:rsidRPr="00B53B89">
        <w:rPr>
          <w:lang w:val="fr-CA"/>
        </w:rPr>
        <w:t>16</w:t>
      </w:r>
      <w:r w:rsidR="004A6828" w:rsidRPr="00B53B89">
        <w:rPr>
          <w:lang w:val="fr-CA"/>
        </w:rPr>
        <w:t>2 </w:t>
      </w:r>
      <w:r w:rsidR="0085675A" w:rsidRPr="00B53B89">
        <w:rPr>
          <w:lang w:val="fr-CA"/>
        </w:rPr>
        <w:t>056</w:t>
      </w:r>
      <w:r w:rsidR="00F5397E" w:rsidRPr="00B53B89">
        <w:rPr>
          <w:lang w:val="fr-CA"/>
        </w:rPr>
        <w:t> $US</w:t>
      </w:r>
      <w:r w:rsidR="0085675A" w:rsidRPr="00B53B89">
        <w:rPr>
          <w:lang w:val="fr-CA"/>
        </w:rPr>
        <w:t xml:space="preserve"> </w:t>
      </w:r>
      <w:r w:rsidRPr="00B53B89">
        <w:rPr>
          <w:lang w:val="fr-CA"/>
        </w:rPr>
        <w:t xml:space="preserve">des </w:t>
      </w:r>
      <w:r w:rsidR="00DD185D" w:rsidRPr="00B53B89">
        <w:rPr>
          <w:lang w:val="fr-CA"/>
        </w:rPr>
        <w:t>coûts d’appui d’agence</w:t>
      </w:r>
      <w:r w:rsidRPr="00B53B89">
        <w:rPr>
          <w:lang w:val="fr-CA"/>
        </w:rPr>
        <w:t xml:space="preserve"> précédemment calculés à </w:t>
      </w:r>
      <w:r w:rsidR="004A6828" w:rsidRPr="00B53B89">
        <w:rPr>
          <w:lang w:val="fr-CA"/>
        </w:rPr>
        <w:t>6,</w:t>
      </w:r>
      <w:r w:rsidR="0085675A" w:rsidRPr="00B53B89">
        <w:rPr>
          <w:lang w:val="fr-CA"/>
        </w:rPr>
        <w:t>5 </w:t>
      </w:r>
      <w:r w:rsidR="001B31BF" w:rsidRPr="00B53B89">
        <w:rPr>
          <w:lang w:val="fr-CA"/>
        </w:rPr>
        <w:t>pour cent</w:t>
      </w:r>
      <w:r w:rsidR="0085675A" w:rsidRPr="00B53B89">
        <w:rPr>
          <w:lang w:val="fr-CA"/>
        </w:rPr>
        <w:t xml:space="preserve"> </w:t>
      </w:r>
      <w:r w:rsidRPr="00B53B89">
        <w:rPr>
          <w:lang w:val="fr-CA"/>
        </w:rPr>
        <w:t xml:space="preserve">dans </w:t>
      </w:r>
      <w:r w:rsidR="00CE7FEC" w:rsidRPr="00B53B89">
        <w:rPr>
          <w:lang w:val="fr-CA"/>
        </w:rPr>
        <w:t>l’accord</w:t>
      </w:r>
      <w:r w:rsidR="0085675A" w:rsidRPr="00B53B89">
        <w:rPr>
          <w:lang w:val="fr-CA"/>
        </w:rPr>
        <w:t xml:space="preserve"> </w:t>
      </w:r>
      <w:r w:rsidR="00AA6E77" w:rsidRPr="00B53B89">
        <w:rPr>
          <w:lang w:val="fr-CA"/>
        </w:rPr>
        <w:t>approuvé</w:t>
      </w:r>
      <w:r w:rsidR="0085675A" w:rsidRPr="00B53B89">
        <w:rPr>
          <w:lang w:val="fr-CA"/>
        </w:rPr>
        <w:t xml:space="preserve"> </w:t>
      </w:r>
      <w:r w:rsidR="00733306" w:rsidRPr="00B53B89">
        <w:rPr>
          <w:lang w:val="fr-CA"/>
        </w:rPr>
        <w:t>à</w:t>
      </w:r>
      <w:r w:rsidR="00230D07" w:rsidRPr="00B53B89">
        <w:rPr>
          <w:lang w:val="fr-CA"/>
        </w:rPr>
        <w:t> </w:t>
      </w:r>
      <w:r w:rsidR="00733306" w:rsidRPr="00B53B89">
        <w:rPr>
          <w:lang w:val="fr-CA"/>
        </w:rPr>
        <w:t xml:space="preserve">la </w:t>
      </w:r>
      <w:r w:rsidRPr="00B53B89">
        <w:rPr>
          <w:lang w:val="fr-CA"/>
        </w:rPr>
        <w:t>7</w:t>
      </w:r>
      <w:r w:rsidR="0085675A" w:rsidRPr="00B53B89">
        <w:rPr>
          <w:lang w:val="fr-CA"/>
        </w:rPr>
        <w:t>9</w:t>
      </w:r>
      <w:r w:rsidRPr="00B53B89">
        <w:rPr>
          <w:vertAlign w:val="superscript"/>
          <w:lang w:val="fr-CA"/>
        </w:rPr>
        <w:t>e</w:t>
      </w:r>
      <w:r w:rsidRPr="00B53B89">
        <w:rPr>
          <w:lang w:val="fr-CA"/>
        </w:rPr>
        <w:t xml:space="preserve"> </w:t>
      </w:r>
      <w:r w:rsidR="00DD185D" w:rsidRPr="00B53B89">
        <w:rPr>
          <w:lang w:val="fr-CA"/>
        </w:rPr>
        <w:t>réunion</w:t>
      </w:r>
      <w:r w:rsidR="0085675A" w:rsidRPr="00B53B89">
        <w:rPr>
          <w:lang w:val="fr-CA"/>
        </w:rPr>
        <w:t>;</w:t>
      </w:r>
    </w:p>
    <w:p w:rsidR="0085675A" w:rsidRPr="00ED22D1" w:rsidRDefault="00CB2326" w:rsidP="0085675A">
      <w:pPr>
        <w:pStyle w:val="Heading2"/>
        <w:rPr>
          <w:lang w:val="fr-CA"/>
        </w:rPr>
      </w:pPr>
      <w:r w:rsidRPr="00ED22D1">
        <w:rPr>
          <w:lang w:val="fr-CA"/>
        </w:rPr>
        <w:t>Comme les conditions préalables pour l’approbation</w:t>
      </w:r>
      <w:r w:rsidR="0085675A" w:rsidRPr="00ED22D1">
        <w:rPr>
          <w:lang w:val="fr-CA"/>
        </w:rPr>
        <w:t xml:space="preserve"> </w:t>
      </w:r>
      <w:r w:rsidRPr="00ED22D1">
        <w:rPr>
          <w:lang w:val="fr-CA"/>
        </w:rPr>
        <w:t>de la</w:t>
      </w:r>
      <w:r w:rsidR="0085675A" w:rsidRPr="00ED22D1">
        <w:rPr>
          <w:lang w:val="fr-CA"/>
        </w:rPr>
        <w:t xml:space="preserve"> </w:t>
      </w:r>
      <w:r w:rsidR="00921BDE" w:rsidRPr="00ED22D1">
        <w:rPr>
          <w:lang w:val="fr-CA"/>
        </w:rPr>
        <w:t>deuxième</w:t>
      </w:r>
      <w:r w:rsidR="0085675A" w:rsidRPr="00ED22D1">
        <w:rPr>
          <w:lang w:val="fr-CA"/>
        </w:rPr>
        <w:t xml:space="preserve"> tranche </w:t>
      </w:r>
      <w:r w:rsidR="00502C24" w:rsidRPr="00ED22D1">
        <w:rPr>
          <w:lang w:val="fr-CA"/>
        </w:rPr>
        <w:t xml:space="preserve">du plan </w:t>
      </w:r>
      <w:r w:rsidR="00CA0808" w:rsidRPr="00ED22D1">
        <w:rPr>
          <w:lang w:val="fr-CA"/>
        </w:rPr>
        <w:t>du</w:t>
      </w:r>
      <w:r w:rsidR="00230D07" w:rsidRPr="00ED22D1">
        <w:rPr>
          <w:lang w:val="fr-CA"/>
        </w:rPr>
        <w:t> </w:t>
      </w:r>
      <w:r w:rsidR="00CA0808" w:rsidRPr="00ED22D1">
        <w:rPr>
          <w:lang w:val="fr-CA"/>
        </w:rPr>
        <w:t>secteur de</w:t>
      </w:r>
      <w:r w:rsidRPr="00ED22D1">
        <w:rPr>
          <w:lang w:val="fr-CA"/>
        </w:rPr>
        <w:t>s</w:t>
      </w:r>
      <w:r w:rsidR="00CA0808" w:rsidRPr="00ED22D1">
        <w:rPr>
          <w:lang w:val="fr-CA"/>
        </w:rPr>
        <w:t xml:space="preserve"> mousse</w:t>
      </w:r>
      <w:r w:rsidRPr="00ED22D1">
        <w:rPr>
          <w:lang w:val="fr-CA"/>
        </w:rPr>
        <w:t>s</w:t>
      </w:r>
      <w:r w:rsidR="00CA0808" w:rsidRPr="00ED22D1">
        <w:rPr>
          <w:lang w:val="fr-CA"/>
        </w:rPr>
        <w:t xml:space="preserve"> de polyuréthane</w:t>
      </w:r>
      <w:r w:rsidR="0085675A" w:rsidRPr="00ED22D1">
        <w:rPr>
          <w:lang w:val="fr-CA"/>
        </w:rPr>
        <w:t xml:space="preserve"> (</w:t>
      </w:r>
      <w:r w:rsidRPr="00ED22D1">
        <w:rPr>
          <w:lang w:val="fr-CA"/>
        </w:rPr>
        <w:t xml:space="preserve">à présenter </w:t>
      </w:r>
      <w:r w:rsidR="00733306" w:rsidRPr="00ED22D1">
        <w:rPr>
          <w:lang w:val="fr-CA"/>
        </w:rPr>
        <w:t xml:space="preserve">à la </w:t>
      </w:r>
      <w:r w:rsidRPr="00ED22D1">
        <w:rPr>
          <w:lang w:val="fr-CA"/>
        </w:rPr>
        <w:t>8</w:t>
      </w:r>
      <w:r w:rsidR="0085675A" w:rsidRPr="00ED22D1">
        <w:rPr>
          <w:lang w:val="fr-CA"/>
        </w:rPr>
        <w:t>0</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Pr="00ED22D1">
        <w:rPr>
          <w:lang w:val="fr-CA"/>
        </w:rPr>
        <w:t xml:space="preserve">n’avaient pas été remplies </w:t>
      </w:r>
      <w:r w:rsidR="00733306" w:rsidRPr="00ED22D1">
        <w:rPr>
          <w:lang w:val="fr-CA"/>
        </w:rPr>
        <w:t xml:space="preserve">à la </w:t>
      </w:r>
      <w:r w:rsidRPr="00ED22D1">
        <w:rPr>
          <w:lang w:val="fr-CA"/>
        </w:rPr>
        <w:t>8</w:t>
      </w:r>
      <w:r w:rsidR="0085675A" w:rsidRPr="00ED22D1">
        <w:rPr>
          <w:lang w:val="fr-CA"/>
        </w:rPr>
        <w:t>2</w:t>
      </w:r>
      <w:r w:rsidRPr="00ED22D1">
        <w:rPr>
          <w:vertAlign w:val="superscript"/>
          <w:lang w:val="fr-CA"/>
        </w:rPr>
        <w:t>e</w:t>
      </w:r>
      <w:r w:rsidRPr="00ED22D1">
        <w:rPr>
          <w:lang w:val="fr-CA"/>
        </w:rPr>
        <w:t xml:space="preserve"> </w:t>
      </w:r>
      <w:r w:rsidR="00DD185D" w:rsidRPr="00ED22D1">
        <w:rPr>
          <w:lang w:val="fr-CA"/>
        </w:rPr>
        <w:t>réunion</w:t>
      </w:r>
      <w:r w:rsidR="0085675A" w:rsidRPr="00ED22D1">
        <w:rPr>
          <w:lang w:val="fr-CA"/>
        </w:rPr>
        <w:t xml:space="preserve">, </w:t>
      </w:r>
      <w:r w:rsidRPr="00ED22D1">
        <w:rPr>
          <w:lang w:val="fr-CA"/>
        </w:rPr>
        <w:t xml:space="preserve">il existait un retard de deux ans du </w:t>
      </w:r>
      <w:r w:rsidR="00393F6B" w:rsidRPr="00ED22D1">
        <w:rPr>
          <w:lang w:val="fr-CA"/>
        </w:rPr>
        <w:t>financement</w:t>
      </w:r>
      <w:r w:rsidR="0085675A" w:rsidRPr="00ED22D1">
        <w:rPr>
          <w:lang w:val="fr-CA"/>
        </w:rPr>
        <w:t xml:space="preserve"> </w:t>
      </w:r>
      <w:r w:rsidRPr="00ED22D1">
        <w:rPr>
          <w:lang w:val="fr-CA"/>
        </w:rPr>
        <w:t>à décaisser</w:t>
      </w:r>
      <w:r w:rsidR="0085675A" w:rsidRPr="00ED22D1">
        <w:rPr>
          <w:lang w:val="fr-CA"/>
        </w:rPr>
        <w:t xml:space="preserve"> </w:t>
      </w:r>
      <w:r w:rsidR="00921BDE" w:rsidRPr="00ED22D1">
        <w:rPr>
          <w:lang w:val="fr-CA"/>
        </w:rPr>
        <w:t xml:space="preserve">pour la mise en oeuvre </w:t>
      </w:r>
      <w:r w:rsidRPr="00ED22D1">
        <w:rPr>
          <w:lang w:val="fr-CA"/>
        </w:rPr>
        <w:t>du plan de ce secteur</w:t>
      </w:r>
      <w:r w:rsidR="0031390F" w:rsidRPr="00ED22D1">
        <w:rPr>
          <w:lang w:val="fr-CA"/>
        </w:rPr>
        <w:t>. Le</w:t>
      </w:r>
      <w:r w:rsidRPr="00ED22D1">
        <w:rPr>
          <w:lang w:val="fr-CA"/>
        </w:rPr>
        <w:t xml:space="preserve">s engagements en vue de la réduction </w:t>
      </w:r>
      <w:r w:rsidRPr="00ED22D1">
        <w:rPr>
          <w:lang w:val="fr-CA"/>
        </w:rPr>
        <w:lastRenderedPageBreak/>
        <w:t>des</w:t>
      </w:r>
      <w:r w:rsidR="00230D07" w:rsidRPr="00ED22D1">
        <w:rPr>
          <w:lang w:val="fr-CA"/>
        </w:rPr>
        <w:t> </w:t>
      </w:r>
      <w:r w:rsidR="0085675A" w:rsidRPr="00ED22D1">
        <w:rPr>
          <w:lang w:val="fr-CA"/>
        </w:rPr>
        <w:t xml:space="preserve">HCFC </w:t>
      </w:r>
      <w:r w:rsidR="004A6828" w:rsidRPr="00ED22D1">
        <w:rPr>
          <w:lang w:val="fr-CA"/>
        </w:rPr>
        <w:t xml:space="preserve">et </w:t>
      </w:r>
      <w:r w:rsidRPr="00ED22D1">
        <w:rPr>
          <w:lang w:val="fr-CA"/>
        </w:rPr>
        <w:t>la durée du plan du secteur n’ont pas été modifiés</w:t>
      </w:r>
      <w:r w:rsidR="0085675A" w:rsidRPr="00ED22D1">
        <w:rPr>
          <w:lang w:val="fr-CA"/>
        </w:rPr>
        <w:t xml:space="preserve">, </w:t>
      </w:r>
      <w:r w:rsidRPr="00ED22D1">
        <w:rPr>
          <w:lang w:val="fr-CA"/>
        </w:rPr>
        <w:t xml:space="preserve">mais la valeur des tranches de </w:t>
      </w:r>
      <w:r w:rsidR="0085675A" w:rsidRPr="00ED22D1">
        <w:rPr>
          <w:lang w:val="fr-CA"/>
        </w:rPr>
        <w:t>2017</w:t>
      </w:r>
      <w:r w:rsidR="004A6828" w:rsidRPr="00ED22D1">
        <w:rPr>
          <w:lang w:val="fr-CA"/>
        </w:rPr>
        <w:t xml:space="preserve"> et </w:t>
      </w:r>
      <w:r w:rsidR="0085675A" w:rsidRPr="00ED22D1">
        <w:rPr>
          <w:lang w:val="fr-CA"/>
        </w:rPr>
        <w:t>2018 (1</w:t>
      </w:r>
      <w:r w:rsidR="004A6828" w:rsidRPr="00ED22D1">
        <w:rPr>
          <w:lang w:val="fr-CA"/>
        </w:rPr>
        <w:t>0,</w:t>
      </w:r>
      <w:r w:rsidR="0085675A" w:rsidRPr="00ED22D1">
        <w:rPr>
          <w:lang w:val="fr-CA"/>
        </w:rPr>
        <w:t xml:space="preserve">6 </w:t>
      </w:r>
      <w:r w:rsidR="00EC100C" w:rsidRPr="00ED22D1">
        <w:rPr>
          <w:lang w:val="fr-CA"/>
        </w:rPr>
        <w:t xml:space="preserve">millions $US </w:t>
      </w:r>
      <w:r w:rsidR="004A6828" w:rsidRPr="00ED22D1">
        <w:rPr>
          <w:lang w:val="fr-CA"/>
        </w:rPr>
        <w:t>et 9,</w:t>
      </w:r>
      <w:r w:rsidR="0085675A" w:rsidRPr="00ED22D1">
        <w:rPr>
          <w:lang w:val="fr-CA"/>
        </w:rPr>
        <w:t xml:space="preserve">0 </w:t>
      </w:r>
      <w:r w:rsidR="00DD185D" w:rsidRPr="00ED22D1">
        <w:rPr>
          <w:lang w:val="fr-CA"/>
        </w:rPr>
        <w:t>millions</w:t>
      </w:r>
      <w:r w:rsidR="00EC100C" w:rsidRPr="00ED22D1">
        <w:rPr>
          <w:lang w:val="fr-CA"/>
        </w:rPr>
        <w:t> $US</w:t>
      </w:r>
      <w:r w:rsidR="0085675A" w:rsidRPr="00ED22D1">
        <w:rPr>
          <w:lang w:val="fr-CA"/>
        </w:rPr>
        <w:t xml:space="preserve">) </w:t>
      </w:r>
      <w:r w:rsidRPr="00ED22D1">
        <w:rPr>
          <w:lang w:val="fr-CA"/>
        </w:rPr>
        <w:t xml:space="preserve">a été répartie </w:t>
      </w:r>
      <w:r w:rsidR="00230D07" w:rsidRPr="00ED22D1">
        <w:rPr>
          <w:lang w:val="fr-CA"/>
        </w:rPr>
        <w:t>entre</w:t>
      </w:r>
      <w:r w:rsidRPr="00ED22D1">
        <w:rPr>
          <w:lang w:val="fr-CA"/>
        </w:rPr>
        <w:t xml:space="preserve"> les tranches</w:t>
      </w:r>
      <w:r w:rsidR="0085675A" w:rsidRPr="00ED22D1">
        <w:rPr>
          <w:lang w:val="fr-CA"/>
        </w:rPr>
        <w:t xml:space="preserve"> 201</w:t>
      </w:r>
      <w:r w:rsidR="004A6828" w:rsidRPr="00ED22D1">
        <w:rPr>
          <w:lang w:val="fr-CA"/>
        </w:rPr>
        <w:t>9</w:t>
      </w:r>
      <w:r w:rsidRPr="00ED22D1">
        <w:rPr>
          <w:lang w:val="fr-CA"/>
        </w:rPr>
        <w:t>,</w:t>
      </w:r>
      <w:r w:rsidR="0085675A" w:rsidRPr="00ED22D1">
        <w:rPr>
          <w:lang w:val="fr-CA"/>
        </w:rPr>
        <w:t xml:space="preserve"> 202</w:t>
      </w:r>
      <w:r w:rsidR="004A6828" w:rsidRPr="00ED22D1">
        <w:rPr>
          <w:lang w:val="fr-CA"/>
        </w:rPr>
        <w:t>0</w:t>
      </w:r>
      <w:r w:rsidRPr="00ED22D1">
        <w:rPr>
          <w:lang w:val="fr-CA"/>
        </w:rPr>
        <w:t>,</w:t>
      </w:r>
      <w:r w:rsidR="0085675A" w:rsidRPr="00ED22D1">
        <w:rPr>
          <w:lang w:val="fr-CA"/>
        </w:rPr>
        <w:t xml:space="preserve"> 2024</w:t>
      </w:r>
      <w:r w:rsidR="004A6828" w:rsidRPr="00ED22D1">
        <w:rPr>
          <w:lang w:val="fr-CA"/>
        </w:rPr>
        <w:t xml:space="preserve"> et </w:t>
      </w:r>
      <w:r w:rsidR="0085675A" w:rsidRPr="00ED22D1">
        <w:rPr>
          <w:lang w:val="fr-CA"/>
        </w:rPr>
        <w:t>2025;</w:t>
      </w:r>
    </w:p>
    <w:p w:rsidR="0085675A" w:rsidRPr="00ED22D1" w:rsidRDefault="00CB2326" w:rsidP="0085675A">
      <w:pPr>
        <w:pStyle w:val="Heading2"/>
        <w:keepNext/>
        <w:keepLines/>
        <w:rPr>
          <w:lang w:val="fr-CA"/>
        </w:rPr>
      </w:pPr>
      <w:r w:rsidRPr="00ED22D1">
        <w:rPr>
          <w:lang w:val="fr-CA"/>
        </w:rPr>
        <w:t xml:space="preserve">Comme la </w:t>
      </w:r>
      <w:r w:rsidR="00921BDE" w:rsidRPr="00ED22D1">
        <w:rPr>
          <w:lang w:val="fr-CA"/>
        </w:rPr>
        <w:t>deuxième</w:t>
      </w:r>
      <w:r w:rsidR="0085675A" w:rsidRPr="00ED22D1">
        <w:rPr>
          <w:lang w:val="fr-CA"/>
        </w:rPr>
        <w:t xml:space="preserve"> tranche </w:t>
      </w:r>
      <w:r w:rsidRPr="00ED22D1">
        <w:rPr>
          <w:lang w:val="fr-CA"/>
        </w:rPr>
        <w:t>du</w:t>
      </w:r>
      <w:r w:rsidR="004A6828" w:rsidRPr="00ED22D1">
        <w:rPr>
          <w:lang w:val="fr-CA"/>
        </w:rPr>
        <w:t xml:space="preserve"> </w:t>
      </w:r>
      <w:r w:rsidRPr="00ED22D1">
        <w:rPr>
          <w:lang w:val="fr-CA"/>
        </w:rPr>
        <w:t xml:space="preserve">plan du </w:t>
      </w:r>
      <w:r w:rsidR="00DE118B" w:rsidRPr="00ED22D1">
        <w:rPr>
          <w:lang w:val="fr-CA"/>
        </w:rPr>
        <w:t>secteur des climatiseurs résidentiels</w:t>
      </w:r>
      <w:r w:rsidR="0085675A" w:rsidRPr="00ED22D1">
        <w:rPr>
          <w:lang w:val="fr-CA"/>
        </w:rPr>
        <w:t xml:space="preserve"> </w:t>
      </w:r>
      <w:r w:rsidR="00387A9A" w:rsidRPr="00ED22D1">
        <w:rPr>
          <w:lang w:val="fr-CA"/>
        </w:rPr>
        <w:t xml:space="preserve">due </w:t>
      </w:r>
      <w:r w:rsidR="0052712E" w:rsidRPr="00ED22D1">
        <w:rPr>
          <w:lang w:val="fr-CA"/>
        </w:rPr>
        <w:t>en 20</w:t>
      </w:r>
      <w:r w:rsidR="0085675A" w:rsidRPr="00ED22D1">
        <w:rPr>
          <w:lang w:val="fr-CA"/>
        </w:rPr>
        <w:t xml:space="preserve">17 </w:t>
      </w:r>
      <w:r w:rsidR="00387A9A" w:rsidRPr="00ED22D1">
        <w:rPr>
          <w:lang w:val="fr-CA"/>
        </w:rPr>
        <w:t>n’a été approuvée qu’</w:t>
      </w:r>
      <w:r w:rsidR="00733306" w:rsidRPr="00ED22D1">
        <w:rPr>
          <w:lang w:val="fr-CA"/>
        </w:rPr>
        <w:t xml:space="preserve">à la </w:t>
      </w:r>
      <w:r w:rsidR="00387A9A" w:rsidRPr="00ED22D1">
        <w:rPr>
          <w:lang w:val="fr-CA"/>
        </w:rPr>
        <w:t>8</w:t>
      </w:r>
      <w:r w:rsidR="0085675A" w:rsidRPr="00ED22D1">
        <w:rPr>
          <w:lang w:val="fr-CA"/>
        </w:rPr>
        <w:t>1</w:t>
      </w:r>
      <w:r w:rsidR="00387A9A" w:rsidRPr="00ED22D1">
        <w:rPr>
          <w:vertAlign w:val="superscript"/>
          <w:lang w:val="fr-CA"/>
        </w:rPr>
        <w:t>e</w:t>
      </w:r>
      <w:r w:rsidR="00387A9A" w:rsidRPr="00ED22D1">
        <w:rPr>
          <w:lang w:val="fr-CA"/>
        </w:rPr>
        <w:t xml:space="preserve"> </w:t>
      </w:r>
      <w:r w:rsidR="00DD185D" w:rsidRPr="00ED22D1">
        <w:rPr>
          <w:lang w:val="fr-CA"/>
        </w:rPr>
        <w:t>réunion</w:t>
      </w:r>
      <w:r w:rsidR="0085675A" w:rsidRPr="00ED22D1">
        <w:rPr>
          <w:lang w:val="fr-CA"/>
        </w:rPr>
        <w:t xml:space="preserve"> (2018)</w:t>
      </w:r>
      <w:r w:rsidR="004A6828" w:rsidRPr="00ED22D1">
        <w:rPr>
          <w:lang w:val="fr-CA"/>
        </w:rPr>
        <w:t xml:space="preserve"> et</w:t>
      </w:r>
      <w:r w:rsidR="00387A9A" w:rsidRPr="00ED22D1">
        <w:rPr>
          <w:lang w:val="fr-CA"/>
        </w:rPr>
        <w:t xml:space="preserve"> </w:t>
      </w:r>
      <w:r w:rsidR="00616B46" w:rsidRPr="00ED22D1">
        <w:rPr>
          <w:lang w:val="fr-CA"/>
        </w:rPr>
        <w:t>que l</w:t>
      </w:r>
      <w:r w:rsidR="00387A9A" w:rsidRPr="00ED22D1">
        <w:rPr>
          <w:lang w:val="fr-CA"/>
        </w:rPr>
        <w:t xml:space="preserve">a </w:t>
      </w:r>
      <w:r w:rsidR="004A6828" w:rsidRPr="00ED22D1">
        <w:rPr>
          <w:lang w:val="fr-CA"/>
        </w:rPr>
        <w:t>troisième</w:t>
      </w:r>
      <w:r w:rsidR="0085675A" w:rsidRPr="00ED22D1">
        <w:rPr>
          <w:lang w:val="fr-CA"/>
        </w:rPr>
        <w:t xml:space="preserve"> tranche due </w:t>
      </w:r>
      <w:r w:rsidR="0052712E" w:rsidRPr="00ED22D1">
        <w:rPr>
          <w:lang w:val="fr-CA"/>
        </w:rPr>
        <w:t>en 20</w:t>
      </w:r>
      <w:r w:rsidR="0085675A" w:rsidRPr="00ED22D1">
        <w:rPr>
          <w:lang w:val="fr-CA"/>
        </w:rPr>
        <w:t xml:space="preserve">18 </w:t>
      </w:r>
      <w:r w:rsidR="00387A9A" w:rsidRPr="00ED22D1">
        <w:rPr>
          <w:lang w:val="fr-CA"/>
        </w:rPr>
        <w:t>n’a</w:t>
      </w:r>
      <w:r w:rsidR="00230D07" w:rsidRPr="00ED22D1">
        <w:rPr>
          <w:lang w:val="fr-CA"/>
        </w:rPr>
        <w:t> </w:t>
      </w:r>
      <w:r w:rsidR="00387A9A" w:rsidRPr="00ED22D1">
        <w:rPr>
          <w:lang w:val="fr-CA"/>
        </w:rPr>
        <w:t>pas été présentée à la 8</w:t>
      </w:r>
      <w:r w:rsidR="0085675A" w:rsidRPr="00ED22D1">
        <w:rPr>
          <w:lang w:val="fr-CA"/>
        </w:rPr>
        <w:t>2</w:t>
      </w:r>
      <w:r w:rsidR="00387A9A" w:rsidRPr="00ED22D1">
        <w:rPr>
          <w:vertAlign w:val="superscript"/>
          <w:lang w:val="fr-CA"/>
        </w:rPr>
        <w:t>e</w:t>
      </w:r>
      <w:r w:rsidR="00387A9A" w:rsidRPr="00ED22D1">
        <w:rPr>
          <w:lang w:val="fr-CA"/>
        </w:rPr>
        <w:t xml:space="preserve"> </w:t>
      </w:r>
      <w:r w:rsidR="00DD185D" w:rsidRPr="00ED22D1">
        <w:rPr>
          <w:lang w:val="fr-CA"/>
        </w:rPr>
        <w:t>réunion</w:t>
      </w:r>
      <w:r w:rsidR="0085675A" w:rsidRPr="00ED22D1">
        <w:rPr>
          <w:lang w:val="fr-CA"/>
        </w:rPr>
        <w:t xml:space="preserve"> </w:t>
      </w:r>
      <w:r w:rsidR="0052712E" w:rsidRPr="00ED22D1">
        <w:rPr>
          <w:lang w:val="fr-CA"/>
        </w:rPr>
        <w:t>en 20</w:t>
      </w:r>
      <w:r w:rsidR="0085675A" w:rsidRPr="00ED22D1">
        <w:rPr>
          <w:lang w:val="fr-CA"/>
        </w:rPr>
        <w:t>1</w:t>
      </w:r>
      <w:r w:rsidR="004A6828" w:rsidRPr="00ED22D1">
        <w:rPr>
          <w:lang w:val="fr-CA"/>
        </w:rPr>
        <w:t>8</w:t>
      </w:r>
      <w:r w:rsidR="00387A9A" w:rsidRPr="00ED22D1">
        <w:rPr>
          <w:lang w:val="fr-CA"/>
        </w:rPr>
        <w:t>,</w:t>
      </w:r>
      <w:r w:rsidR="004A6828" w:rsidRPr="00ED22D1">
        <w:rPr>
          <w:lang w:val="fr-CA"/>
        </w:rPr>
        <w:t> </w:t>
      </w:r>
      <w:r w:rsidR="00387A9A" w:rsidRPr="00ED22D1">
        <w:rPr>
          <w:lang w:val="fr-CA"/>
        </w:rPr>
        <w:t>il y a un an de retard</w:t>
      </w:r>
      <w:r w:rsidR="0085675A" w:rsidRPr="00ED22D1">
        <w:rPr>
          <w:lang w:val="fr-CA"/>
        </w:rPr>
        <w:t xml:space="preserve">. </w:t>
      </w:r>
      <w:r w:rsidR="00387A9A" w:rsidRPr="00ED22D1">
        <w:rPr>
          <w:lang w:val="fr-CA"/>
        </w:rPr>
        <w:t xml:space="preserve">Par conséquent, les tranches restantes du </w:t>
      </w:r>
      <w:r w:rsidR="00733306" w:rsidRPr="00ED22D1">
        <w:rPr>
          <w:lang w:val="fr-CA"/>
        </w:rPr>
        <w:t xml:space="preserve">secteur </w:t>
      </w:r>
      <w:r w:rsidR="0085675A" w:rsidRPr="00ED22D1">
        <w:rPr>
          <w:lang w:val="fr-CA"/>
        </w:rPr>
        <w:t>(2018</w:t>
      </w:r>
      <w:r w:rsidR="00387A9A" w:rsidRPr="00ED22D1">
        <w:rPr>
          <w:lang w:val="fr-CA"/>
        </w:rPr>
        <w:t xml:space="preserve"> à</w:t>
      </w:r>
      <w:r w:rsidR="0085675A" w:rsidRPr="00ED22D1">
        <w:rPr>
          <w:lang w:val="fr-CA"/>
        </w:rPr>
        <w:t xml:space="preserve"> 2021) </w:t>
      </w:r>
      <w:r w:rsidR="00387A9A" w:rsidRPr="00ED22D1">
        <w:rPr>
          <w:lang w:val="fr-CA"/>
        </w:rPr>
        <w:t>ont été déplacées d’</w:t>
      </w:r>
      <w:r w:rsidR="00230D07" w:rsidRPr="00ED22D1">
        <w:rPr>
          <w:lang w:val="fr-CA"/>
        </w:rPr>
        <w:t>u</w:t>
      </w:r>
      <w:r w:rsidR="0085675A" w:rsidRPr="00ED22D1">
        <w:rPr>
          <w:lang w:val="fr-CA"/>
        </w:rPr>
        <w:t xml:space="preserve">ne </w:t>
      </w:r>
      <w:r w:rsidR="0052712E" w:rsidRPr="00ED22D1">
        <w:rPr>
          <w:lang w:val="fr-CA"/>
        </w:rPr>
        <w:t>année</w:t>
      </w:r>
      <w:r w:rsidR="0085675A" w:rsidRPr="00ED22D1">
        <w:rPr>
          <w:lang w:val="fr-CA"/>
        </w:rPr>
        <w:t xml:space="preserve"> (2019 </w:t>
      </w:r>
      <w:r w:rsidR="00387A9A" w:rsidRPr="00ED22D1">
        <w:rPr>
          <w:lang w:val="fr-CA"/>
        </w:rPr>
        <w:t>à 20</w:t>
      </w:r>
      <w:r w:rsidR="0085675A" w:rsidRPr="00ED22D1">
        <w:rPr>
          <w:lang w:val="fr-CA"/>
        </w:rPr>
        <w:t xml:space="preserve">22), </w:t>
      </w:r>
      <w:r w:rsidR="00387A9A" w:rsidRPr="00ED22D1">
        <w:rPr>
          <w:lang w:val="fr-CA"/>
        </w:rPr>
        <w:t xml:space="preserve">la dernière tranche étant maintenant </w:t>
      </w:r>
      <w:r w:rsidR="0052712E" w:rsidRPr="00ED22D1">
        <w:rPr>
          <w:lang w:val="fr-CA"/>
        </w:rPr>
        <w:t>en 20</w:t>
      </w:r>
      <w:r w:rsidR="0085675A" w:rsidRPr="00ED22D1">
        <w:rPr>
          <w:lang w:val="fr-CA"/>
        </w:rPr>
        <w:t xml:space="preserve">22 </w:t>
      </w:r>
      <w:r w:rsidR="00387A9A" w:rsidRPr="00ED22D1">
        <w:rPr>
          <w:lang w:val="fr-CA"/>
        </w:rPr>
        <w:t xml:space="preserve">au lieu de </w:t>
      </w:r>
      <w:r w:rsidR="0085675A" w:rsidRPr="00ED22D1">
        <w:rPr>
          <w:lang w:val="fr-CA"/>
        </w:rPr>
        <w:t>202</w:t>
      </w:r>
      <w:r w:rsidR="004A6828" w:rsidRPr="00ED22D1">
        <w:rPr>
          <w:lang w:val="fr-CA"/>
        </w:rPr>
        <w:t>1</w:t>
      </w:r>
      <w:r w:rsidR="00387A9A" w:rsidRPr="00ED22D1">
        <w:rPr>
          <w:lang w:val="fr-CA"/>
        </w:rPr>
        <w:t>.</w:t>
      </w:r>
      <w:r w:rsidR="0085675A" w:rsidRPr="00ED22D1">
        <w:rPr>
          <w:lang w:val="fr-CA"/>
        </w:rPr>
        <w:t xml:space="preserve"> </w:t>
      </w:r>
      <w:r w:rsidR="00387A9A" w:rsidRPr="00ED22D1">
        <w:rPr>
          <w:lang w:val="fr-CA"/>
        </w:rPr>
        <w:t>La p</w:t>
      </w:r>
      <w:r w:rsidR="00E81764" w:rsidRPr="00ED22D1">
        <w:rPr>
          <w:lang w:val="fr-CA"/>
        </w:rPr>
        <w:t>résentation</w:t>
      </w:r>
      <w:r w:rsidR="0085675A" w:rsidRPr="00ED22D1">
        <w:rPr>
          <w:lang w:val="fr-CA"/>
        </w:rPr>
        <w:t xml:space="preserve"> </w:t>
      </w:r>
      <w:r w:rsidR="00387A9A" w:rsidRPr="00ED22D1">
        <w:rPr>
          <w:lang w:val="fr-CA"/>
        </w:rPr>
        <w:t>des</w:t>
      </w:r>
      <w:r w:rsidR="00230D07" w:rsidRPr="00ED22D1">
        <w:rPr>
          <w:lang w:val="fr-CA"/>
        </w:rPr>
        <w:t> </w:t>
      </w:r>
      <w:r w:rsidR="00387A9A" w:rsidRPr="00ED22D1">
        <w:rPr>
          <w:lang w:val="fr-CA"/>
        </w:rPr>
        <w:t xml:space="preserve">demandes de tranches continueront d’avoir lieu au cours de la </w:t>
      </w:r>
      <w:r w:rsidR="00921BDE" w:rsidRPr="00ED22D1">
        <w:rPr>
          <w:lang w:val="fr-CA"/>
        </w:rPr>
        <w:t>deuxième</w:t>
      </w:r>
      <w:r w:rsidR="00DD185D" w:rsidRPr="00ED22D1">
        <w:rPr>
          <w:lang w:val="fr-CA"/>
        </w:rPr>
        <w:t xml:space="preserve"> réunion</w:t>
      </w:r>
      <w:r w:rsidR="0085675A" w:rsidRPr="00ED22D1">
        <w:rPr>
          <w:lang w:val="fr-CA"/>
        </w:rPr>
        <w:t xml:space="preserve"> </w:t>
      </w:r>
      <w:r w:rsidR="00387A9A" w:rsidRPr="00ED22D1">
        <w:rPr>
          <w:lang w:val="fr-CA"/>
        </w:rPr>
        <w:t>de</w:t>
      </w:r>
      <w:r w:rsidR="00230D07" w:rsidRPr="00ED22D1">
        <w:rPr>
          <w:lang w:val="fr-CA"/>
        </w:rPr>
        <w:t> </w:t>
      </w:r>
      <w:r w:rsidR="00387A9A" w:rsidRPr="00ED22D1">
        <w:rPr>
          <w:lang w:val="fr-CA"/>
        </w:rPr>
        <w:t>l’</w:t>
      </w:r>
      <w:r w:rsidR="0052712E" w:rsidRPr="00ED22D1">
        <w:rPr>
          <w:lang w:val="fr-CA"/>
        </w:rPr>
        <w:t>année</w:t>
      </w:r>
      <w:r w:rsidR="0085675A" w:rsidRPr="00ED22D1">
        <w:rPr>
          <w:lang w:val="fr-CA"/>
        </w:rPr>
        <w:t xml:space="preserve">, </w:t>
      </w:r>
      <w:r w:rsidR="00387A9A" w:rsidRPr="00ED22D1">
        <w:rPr>
          <w:lang w:val="fr-CA"/>
        </w:rPr>
        <w:t>tel que stipulé dans</w:t>
      </w:r>
      <w:r w:rsidR="0085675A" w:rsidRPr="00ED22D1">
        <w:rPr>
          <w:lang w:val="fr-CA"/>
        </w:rPr>
        <w:t xml:space="preserve"> </w:t>
      </w:r>
      <w:r w:rsidR="00CE7FEC" w:rsidRPr="00ED22D1">
        <w:rPr>
          <w:lang w:val="fr-CA"/>
        </w:rPr>
        <w:t>l’accord</w:t>
      </w:r>
      <w:r w:rsidR="00B84F94" w:rsidRPr="00ED22D1">
        <w:rPr>
          <w:lang w:val="fr-CA"/>
        </w:rPr>
        <w:t xml:space="preserve">; et </w:t>
      </w:r>
    </w:p>
    <w:p w:rsidR="0085675A" w:rsidRPr="00ED22D1" w:rsidRDefault="00387A9A" w:rsidP="0085675A">
      <w:pPr>
        <w:pStyle w:val="Heading2"/>
        <w:keepNext/>
        <w:keepLines/>
        <w:rPr>
          <w:lang w:val="fr-CA"/>
        </w:rPr>
      </w:pPr>
      <w:r w:rsidRPr="00ED22D1">
        <w:rPr>
          <w:lang w:val="fr-CA"/>
        </w:rPr>
        <w:t>La distribution de la</w:t>
      </w:r>
      <w:r w:rsidR="0085675A" w:rsidRPr="00ED22D1">
        <w:rPr>
          <w:lang w:val="fr-CA"/>
        </w:rPr>
        <w:t xml:space="preserve"> tranche </w:t>
      </w:r>
      <w:r w:rsidR="00502C24" w:rsidRPr="00ED22D1">
        <w:rPr>
          <w:lang w:val="fr-CA"/>
        </w:rPr>
        <w:t xml:space="preserve">du plan </w:t>
      </w:r>
      <w:r w:rsidR="004A6828" w:rsidRPr="00ED22D1">
        <w:rPr>
          <w:lang w:val="fr-CA"/>
        </w:rPr>
        <w:t>du secteur des solvants</w:t>
      </w:r>
      <w:r w:rsidR="0085675A" w:rsidRPr="00ED22D1">
        <w:rPr>
          <w:lang w:val="fr-CA"/>
        </w:rPr>
        <w:t xml:space="preserve"> </w:t>
      </w:r>
      <w:r w:rsidRPr="00ED22D1">
        <w:rPr>
          <w:lang w:val="fr-CA"/>
        </w:rPr>
        <w:t xml:space="preserve">a été rajustée en augmentant les montants </w:t>
      </w:r>
      <w:r w:rsidR="0052712E" w:rsidRPr="00ED22D1">
        <w:rPr>
          <w:lang w:val="fr-CA"/>
        </w:rPr>
        <w:t>en 20</w:t>
      </w:r>
      <w:r w:rsidR="0085675A" w:rsidRPr="00ED22D1">
        <w:rPr>
          <w:lang w:val="fr-CA"/>
        </w:rPr>
        <w:t>1</w:t>
      </w:r>
      <w:r w:rsidR="004A6828" w:rsidRPr="00ED22D1">
        <w:rPr>
          <w:lang w:val="fr-CA"/>
        </w:rPr>
        <w:t>8</w:t>
      </w:r>
      <w:r w:rsidRPr="00ED22D1">
        <w:rPr>
          <w:lang w:val="fr-CA"/>
        </w:rPr>
        <w:t>,</w:t>
      </w:r>
      <w:r w:rsidR="004A6828" w:rsidRPr="00ED22D1">
        <w:rPr>
          <w:lang w:val="fr-CA"/>
        </w:rPr>
        <w:t> </w:t>
      </w:r>
      <w:r w:rsidR="0085675A" w:rsidRPr="00ED22D1">
        <w:rPr>
          <w:lang w:val="fr-CA"/>
        </w:rPr>
        <w:t>201</w:t>
      </w:r>
      <w:r w:rsidR="004A6828" w:rsidRPr="00ED22D1">
        <w:rPr>
          <w:lang w:val="fr-CA"/>
        </w:rPr>
        <w:t>9</w:t>
      </w:r>
      <w:r w:rsidRPr="00ED22D1">
        <w:rPr>
          <w:lang w:val="fr-CA"/>
        </w:rPr>
        <w:t>,</w:t>
      </w:r>
      <w:r w:rsidR="004A6828" w:rsidRPr="00ED22D1">
        <w:rPr>
          <w:lang w:val="fr-CA"/>
        </w:rPr>
        <w:t> </w:t>
      </w:r>
      <w:r w:rsidR="0085675A" w:rsidRPr="00ED22D1">
        <w:rPr>
          <w:lang w:val="fr-CA"/>
        </w:rPr>
        <w:t>2020</w:t>
      </w:r>
      <w:r w:rsidR="004A6828" w:rsidRPr="00ED22D1">
        <w:rPr>
          <w:lang w:val="fr-CA"/>
        </w:rPr>
        <w:t xml:space="preserve"> et </w:t>
      </w:r>
      <w:r w:rsidR="0085675A" w:rsidRPr="00ED22D1">
        <w:rPr>
          <w:lang w:val="fr-CA"/>
        </w:rPr>
        <w:t>202</w:t>
      </w:r>
      <w:r w:rsidR="004A6828" w:rsidRPr="00ED22D1">
        <w:rPr>
          <w:lang w:val="fr-CA"/>
        </w:rPr>
        <w:t>3</w:t>
      </w:r>
      <w:r w:rsidRPr="00ED22D1">
        <w:rPr>
          <w:lang w:val="fr-CA"/>
        </w:rPr>
        <w:t>,</w:t>
      </w:r>
      <w:r w:rsidR="004A6828" w:rsidRPr="00ED22D1">
        <w:rPr>
          <w:lang w:val="fr-CA"/>
        </w:rPr>
        <w:t> et</w:t>
      </w:r>
      <w:r w:rsidRPr="00ED22D1">
        <w:rPr>
          <w:lang w:val="fr-CA"/>
        </w:rPr>
        <w:t xml:space="preserve"> en diminuant les montants </w:t>
      </w:r>
      <w:r w:rsidR="0052712E" w:rsidRPr="00ED22D1">
        <w:rPr>
          <w:lang w:val="fr-CA"/>
        </w:rPr>
        <w:t>en 20</w:t>
      </w:r>
      <w:r w:rsidR="0085675A" w:rsidRPr="00ED22D1">
        <w:rPr>
          <w:lang w:val="fr-CA"/>
        </w:rPr>
        <w:t>2</w:t>
      </w:r>
      <w:r w:rsidR="004A6828" w:rsidRPr="00ED22D1">
        <w:rPr>
          <w:lang w:val="fr-CA"/>
        </w:rPr>
        <w:t>1</w:t>
      </w:r>
      <w:r w:rsidRPr="00ED22D1">
        <w:rPr>
          <w:lang w:val="fr-CA"/>
        </w:rPr>
        <w:t>,</w:t>
      </w:r>
      <w:r w:rsidR="004A6828" w:rsidRPr="00ED22D1">
        <w:rPr>
          <w:lang w:val="fr-CA"/>
        </w:rPr>
        <w:t> </w:t>
      </w:r>
      <w:r w:rsidR="0085675A" w:rsidRPr="00ED22D1">
        <w:rPr>
          <w:lang w:val="fr-CA"/>
        </w:rPr>
        <w:t>202</w:t>
      </w:r>
      <w:r w:rsidR="004A6828" w:rsidRPr="00ED22D1">
        <w:rPr>
          <w:lang w:val="fr-CA"/>
        </w:rPr>
        <w:t>2</w:t>
      </w:r>
      <w:r w:rsidRPr="00ED22D1">
        <w:rPr>
          <w:lang w:val="fr-CA"/>
        </w:rPr>
        <w:t>,</w:t>
      </w:r>
      <w:r w:rsidR="0085675A" w:rsidRPr="00ED22D1">
        <w:rPr>
          <w:lang w:val="fr-CA"/>
        </w:rPr>
        <w:t xml:space="preserve"> 2024</w:t>
      </w:r>
      <w:r w:rsidR="004A6828" w:rsidRPr="00ED22D1">
        <w:rPr>
          <w:lang w:val="fr-CA"/>
        </w:rPr>
        <w:t xml:space="preserve"> et </w:t>
      </w:r>
      <w:r w:rsidR="0085675A" w:rsidRPr="00ED22D1">
        <w:rPr>
          <w:lang w:val="fr-CA"/>
        </w:rPr>
        <w:t>2025</w:t>
      </w:r>
      <w:r w:rsidRPr="00ED22D1">
        <w:rPr>
          <w:lang w:val="fr-CA"/>
        </w:rPr>
        <w:t xml:space="preserve">, afin de bénéficier du flux de trésorerie nécessaire pour la </w:t>
      </w:r>
      <w:r w:rsidR="00802F71" w:rsidRPr="00ED22D1">
        <w:rPr>
          <w:lang w:val="fr-CA"/>
        </w:rPr>
        <w:t>signature</w:t>
      </w:r>
      <w:r w:rsidRPr="00ED22D1">
        <w:rPr>
          <w:lang w:val="fr-CA"/>
        </w:rPr>
        <w:t xml:space="preserve"> de</w:t>
      </w:r>
      <w:r w:rsidR="00230D07" w:rsidRPr="00ED22D1">
        <w:rPr>
          <w:lang w:val="fr-CA"/>
        </w:rPr>
        <w:t> </w:t>
      </w:r>
      <w:r w:rsidRPr="00ED22D1">
        <w:rPr>
          <w:lang w:val="fr-CA"/>
        </w:rPr>
        <w:t xml:space="preserve">nouvelles </w:t>
      </w:r>
      <w:r w:rsidR="00921BDE" w:rsidRPr="00ED22D1">
        <w:rPr>
          <w:lang w:val="fr-CA"/>
        </w:rPr>
        <w:t>entreprise</w:t>
      </w:r>
      <w:r w:rsidR="0085675A" w:rsidRPr="00ED22D1">
        <w:rPr>
          <w:lang w:val="fr-CA"/>
        </w:rPr>
        <w:t xml:space="preserve">s, </w:t>
      </w:r>
      <w:r w:rsidRPr="00ED22D1">
        <w:rPr>
          <w:lang w:val="fr-CA"/>
        </w:rPr>
        <w:t>afin de s’assurer en temps opportun de l’achèvement des étapes</w:t>
      </w:r>
      <w:r w:rsidR="0085675A" w:rsidRPr="00ED22D1">
        <w:rPr>
          <w:lang w:val="fr-CA"/>
        </w:rPr>
        <w:t>,</w:t>
      </w:r>
      <w:r w:rsidR="004A6828" w:rsidRPr="00ED22D1">
        <w:rPr>
          <w:lang w:val="fr-CA"/>
        </w:rPr>
        <w:t xml:space="preserve"> et </w:t>
      </w:r>
      <w:r w:rsidRPr="00ED22D1">
        <w:rPr>
          <w:lang w:val="fr-CA"/>
        </w:rPr>
        <w:t>de refléter les paiements des surcoûts d’</w:t>
      </w:r>
      <w:r w:rsidR="00802F71" w:rsidRPr="00ED22D1">
        <w:rPr>
          <w:lang w:val="fr-CA"/>
        </w:rPr>
        <w:t>exploitation</w:t>
      </w:r>
      <w:r w:rsidRPr="00ED22D1">
        <w:rPr>
          <w:lang w:val="fr-CA"/>
        </w:rPr>
        <w:t xml:space="preserve"> nécessaires lorsque la </w:t>
      </w:r>
      <w:r w:rsidR="00181884" w:rsidRPr="00ED22D1">
        <w:rPr>
          <w:lang w:val="fr-CA"/>
        </w:rPr>
        <w:t>première</w:t>
      </w:r>
      <w:r w:rsidR="0085675A" w:rsidRPr="00ED22D1">
        <w:rPr>
          <w:lang w:val="fr-CA"/>
        </w:rPr>
        <w:t xml:space="preserve"> s</w:t>
      </w:r>
      <w:r w:rsidRPr="00ED22D1">
        <w:rPr>
          <w:lang w:val="fr-CA"/>
        </w:rPr>
        <w:t>érie d’</w:t>
      </w:r>
      <w:r w:rsidR="00921BDE" w:rsidRPr="00ED22D1">
        <w:rPr>
          <w:lang w:val="fr-CA"/>
        </w:rPr>
        <w:t>entreprise</w:t>
      </w:r>
      <w:r w:rsidR="0085675A" w:rsidRPr="00ED22D1">
        <w:rPr>
          <w:lang w:val="fr-CA"/>
        </w:rPr>
        <w:t xml:space="preserve">s </w:t>
      </w:r>
      <w:r w:rsidRPr="00ED22D1">
        <w:rPr>
          <w:lang w:val="fr-CA"/>
        </w:rPr>
        <w:t>aur</w:t>
      </w:r>
      <w:r w:rsidR="00230D07" w:rsidRPr="00ED22D1">
        <w:rPr>
          <w:lang w:val="fr-CA"/>
        </w:rPr>
        <w:t>a</w:t>
      </w:r>
      <w:r w:rsidRPr="00ED22D1">
        <w:rPr>
          <w:lang w:val="fr-CA"/>
        </w:rPr>
        <w:t xml:space="preserve"> terminé </w:t>
      </w:r>
      <w:r w:rsidR="00230D07" w:rsidRPr="00ED22D1">
        <w:rPr>
          <w:lang w:val="fr-CA"/>
        </w:rPr>
        <w:t>ses</w:t>
      </w:r>
      <w:r w:rsidR="00FB1DC4" w:rsidRPr="00ED22D1">
        <w:rPr>
          <w:lang w:val="fr-CA"/>
        </w:rPr>
        <w:t xml:space="preserve"> reconversion</w:t>
      </w:r>
      <w:r w:rsidR="0085675A" w:rsidRPr="00ED22D1">
        <w:rPr>
          <w:lang w:val="fr-CA"/>
        </w:rPr>
        <w:t>s.</w:t>
      </w:r>
    </w:p>
    <w:p w:rsidR="0085675A" w:rsidRPr="00ED22D1" w:rsidRDefault="00934B3A" w:rsidP="003014CD">
      <w:pPr>
        <w:pStyle w:val="Heading1"/>
        <w:numPr>
          <w:ilvl w:val="0"/>
          <w:numId w:val="0"/>
        </w:numPr>
        <w:rPr>
          <w:lang w:val="fr-CA"/>
        </w:rPr>
      </w:pPr>
      <w:r w:rsidRPr="00ED22D1">
        <w:rPr>
          <w:lang w:val="fr-CA"/>
        </w:rPr>
        <w:t>50.</w:t>
      </w:r>
      <w:r w:rsidR="003014CD" w:rsidRPr="00ED22D1">
        <w:rPr>
          <w:lang w:val="fr-CA"/>
        </w:rPr>
        <w:tab/>
      </w:r>
      <w:r w:rsidR="00387A9A" w:rsidRPr="00ED22D1">
        <w:rPr>
          <w:lang w:val="fr-CA"/>
        </w:rPr>
        <w:t xml:space="preserve">Après </w:t>
      </w:r>
      <w:r w:rsidR="0085675A" w:rsidRPr="00ED22D1">
        <w:rPr>
          <w:lang w:val="fr-CA"/>
        </w:rPr>
        <w:t xml:space="preserve">discussion </w:t>
      </w:r>
      <w:r w:rsidR="00230D07" w:rsidRPr="00ED22D1">
        <w:rPr>
          <w:lang w:val="fr-CA"/>
        </w:rPr>
        <w:t>sur</w:t>
      </w:r>
      <w:r w:rsidR="00387A9A" w:rsidRPr="00ED22D1">
        <w:rPr>
          <w:lang w:val="fr-CA"/>
        </w:rPr>
        <w:t xml:space="preserve"> la distribution de la </w:t>
      </w:r>
      <w:r w:rsidR="0085675A" w:rsidRPr="00ED22D1">
        <w:rPr>
          <w:lang w:val="fr-CA"/>
        </w:rPr>
        <w:t>tranche</w:t>
      </w:r>
      <w:r w:rsidR="00387A9A" w:rsidRPr="00ED22D1">
        <w:rPr>
          <w:lang w:val="fr-CA"/>
        </w:rPr>
        <w:t xml:space="preserve"> proposée</w:t>
      </w:r>
      <w:r w:rsidR="0085675A" w:rsidRPr="00ED22D1">
        <w:rPr>
          <w:lang w:val="fr-CA"/>
        </w:rPr>
        <w:t xml:space="preserve">, </w:t>
      </w:r>
      <w:r w:rsidR="00387A9A" w:rsidRPr="00ED22D1">
        <w:rPr>
          <w:lang w:val="fr-CA"/>
        </w:rPr>
        <w:t>quelques rajustements ont été apportés afin que le</w:t>
      </w:r>
      <w:r w:rsidR="00802F71" w:rsidRPr="00ED22D1">
        <w:rPr>
          <w:lang w:val="fr-CA"/>
        </w:rPr>
        <w:t>s</w:t>
      </w:r>
      <w:r w:rsidR="00387A9A" w:rsidRPr="00ED22D1">
        <w:rPr>
          <w:lang w:val="fr-CA"/>
        </w:rPr>
        <w:t xml:space="preserve"> niveaux totaux des </w:t>
      </w:r>
      <w:r w:rsidR="0085675A" w:rsidRPr="00ED22D1">
        <w:rPr>
          <w:lang w:val="fr-CA"/>
        </w:rPr>
        <w:t>tranche</w:t>
      </w:r>
      <w:r w:rsidR="00387A9A" w:rsidRPr="00ED22D1">
        <w:rPr>
          <w:lang w:val="fr-CA"/>
        </w:rPr>
        <w:t>s</w:t>
      </w:r>
      <w:r w:rsidR="0085675A" w:rsidRPr="00ED22D1">
        <w:rPr>
          <w:lang w:val="fr-CA"/>
        </w:rPr>
        <w:t xml:space="preserve"> </w:t>
      </w:r>
      <w:r w:rsidR="00387A9A" w:rsidRPr="00ED22D1">
        <w:rPr>
          <w:lang w:val="fr-CA"/>
        </w:rPr>
        <w:t xml:space="preserve">annuelles soient maintenus aussi près que </w:t>
      </w:r>
      <w:r w:rsidR="0085675A" w:rsidRPr="00ED22D1">
        <w:rPr>
          <w:lang w:val="fr-CA"/>
        </w:rPr>
        <w:t xml:space="preserve">possible </w:t>
      </w:r>
      <w:r w:rsidR="00387A9A" w:rsidRPr="00ED22D1">
        <w:rPr>
          <w:lang w:val="fr-CA"/>
        </w:rPr>
        <w:t>de</w:t>
      </w:r>
      <w:r w:rsidR="00381D85" w:rsidRPr="00ED22D1">
        <w:rPr>
          <w:lang w:val="fr-CA"/>
        </w:rPr>
        <w:t>s niveaux</w:t>
      </w:r>
      <w:r w:rsidR="00387A9A" w:rsidRPr="00ED22D1">
        <w:rPr>
          <w:lang w:val="fr-CA"/>
        </w:rPr>
        <w:t xml:space="preserve"> initialement convenus</w:t>
      </w:r>
      <w:r w:rsidR="0085675A" w:rsidRPr="00ED22D1">
        <w:rPr>
          <w:lang w:val="fr-CA"/>
        </w:rPr>
        <w:t>.</w:t>
      </w:r>
    </w:p>
    <w:p w:rsidR="0085675A" w:rsidRPr="00ED22D1" w:rsidRDefault="00934B3A" w:rsidP="003014CD">
      <w:pPr>
        <w:pStyle w:val="Heading1"/>
        <w:numPr>
          <w:ilvl w:val="0"/>
          <w:numId w:val="0"/>
        </w:numPr>
        <w:rPr>
          <w:lang w:val="fr-CA"/>
        </w:rPr>
      </w:pPr>
      <w:r w:rsidRPr="00ED22D1">
        <w:rPr>
          <w:lang w:val="fr-CA"/>
        </w:rPr>
        <w:t>51.</w:t>
      </w:r>
      <w:r w:rsidR="003014CD" w:rsidRPr="00ED22D1">
        <w:rPr>
          <w:lang w:val="fr-CA"/>
        </w:rPr>
        <w:tab/>
      </w:r>
      <w:r w:rsidR="00733306" w:rsidRPr="00ED22D1">
        <w:rPr>
          <w:lang w:val="fr-CA"/>
        </w:rPr>
        <w:t xml:space="preserve">À la </w:t>
      </w:r>
      <w:r w:rsidR="000D737E" w:rsidRPr="00ED22D1">
        <w:rPr>
          <w:lang w:val="fr-CA"/>
        </w:rPr>
        <w:t>8</w:t>
      </w:r>
      <w:r w:rsidR="0085675A" w:rsidRPr="00ED22D1">
        <w:rPr>
          <w:lang w:val="fr-CA"/>
        </w:rPr>
        <w:t>2</w:t>
      </w:r>
      <w:r w:rsidR="000D737E" w:rsidRPr="00ED22D1">
        <w:rPr>
          <w:vertAlign w:val="superscript"/>
          <w:lang w:val="fr-CA"/>
        </w:rPr>
        <w:t>e</w:t>
      </w:r>
      <w:r w:rsidR="000D737E" w:rsidRPr="00ED22D1">
        <w:rPr>
          <w:lang w:val="fr-CA"/>
        </w:rPr>
        <w:t xml:space="preserve"> </w:t>
      </w:r>
      <w:r w:rsidR="00DD185D" w:rsidRPr="00ED22D1">
        <w:rPr>
          <w:lang w:val="fr-CA"/>
        </w:rPr>
        <w:t>réunion</w:t>
      </w:r>
      <w:r w:rsidR="0085675A" w:rsidRPr="00ED22D1">
        <w:rPr>
          <w:lang w:val="fr-CA"/>
        </w:rPr>
        <w:t>,</w:t>
      </w:r>
      <w:r w:rsidR="00DD185D" w:rsidRPr="00ED22D1">
        <w:rPr>
          <w:lang w:val="fr-CA"/>
        </w:rPr>
        <w:t xml:space="preserve"> le Secrétariat</w:t>
      </w:r>
      <w:r w:rsidR="0085675A" w:rsidRPr="00ED22D1">
        <w:rPr>
          <w:lang w:val="fr-CA"/>
        </w:rPr>
        <w:t xml:space="preserve"> </w:t>
      </w:r>
      <w:r w:rsidR="000D737E" w:rsidRPr="00ED22D1">
        <w:rPr>
          <w:lang w:val="fr-CA"/>
        </w:rPr>
        <w:t xml:space="preserve">a jugé que les </w:t>
      </w:r>
      <w:r w:rsidR="00802F71" w:rsidRPr="00ED22D1">
        <w:rPr>
          <w:lang w:val="fr-CA"/>
        </w:rPr>
        <w:t>rajustements</w:t>
      </w:r>
      <w:r w:rsidR="0085675A" w:rsidRPr="00ED22D1">
        <w:rPr>
          <w:lang w:val="fr-CA"/>
        </w:rPr>
        <w:t xml:space="preserve"> </w:t>
      </w:r>
      <w:r w:rsidR="000D737E" w:rsidRPr="00ED22D1">
        <w:rPr>
          <w:lang w:val="fr-CA"/>
        </w:rPr>
        <w:t xml:space="preserve">à la distribution de la </w:t>
      </w:r>
      <w:r w:rsidR="0085675A" w:rsidRPr="00ED22D1">
        <w:rPr>
          <w:lang w:val="fr-CA"/>
        </w:rPr>
        <w:t xml:space="preserve">tranche </w:t>
      </w:r>
      <w:r w:rsidR="000D737E" w:rsidRPr="00ED22D1">
        <w:rPr>
          <w:lang w:val="fr-CA"/>
        </w:rPr>
        <w:t xml:space="preserve">des mousses </w:t>
      </w:r>
      <w:r w:rsidR="00CA0808" w:rsidRPr="00ED22D1">
        <w:rPr>
          <w:lang w:val="fr-CA"/>
        </w:rPr>
        <w:t>de polyuréthane</w:t>
      </w:r>
      <w:r w:rsidR="004A6828" w:rsidRPr="00ED22D1">
        <w:rPr>
          <w:lang w:val="fr-CA"/>
        </w:rPr>
        <w:t xml:space="preserve"> et </w:t>
      </w:r>
      <w:r w:rsidR="000D737E" w:rsidRPr="00ED22D1">
        <w:rPr>
          <w:lang w:val="fr-CA"/>
        </w:rPr>
        <w:t xml:space="preserve">du </w:t>
      </w:r>
      <w:r w:rsidR="00DE118B" w:rsidRPr="00ED22D1">
        <w:rPr>
          <w:lang w:val="fr-CA"/>
        </w:rPr>
        <w:t>secteur des climatiseurs résidentiels</w:t>
      </w:r>
      <w:r w:rsidR="000D737E" w:rsidRPr="00ED22D1">
        <w:rPr>
          <w:lang w:val="fr-CA"/>
        </w:rPr>
        <w:t xml:space="preserve"> étaient conformes aux délais engagés et au besoin de</w:t>
      </w:r>
      <w:r w:rsidR="0085675A" w:rsidRPr="00ED22D1">
        <w:rPr>
          <w:lang w:val="fr-CA"/>
        </w:rPr>
        <w:t xml:space="preserve"> </w:t>
      </w:r>
      <w:r w:rsidR="00D15079" w:rsidRPr="00ED22D1">
        <w:rPr>
          <w:lang w:val="fr-CA"/>
        </w:rPr>
        <w:t>financement</w:t>
      </w:r>
      <w:r w:rsidR="0085675A" w:rsidRPr="00ED22D1">
        <w:rPr>
          <w:lang w:val="fr-CA"/>
        </w:rPr>
        <w:t xml:space="preserve"> </w:t>
      </w:r>
      <w:r w:rsidR="000D737E" w:rsidRPr="00ED22D1">
        <w:rPr>
          <w:lang w:val="fr-CA"/>
        </w:rPr>
        <w:t>des</w:t>
      </w:r>
      <w:r w:rsidR="0085675A" w:rsidRPr="00ED22D1">
        <w:rPr>
          <w:lang w:val="fr-CA"/>
        </w:rPr>
        <w:t xml:space="preserve"> </w:t>
      </w:r>
      <w:r w:rsidR="000D737E" w:rsidRPr="00ED22D1">
        <w:rPr>
          <w:lang w:val="fr-CA"/>
        </w:rPr>
        <w:t xml:space="preserve">années </w:t>
      </w:r>
      <w:r w:rsidR="0085675A" w:rsidRPr="00ED22D1">
        <w:rPr>
          <w:lang w:val="fr-CA"/>
        </w:rPr>
        <w:t>subs</w:t>
      </w:r>
      <w:r w:rsidR="000D737E" w:rsidRPr="00ED22D1">
        <w:rPr>
          <w:lang w:val="fr-CA"/>
        </w:rPr>
        <w:t>é</w:t>
      </w:r>
      <w:r w:rsidR="0085675A" w:rsidRPr="00ED22D1">
        <w:rPr>
          <w:lang w:val="fr-CA"/>
        </w:rPr>
        <w:t>quent</w:t>
      </w:r>
      <w:r w:rsidR="0052712E" w:rsidRPr="00ED22D1">
        <w:rPr>
          <w:lang w:val="fr-CA"/>
        </w:rPr>
        <w:t>e</w:t>
      </w:r>
      <w:r w:rsidR="0085675A" w:rsidRPr="00ED22D1">
        <w:rPr>
          <w:lang w:val="fr-CA"/>
        </w:rPr>
        <w:t xml:space="preserve">s. </w:t>
      </w:r>
      <w:r w:rsidR="000D737E" w:rsidRPr="00ED22D1">
        <w:rPr>
          <w:lang w:val="fr-CA"/>
        </w:rPr>
        <w:t>Pour</w:t>
      </w:r>
      <w:r w:rsidR="0085675A" w:rsidRPr="00ED22D1">
        <w:rPr>
          <w:lang w:val="fr-CA"/>
        </w:rPr>
        <w:t xml:space="preserve"> </w:t>
      </w:r>
      <w:r w:rsidR="001B31BF" w:rsidRPr="00ED22D1">
        <w:rPr>
          <w:lang w:val="fr-CA"/>
        </w:rPr>
        <w:t>le secteur des solvants</w:t>
      </w:r>
      <w:r w:rsidR="0085675A" w:rsidRPr="00ED22D1">
        <w:rPr>
          <w:lang w:val="fr-CA"/>
        </w:rPr>
        <w:t>,</w:t>
      </w:r>
      <w:r w:rsidR="00DD185D" w:rsidRPr="00ED22D1">
        <w:rPr>
          <w:lang w:val="fr-CA"/>
        </w:rPr>
        <w:t xml:space="preserve"> le Secrétariat</w:t>
      </w:r>
      <w:r w:rsidR="0085675A" w:rsidRPr="00ED22D1">
        <w:rPr>
          <w:lang w:val="fr-CA"/>
        </w:rPr>
        <w:t xml:space="preserve"> </w:t>
      </w:r>
      <w:r w:rsidR="000D737E" w:rsidRPr="00ED22D1">
        <w:rPr>
          <w:lang w:val="fr-CA"/>
        </w:rPr>
        <w:t xml:space="preserve">avait déjà souligné à </w:t>
      </w:r>
      <w:r w:rsidR="00733306" w:rsidRPr="00ED22D1">
        <w:rPr>
          <w:lang w:val="fr-CA"/>
        </w:rPr>
        <w:t xml:space="preserve">la </w:t>
      </w:r>
      <w:r w:rsidR="000D737E" w:rsidRPr="00ED22D1">
        <w:rPr>
          <w:lang w:val="fr-CA"/>
        </w:rPr>
        <w:t>8</w:t>
      </w:r>
      <w:r w:rsidR="0085675A" w:rsidRPr="00ED22D1">
        <w:rPr>
          <w:lang w:val="fr-CA"/>
        </w:rPr>
        <w:t>0</w:t>
      </w:r>
      <w:r w:rsidR="000D737E" w:rsidRPr="00ED22D1">
        <w:rPr>
          <w:vertAlign w:val="superscript"/>
          <w:lang w:val="fr-CA"/>
        </w:rPr>
        <w:t>e</w:t>
      </w:r>
      <w:r w:rsidR="000D737E" w:rsidRPr="00ED22D1">
        <w:rPr>
          <w:lang w:val="fr-CA"/>
        </w:rPr>
        <w:t xml:space="preserve"> </w:t>
      </w:r>
      <w:r w:rsidR="00DD185D" w:rsidRPr="00ED22D1">
        <w:rPr>
          <w:lang w:val="fr-CA"/>
        </w:rPr>
        <w:t>réunion</w:t>
      </w:r>
      <w:r w:rsidR="0085675A" w:rsidRPr="00ED22D1">
        <w:rPr>
          <w:lang w:val="fr-CA"/>
        </w:rPr>
        <w:t xml:space="preserve"> </w:t>
      </w:r>
      <w:r w:rsidR="000D737E" w:rsidRPr="00ED22D1">
        <w:rPr>
          <w:lang w:val="fr-CA"/>
        </w:rPr>
        <w:t xml:space="preserve">que la distribution de la tranche initiale pourrait </w:t>
      </w:r>
      <w:r w:rsidR="00381D85" w:rsidRPr="00ED22D1">
        <w:rPr>
          <w:lang w:val="fr-CA"/>
        </w:rPr>
        <w:t>rendre difficile la concordance d</w:t>
      </w:r>
      <w:r w:rsidR="000D737E" w:rsidRPr="00ED22D1">
        <w:rPr>
          <w:lang w:val="fr-CA"/>
        </w:rPr>
        <w:t xml:space="preserve">es dépenses des </w:t>
      </w:r>
      <w:r w:rsidR="0085675A" w:rsidRPr="00ED22D1">
        <w:rPr>
          <w:lang w:val="fr-CA"/>
        </w:rPr>
        <w:t xml:space="preserve">24 </w:t>
      </w:r>
      <w:r w:rsidR="00921BDE" w:rsidRPr="00ED22D1">
        <w:rPr>
          <w:lang w:val="fr-CA"/>
        </w:rPr>
        <w:t>entreprise</w:t>
      </w:r>
      <w:r w:rsidR="0085675A" w:rsidRPr="00ED22D1">
        <w:rPr>
          <w:lang w:val="fr-CA"/>
        </w:rPr>
        <w:t xml:space="preserve">s </w:t>
      </w:r>
      <w:r w:rsidR="000D737E" w:rsidRPr="00ED22D1">
        <w:rPr>
          <w:lang w:val="fr-CA"/>
        </w:rPr>
        <w:t>ayant des projets en cours</w:t>
      </w:r>
      <w:r w:rsidR="004A6828" w:rsidRPr="00ED22D1">
        <w:rPr>
          <w:lang w:val="fr-CA"/>
        </w:rPr>
        <w:t xml:space="preserve"> et </w:t>
      </w:r>
      <w:r w:rsidR="00381D85" w:rsidRPr="00ED22D1">
        <w:rPr>
          <w:lang w:val="fr-CA"/>
        </w:rPr>
        <w:t>d</w:t>
      </w:r>
      <w:r w:rsidR="000D737E" w:rsidRPr="00ED22D1">
        <w:rPr>
          <w:lang w:val="fr-CA"/>
        </w:rPr>
        <w:t xml:space="preserve">es </w:t>
      </w:r>
      <w:r w:rsidR="0085675A" w:rsidRPr="00ED22D1">
        <w:rPr>
          <w:lang w:val="fr-CA"/>
        </w:rPr>
        <w:t xml:space="preserve">27 </w:t>
      </w:r>
      <w:r w:rsidR="000D737E" w:rsidRPr="00ED22D1">
        <w:rPr>
          <w:lang w:val="fr-CA"/>
        </w:rPr>
        <w:t xml:space="preserve">petites et moyennes entreprises (PME) supplémentaires prévues pour terminer les </w:t>
      </w:r>
      <w:r w:rsidR="00921BDE" w:rsidRPr="00ED22D1">
        <w:rPr>
          <w:lang w:val="fr-CA"/>
        </w:rPr>
        <w:t>vérification</w:t>
      </w:r>
      <w:r w:rsidR="0085675A" w:rsidRPr="00ED22D1">
        <w:rPr>
          <w:lang w:val="fr-CA"/>
        </w:rPr>
        <w:t xml:space="preserve">s </w:t>
      </w:r>
      <w:r w:rsidR="000D737E" w:rsidRPr="00ED22D1">
        <w:rPr>
          <w:lang w:val="fr-CA"/>
        </w:rPr>
        <w:t>de la</w:t>
      </w:r>
      <w:r w:rsidR="0085675A" w:rsidRPr="00ED22D1">
        <w:rPr>
          <w:lang w:val="fr-CA"/>
        </w:rPr>
        <w:t xml:space="preserve"> </w:t>
      </w:r>
      <w:r w:rsidR="00181884" w:rsidRPr="00ED22D1">
        <w:rPr>
          <w:lang w:val="fr-CA"/>
        </w:rPr>
        <w:t>consommation</w:t>
      </w:r>
      <w:r w:rsidR="004A6828" w:rsidRPr="00ED22D1">
        <w:rPr>
          <w:lang w:val="fr-CA"/>
        </w:rPr>
        <w:t xml:space="preserve"> et </w:t>
      </w:r>
      <w:r w:rsidR="000D737E" w:rsidRPr="00ED22D1">
        <w:rPr>
          <w:lang w:val="fr-CA"/>
        </w:rPr>
        <w:t xml:space="preserve">conclure des </w:t>
      </w:r>
      <w:r w:rsidR="00921BDE" w:rsidRPr="00ED22D1">
        <w:rPr>
          <w:lang w:val="fr-CA"/>
        </w:rPr>
        <w:t>contrats</w:t>
      </w:r>
      <w:r w:rsidR="0085675A" w:rsidRPr="00ED22D1">
        <w:rPr>
          <w:lang w:val="fr-CA"/>
        </w:rPr>
        <w:t xml:space="preserve"> </w:t>
      </w:r>
      <w:r w:rsidR="00B84F94" w:rsidRPr="00ED22D1">
        <w:rPr>
          <w:lang w:val="fr-CA"/>
        </w:rPr>
        <w:t>avec</w:t>
      </w:r>
      <w:r w:rsidR="00F320D6" w:rsidRPr="00ED22D1">
        <w:rPr>
          <w:lang w:val="fr-CA"/>
        </w:rPr>
        <w:t xml:space="preserve"> l’IECO</w:t>
      </w:r>
      <w:r w:rsidR="0085675A" w:rsidRPr="00ED22D1">
        <w:rPr>
          <w:lang w:val="fr-CA"/>
        </w:rPr>
        <w:t xml:space="preserve"> </w:t>
      </w:r>
      <w:r w:rsidR="000D737E" w:rsidRPr="00ED22D1">
        <w:rPr>
          <w:lang w:val="fr-CA"/>
        </w:rPr>
        <w:t xml:space="preserve">au cours du premier trimestre de </w:t>
      </w:r>
      <w:r w:rsidR="0085675A" w:rsidRPr="00ED22D1">
        <w:rPr>
          <w:lang w:val="fr-CA"/>
        </w:rPr>
        <w:t>201</w:t>
      </w:r>
      <w:r w:rsidR="004A6828" w:rsidRPr="00ED22D1">
        <w:rPr>
          <w:lang w:val="fr-CA"/>
        </w:rPr>
        <w:t>9</w:t>
      </w:r>
      <w:r w:rsidR="000D737E" w:rsidRPr="00ED22D1">
        <w:rPr>
          <w:lang w:val="fr-CA"/>
        </w:rPr>
        <w:t>.</w:t>
      </w:r>
      <w:r w:rsidR="0085675A" w:rsidRPr="00ED22D1">
        <w:rPr>
          <w:lang w:val="fr-CA"/>
        </w:rPr>
        <w:t xml:space="preserve">  </w:t>
      </w:r>
    </w:p>
    <w:p w:rsidR="0085675A" w:rsidRPr="00ED22D1" w:rsidRDefault="003014CD" w:rsidP="003014CD">
      <w:pPr>
        <w:pStyle w:val="Heading1"/>
        <w:numPr>
          <w:ilvl w:val="0"/>
          <w:numId w:val="0"/>
        </w:numPr>
        <w:rPr>
          <w:lang w:val="fr-CA"/>
        </w:rPr>
      </w:pPr>
      <w:r w:rsidRPr="00ED22D1">
        <w:rPr>
          <w:lang w:val="fr-CA"/>
        </w:rPr>
        <w:t>52.</w:t>
      </w:r>
      <w:r w:rsidRPr="00ED22D1">
        <w:rPr>
          <w:lang w:val="fr-CA"/>
        </w:rPr>
        <w:tab/>
      </w:r>
      <w:r w:rsidR="000D737E" w:rsidRPr="00ED22D1">
        <w:rPr>
          <w:lang w:val="fr-CA"/>
        </w:rPr>
        <w:t>Comme l’accord révisé n’avait pas été examiné à la 8</w:t>
      </w:r>
      <w:r w:rsidR="0085675A" w:rsidRPr="00ED22D1">
        <w:rPr>
          <w:lang w:val="fr-CA"/>
        </w:rPr>
        <w:t>2</w:t>
      </w:r>
      <w:r w:rsidR="000D737E" w:rsidRPr="00ED22D1">
        <w:rPr>
          <w:vertAlign w:val="superscript"/>
          <w:lang w:val="fr-CA"/>
        </w:rPr>
        <w:t>e</w:t>
      </w:r>
      <w:r w:rsidR="000D737E" w:rsidRPr="00ED22D1">
        <w:rPr>
          <w:lang w:val="fr-CA"/>
        </w:rPr>
        <w:t xml:space="preserve"> </w:t>
      </w:r>
      <w:r w:rsidR="00DD185D" w:rsidRPr="00ED22D1">
        <w:rPr>
          <w:lang w:val="fr-CA"/>
        </w:rPr>
        <w:t>réunion</w:t>
      </w:r>
      <w:r w:rsidR="001F19C1" w:rsidRPr="00ED22D1">
        <w:rPr>
          <w:lang w:val="fr-CA"/>
        </w:rPr>
        <w:t>, le PNUD</w:t>
      </w:r>
      <w:r w:rsidR="000D737E" w:rsidRPr="00ED22D1">
        <w:rPr>
          <w:lang w:val="fr-CA"/>
        </w:rPr>
        <w:t>,</w:t>
      </w:r>
      <w:r w:rsidR="0085675A" w:rsidRPr="00ED22D1">
        <w:rPr>
          <w:lang w:val="fr-CA"/>
        </w:rPr>
        <w:t xml:space="preserve"> </w:t>
      </w:r>
      <w:r w:rsidR="001A5231" w:rsidRPr="00ED22D1">
        <w:rPr>
          <w:lang w:val="fr-CA"/>
        </w:rPr>
        <w:t>au nom du</w:t>
      </w:r>
      <w:r w:rsidR="00381D85" w:rsidRPr="00ED22D1">
        <w:rPr>
          <w:lang w:val="fr-CA"/>
        </w:rPr>
        <w:t> </w:t>
      </w:r>
      <w:r w:rsidR="00921BDE" w:rsidRPr="00ED22D1">
        <w:rPr>
          <w:lang w:val="fr-CA"/>
        </w:rPr>
        <w:t>gouvernement</w:t>
      </w:r>
      <w:r w:rsidR="001F19C1" w:rsidRPr="00ED22D1">
        <w:rPr>
          <w:lang w:val="fr-CA"/>
        </w:rPr>
        <w:t xml:space="preserve"> </w:t>
      </w:r>
      <w:r w:rsidR="00181884" w:rsidRPr="00ED22D1">
        <w:rPr>
          <w:lang w:val="fr-CA"/>
        </w:rPr>
        <w:t>de la Chine</w:t>
      </w:r>
      <w:r w:rsidR="000D737E" w:rsidRPr="00ED22D1">
        <w:rPr>
          <w:lang w:val="fr-CA"/>
        </w:rPr>
        <w:t>,</w:t>
      </w:r>
      <w:r w:rsidR="0085675A" w:rsidRPr="00ED22D1">
        <w:rPr>
          <w:lang w:val="fr-CA"/>
        </w:rPr>
        <w:t xml:space="preserve"> </w:t>
      </w:r>
      <w:r w:rsidR="000D737E" w:rsidRPr="00ED22D1">
        <w:rPr>
          <w:lang w:val="fr-CA"/>
        </w:rPr>
        <w:t>l’avait présenté de nouveau pour examen à la 8</w:t>
      </w:r>
      <w:r w:rsidR="0085675A" w:rsidRPr="00ED22D1">
        <w:rPr>
          <w:lang w:val="fr-CA"/>
        </w:rPr>
        <w:t>3</w:t>
      </w:r>
      <w:r w:rsidR="000D737E" w:rsidRPr="00ED22D1">
        <w:rPr>
          <w:vertAlign w:val="superscript"/>
          <w:lang w:val="fr-CA"/>
        </w:rPr>
        <w:t>e</w:t>
      </w:r>
      <w:r w:rsidR="000D737E" w:rsidRPr="00ED22D1">
        <w:rPr>
          <w:lang w:val="fr-CA"/>
        </w:rPr>
        <w:t xml:space="preserve"> </w:t>
      </w:r>
      <w:r w:rsidR="00DD185D" w:rsidRPr="00ED22D1">
        <w:rPr>
          <w:lang w:val="fr-CA"/>
        </w:rPr>
        <w:t>réunion</w:t>
      </w:r>
      <w:r w:rsidR="0085675A" w:rsidRPr="00ED22D1">
        <w:rPr>
          <w:lang w:val="fr-CA"/>
        </w:rPr>
        <w:t>.</w:t>
      </w:r>
    </w:p>
    <w:p w:rsidR="0085675A" w:rsidRPr="00ED22D1" w:rsidRDefault="003014CD" w:rsidP="003014CD">
      <w:pPr>
        <w:pStyle w:val="Heading1"/>
        <w:numPr>
          <w:ilvl w:val="0"/>
          <w:numId w:val="0"/>
        </w:numPr>
        <w:rPr>
          <w:lang w:val="fr-CA"/>
        </w:rPr>
      </w:pPr>
      <w:r w:rsidRPr="00ED22D1">
        <w:rPr>
          <w:lang w:val="fr-CA"/>
        </w:rPr>
        <w:t>53.</w:t>
      </w:r>
      <w:r w:rsidRPr="00ED22D1">
        <w:rPr>
          <w:lang w:val="fr-CA"/>
        </w:rPr>
        <w:tab/>
      </w:r>
      <w:r w:rsidR="000D737E" w:rsidRPr="00ED22D1">
        <w:rPr>
          <w:lang w:val="fr-CA"/>
        </w:rPr>
        <w:t>En</w:t>
      </w:r>
      <w:r w:rsidR="0085675A" w:rsidRPr="00ED22D1">
        <w:rPr>
          <w:lang w:val="fr-CA"/>
        </w:rPr>
        <w:t xml:space="preserve"> </w:t>
      </w:r>
      <w:r w:rsidR="000D737E" w:rsidRPr="00ED22D1">
        <w:rPr>
          <w:lang w:val="fr-CA"/>
        </w:rPr>
        <w:t>prépar</w:t>
      </w:r>
      <w:r w:rsidR="0085675A" w:rsidRPr="00ED22D1">
        <w:rPr>
          <w:lang w:val="fr-CA"/>
        </w:rPr>
        <w:t xml:space="preserve">ation </w:t>
      </w:r>
      <w:r w:rsidR="000D737E" w:rsidRPr="00ED22D1">
        <w:rPr>
          <w:lang w:val="fr-CA"/>
        </w:rPr>
        <w:t>à la 8</w:t>
      </w:r>
      <w:r w:rsidR="00F5455E" w:rsidRPr="00ED22D1">
        <w:rPr>
          <w:lang w:val="fr-CA"/>
        </w:rPr>
        <w:t>3</w:t>
      </w:r>
      <w:r w:rsidR="000D737E" w:rsidRPr="00ED22D1">
        <w:rPr>
          <w:vertAlign w:val="superscript"/>
          <w:lang w:val="fr-CA"/>
        </w:rPr>
        <w:t>e</w:t>
      </w:r>
      <w:r w:rsidR="000D737E" w:rsidRPr="00ED22D1">
        <w:rPr>
          <w:lang w:val="fr-CA"/>
        </w:rPr>
        <w:t xml:space="preserve"> </w:t>
      </w:r>
      <w:r w:rsidR="00DD185D" w:rsidRPr="00ED22D1">
        <w:rPr>
          <w:lang w:val="fr-CA"/>
        </w:rPr>
        <w:t>réunion</w:t>
      </w:r>
      <w:r w:rsidR="001F19C1" w:rsidRPr="00ED22D1">
        <w:rPr>
          <w:lang w:val="fr-CA"/>
        </w:rPr>
        <w:t>, le PNUD</w:t>
      </w:r>
      <w:r w:rsidR="0085675A" w:rsidRPr="00ED22D1">
        <w:rPr>
          <w:lang w:val="fr-CA"/>
        </w:rPr>
        <w:t xml:space="preserve"> </w:t>
      </w:r>
      <w:r w:rsidR="000D737E" w:rsidRPr="00ED22D1">
        <w:rPr>
          <w:lang w:val="fr-CA"/>
        </w:rPr>
        <w:t xml:space="preserve">a indiqué qu’il n’y avait aucune </w:t>
      </w:r>
      <w:r w:rsidR="0085675A" w:rsidRPr="00ED22D1">
        <w:rPr>
          <w:lang w:val="fr-CA"/>
        </w:rPr>
        <w:t xml:space="preserve">modification </w:t>
      </w:r>
      <w:r w:rsidR="000D737E" w:rsidRPr="00ED22D1">
        <w:rPr>
          <w:lang w:val="fr-CA"/>
        </w:rPr>
        <w:t>à</w:t>
      </w:r>
      <w:r w:rsidR="00381D85" w:rsidRPr="00ED22D1">
        <w:rPr>
          <w:lang w:val="fr-CA"/>
        </w:rPr>
        <w:t> </w:t>
      </w:r>
      <w:r w:rsidR="000D737E" w:rsidRPr="00ED22D1">
        <w:rPr>
          <w:lang w:val="fr-CA"/>
        </w:rPr>
        <w:t>l’</w:t>
      </w:r>
      <w:r w:rsidR="00CB2326" w:rsidRPr="00ED22D1">
        <w:rPr>
          <w:lang w:val="fr-CA"/>
        </w:rPr>
        <w:t>appendice</w:t>
      </w:r>
      <w:r w:rsidR="0085675A" w:rsidRPr="00ED22D1">
        <w:rPr>
          <w:lang w:val="fr-CA"/>
        </w:rPr>
        <w:t xml:space="preserve"> 2-A </w:t>
      </w:r>
      <w:r w:rsidR="000D737E" w:rsidRPr="00ED22D1">
        <w:rPr>
          <w:lang w:val="fr-CA"/>
        </w:rPr>
        <w:t>révisé de</w:t>
      </w:r>
      <w:r w:rsidR="0085675A" w:rsidRPr="00ED22D1">
        <w:rPr>
          <w:lang w:val="fr-CA"/>
        </w:rPr>
        <w:t xml:space="preserve"> </w:t>
      </w:r>
      <w:r w:rsidR="00CE7FEC" w:rsidRPr="00ED22D1">
        <w:rPr>
          <w:lang w:val="fr-CA"/>
        </w:rPr>
        <w:t>l’accord</w:t>
      </w:r>
      <w:r w:rsidR="0085675A" w:rsidRPr="00ED22D1">
        <w:rPr>
          <w:lang w:val="fr-CA"/>
        </w:rPr>
        <w:t xml:space="preserve"> discu</w:t>
      </w:r>
      <w:r w:rsidR="000D737E" w:rsidRPr="00ED22D1">
        <w:rPr>
          <w:lang w:val="fr-CA"/>
        </w:rPr>
        <w:t>té à la 8</w:t>
      </w:r>
      <w:r w:rsidR="0085675A" w:rsidRPr="00ED22D1">
        <w:rPr>
          <w:lang w:val="fr-CA"/>
        </w:rPr>
        <w:t>2</w:t>
      </w:r>
      <w:r w:rsidR="000D737E" w:rsidRPr="00ED22D1">
        <w:rPr>
          <w:vertAlign w:val="superscript"/>
          <w:lang w:val="fr-CA"/>
        </w:rPr>
        <w:t>e</w:t>
      </w:r>
      <w:r w:rsidR="000D737E" w:rsidRPr="00ED22D1">
        <w:rPr>
          <w:lang w:val="fr-CA"/>
        </w:rPr>
        <w:t xml:space="preserve"> </w:t>
      </w:r>
      <w:r w:rsidR="00DD185D" w:rsidRPr="00ED22D1">
        <w:rPr>
          <w:lang w:val="fr-CA"/>
        </w:rPr>
        <w:t>réunion</w:t>
      </w:r>
      <w:r w:rsidR="0031390F" w:rsidRPr="00ED22D1">
        <w:rPr>
          <w:lang w:val="fr-CA"/>
        </w:rPr>
        <w:t>. Le</w:t>
      </w:r>
      <w:r w:rsidR="00DD185D" w:rsidRPr="00ED22D1">
        <w:rPr>
          <w:lang w:val="fr-CA"/>
        </w:rPr>
        <w:t xml:space="preserve"> Secrétariat</w:t>
      </w:r>
      <w:r w:rsidR="0085675A" w:rsidRPr="00ED22D1">
        <w:rPr>
          <w:lang w:val="fr-CA"/>
        </w:rPr>
        <w:t xml:space="preserve"> </w:t>
      </w:r>
      <w:r w:rsidR="000D737E" w:rsidRPr="00ED22D1">
        <w:rPr>
          <w:lang w:val="fr-CA"/>
        </w:rPr>
        <w:t xml:space="preserve">souligne que, même si les </w:t>
      </w:r>
      <w:r w:rsidR="004A6828" w:rsidRPr="00ED22D1">
        <w:rPr>
          <w:lang w:val="fr-CA"/>
        </w:rPr>
        <w:t>troisième</w:t>
      </w:r>
      <w:r w:rsidR="000D737E" w:rsidRPr="00ED22D1">
        <w:rPr>
          <w:lang w:val="fr-CA"/>
        </w:rPr>
        <w:t>s</w:t>
      </w:r>
      <w:r w:rsidR="0085675A" w:rsidRPr="00ED22D1">
        <w:rPr>
          <w:lang w:val="fr-CA"/>
        </w:rPr>
        <w:t xml:space="preserve"> tranches </w:t>
      </w:r>
      <w:r w:rsidR="000D737E" w:rsidRPr="00ED22D1">
        <w:rPr>
          <w:lang w:val="fr-CA"/>
        </w:rPr>
        <w:t xml:space="preserve">des </w:t>
      </w:r>
      <w:r w:rsidR="00921BDE" w:rsidRPr="00ED22D1">
        <w:rPr>
          <w:lang w:val="fr-CA"/>
        </w:rPr>
        <w:t>mousse</w:t>
      </w:r>
      <w:r w:rsidR="000D737E" w:rsidRPr="00ED22D1">
        <w:rPr>
          <w:lang w:val="fr-CA"/>
        </w:rPr>
        <w:t>s</w:t>
      </w:r>
      <w:r w:rsidR="00921BDE" w:rsidRPr="00ED22D1">
        <w:rPr>
          <w:lang w:val="fr-CA"/>
        </w:rPr>
        <w:t xml:space="preserve"> extrudée</w:t>
      </w:r>
      <w:r w:rsidR="000D737E" w:rsidRPr="00ED22D1">
        <w:rPr>
          <w:lang w:val="fr-CA"/>
        </w:rPr>
        <w:t>s</w:t>
      </w:r>
      <w:r w:rsidR="00921BDE" w:rsidRPr="00ED22D1">
        <w:rPr>
          <w:lang w:val="fr-CA"/>
        </w:rPr>
        <w:t xml:space="preserve"> (XPS)</w:t>
      </w:r>
      <w:r w:rsidR="0085675A" w:rsidRPr="00ED22D1">
        <w:rPr>
          <w:lang w:val="fr-CA"/>
        </w:rPr>
        <w:t>,</w:t>
      </w:r>
      <w:r w:rsidR="00905638" w:rsidRPr="00ED22D1">
        <w:rPr>
          <w:lang w:val="fr-CA"/>
        </w:rPr>
        <w:t xml:space="preserve"> </w:t>
      </w:r>
      <w:r w:rsidR="000D737E" w:rsidRPr="00ED22D1">
        <w:rPr>
          <w:lang w:val="fr-CA"/>
        </w:rPr>
        <w:t xml:space="preserve">de la </w:t>
      </w:r>
      <w:r w:rsidR="00905638" w:rsidRPr="00ED22D1">
        <w:rPr>
          <w:lang w:val="fr-CA"/>
        </w:rPr>
        <w:t xml:space="preserve">climatisation et de </w:t>
      </w:r>
      <w:r w:rsidR="000D737E" w:rsidRPr="00ED22D1">
        <w:rPr>
          <w:lang w:val="fr-CA"/>
        </w:rPr>
        <w:t xml:space="preserve">la </w:t>
      </w:r>
      <w:r w:rsidR="00905638" w:rsidRPr="00ED22D1">
        <w:rPr>
          <w:lang w:val="fr-CA"/>
        </w:rPr>
        <w:t>réfrigération industrielle et commerciale</w:t>
      </w:r>
      <w:r w:rsidR="0085675A" w:rsidRPr="00ED22D1">
        <w:rPr>
          <w:lang w:val="fr-CA"/>
        </w:rPr>
        <w:t xml:space="preserve">, </w:t>
      </w:r>
      <w:r w:rsidR="000D737E" w:rsidRPr="00ED22D1">
        <w:rPr>
          <w:lang w:val="fr-CA"/>
        </w:rPr>
        <w:t xml:space="preserve">des </w:t>
      </w:r>
      <w:r w:rsidR="0052712E" w:rsidRPr="00ED22D1">
        <w:rPr>
          <w:lang w:val="fr-CA"/>
        </w:rPr>
        <w:t>solvant</w:t>
      </w:r>
      <w:r w:rsidR="000D737E" w:rsidRPr="00ED22D1">
        <w:rPr>
          <w:lang w:val="fr-CA"/>
        </w:rPr>
        <w:t>s</w:t>
      </w:r>
      <w:r w:rsidR="004A6828" w:rsidRPr="00ED22D1">
        <w:rPr>
          <w:lang w:val="fr-CA"/>
        </w:rPr>
        <w:t xml:space="preserve"> et </w:t>
      </w:r>
      <w:r w:rsidR="000D737E" w:rsidRPr="00ED22D1">
        <w:rPr>
          <w:lang w:val="fr-CA"/>
        </w:rPr>
        <w:t>de l’</w:t>
      </w:r>
      <w:r w:rsidR="001B31BF" w:rsidRPr="00ED22D1">
        <w:rPr>
          <w:lang w:val="fr-CA"/>
        </w:rPr>
        <w:t>entretien</w:t>
      </w:r>
      <w:r w:rsidR="0085675A" w:rsidRPr="00ED22D1">
        <w:rPr>
          <w:lang w:val="fr-CA"/>
        </w:rPr>
        <w:t xml:space="preserve"> </w:t>
      </w:r>
      <w:r w:rsidR="000D737E" w:rsidRPr="00ED22D1">
        <w:rPr>
          <w:lang w:val="fr-CA"/>
        </w:rPr>
        <w:t xml:space="preserve">n’avaient pas été </w:t>
      </w:r>
      <w:r w:rsidR="00802F71" w:rsidRPr="00ED22D1">
        <w:rPr>
          <w:lang w:val="fr-CA"/>
        </w:rPr>
        <w:t>approuvées</w:t>
      </w:r>
      <w:r w:rsidR="0085675A" w:rsidRPr="00ED22D1">
        <w:rPr>
          <w:lang w:val="fr-CA"/>
        </w:rPr>
        <w:t xml:space="preserve"> </w:t>
      </w:r>
      <w:r w:rsidR="00733306" w:rsidRPr="00ED22D1">
        <w:rPr>
          <w:lang w:val="fr-CA"/>
        </w:rPr>
        <w:t xml:space="preserve">à la </w:t>
      </w:r>
      <w:r w:rsidR="000D737E" w:rsidRPr="00ED22D1">
        <w:rPr>
          <w:lang w:val="fr-CA"/>
        </w:rPr>
        <w:t>8</w:t>
      </w:r>
      <w:r w:rsidR="0085675A" w:rsidRPr="00ED22D1">
        <w:rPr>
          <w:lang w:val="fr-CA"/>
        </w:rPr>
        <w:t>2</w:t>
      </w:r>
      <w:r w:rsidR="000D737E" w:rsidRPr="00ED22D1">
        <w:rPr>
          <w:vertAlign w:val="superscript"/>
          <w:lang w:val="fr-CA"/>
        </w:rPr>
        <w:t>e</w:t>
      </w:r>
      <w:r w:rsidR="000D737E" w:rsidRPr="00ED22D1">
        <w:rPr>
          <w:lang w:val="fr-CA"/>
        </w:rPr>
        <w:t xml:space="preserve"> </w:t>
      </w:r>
      <w:r w:rsidR="00DD185D" w:rsidRPr="00ED22D1">
        <w:rPr>
          <w:lang w:val="fr-CA"/>
        </w:rPr>
        <w:t>réunion</w:t>
      </w:r>
      <w:r w:rsidR="0085675A" w:rsidRPr="00ED22D1">
        <w:rPr>
          <w:lang w:val="fr-CA"/>
        </w:rPr>
        <w:t xml:space="preserve"> (2018), </w:t>
      </w:r>
      <w:r w:rsidR="00903152" w:rsidRPr="00ED22D1">
        <w:rPr>
          <w:lang w:val="fr-CA"/>
        </w:rPr>
        <w:t xml:space="preserve">elles étaient encore là </w:t>
      </w:r>
      <w:r w:rsidR="0052712E" w:rsidRPr="00ED22D1">
        <w:rPr>
          <w:lang w:val="fr-CA"/>
        </w:rPr>
        <w:t>en 20</w:t>
      </w:r>
      <w:r w:rsidR="0085675A" w:rsidRPr="00ED22D1">
        <w:rPr>
          <w:lang w:val="fr-CA"/>
        </w:rPr>
        <w:t>1</w:t>
      </w:r>
      <w:r w:rsidR="004A6828" w:rsidRPr="00ED22D1">
        <w:rPr>
          <w:lang w:val="fr-CA"/>
        </w:rPr>
        <w:t>8</w:t>
      </w:r>
      <w:r w:rsidR="00903152" w:rsidRPr="00ED22D1">
        <w:rPr>
          <w:lang w:val="fr-CA"/>
        </w:rPr>
        <w:t>.</w:t>
      </w:r>
      <w:r w:rsidR="0085675A" w:rsidRPr="00ED22D1">
        <w:rPr>
          <w:lang w:val="fr-CA"/>
        </w:rPr>
        <w:t xml:space="preserve"> </w:t>
      </w:r>
      <w:r w:rsidR="00903152" w:rsidRPr="00ED22D1">
        <w:rPr>
          <w:lang w:val="fr-CA"/>
        </w:rPr>
        <w:t>Ce qui permettrait au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903152" w:rsidRPr="00ED22D1">
        <w:rPr>
          <w:lang w:val="fr-CA"/>
        </w:rPr>
        <w:t xml:space="preserve">de présenter la </w:t>
      </w:r>
      <w:r w:rsidR="00FB46BE" w:rsidRPr="00ED22D1">
        <w:rPr>
          <w:lang w:val="fr-CA"/>
        </w:rPr>
        <w:t>quatrième</w:t>
      </w:r>
      <w:r w:rsidR="0085675A" w:rsidRPr="00ED22D1">
        <w:rPr>
          <w:lang w:val="fr-CA"/>
        </w:rPr>
        <w:t xml:space="preserve"> tranche </w:t>
      </w:r>
      <w:r w:rsidR="00903152" w:rsidRPr="00ED22D1">
        <w:rPr>
          <w:lang w:val="fr-CA"/>
        </w:rPr>
        <w:t>de ces</w:t>
      </w:r>
      <w:r w:rsidR="0085675A" w:rsidRPr="00ED22D1">
        <w:rPr>
          <w:lang w:val="fr-CA"/>
        </w:rPr>
        <w:t xml:space="preserve"> </w:t>
      </w:r>
      <w:r w:rsidR="00733306" w:rsidRPr="00ED22D1">
        <w:rPr>
          <w:lang w:val="fr-CA"/>
        </w:rPr>
        <w:t>secteurs</w:t>
      </w:r>
      <w:r w:rsidR="0085675A" w:rsidRPr="00ED22D1">
        <w:rPr>
          <w:lang w:val="fr-CA"/>
        </w:rPr>
        <w:t xml:space="preserve"> </w:t>
      </w:r>
      <w:r w:rsidR="00903152" w:rsidRPr="00ED22D1">
        <w:rPr>
          <w:lang w:val="fr-CA"/>
        </w:rPr>
        <w:t>à la 8</w:t>
      </w:r>
      <w:r w:rsidR="0085675A" w:rsidRPr="00ED22D1">
        <w:rPr>
          <w:lang w:val="fr-CA"/>
        </w:rPr>
        <w:t>4</w:t>
      </w:r>
      <w:r w:rsidR="00903152" w:rsidRPr="00ED22D1">
        <w:rPr>
          <w:vertAlign w:val="superscript"/>
          <w:lang w:val="fr-CA"/>
        </w:rPr>
        <w:t>e</w:t>
      </w:r>
      <w:r w:rsidR="00903152" w:rsidRPr="00ED22D1">
        <w:rPr>
          <w:lang w:val="fr-CA"/>
        </w:rPr>
        <w:t xml:space="preserve"> </w:t>
      </w:r>
      <w:r w:rsidR="00DD185D" w:rsidRPr="00ED22D1">
        <w:rPr>
          <w:lang w:val="fr-CA"/>
        </w:rPr>
        <w:t>réunion</w:t>
      </w:r>
      <w:r w:rsidR="002D2C34" w:rsidRPr="00ED22D1">
        <w:rPr>
          <w:lang w:val="fr-CA"/>
        </w:rPr>
        <w:t xml:space="preserve"> si </w:t>
      </w:r>
      <w:r w:rsidR="00903152" w:rsidRPr="00ED22D1">
        <w:rPr>
          <w:lang w:val="fr-CA"/>
        </w:rPr>
        <w:t xml:space="preserve">les conditions de la libération des </w:t>
      </w:r>
      <w:r w:rsidR="0085675A" w:rsidRPr="00ED22D1">
        <w:rPr>
          <w:lang w:val="fr-CA"/>
        </w:rPr>
        <w:t xml:space="preserve">tranches </w:t>
      </w:r>
      <w:r w:rsidR="00903152" w:rsidRPr="00ED22D1">
        <w:rPr>
          <w:lang w:val="fr-CA"/>
        </w:rPr>
        <w:t>sont remplies</w:t>
      </w:r>
      <w:r w:rsidR="0085675A" w:rsidRPr="00ED22D1">
        <w:rPr>
          <w:lang w:val="fr-CA"/>
        </w:rPr>
        <w:t>.</w:t>
      </w:r>
    </w:p>
    <w:p w:rsidR="0085675A" w:rsidRPr="00ED22D1" w:rsidRDefault="003014CD" w:rsidP="003014CD">
      <w:pPr>
        <w:pStyle w:val="Heading1"/>
        <w:numPr>
          <w:ilvl w:val="0"/>
          <w:numId w:val="0"/>
        </w:numPr>
        <w:rPr>
          <w:lang w:val="fr-CA"/>
        </w:rPr>
      </w:pPr>
      <w:r w:rsidRPr="00ED22D1">
        <w:rPr>
          <w:lang w:val="fr-CA"/>
        </w:rPr>
        <w:t>54.</w:t>
      </w:r>
      <w:r w:rsidRPr="00ED22D1">
        <w:rPr>
          <w:lang w:val="fr-CA"/>
        </w:rPr>
        <w:tab/>
      </w:r>
      <w:r w:rsidR="00903152" w:rsidRPr="00ED22D1">
        <w:rPr>
          <w:lang w:val="fr-CA"/>
        </w:rPr>
        <w:t xml:space="preserve">Tel qu’indiqué </w:t>
      </w:r>
      <w:r w:rsidR="00733306" w:rsidRPr="00ED22D1">
        <w:rPr>
          <w:lang w:val="fr-CA"/>
        </w:rPr>
        <w:t xml:space="preserve">à la </w:t>
      </w:r>
      <w:r w:rsidR="00903152" w:rsidRPr="00ED22D1">
        <w:rPr>
          <w:lang w:val="fr-CA"/>
        </w:rPr>
        <w:t>8</w:t>
      </w:r>
      <w:r w:rsidR="0085675A" w:rsidRPr="00ED22D1">
        <w:rPr>
          <w:lang w:val="fr-CA"/>
        </w:rPr>
        <w:t>2</w:t>
      </w:r>
      <w:r w:rsidR="00903152" w:rsidRPr="00ED22D1">
        <w:rPr>
          <w:vertAlign w:val="superscript"/>
          <w:lang w:val="fr-CA"/>
        </w:rPr>
        <w:t>e</w:t>
      </w:r>
      <w:r w:rsidR="00903152" w:rsidRPr="00ED22D1">
        <w:rPr>
          <w:lang w:val="fr-CA"/>
        </w:rPr>
        <w:t xml:space="preserve"> </w:t>
      </w:r>
      <w:r w:rsidR="00DD185D" w:rsidRPr="00ED22D1">
        <w:rPr>
          <w:lang w:val="fr-CA"/>
        </w:rPr>
        <w:t>réunion</w:t>
      </w:r>
      <w:r w:rsidR="0085675A" w:rsidRPr="00ED22D1">
        <w:rPr>
          <w:lang w:val="fr-CA"/>
        </w:rPr>
        <w:t xml:space="preserve">, </w:t>
      </w:r>
      <w:r w:rsidR="00903152" w:rsidRPr="00ED22D1">
        <w:rPr>
          <w:lang w:val="fr-CA"/>
        </w:rPr>
        <w:t xml:space="preserve">en ce qui a trait à la distribution de la tranche annuelle totale, </w:t>
      </w:r>
      <w:r w:rsidR="004B666A" w:rsidRPr="00ED22D1">
        <w:rPr>
          <w:lang w:val="fr-CA"/>
        </w:rPr>
        <w:t>y</w:t>
      </w:r>
      <w:r w:rsidR="00903152" w:rsidRPr="00ED22D1">
        <w:rPr>
          <w:lang w:val="fr-CA"/>
        </w:rPr>
        <w:t> </w:t>
      </w:r>
      <w:r w:rsidR="004B666A" w:rsidRPr="00ED22D1">
        <w:rPr>
          <w:lang w:val="fr-CA"/>
        </w:rPr>
        <w:t>compris</w:t>
      </w:r>
      <w:r w:rsidR="0085675A" w:rsidRPr="00ED22D1">
        <w:rPr>
          <w:lang w:val="fr-CA"/>
        </w:rPr>
        <w:t xml:space="preserve"> </w:t>
      </w:r>
      <w:r w:rsidR="00903152" w:rsidRPr="00ED22D1">
        <w:rPr>
          <w:lang w:val="fr-CA"/>
        </w:rPr>
        <w:t>tous les</w:t>
      </w:r>
      <w:r w:rsidR="0085675A" w:rsidRPr="00ED22D1">
        <w:rPr>
          <w:lang w:val="fr-CA"/>
        </w:rPr>
        <w:t xml:space="preserve"> </w:t>
      </w:r>
      <w:r w:rsidR="00733306" w:rsidRPr="00ED22D1">
        <w:rPr>
          <w:lang w:val="fr-CA"/>
        </w:rPr>
        <w:t>secteurs</w:t>
      </w:r>
      <w:r w:rsidR="0085675A" w:rsidRPr="00ED22D1">
        <w:rPr>
          <w:lang w:val="fr-CA"/>
        </w:rPr>
        <w:t xml:space="preserve"> </w:t>
      </w:r>
      <w:r w:rsidR="00903152" w:rsidRPr="00ED22D1">
        <w:rPr>
          <w:lang w:val="fr-CA"/>
        </w:rPr>
        <w:t>du</w:t>
      </w:r>
      <w:r w:rsidR="001F19C1" w:rsidRPr="00ED22D1">
        <w:rPr>
          <w:lang w:val="fr-CA"/>
        </w:rPr>
        <w:t xml:space="preserve"> PGEH</w:t>
      </w:r>
      <w:r w:rsidR="0085675A" w:rsidRPr="00ED22D1">
        <w:rPr>
          <w:lang w:val="fr-CA"/>
        </w:rPr>
        <w:t xml:space="preserve">, </w:t>
      </w:r>
      <w:r w:rsidR="00903152" w:rsidRPr="00ED22D1">
        <w:rPr>
          <w:lang w:val="fr-CA"/>
        </w:rPr>
        <w:t>on peut résumer le changement le plus significatif comme une réduction</w:t>
      </w:r>
      <w:r w:rsidR="0085675A" w:rsidRPr="00ED22D1">
        <w:rPr>
          <w:lang w:val="fr-CA"/>
        </w:rPr>
        <w:t xml:space="preserve"> </w:t>
      </w:r>
      <w:r w:rsidR="00903152" w:rsidRPr="00ED22D1">
        <w:rPr>
          <w:lang w:val="fr-CA"/>
        </w:rPr>
        <w:t>d’environ</w:t>
      </w:r>
      <w:r w:rsidR="0085675A" w:rsidRPr="00ED22D1">
        <w:rPr>
          <w:lang w:val="fr-CA"/>
        </w:rPr>
        <w:t xml:space="preserve"> 3</w:t>
      </w:r>
      <w:r w:rsidR="004A6828" w:rsidRPr="00ED22D1">
        <w:rPr>
          <w:lang w:val="fr-CA"/>
        </w:rPr>
        <w:t>7,</w:t>
      </w:r>
      <w:r w:rsidR="0085675A" w:rsidRPr="00ED22D1">
        <w:rPr>
          <w:lang w:val="fr-CA"/>
        </w:rPr>
        <w:t>5 </w:t>
      </w:r>
      <w:r w:rsidR="00EC100C" w:rsidRPr="00ED22D1">
        <w:rPr>
          <w:lang w:val="fr-CA"/>
        </w:rPr>
        <w:t xml:space="preserve">millions $US </w:t>
      </w:r>
      <w:r w:rsidR="0052712E" w:rsidRPr="00ED22D1">
        <w:rPr>
          <w:lang w:val="fr-CA"/>
        </w:rPr>
        <w:t>en 20</w:t>
      </w:r>
      <w:r w:rsidR="0085675A" w:rsidRPr="00ED22D1">
        <w:rPr>
          <w:lang w:val="fr-CA"/>
        </w:rPr>
        <w:t>17</w:t>
      </w:r>
      <w:r w:rsidR="004A6828" w:rsidRPr="00ED22D1">
        <w:rPr>
          <w:lang w:val="fr-CA"/>
        </w:rPr>
        <w:t xml:space="preserve"> et </w:t>
      </w:r>
      <w:r w:rsidR="0085675A" w:rsidRPr="00ED22D1">
        <w:rPr>
          <w:lang w:val="fr-CA"/>
        </w:rPr>
        <w:t>201</w:t>
      </w:r>
      <w:r w:rsidR="004A6828" w:rsidRPr="00ED22D1">
        <w:rPr>
          <w:lang w:val="fr-CA"/>
        </w:rPr>
        <w:t>8</w:t>
      </w:r>
      <w:r w:rsidR="00903152" w:rsidRPr="00ED22D1">
        <w:rPr>
          <w:lang w:val="fr-CA"/>
        </w:rPr>
        <w:t>,</w:t>
      </w:r>
      <w:r w:rsidR="004A6828" w:rsidRPr="00ED22D1">
        <w:rPr>
          <w:lang w:val="fr-CA"/>
        </w:rPr>
        <w:t> </w:t>
      </w:r>
      <w:r w:rsidR="00903152" w:rsidRPr="00ED22D1">
        <w:rPr>
          <w:lang w:val="fr-CA"/>
        </w:rPr>
        <w:t xml:space="preserve">compensée par des augmentations des </w:t>
      </w:r>
      <w:r w:rsidR="0085675A" w:rsidRPr="00ED22D1">
        <w:rPr>
          <w:lang w:val="fr-CA"/>
        </w:rPr>
        <w:t>tranches</w:t>
      </w:r>
      <w:r w:rsidR="00903152" w:rsidRPr="00ED22D1">
        <w:rPr>
          <w:lang w:val="fr-CA"/>
        </w:rPr>
        <w:t xml:space="preserve"> futures</w:t>
      </w:r>
      <w:r w:rsidR="0085675A" w:rsidRPr="00ED22D1">
        <w:rPr>
          <w:lang w:val="fr-CA"/>
        </w:rPr>
        <w:t xml:space="preserve">, </w:t>
      </w:r>
      <w:r w:rsidR="00903152" w:rsidRPr="00ED22D1">
        <w:rPr>
          <w:lang w:val="fr-CA"/>
        </w:rPr>
        <w:t xml:space="preserve">surtout en </w:t>
      </w:r>
      <w:r w:rsidR="0085675A" w:rsidRPr="00ED22D1">
        <w:rPr>
          <w:lang w:val="fr-CA"/>
        </w:rPr>
        <w:t>2019 (1</w:t>
      </w:r>
      <w:r w:rsidR="004A6828" w:rsidRPr="00ED22D1">
        <w:rPr>
          <w:lang w:val="fr-CA"/>
        </w:rPr>
        <w:t>5,</w:t>
      </w:r>
      <w:r w:rsidR="0085675A" w:rsidRPr="00ED22D1">
        <w:rPr>
          <w:lang w:val="fr-CA"/>
        </w:rPr>
        <w:t xml:space="preserve">7 </w:t>
      </w:r>
      <w:r w:rsidR="00EC100C" w:rsidRPr="00ED22D1">
        <w:rPr>
          <w:lang w:val="fr-CA"/>
        </w:rPr>
        <w:t>millions $US)</w:t>
      </w:r>
      <w:r w:rsidR="0085675A" w:rsidRPr="00ED22D1">
        <w:rPr>
          <w:lang w:val="fr-CA"/>
        </w:rPr>
        <w:t xml:space="preserve">, </w:t>
      </w:r>
      <w:r w:rsidR="00903152" w:rsidRPr="00ED22D1">
        <w:rPr>
          <w:lang w:val="fr-CA"/>
        </w:rPr>
        <w:t xml:space="preserve">en </w:t>
      </w:r>
      <w:r w:rsidR="0085675A" w:rsidRPr="00ED22D1">
        <w:rPr>
          <w:lang w:val="fr-CA"/>
        </w:rPr>
        <w:t>2020 (1</w:t>
      </w:r>
      <w:r w:rsidR="004A6828" w:rsidRPr="00ED22D1">
        <w:rPr>
          <w:lang w:val="fr-CA"/>
        </w:rPr>
        <w:t>0,</w:t>
      </w:r>
      <w:r w:rsidR="0085675A" w:rsidRPr="00ED22D1">
        <w:rPr>
          <w:lang w:val="fr-CA"/>
        </w:rPr>
        <w:t>5 </w:t>
      </w:r>
      <w:r w:rsidR="00EC100C" w:rsidRPr="00ED22D1">
        <w:rPr>
          <w:lang w:val="fr-CA"/>
        </w:rPr>
        <w:t>millions $US)</w:t>
      </w:r>
      <w:r w:rsidR="004A6828" w:rsidRPr="00ED22D1">
        <w:rPr>
          <w:lang w:val="fr-CA"/>
        </w:rPr>
        <w:t xml:space="preserve"> et </w:t>
      </w:r>
      <w:r w:rsidR="00903152" w:rsidRPr="00ED22D1">
        <w:rPr>
          <w:lang w:val="fr-CA"/>
        </w:rPr>
        <w:t xml:space="preserve">en </w:t>
      </w:r>
      <w:r w:rsidR="0085675A" w:rsidRPr="00ED22D1">
        <w:rPr>
          <w:lang w:val="fr-CA"/>
        </w:rPr>
        <w:t>2022 (1</w:t>
      </w:r>
      <w:r w:rsidR="004A6828" w:rsidRPr="00ED22D1">
        <w:rPr>
          <w:lang w:val="fr-CA"/>
        </w:rPr>
        <w:t>0,</w:t>
      </w:r>
      <w:r w:rsidR="0085675A" w:rsidRPr="00ED22D1">
        <w:rPr>
          <w:lang w:val="fr-CA"/>
        </w:rPr>
        <w:t xml:space="preserve">7 </w:t>
      </w:r>
      <w:r w:rsidR="00EC100C" w:rsidRPr="00ED22D1">
        <w:rPr>
          <w:lang w:val="fr-CA"/>
        </w:rPr>
        <w:t>millions $US)</w:t>
      </w:r>
      <w:r w:rsidR="0031390F" w:rsidRPr="00ED22D1">
        <w:rPr>
          <w:lang w:val="fr-CA"/>
        </w:rPr>
        <w:t>. Le</w:t>
      </w:r>
      <w:r w:rsidR="00903152" w:rsidRPr="00ED22D1">
        <w:rPr>
          <w:lang w:val="fr-CA"/>
        </w:rPr>
        <w:t>s détails sont présentés à l’annexe II du présent document</w:t>
      </w:r>
      <w:r w:rsidR="0085675A" w:rsidRPr="00ED22D1">
        <w:rPr>
          <w:lang w:val="fr-CA"/>
        </w:rPr>
        <w:t xml:space="preserve">. </w:t>
      </w:r>
    </w:p>
    <w:p w:rsidR="0085675A" w:rsidRPr="00ED22D1" w:rsidRDefault="003014CD" w:rsidP="003014CD">
      <w:pPr>
        <w:pStyle w:val="Heading1"/>
        <w:numPr>
          <w:ilvl w:val="0"/>
          <w:numId w:val="0"/>
        </w:numPr>
        <w:rPr>
          <w:lang w:val="fr-CA"/>
        </w:rPr>
      </w:pPr>
      <w:r w:rsidRPr="00ED22D1">
        <w:rPr>
          <w:lang w:val="fr-CA"/>
        </w:rPr>
        <w:t>55.</w:t>
      </w:r>
      <w:r w:rsidRPr="00ED22D1">
        <w:rPr>
          <w:lang w:val="fr-CA"/>
        </w:rPr>
        <w:tab/>
      </w:r>
      <w:r w:rsidR="00903152" w:rsidRPr="00ED22D1">
        <w:rPr>
          <w:lang w:val="fr-CA"/>
        </w:rPr>
        <w:t>L’</w:t>
      </w:r>
      <w:r w:rsidR="00CB2326" w:rsidRPr="00ED22D1">
        <w:rPr>
          <w:lang w:val="fr-CA"/>
        </w:rPr>
        <w:t>appendice</w:t>
      </w:r>
      <w:r w:rsidR="0085675A" w:rsidRPr="00ED22D1">
        <w:rPr>
          <w:lang w:val="fr-CA"/>
        </w:rPr>
        <w:t xml:space="preserve"> 2-A </w:t>
      </w:r>
      <w:r w:rsidR="00903152" w:rsidRPr="00ED22D1">
        <w:rPr>
          <w:lang w:val="fr-CA"/>
        </w:rPr>
        <w:t xml:space="preserve">révisé de </w:t>
      </w:r>
      <w:r w:rsidR="00CE7FEC" w:rsidRPr="00ED22D1">
        <w:rPr>
          <w:lang w:val="fr-CA"/>
        </w:rPr>
        <w:t>l’accord</w:t>
      </w:r>
      <w:r w:rsidR="0085675A" w:rsidRPr="00ED22D1">
        <w:rPr>
          <w:lang w:val="fr-CA"/>
        </w:rPr>
        <w:t xml:space="preserve"> </w:t>
      </w:r>
      <w:r w:rsidR="00903152" w:rsidRPr="00ED22D1">
        <w:rPr>
          <w:lang w:val="fr-CA"/>
        </w:rPr>
        <w:t>est</w:t>
      </w:r>
      <w:r w:rsidR="0085675A" w:rsidRPr="00ED22D1">
        <w:rPr>
          <w:lang w:val="fr-CA"/>
        </w:rPr>
        <w:t xml:space="preserve"> </w:t>
      </w:r>
      <w:r w:rsidR="00903152" w:rsidRPr="00ED22D1">
        <w:rPr>
          <w:lang w:val="fr-CA"/>
        </w:rPr>
        <w:t>présenté</w:t>
      </w:r>
      <w:r w:rsidR="0085675A" w:rsidRPr="00ED22D1">
        <w:rPr>
          <w:lang w:val="fr-CA"/>
        </w:rPr>
        <w:t xml:space="preserve"> </w:t>
      </w:r>
      <w:r w:rsidR="00903152" w:rsidRPr="00ED22D1">
        <w:rPr>
          <w:lang w:val="fr-CA"/>
        </w:rPr>
        <w:t>à l’a</w:t>
      </w:r>
      <w:r w:rsidR="0085675A" w:rsidRPr="00ED22D1">
        <w:rPr>
          <w:lang w:val="fr-CA"/>
        </w:rPr>
        <w:t>nnex</w:t>
      </w:r>
      <w:r w:rsidR="00903152" w:rsidRPr="00ED22D1">
        <w:rPr>
          <w:lang w:val="fr-CA"/>
        </w:rPr>
        <w:t>e</w:t>
      </w:r>
      <w:r w:rsidR="0085675A" w:rsidRPr="00ED22D1">
        <w:rPr>
          <w:lang w:val="fr-CA"/>
        </w:rPr>
        <w:t xml:space="preserve"> I </w:t>
      </w:r>
      <w:r w:rsidR="00903152" w:rsidRPr="00ED22D1">
        <w:rPr>
          <w:lang w:val="fr-CA"/>
        </w:rPr>
        <w:t>du présent document</w:t>
      </w:r>
      <w:r w:rsidR="0085675A" w:rsidRPr="00ED22D1">
        <w:rPr>
          <w:lang w:val="fr-CA"/>
        </w:rPr>
        <w:t xml:space="preserve">. </w:t>
      </w:r>
      <w:r w:rsidR="00903152" w:rsidRPr="00ED22D1">
        <w:rPr>
          <w:lang w:val="fr-CA"/>
        </w:rPr>
        <w:t>La totalité de</w:t>
      </w:r>
      <w:r w:rsidR="00381D85" w:rsidRPr="00ED22D1">
        <w:rPr>
          <w:lang w:val="fr-CA"/>
        </w:rPr>
        <w:t> </w:t>
      </w:r>
      <w:r w:rsidR="00903152" w:rsidRPr="00ED22D1">
        <w:rPr>
          <w:lang w:val="fr-CA"/>
        </w:rPr>
        <w:t xml:space="preserve">l’accord </w:t>
      </w:r>
      <w:r w:rsidR="00CA0808" w:rsidRPr="00ED22D1">
        <w:rPr>
          <w:lang w:val="fr-CA"/>
        </w:rPr>
        <w:t>mis à jour</w:t>
      </w:r>
      <w:r w:rsidR="001B45EC" w:rsidRPr="00ED22D1">
        <w:rPr>
          <w:lang w:val="fr-CA"/>
        </w:rPr>
        <w:t xml:space="preserve"> </w:t>
      </w:r>
      <w:r w:rsidR="00903152" w:rsidRPr="00ED22D1">
        <w:rPr>
          <w:lang w:val="fr-CA"/>
        </w:rPr>
        <w:t>sera jointe au rapport final de la 8</w:t>
      </w:r>
      <w:r w:rsidR="00F5455E" w:rsidRPr="00ED22D1">
        <w:rPr>
          <w:lang w:val="fr-CA"/>
        </w:rPr>
        <w:t>3</w:t>
      </w:r>
      <w:r w:rsidR="00903152" w:rsidRPr="00ED22D1">
        <w:rPr>
          <w:vertAlign w:val="superscript"/>
          <w:lang w:val="fr-CA"/>
        </w:rPr>
        <w:t>e</w:t>
      </w:r>
      <w:r w:rsidR="00903152" w:rsidRPr="00ED22D1">
        <w:rPr>
          <w:lang w:val="fr-CA"/>
        </w:rPr>
        <w:t xml:space="preserve"> </w:t>
      </w:r>
      <w:r w:rsidR="00DD185D" w:rsidRPr="00ED22D1">
        <w:rPr>
          <w:lang w:val="fr-CA"/>
        </w:rPr>
        <w:t>réunion</w:t>
      </w:r>
      <w:r w:rsidR="0085675A" w:rsidRPr="00ED22D1">
        <w:rPr>
          <w:lang w:val="fr-CA"/>
        </w:rPr>
        <w:t xml:space="preserve">. </w:t>
      </w:r>
      <w:r w:rsidR="00903152" w:rsidRPr="00ED22D1">
        <w:rPr>
          <w:lang w:val="fr-CA"/>
        </w:rPr>
        <w:t xml:space="preserve">En plus des modifications </w:t>
      </w:r>
      <w:r w:rsidR="00381D85" w:rsidRPr="00ED22D1">
        <w:rPr>
          <w:lang w:val="fr-CA"/>
        </w:rPr>
        <w:t>précitées</w:t>
      </w:r>
      <w:r w:rsidR="00903152" w:rsidRPr="00ED22D1">
        <w:rPr>
          <w:lang w:val="fr-CA"/>
        </w:rPr>
        <w:t xml:space="preserve">, on a ajouté le paragraphe </w:t>
      </w:r>
      <w:r w:rsidR="0085675A" w:rsidRPr="00ED22D1">
        <w:rPr>
          <w:lang w:val="fr-CA"/>
        </w:rPr>
        <w:t xml:space="preserve">17 </w:t>
      </w:r>
      <w:r w:rsidR="00903152" w:rsidRPr="00ED22D1">
        <w:rPr>
          <w:lang w:val="fr-CA"/>
        </w:rPr>
        <w:t xml:space="preserve">afin de démontrer que cet accord </w:t>
      </w:r>
      <w:r w:rsidR="00CA0808" w:rsidRPr="00ED22D1">
        <w:rPr>
          <w:lang w:val="fr-CA"/>
        </w:rPr>
        <w:t>mis à jour</w:t>
      </w:r>
      <w:r w:rsidR="0085675A" w:rsidRPr="00ED22D1">
        <w:rPr>
          <w:lang w:val="fr-CA"/>
        </w:rPr>
        <w:t xml:space="preserve"> </w:t>
      </w:r>
      <w:r w:rsidR="00903152" w:rsidRPr="00ED22D1">
        <w:rPr>
          <w:lang w:val="fr-CA"/>
        </w:rPr>
        <w:t xml:space="preserve">révisé remplace celui convenu </w:t>
      </w:r>
      <w:r w:rsidR="004A6828" w:rsidRPr="00ED22D1">
        <w:rPr>
          <w:lang w:val="fr-CA"/>
        </w:rPr>
        <w:t>entre</w:t>
      </w:r>
      <w:r w:rsidR="0085675A" w:rsidRPr="00ED22D1">
        <w:rPr>
          <w:lang w:val="fr-CA"/>
        </w:rPr>
        <w:t xml:space="preserve"> </w:t>
      </w:r>
      <w:r w:rsidR="00903152" w:rsidRPr="00ED22D1">
        <w:rPr>
          <w:lang w:val="fr-CA"/>
        </w:rPr>
        <w:t xml:space="preserve">le gouvernement </w:t>
      </w:r>
      <w:r w:rsidR="004A6828" w:rsidRPr="00ED22D1">
        <w:rPr>
          <w:lang w:val="fr-CA"/>
        </w:rPr>
        <w:t xml:space="preserve">et </w:t>
      </w:r>
      <w:r w:rsidR="00DD185D" w:rsidRPr="00ED22D1">
        <w:rPr>
          <w:lang w:val="fr-CA"/>
        </w:rPr>
        <w:t>le Comité exécutif</w:t>
      </w:r>
      <w:r w:rsidR="0085675A" w:rsidRPr="00ED22D1">
        <w:rPr>
          <w:lang w:val="fr-CA"/>
        </w:rPr>
        <w:t xml:space="preserve"> </w:t>
      </w:r>
      <w:r w:rsidR="00733306" w:rsidRPr="00ED22D1">
        <w:rPr>
          <w:lang w:val="fr-CA"/>
        </w:rPr>
        <w:t xml:space="preserve">à la </w:t>
      </w:r>
      <w:r w:rsidR="00232667" w:rsidRPr="00ED22D1">
        <w:rPr>
          <w:lang w:val="fr-CA"/>
        </w:rPr>
        <w:t>7</w:t>
      </w:r>
      <w:r w:rsidR="0085675A" w:rsidRPr="00ED22D1">
        <w:rPr>
          <w:lang w:val="fr-CA"/>
        </w:rPr>
        <w:t>9</w:t>
      </w:r>
      <w:r w:rsidR="00232667" w:rsidRPr="00ED22D1">
        <w:rPr>
          <w:vertAlign w:val="superscript"/>
          <w:lang w:val="fr-CA"/>
        </w:rPr>
        <w:t>e</w:t>
      </w:r>
      <w:r w:rsidR="00232667" w:rsidRPr="00ED22D1">
        <w:rPr>
          <w:lang w:val="fr-CA"/>
        </w:rPr>
        <w:t xml:space="preserve"> réunion.</w:t>
      </w:r>
      <w:r w:rsidR="0085675A" w:rsidRPr="00ED22D1">
        <w:rPr>
          <w:lang w:val="fr-CA"/>
        </w:rPr>
        <w:t xml:space="preserve"> </w:t>
      </w:r>
    </w:p>
    <w:p w:rsidR="0085675A" w:rsidRPr="00ED22D1" w:rsidRDefault="00232667" w:rsidP="0085675A">
      <w:pPr>
        <w:keepNext/>
        <w:keepLines/>
        <w:rPr>
          <w:u w:val="single"/>
          <w:lang w:val="fr-CA"/>
        </w:rPr>
      </w:pPr>
      <w:r w:rsidRPr="00ED22D1">
        <w:rPr>
          <w:u w:val="single"/>
          <w:lang w:val="fr-CA"/>
        </w:rPr>
        <w:lastRenderedPageBreak/>
        <w:t>R</w:t>
      </w:r>
      <w:r w:rsidR="004A6828" w:rsidRPr="00ED22D1">
        <w:rPr>
          <w:u w:val="single"/>
          <w:lang w:val="fr-CA"/>
        </w:rPr>
        <w:t>apport périodique</w:t>
      </w:r>
      <w:r w:rsidR="0085675A" w:rsidRPr="00ED22D1">
        <w:rPr>
          <w:u w:val="single"/>
          <w:lang w:val="fr-CA"/>
        </w:rPr>
        <w:t>s</w:t>
      </w:r>
      <w:r w:rsidR="004A6828" w:rsidRPr="00ED22D1">
        <w:rPr>
          <w:u w:val="single"/>
          <w:lang w:val="fr-CA"/>
        </w:rPr>
        <w:t xml:space="preserve"> </w:t>
      </w:r>
      <w:r w:rsidRPr="00ED22D1">
        <w:rPr>
          <w:u w:val="single"/>
          <w:lang w:val="fr-CA"/>
        </w:rPr>
        <w:t xml:space="preserve">des tranches </w:t>
      </w:r>
      <w:r w:rsidR="004A6828" w:rsidRPr="00ED22D1">
        <w:rPr>
          <w:u w:val="single"/>
          <w:lang w:val="fr-CA"/>
        </w:rPr>
        <w:t xml:space="preserve">et </w:t>
      </w:r>
      <w:r w:rsidRPr="00ED22D1">
        <w:rPr>
          <w:u w:val="single"/>
          <w:lang w:val="fr-CA"/>
        </w:rPr>
        <w:t xml:space="preserve">demandes de </w:t>
      </w:r>
      <w:r w:rsidR="00D15079" w:rsidRPr="00ED22D1">
        <w:rPr>
          <w:u w:val="single"/>
          <w:lang w:val="fr-CA"/>
        </w:rPr>
        <w:t>financement</w:t>
      </w:r>
    </w:p>
    <w:p w:rsidR="0085675A" w:rsidRPr="00ED22D1" w:rsidRDefault="0085675A" w:rsidP="0085675A">
      <w:pPr>
        <w:keepNext/>
        <w:keepLines/>
        <w:rPr>
          <w:u w:val="single"/>
          <w:lang w:val="fr-CA"/>
        </w:rPr>
      </w:pPr>
    </w:p>
    <w:p w:rsidR="0085675A" w:rsidRPr="00ED22D1" w:rsidRDefault="003014CD" w:rsidP="003014CD">
      <w:pPr>
        <w:pStyle w:val="Heading1"/>
        <w:keepNext/>
        <w:keepLines/>
        <w:numPr>
          <w:ilvl w:val="0"/>
          <w:numId w:val="0"/>
        </w:numPr>
        <w:rPr>
          <w:lang w:val="fr-CA"/>
        </w:rPr>
      </w:pPr>
      <w:r w:rsidRPr="00ED22D1">
        <w:rPr>
          <w:lang w:val="fr-CA"/>
        </w:rPr>
        <w:t>56.</w:t>
      </w:r>
      <w:r w:rsidRPr="00ED22D1">
        <w:rPr>
          <w:lang w:val="fr-CA"/>
        </w:rPr>
        <w:tab/>
      </w:r>
      <w:r w:rsidR="00232667" w:rsidRPr="00ED22D1">
        <w:rPr>
          <w:lang w:val="fr-CA"/>
        </w:rPr>
        <w:t xml:space="preserve">Les rapports périodiques autonomes détaillés </w:t>
      </w:r>
      <w:r w:rsidR="00921BDE" w:rsidRPr="00ED22D1">
        <w:rPr>
          <w:lang w:val="fr-CA"/>
        </w:rPr>
        <w:t>sur la mise en oeuvre de</w:t>
      </w:r>
      <w:r w:rsidR="00232667" w:rsidRPr="00ED22D1">
        <w:rPr>
          <w:lang w:val="fr-CA"/>
        </w:rPr>
        <w:t>s plans des</w:t>
      </w:r>
      <w:r w:rsidR="00921BDE" w:rsidRPr="00ED22D1">
        <w:rPr>
          <w:lang w:val="fr-CA"/>
        </w:rPr>
        <w:t xml:space="preserve"> mousse</w:t>
      </w:r>
      <w:r w:rsidR="00232667" w:rsidRPr="00ED22D1">
        <w:rPr>
          <w:lang w:val="fr-CA"/>
        </w:rPr>
        <w:t>s</w:t>
      </w:r>
      <w:r w:rsidR="00921BDE" w:rsidRPr="00ED22D1">
        <w:rPr>
          <w:lang w:val="fr-CA"/>
        </w:rPr>
        <w:t xml:space="preserve"> extrudée</w:t>
      </w:r>
      <w:r w:rsidR="00232667" w:rsidRPr="00ED22D1">
        <w:rPr>
          <w:lang w:val="fr-CA"/>
        </w:rPr>
        <w:t>s</w:t>
      </w:r>
      <w:r w:rsidR="00921BDE" w:rsidRPr="00ED22D1">
        <w:rPr>
          <w:lang w:val="fr-CA"/>
        </w:rPr>
        <w:t xml:space="preserve"> (XPS)</w:t>
      </w:r>
      <w:r w:rsidR="0085675A" w:rsidRPr="00ED22D1">
        <w:rPr>
          <w:lang w:val="fr-CA"/>
        </w:rPr>
        <w:t>,</w:t>
      </w:r>
      <w:r w:rsidR="00905638" w:rsidRPr="00ED22D1">
        <w:rPr>
          <w:lang w:val="fr-CA"/>
        </w:rPr>
        <w:t xml:space="preserve"> </w:t>
      </w:r>
      <w:r w:rsidR="00232667" w:rsidRPr="00ED22D1">
        <w:rPr>
          <w:lang w:val="fr-CA"/>
        </w:rPr>
        <w:t xml:space="preserve">de la </w:t>
      </w:r>
      <w:r w:rsidR="00905638" w:rsidRPr="00ED22D1">
        <w:rPr>
          <w:lang w:val="fr-CA"/>
        </w:rPr>
        <w:t xml:space="preserve">climatisation et de </w:t>
      </w:r>
      <w:r w:rsidR="00232667" w:rsidRPr="00ED22D1">
        <w:rPr>
          <w:lang w:val="fr-CA"/>
        </w:rPr>
        <w:t xml:space="preserve">la </w:t>
      </w:r>
      <w:r w:rsidR="00905638" w:rsidRPr="00ED22D1">
        <w:rPr>
          <w:lang w:val="fr-CA"/>
        </w:rPr>
        <w:t>réfrigération industrielle et commerciale</w:t>
      </w:r>
      <w:r w:rsidR="0085675A" w:rsidRPr="00ED22D1">
        <w:rPr>
          <w:lang w:val="fr-CA"/>
        </w:rPr>
        <w:t xml:space="preserve">, </w:t>
      </w:r>
      <w:r w:rsidR="00802F71" w:rsidRPr="00ED22D1">
        <w:rPr>
          <w:lang w:val="fr-CA"/>
        </w:rPr>
        <w:t>des solvants</w:t>
      </w:r>
      <w:r w:rsidR="004A6828" w:rsidRPr="00ED22D1">
        <w:rPr>
          <w:lang w:val="fr-CA"/>
        </w:rPr>
        <w:t xml:space="preserve"> et </w:t>
      </w:r>
      <w:r w:rsidR="00232667" w:rsidRPr="00ED22D1">
        <w:rPr>
          <w:lang w:val="fr-CA"/>
        </w:rPr>
        <w:t xml:space="preserve">du </w:t>
      </w:r>
      <w:r w:rsidR="00181884" w:rsidRPr="00ED22D1">
        <w:rPr>
          <w:lang w:val="fr-CA"/>
        </w:rPr>
        <w:t>secteur de l’entretien en réfrigération</w:t>
      </w:r>
      <w:r w:rsidR="0085675A" w:rsidRPr="00ED22D1">
        <w:rPr>
          <w:lang w:val="fr-CA"/>
        </w:rPr>
        <w:t xml:space="preserve"> </w:t>
      </w:r>
      <w:r w:rsidR="004A6828" w:rsidRPr="00ED22D1">
        <w:rPr>
          <w:lang w:val="fr-CA"/>
        </w:rPr>
        <w:t xml:space="preserve">et </w:t>
      </w:r>
      <w:r w:rsidR="00232667" w:rsidRPr="00ED22D1">
        <w:rPr>
          <w:lang w:val="fr-CA"/>
        </w:rPr>
        <w:t xml:space="preserve">les demandes de </w:t>
      </w:r>
      <w:r w:rsidR="00D15079" w:rsidRPr="00ED22D1">
        <w:rPr>
          <w:lang w:val="fr-CA"/>
        </w:rPr>
        <w:t>financement</w:t>
      </w:r>
      <w:r w:rsidR="0085675A" w:rsidRPr="00ED22D1">
        <w:rPr>
          <w:lang w:val="fr-CA"/>
        </w:rPr>
        <w:t xml:space="preserve"> </w:t>
      </w:r>
      <w:r w:rsidR="00232667" w:rsidRPr="00ED22D1">
        <w:rPr>
          <w:lang w:val="fr-CA"/>
        </w:rPr>
        <w:t xml:space="preserve">pour les </w:t>
      </w:r>
      <w:r w:rsidR="004A6828" w:rsidRPr="00ED22D1">
        <w:rPr>
          <w:lang w:val="fr-CA"/>
        </w:rPr>
        <w:t>troisième</w:t>
      </w:r>
      <w:r w:rsidR="00232667" w:rsidRPr="00ED22D1">
        <w:rPr>
          <w:lang w:val="fr-CA"/>
        </w:rPr>
        <w:t>s</w:t>
      </w:r>
      <w:r w:rsidR="0085675A" w:rsidRPr="00ED22D1">
        <w:rPr>
          <w:lang w:val="fr-CA"/>
        </w:rPr>
        <w:t xml:space="preserve"> tranches</w:t>
      </w:r>
      <w:r w:rsidR="00903152" w:rsidRPr="00ED22D1">
        <w:rPr>
          <w:lang w:val="fr-CA"/>
        </w:rPr>
        <w:t xml:space="preserve"> sont </w:t>
      </w:r>
      <w:r w:rsidR="00232667" w:rsidRPr="00ED22D1">
        <w:rPr>
          <w:lang w:val="fr-CA"/>
        </w:rPr>
        <w:t xml:space="preserve">joints à la </w:t>
      </w:r>
      <w:r w:rsidR="0085675A" w:rsidRPr="00ED22D1">
        <w:rPr>
          <w:lang w:val="fr-CA"/>
        </w:rPr>
        <w:t>Note</w:t>
      </w:r>
      <w:r w:rsidR="00DE118B" w:rsidRPr="00ED22D1">
        <w:rPr>
          <w:lang w:val="fr-CA"/>
        </w:rPr>
        <w:t xml:space="preserve"> par </w:t>
      </w:r>
      <w:r w:rsidR="00DD185D" w:rsidRPr="00ED22D1">
        <w:rPr>
          <w:lang w:val="fr-CA"/>
        </w:rPr>
        <w:t>le Secrétariat</w:t>
      </w:r>
      <w:r w:rsidR="0085675A" w:rsidRPr="00ED22D1">
        <w:rPr>
          <w:lang w:val="fr-CA"/>
        </w:rPr>
        <w:t xml:space="preserve">. </w:t>
      </w:r>
      <w:r w:rsidR="00232667" w:rsidRPr="00ED22D1">
        <w:rPr>
          <w:lang w:val="fr-CA"/>
        </w:rPr>
        <w:t xml:space="preserve">Chaque rapport fournit un </w:t>
      </w:r>
      <w:r w:rsidR="004A6828" w:rsidRPr="00ED22D1">
        <w:rPr>
          <w:lang w:val="fr-CA"/>
        </w:rPr>
        <w:t>rapport périodique</w:t>
      </w:r>
      <w:r w:rsidR="0085675A" w:rsidRPr="00ED22D1">
        <w:rPr>
          <w:lang w:val="fr-CA"/>
        </w:rPr>
        <w:t xml:space="preserve"> </w:t>
      </w:r>
      <w:r w:rsidR="00921BDE" w:rsidRPr="00ED22D1">
        <w:rPr>
          <w:lang w:val="fr-CA"/>
        </w:rPr>
        <w:t>sur la mise en oeuvre de</w:t>
      </w:r>
      <w:r w:rsidR="00381D85" w:rsidRPr="00ED22D1">
        <w:rPr>
          <w:lang w:val="fr-CA"/>
        </w:rPr>
        <w:t> </w:t>
      </w:r>
      <w:r w:rsidR="00921BDE" w:rsidRPr="00ED22D1">
        <w:rPr>
          <w:lang w:val="fr-CA"/>
        </w:rPr>
        <w:t>la deuxième</w:t>
      </w:r>
      <w:r w:rsidR="0085675A" w:rsidRPr="00ED22D1">
        <w:rPr>
          <w:lang w:val="fr-CA"/>
        </w:rPr>
        <w:t xml:space="preserve"> tranche; </w:t>
      </w:r>
      <w:r w:rsidR="00232667" w:rsidRPr="00ED22D1">
        <w:rPr>
          <w:lang w:val="fr-CA"/>
        </w:rPr>
        <w:t>le niveau de décaissement des fonds</w:t>
      </w:r>
      <w:r w:rsidR="0085675A" w:rsidRPr="00ED22D1">
        <w:rPr>
          <w:lang w:val="fr-CA"/>
        </w:rPr>
        <w:t xml:space="preserve">; </w:t>
      </w:r>
      <w:r w:rsidR="00232667" w:rsidRPr="00ED22D1">
        <w:rPr>
          <w:lang w:val="fr-CA"/>
        </w:rPr>
        <w:t>un plan de</w:t>
      </w:r>
      <w:r w:rsidR="0085675A" w:rsidRPr="00ED22D1">
        <w:rPr>
          <w:lang w:val="fr-CA"/>
        </w:rPr>
        <w:t xml:space="preserve"> </w:t>
      </w:r>
      <w:r w:rsidR="00921BDE" w:rsidRPr="00ED22D1">
        <w:rPr>
          <w:lang w:val="fr-CA"/>
        </w:rPr>
        <w:t xml:space="preserve">mise en oeuvre </w:t>
      </w:r>
      <w:r w:rsidR="00232667" w:rsidRPr="00ED22D1">
        <w:rPr>
          <w:lang w:val="fr-CA"/>
        </w:rPr>
        <w:t xml:space="preserve">de la </w:t>
      </w:r>
      <w:r w:rsidR="004A6828" w:rsidRPr="00ED22D1">
        <w:rPr>
          <w:lang w:val="fr-CA"/>
        </w:rPr>
        <w:t>troisième</w:t>
      </w:r>
      <w:r w:rsidR="0085675A" w:rsidRPr="00ED22D1">
        <w:rPr>
          <w:lang w:val="fr-CA"/>
        </w:rPr>
        <w:t xml:space="preserve"> tranche; </w:t>
      </w:r>
      <w:r w:rsidR="00232667" w:rsidRPr="00ED22D1">
        <w:rPr>
          <w:lang w:val="fr-CA"/>
        </w:rPr>
        <w:t>des observations pa</w:t>
      </w:r>
      <w:r w:rsidR="00DE118B" w:rsidRPr="00ED22D1">
        <w:rPr>
          <w:lang w:val="fr-CA"/>
        </w:rPr>
        <w:t xml:space="preserve">r </w:t>
      </w:r>
      <w:r w:rsidR="00E71388" w:rsidRPr="00ED22D1">
        <w:rPr>
          <w:lang w:val="fr-CA"/>
        </w:rPr>
        <w:t>le Secré</w:t>
      </w:r>
      <w:r w:rsidR="0052712E" w:rsidRPr="00ED22D1">
        <w:rPr>
          <w:lang w:val="fr-CA"/>
        </w:rPr>
        <w:t>tariat du Fonds</w:t>
      </w:r>
      <w:r w:rsidR="0085675A" w:rsidRPr="00ED22D1">
        <w:rPr>
          <w:lang w:val="fr-CA"/>
        </w:rPr>
        <w:t>;</w:t>
      </w:r>
      <w:r w:rsidR="004A6828" w:rsidRPr="00ED22D1">
        <w:rPr>
          <w:lang w:val="fr-CA"/>
        </w:rPr>
        <w:t xml:space="preserve"> et </w:t>
      </w:r>
      <w:r w:rsidR="00232667" w:rsidRPr="00ED22D1">
        <w:rPr>
          <w:lang w:val="fr-CA"/>
        </w:rPr>
        <w:t xml:space="preserve">la </w:t>
      </w:r>
      <w:r w:rsidR="001B45EC" w:rsidRPr="00ED22D1">
        <w:rPr>
          <w:lang w:val="fr-CA"/>
        </w:rPr>
        <w:t>recommandation</w:t>
      </w:r>
      <w:r w:rsidR="0085675A" w:rsidRPr="00ED22D1">
        <w:rPr>
          <w:lang w:val="fr-CA"/>
        </w:rPr>
        <w:t>.</w:t>
      </w:r>
    </w:p>
    <w:p w:rsidR="0085675A" w:rsidRPr="00ED22D1" w:rsidRDefault="0085675A" w:rsidP="0085675A">
      <w:pPr>
        <w:tabs>
          <w:tab w:val="left" w:pos="8280"/>
        </w:tabs>
        <w:rPr>
          <w:lang w:val="fr-CA"/>
        </w:rPr>
      </w:pPr>
    </w:p>
    <w:p w:rsidR="0085675A" w:rsidRPr="00ED22D1" w:rsidRDefault="0085675A" w:rsidP="004457CB">
      <w:pPr>
        <w:jc w:val="left"/>
        <w:rPr>
          <w:lang w:val="fr-CA"/>
        </w:rPr>
      </w:pPr>
      <w:r w:rsidRPr="00ED22D1">
        <w:rPr>
          <w:lang w:val="fr-CA"/>
        </w:rPr>
        <w:br w:type="page"/>
      </w:r>
    </w:p>
    <w:p w:rsidR="00C1026B" w:rsidRPr="00ED22D1" w:rsidRDefault="0052712E" w:rsidP="00C1026B">
      <w:pPr>
        <w:spacing w:after="80"/>
        <w:jc w:val="center"/>
        <w:rPr>
          <w:b/>
          <w:lang w:val="fr-CA"/>
        </w:rPr>
      </w:pPr>
      <w:r w:rsidRPr="00ED22D1">
        <w:rPr>
          <w:b/>
          <w:bCs/>
          <w:lang w:val="fr-CA"/>
        </w:rPr>
        <w:lastRenderedPageBreak/>
        <w:t>FICHE D’ÉVALUATION DE PROJET - PROJETS PLURIANNUELS</w:t>
      </w:r>
    </w:p>
    <w:p w:rsidR="00C1026B" w:rsidRPr="00ED22D1" w:rsidRDefault="00D26EF9" w:rsidP="00C1026B">
      <w:pPr>
        <w:spacing w:after="80"/>
        <w:jc w:val="center"/>
        <w:rPr>
          <w:lang w:val="fr-CA"/>
        </w:rPr>
      </w:pPr>
      <w:r w:rsidRPr="00ED22D1">
        <w:rPr>
          <w:b/>
          <w:lang w:val="fr-CA"/>
        </w:rPr>
        <w:t>Chine</w:t>
      </w:r>
    </w:p>
    <w:p w:rsidR="00C1026B" w:rsidRPr="00ED22D1" w:rsidRDefault="00C1026B" w:rsidP="00C1026B">
      <w:pPr>
        <w:tabs>
          <w:tab w:val="left" w:pos="7290"/>
        </w:tabs>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89"/>
        <w:gridCol w:w="2392"/>
        <w:gridCol w:w="1842"/>
        <w:gridCol w:w="1977"/>
      </w:tblGrid>
      <w:tr w:rsidR="0052712E" w:rsidRPr="00ED22D1" w:rsidTr="00D26EF9">
        <w:trPr>
          <w:trHeight w:val="240"/>
        </w:trPr>
        <w:tc>
          <w:tcPr>
            <w:tcW w:w="3823" w:type="dxa"/>
            <w:shd w:val="clear" w:color="auto" w:fill="auto"/>
          </w:tcPr>
          <w:p w:rsidR="0052712E" w:rsidRPr="00ED22D1" w:rsidRDefault="0052712E" w:rsidP="0052712E">
            <w:pPr>
              <w:spacing w:after="80"/>
              <w:jc w:val="left"/>
              <w:rPr>
                <w:b/>
                <w:sz w:val="18"/>
                <w:szCs w:val="18"/>
                <w:lang w:val="fr-CA"/>
              </w:rPr>
            </w:pPr>
            <w:r w:rsidRPr="00ED22D1">
              <w:rPr>
                <w:b/>
                <w:sz w:val="18"/>
                <w:szCs w:val="18"/>
                <w:lang w:val="fr-CA"/>
              </w:rPr>
              <w:t>(I) TITRE DU PROJET</w:t>
            </w:r>
          </w:p>
        </w:tc>
        <w:tc>
          <w:tcPr>
            <w:tcW w:w="2409" w:type="dxa"/>
            <w:shd w:val="clear" w:color="auto" w:fill="auto"/>
          </w:tcPr>
          <w:p w:rsidR="0052712E" w:rsidRPr="00ED22D1" w:rsidRDefault="0052712E" w:rsidP="0052712E">
            <w:pPr>
              <w:spacing w:after="80"/>
              <w:jc w:val="center"/>
              <w:rPr>
                <w:b/>
                <w:sz w:val="18"/>
                <w:szCs w:val="18"/>
                <w:lang w:val="fr-CA"/>
              </w:rPr>
            </w:pPr>
            <w:r w:rsidRPr="00ED22D1">
              <w:rPr>
                <w:b/>
                <w:sz w:val="18"/>
                <w:szCs w:val="18"/>
                <w:lang w:val="fr-CA"/>
              </w:rPr>
              <w:t>AGENCE</w:t>
            </w:r>
          </w:p>
        </w:tc>
        <w:tc>
          <w:tcPr>
            <w:tcW w:w="1843" w:type="dxa"/>
            <w:shd w:val="clear" w:color="auto" w:fill="auto"/>
          </w:tcPr>
          <w:p w:rsidR="0052712E" w:rsidRPr="00ED22D1" w:rsidRDefault="0052712E" w:rsidP="0052712E">
            <w:pPr>
              <w:spacing w:after="80"/>
              <w:jc w:val="center"/>
              <w:rPr>
                <w:b/>
                <w:sz w:val="18"/>
                <w:szCs w:val="18"/>
                <w:lang w:val="fr-CA"/>
              </w:rPr>
            </w:pPr>
            <w:r w:rsidRPr="00ED22D1">
              <w:rPr>
                <w:b/>
                <w:sz w:val="18"/>
                <w:szCs w:val="18"/>
                <w:lang w:val="fr-CA"/>
              </w:rPr>
              <w:t>DATE D’APPROBATION</w:t>
            </w:r>
          </w:p>
        </w:tc>
        <w:tc>
          <w:tcPr>
            <w:tcW w:w="1925" w:type="dxa"/>
            <w:shd w:val="clear" w:color="auto" w:fill="auto"/>
          </w:tcPr>
          <w:p w:rsidR="0052712E" w:rsidRPr="00ED22D1" w:rsidRDefault="0052712E" w:rsidP="0052712E">
            <w:pPr>
              <w:spacing w:after="80"/>
              <w:jc w:val="center"/>
              <w:rPr>
                <w:b/>
                <w:sz w:val="18"/>
                <w:szCs w:val="18"/>
                <w:lang w:val="fr-CA"/>
              </w:rPr>
            </w:pPr>
            <w:r w:rsidRPr="00ED22D1">
              <w:rPr>
                <w:b/>
                <w:sz w:val="18"/>
                <w:szCs w:val="18"/>
                <w:lang w:val="fr-CA"/>
              </w:rPr>
              <w:t>MESURE DE RÉGLEMENTATION</w:t>
            </w:r>
          </w:p>
        </w:tc>
      </w:tr>
      <w:tr w:rsidR="00C1026B" w:rsidRPr="00ED22D1" w:rsidTr="00D26EF9">
        <w:trPr>
          <w:trHeight w:val="240"/>
        </w:trPr>
        <w:tc>
          <w:tcPr>
            <w:tcW w:w="3823" w:type="dxa"/>
            <w:shd w:val="clear" w:color="auto" w:fill="auto"/>
            <w:vAlign w:val="center"/>
          </w:tcPr>
          <w:p w:rsidR="00C1026B" w:rsidRPr="00ED22D1" w:rsidRDefault="000A507C" w:rsidP="000A507C">
            <w:pPr>
              <w:tabs>
                <w:tab w:val="left" w:pos="7290"/>
              </w:tabs>
              <w:jc w:val="left"/>
              <w:rPr>
                <w:sz w:val="18"/>
                <w:szCs w:val="18"/>
                <w:lang w:val="fr-CA"/>
              </w:rPr>
            </w:pPr>
            <w:r w:rsidRPr="00ED22D1">
              <w:rPr>
                <w:sz w:val="18"/>
                <w:szCs w:val="18"/>
                <w:lang w:val="fr-CA"/>
              </w:rPr>
              <w:t>Plan d’</w:t>
            </w:r>
            <w:r w:rsidR="004A6828" w:rsidRPr="00ED22D1">
              <w:rPr>
                <w:sz w:val="18"/>
                <w:szCs w:val="18"/>
                <w:lang w:val="fr-CA"/>
              </w:rPr>
              <w:t>élimination</w:t>
            </w:r>
            <w:r w:rsidR="00C1026B" w:rsidRPr="00ED22D1">
              <w:rPr>
                <w:sz w:val="18"/>
                <w:szCs w:val="18"/>
                <w:lang w:val="fr-CA"/>
              </w:rPr>
              <w:t xml:space="preserve"> </w:t>
            </w:r>
            <w:r w:rsidRPr="00ED22D1">
              <w:rPr>
                <w:sz w:val="18"/>
                <w:szCs w:val="18"/>
                <w:lang w:val="fr-CA"/>
              </w:rPr>
              <w:t>des HCFC</w:t>
            </w:r>
            <w:r w:rsidR="00C1026B" w:rsidRPr="00ED22D1">
              <w:rPr>
                <w:sz w:val="18"/>
                <w:szCs w:val="18"/>
                <w:lang w:val="fr-CA"/>
              </w:rPr>
              <w:t xml:space="preserve"> </w:t>
            </w:r>
            <w:r w:rsidR="004A6828" w:rsidRPr="00ED22D1">
              <w:rPr>
                <w:sz w:val="18"/>
                <w:szCs w:val="18"/>
                <w:lang w:val="fr-CA"/>
              </w:rPr>
              <w:t>(phase</w:t>
            </w:r>
            <w:r w:rsidR="00C1026B" w:rsidRPr="00ED22D1">
              <w:rPr>
                <w:sz w:val="18"/>
                <w:szCs w:val="18"/>
                <w:lang w:val="fr-CA"/>
              </w:rPr>
              <w:t xml:space="preserve"> II)</w:t>
            </w:r>
            <w:r w:rsidRPr="00ED22D1">
              <w:rPr>
                <w:sz w:val="18"/>
                <w:szCs w:val="18"/>
                <w:lang w:val="fr-CA"/>
              </w:rPr>
              <w:t xml:space="preserve"> du secteur des</w:t>
            </w:r>
            <w:r w:rsidR="00921BDE" w:rsidRPr="00ED22D1">
              <w:rPr>
                <w:sz w:val="18"/>
                <w:szCs w:val="18"/>
                <w:lang w:val="fr-CA"/>
              </w:rPr>
              <w:t xml:space="preserve"> mousse</w:t>
            </w:r>
            <w:r w:rsidRPr="00ED22D1">
              <w:rPr>
                <w:sz w:val="18"/>
                <w:szCs w:val="18"/>
                <w:lang w:val="fr-CA"/>
              </w:rPr>
              <w:t>s</w:t>
            </w:r>
            <w:r w:rsidR="00921BDE" w:rsidRPr="00ED22D1">
              <w:rPr>
                <w:sz w:val="18"/>
                <w:szCs w:val="18"/>
                <w:lang w:val="fr-CA"/>
              </w:rPr>
              <w:t xml:space="preserve"> extrudée</w:t>
            </w:r>
            <w:r w:rsidRPr="00ED22D1">
              <w:rPr>
                <w:sz w:val="18"/>
                <w:szCs w:val="18"/>
                <w:lang w:val="fr-CA"/>
              </w:rPr>
              <w:t>s</w:t>
            </w:r>
            <w:r w:rsidR="00921BDE" w:rsidRPr="00ED22D1">
              <w:rPr>
                <w:sz w:val="18"/>
                <w:szCs w:val="18"/>
                <w:lang w:val="fr-CA"/>
              </w:rPr>
              <w:t xml:space="preserve"> (XPS)</w:t>
            </w:r>
          </w:p>
        </w:tc>
        <w:tc>
          <w:tcPr>
            <w:tcW w:w="2409" w:type="dxa"/>
            <w:shd w:val="clear" w:color="auto" w:fill="auto"/>
            <w:vAlign w:val="center"/>
          </w:tcPr>
          <w:p w:rsidR="00C1026B" w:rsidRPr="00ED22D1" w:rsidRDefault="004A6828" w:rsidP="0052712E">
            <w:pPr>
              <w:tabs>
                <w:tab w:val="left" w:pos="7290"/>
              </w:tabs>
              <w:jc w:val="left"/>
              <w:rPr>
                <w:sz w:val="18"/>
                <w:szCs w:val="18"/>
                <w:lang w:val="fr-CA"/>
              </w:rPr>
            </w:pPr>
            <w:r w:rsidRPr="00ED22D1">
              <w:rPr>
                <w:sz w:val="18"/>
                <w:szCs w:val="18"/>
                <w:lang w:val="fr-CA"/>
              </w:rPr>
              <w:t>Allemagne et</w:t>
            </w:r>
            <w:r w:rsidR="001F19C1" w:rsidRPr="00ED22D1">
              <w:rPr>
                <w:sz w:val="18"/>
                <w:szCs w:val="18"/>
                <w:lang w:val="fr-CA"/>
              </w:rPr>
              <w:t xml:space="preserve"> ONUDI</w:t>
            </w:r>
            <w:r w:rsidR="00C1026B" w:rsidRPr="00ED22D1">
              <w:rPr>
                <w:sz w:val="18"/>
                <w:szCs w:val="18"/>
                <w:lang w:val="fr-CA"/>
              </w:rPr>
              <w:t xml:space="preserve"> </w:t>
            </w:r>
            <w:r w:rsidR="0052712E" w:rsidRPr="00ED22D1">
              <w:rPr>
                <w:sz w:val="18"/>
                <w:szCs w:val="18"/>
                <w:lang w:val="fr-CA"/>
              </w:rPr>
              <w:t>(principale)</w:t>
            </w:r>
          </w:p>
        </w:tc>
        <w:tc>
          <w:tcPr>
            <w:tcW w:w="1843" w:type="dxa"/>
            <w:shd w:val="clear" w:color="auto" w:fill="auto"/>
            <w:vAlign w:val="center"/>
          </w:tcPr>
          <w:p w:rsidR="00C1026B" w:rsidRPr="00ED22D1" w:rsidRDefault="0052712E" w:rsidP="0052712E">
            <w:pPr>
              <w:tabs>
                <w:tab w:val="left" w:pos="7290"/>
              </w:tabs>
              <w:jc w:val="center"/>
              <w:rPr>
                <w:sz w:val="18"/>
                <w:szCs w:val="18"/>
                <w:lang w:val="fr-CA"/>
              </w:rPr>
            </w:pPr>
            <w:r w:rsidRPr="00ED22D1">
              <w:rPr>
                <w:sz w:val="18"/>
                <w:szCs w:val="18"/>
                <w:lang w:val="fr-CA"/>
              </w:rPr>
              <w:t>7</w:t>
            </w:r>
            <w:r w:rsidR="00C1026B" w:rsidRPr="00ED22D1">
              <w:rPr>
                <w:sz w:val="18"/>
                <w:szCs w:val="18"/>
                <w:lang w:val="fr-CA"/>
              </w:rPr>
              <w:t>7</w:t>
            </w:r>
            <w:r w:rsidRPr="00ED22D1">
              <w:rPr>
                <w:sz w:val="18"/>
                <w:szCs w:val="18"/>
                <w:vertAlign w:val="superscript"/>
                <w:lang w:val="fr-CA"/>
              </w:rPr>
              <w:t>e</w:t>
            </w:r>
            <w:r w:rsidRPr="00ED22D1">
              <w:rPr>
                <w:sz w:val="18"/>
                <w:szCs w:val="18"/>
                <w:lang w:val="fr-CA"/>
              </w:rPr>
              <w:t xml:space="preserve"> </w:t>
            </w:r>
          </w:p>
        </w:tc>
        <w:tc>
          <w:tcPr>
            <w:tcW w:w="1925" w:type="dxa"/>
            <w:shd w:val="clear" w:color="auto" w:fill="auto"/>
            <w:vAlign w:val="center"/>
          </w:tcPr>
          <w:p w:rsidR="00C1026B" w:rsidRPr="00ED22D1" w:rsidRDefault="00C1026B" w:rsidP="00D26EF9">
            <w:pPr>
              <w:tabs>
                <w:tab w:val="left" w:pos="7290"/>
              </w:tabs>
              <w:jc w:val="center"/>
              <w:rPr>
                <w:sz w:val="18"/>
                <w:szCs w:val="18"/>
                <w:lang w:val="fr-CA"/>
              </w:rPr>
            </w:pPr>
            <w:r w:rsidRPr="00ED22D1">
              <w:rPr>
                <w:sz w:val="18"/>
                <w:szCs w:val="18"/>
                <w:lang w:val="fr-CA"/>
              </w:rPr>
              <w:t>100</w:t>
            </w:r>
            <w:r w:rsidR="000A507C" w:rsidRPr="00ED22D1">
              <w:rPr>
                <w:sz w:val="18"/>
                <w:szCs w:val="18"/>
                <w:lang w:val="fr-CA"/>
              </w:rPr>
              <w:t xml:space="preserve"> %</w:t>
            </w:r>
            <w:r w:rsidRPr="00ED22D1">
              <w:rPr>
                <w:sz w:val="18"/>
                <w:szCs w:val="18"/>
                <w:lang w:val="fr-CA"/>
              </w:rPr>
              <w:t xml:space="preserve"> </w:t>
            </w:r>
            <w:r w:rsidR="0052712E" w:rsidRPr="00ED22D1">
              <w:rPr>
                <w:sz w:val="18"/>
                <w:szCs w:val="18"/>
                <w:lang w:val="fr-CA"/>
              </w:rPr>
              <w:t>en 20</w:t>
            </w:r>
            <w:r w:rsidRPr="00ED22D1">
              <w:rPr>
                <w:sz w:val="18"/>
                <w:szCs w:val="18"/>
                <w:lang w:val="fr-CA"/>
              </w:rPr>
              <w:t>26</w:t>
            </w:r>
          </w:p>
        </w:tc>
      </w:tr>
    </w:tbl>
    <w:p w:rsidR="00C1026B" w:rsidRPr="00ED22D1" w:rsidRDefault="00C1026B" w:rsidP="00C1026B">
      <w:pPr>
        <w:tabs>
          <w:tab w:val="left" w:pos="7290"/>
        </w:tabs>
        <w:jc w:val="left"/>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57"/>
        <w:gridCol w:w="2551"/>
        <w:gridCol w:w="2492"/>
      </w:tblGrid>
      <w:tr w:rsidR="00C1026B" w:rsidRPr="00ED22D1" w:rsidTr="00D26EF9">
        <w:trPr>
          <w:trHeight w:val="240"/>
        </w:trPr>
        <w:tc>
          <w:tcPr>
            <w:tcW w:w="4957" w:type="dxa"/>
            <w:shd w:val="clear" w:color="auto" w:fill="auto"/>
          </w:tcPr>
          <w:p w:rsidR="0052712E" w:rsidRPr="00ED22D1" w:rsidRDefault="0052712E" w:rsidP="00D26EF9">
            <w:pPr>
              <w:tabs>
                <w:tab w:val="left" w:pos="7290"/>
              </w:tabs>
              <w:rPr>
                <w:b/>
                <w:sz w:val="18"/>
                <w:szCs w:val="18"/>
                <w:lang w:val="fr-CA"/>
              </w:rPr>
            </w:pPr>
            <w:r w:rsidRPr="00ED22D1">
              <w:rPr>
                <w:b/>
                <w:sz w:val="18"/>
                <w:szCs w:val="18"/>
                <w:lang w:val="fr-CA"/>
              </w:rPr>
              <w:t xml:space="preserve">DERNIÈRES DONNÉES DE L’ARTICLE 7 </w:t>
            </w:r>
          </w:p>
          <w:p w:rsidR="00C1026B" w:rsidRPr="00ED22D1" w:rsidRDefault="0052712E" w:rsidP="00D26EF9">
            <w:pPr>
              <w:tabs>
                <w:tab w:val="left" w:pos="7290"/>
              </w:tabs>
              <w:rPr>
                <w:b/>
                <w:sz w:val="18"/>
                <w:szCs w:val="18"/>
                <w:lang w:val="fr-CA"/>
              </w:rPr>
            </w:pPr>
            <w:r w:rsidRPr="00ED22D1">
              <w:rPr>
                <w:b/>
                <w:sz w:val="18"/>
                <w:szCs w:val="18"/>
                <w:lang w:val="fr-CA"/>
              </w:rPr>
              <w:t>(Annexe C Groupe l)</w:t>
            </w:r>
          </w:p>
        </w:tc>
        <w:tc>
          <w:tcPr>
            <w:tcW w:w="2551" w:type="dxa"/>
            <w:shd w:val="clear" w:color="auto" w:fill="auto"/>
          </w:tcPr>
          <w:p w:rsidR="00C1026B" w:rsidRPr="00ED22D1" w:rsidRDefault="0052712E" w:rsidP="00D26EF9">
            <w:pPr>
              <w:tabs>
                <w:tab w:val="left" w:pos="7290"/>
              </w:tabs>
              <w:jc w:val="center"/>
              <w:rPr>
                <w:sz w:val="18"/>
                <w:szCs w:val="18"/>
                <w:lang w:val="fr-CA"/>
              </w:rPr>
            </w:pPr>
            <w:r w:rsidRPr="00ED22D1">
              <w:rPr>
                <w:sz w:val="18"/>
                <w:szCs w:val="18"/>
                <w:lang w:val="fr-CA"/>
              </w:rPr>
              <w:t>Année</w:t>
            </w:r>
            <w:r w:rsidR="00791BF7" w:rsidRPr="00ED22D1">
              <w:rPr>
                <w:sz w:val="18"/>
                <w:szCs w:val="18"/>
                <w:lang w:val="fr-CA"/>
              </w:rPr>
              <w:t> :</w:t>
            </w:r>
            <w:r w:rsidR="00C1026B" w:rsidRPr="00ED22D1">
              <w:rPr>
                <w:sz w:val="18"/>
                <w:szCs w:val="18"/>
                <w:lang w:val="fr-CA"/>
              </w:rPr>
              <w:t xml:space="preserve"> 2017</w:t>
            </w:r>
          </w:p>
        </w:tc>
        <w:tc>
          <w:tcPr>
            <w:tcW w:w="2492"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1</w:t>
            </w:r>
            <w:r w:rsidR="004A6828" w:rsidRPr="00ED22D1">
              <w:rPr>
                <w:sz w:val="18"/>
                <w:szCs w:val="18"/>
                <w:lang w:val="fr-CA"/>
              </w:rPr>
              <w:t>4 </w:t>
            </w:r>
            <w:r w:rsidRPr="00ED22D1">
              <w:rPr>
                <w:sz w:val="18"/>
                <w:szCs w:val="18"/>
                <w:lang w:val="fr-CA"/>
              </w:rPr>
              <w:t>60</w:t>
            </w:r>
            <w:r w:rsidR="004A6828" w:rsidRPr="00ED22D1">
              <w:rPr>
                <w:sz w:val="18"/>
                <w:szCs w:val="18"/>
                <w:lang w:val="fr-CA"/>
              </w:rPr>
              <w:t>4,</w:t>
            </w:r>
            <w:r w:rsidRPr="00ED22D1">
              <w:rPr>
                <w:sz w:val="18"/>
                <w:szCs w:val="18"/>
                <w:lang w:val="fr-CA"/>
              </w:rPr>
              <w:t xml:space="preserve">66 </w:t>
            </w:r>
            <w:r w:rsidR="0052712E" w:rsidRPr="00ED22D1">
              <w:rPr>
                <w:sz w:val="18"/>
                <w:szCs w:val="18"/>
                <w:lang w:val="fr-CA"/>
              </w:rPr>
              <w:t>(tonnes PAO)</w:t>
            </w:r>
          </w:p>
        </w:tc>
      </w:tr>
    </w:tbl>
    <w:p w:rsidR="00C1026B" w:rsidRPr="00ED22D1" w:rsidRDefault="00C1026B" w:rsidP="00C1026B">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15"/>
        <w:gridCol w:w="1378"/>
        <w:gridCol w:w="1250"/>
        <w:gridCol w:w="1522"/>
        <w:gridCol w:w="1418"/>
        <w:gridCol w:w="1472"/>
        <w:gridCol w:w="1445"/>
      </w:tblGrid>
      <w:tr w:rsidR="0052712E" w:rsidRPr="00ED22D1" w:rsidTr="00D26EF9">
        <w:trPr>
          <w:trHeight w:val="240"/>
        </w:trPr>
        <w:tc>
          <w:tcPr>
            <w:tcW w:w="8555" w:type="dxa"/>
            <w:gridSpan w:val="6"/>
            <w:shd w:val="clear" w:color="auto" w:fill="auto"/>
          </w:tcPr>
          <w:p w:rsidR="0052712E" w:rsidRPr="00ED22D1" w:rsidRDefault="0052712E" w:rsidP="0052712E">
            <w:pPr>
              <w:spacing w:after="60"/>
              <w:jc w:val="left"/>
              <w:rPr>
                <w:b/>
                <w:sz w:val="18"/>
                <w:szCs w:val="18"/>
                <w:lang w:val="fr-CA"/>
              </w:rPr>
            </w:pPr>
            <w:r w:rsidRPr="00ED22D1">
              <w:rPr>
                <w:b/>
                <w:sz w:val="18"/>
                <w:szCs w:val="18"/>
                <w:lang w:val="fr-CA"/>
              </w:rPr>
              <w:t>(III) DERNIÈRES DONNÉES SECTORIELLES DU PROGRAMME DE PAYS (tonnes PAO)</w:t>
            </w:r>
          </w:p>
        </w:tc>
        <w:tc>
          <w:tcPr>
            <w:tcW w:w="1445" w:type="dxa"/>
            <w:shd w:val="clear" w:color="auto" w:fill="auto"/>
          </w:tcPr>
          <w:p w:rsidR="0052712E" w:rsidRPr="00ED22D1" w:rsidRDefault="0052712E" w:rsidP="00D26EF9">
            <w:pPr>
              <w:tabs>
                <w:tab w:val="left" w:pos="7290"/>
              </w:tabs>
              <w:jc w:val="right"/>
              <w:rPr>
                <w:b/>
                <w:sz w:val="18"/>
                <w:szCs w:val="18"/>
                <w:lang w:val="fr-CA"/>
              </w:rPr>
            </w:pPr>
            <w:r w:rsidRPr="00ED22D1">
              <w:rPr>
                <w:b/>
                <w:sz w:val="18"/>
                <w:szCs w:val="18"/>
                <w:lang w:val="fr-CA"/>
              </w:rPr>
              <w:t>Année</w:t>
            </w:r>
            <w:r w:rsidR="00791BF7" w:rsidRPr="00ED22D1">
              <w:rPr>
                <w:b/>
                <w:sz w:val="18"/>
                <w:szCs w:val="18"/>
                <w:lang w:val="fr-CA"/>
              </w:rPr>
              <w:t> :</w:t>
            </w:r>
            <w:r w:rsidRPr="00ED22D1">
              <w:rPr>
                <w:b/>
                <w:sz w:val="18"/>
                <w:szCs w:val="18"/>
                <w:lang w:val="fr-CA"/>
              </w:rPr>
              <w:t xml:space="preserve"> 2017</w:t>
            </w:r>
          </w:p>
        </w:tc>
      </w:tr>
      <w:tr w:rsidR="00C1026B" w:rsidRPr="00ED22D1" w:rsidTr="00D26EF9">
        <w:trPr>
          <w:trHeight w:val="240"/>
        </w:trPr>
        <w:tc>
          <w:tcPr>
            <w:tcW w:w="1515" w:type="dxa"/>
            <w:shd w:val="clear" w:color="auto" w:fill="auto"/>
            <w:vAlign w:val="center"/>
          </w:tcPr>
          <w:p w:rsidR="00C1026B" w:rsidRPr="00ED22D1" w:rsidRDefault="0052712E" w:rsidP="0052712E">
            <w:pPr>
              <w:tabs>
                <w:tab w:val="left" w:pos="7290"/>
              </w:tabs>
              <w:jc w:val="center"/>
              <w:rPr>
                <w:sz w:val="18"/>
                <w:szCs w:val="18"/>
                <w:lang w:val="fr-CA"/>
              </w:rPr>
            </w:pPr>
            <w:r w:rsidRPr="00ED22D1">
              <w:rPr>
                <w:sz w:val="18"/>
                <w:szCs w:val="18"/>
                <w:lang w:val="fr-CA"/>
              </w:rPr>
              <w:t>Produit chimique</w:t>
            </w:r>
          </w:p>
        </w:tc>
        <w:tc>
          <w:tcPr>
            <w:tcW w:w="1378" w:type="dxa"/>
            <w:shd w:val="clear" w:color="auto" w:fill="auto"/>
            <w:vAlign w:val="center"/>
          </w:tcPr>
          <w:p w:rsidR="00C1026B" w:rsidRPr="00ED22D1" w:rsidRDefault="00C1026B" w:rsidP="0052712E">
            <w:pPr>
              <w:tabs>
                <w:tab w:val="left" w:pos="7290"/>
              </w:tabs>
              <w:jc w:val="center"/>
              <w:rPr>
                <w:sz w:val="18"/>
                <w:szCs w:val="18"/>
                <w:lang w:val="fr-CA"/>
              </w:rPr>
            </w:pPr>
            <w:r w:rsidRPr="00ED22D1">
              <w:rPr>
                <w:sz w:val="18"/>
                <w:szCs w:val="18"/>
                <w:lang w:val="fr-CA"/>
              </w:rPr>
              <w:t>A</w:t>
            </w:r>
            <w:r w:rsidR="0052712E" w:rsidRPr="00ED22D1">
              <w:rPr>
                <w:sz w:val="18"/>
                <w:szCs w:val="18"/>
                <w:lang w:val="fr-CA"/>
              </w:rPr>
              <w:t>é</w:t>
            </w:r>
            <w:r w:rsidRPr="00ED22D1">
              <w:rPr>
                <w:sz w:val="18"/>
                <w:szCs w:val="18"/>
                <w:lang w:val="fr-CA"/>
              </w:rPr>
              <w:t>rosol</w:t>
            </w:r>
          </w:p>
        </w:tc>
        <w:tc>
          <w:tcPr>
            <w:tcW w:w="1250" w:type="dxa"/>
            <w:shd w:val="clear" w:color="auto" w:fill="auto"/>
            <w:vAlign w:val="center"/>
          </w:tcPr>
          <w:p w:rsidR="00C1026B" w:rsidRPr="00ED22D1" w:rsidRDefault="0052712E" w:rsidP="0052712E">
            <w:pPr>
              <w:tabs>
                <w:tab w:val="left" w:pos="7290"/>
              </w:tabs>
              <w:jc w:val="center"/>
              <w:rPr>
                <w:sz w:val="18"/>
                <w:szCs w:val="18"/>
                <w:lang w:val="fr-CA"/>
              </w:rPr>
            </w:pPr>
            <w:r w:rsidRPr="00ED22D1">
              <w:rPr>
                <w:sz w:val="18"/>
                <w:szCs w:val="18"/>
                <w:lang w:val="fr-CA"/>
              </w:rPr>
              <w:t>Mousse</w:t>
            </w:r>
          </w:p>
        </w:tc>
        <w:tc>
          <w:tcPr>
            <w:tcW w:w="2940" w:type="dxa"/>
            <w:gridSpan w:val="2"/>
            <w:shd w:val="clear" w:color="auto" w:fill="auto"/>
            <w:vAlign w:val="center"/>
          </w:tcPr>
          <w:p w:rsidR="00C1026B" w:rsidRPr="00ED22D1" w:rsidRDefault="0052712E" w:rsidP="00D26EF9">
            <w:pPr>
              <w:tabs>
                <w:tab w:val="left" w:pos="7290"/>
              </w:tabs>
              <w:jc w:val="center"/>
              <w:rPr>
                <w:sz w:val="18"/>
                <w:szCs w:val="18"/>
                <w:lang w:val="fr-CA"/>
              </w:rPr>
            </w:pPr>
            <w:r w:rsidRPr="00ED22D1">
              <w:rPr>
                <w:sz w:val="18"/>
                <w:szCs w:val="18"/>
                <w:lang w:val="fr-CA"/>
              </w:rPr>
              <w:t>Réfrigération</w:t>
            </w:r>
          </w:p>
        </w:tc>
        <w:tc>
          <w:tcPr>
            <w:tcW w:w="1472" w:type="dxa"/>
            <w:shd w:val="clear" w:color="auto" w:fill="auto"/>
            <w:vAlign w:val="center"/>
          </w:tcPr>
          <w:p w:rsidR="00C1026B" w:rsidRPr="00ED22D1" w:rsidRDefault="0052712E" w:rsidP="00D26EF9">
            <w:pPr>
              <w:tabs>
                <w:tab w:val="left" w:pos="7290"/>
              </w:tabs>
              <w:jc w:val="center"/>
              <w:rPr>
                <w:sz w:val="18"/>
                <w:szCs w:val="18"/>
                <w:lang w:val="fr-CA"/>
              </w:rPr>
            </w:pPr>
            <w:r w:rsidRPr="00ED22D1">
              <w:rPr>
                <w:sz w:val="18"/>
                <w:szCs w:val="18"/>
                <w:lang w:val="fr-CA"/>
              </w:rPr>
              <w:t>Solvant</w:t>
            </w:r>
          </w:p>
        </w:tc>
        <w:tc>
          <w:tcPr>
            <w:tcW w:w="1445" w:type="dxa"/>
            <w:shd w:val="clear" w:color="auto" w:fill="auto"/>
            <w:vAlign w:val="center"/>
          </w:tcPr>
          <w:p w:rsidR="00C1026B" w:rsidRPr="00ED22D1" w:rsidRDefault="0052712E" w:rsidP="00D26EF9">
            <w:pPr>
              <w:tabs>
                <w:tab w:val="left" w:pos="7290"/>
              </w:tabs>
              <w:jc w:val="center"/>
              <w:rPr>
                <w:sz w:val="18"/>
                <w:szCs w:val="18"/>
                <w:lang w:val="fr-CA"/>
              </w:rPr>
            </w:pPr>
            <w:r w:rsidRPr="00ED22D1">
              <w:rPr>
                <w:sz w:val="18"/>
                <w:szCs w:val="18"/>
                <w:lang w:val="fr-CA"/>
              </w:rPr>
              <w:t>Consommation totale              par secteur</w:t>
            </w:r>
          </w:p>
        </w:tc>
      </w:tr>
      <w:tr w:rsidR="0052712E" w:rsidRPr="00ED22D1" w:rsidTr="0052712E">
        <w:trPr>
          <w:trHeight w:val="305"/>
        </w:trPr>
        <w:tc>
          <w:tcPr>
            <w:tcW w:w="4143" w:type="dxa"/>
            <w:gridSpan w:val="3"/>
            <w:shd w:val="clear" w:color="auto" w:fill="auto"/>
          </w:tcPr>
          <w:p w:rsidR="0052712E" w:rsidRPr="00ED22D1" w:rsidRDefault="0052712E" w:rsidP="00D26EF9">
            <w:pPr>
              <w:tabs>
                <w:tab w:val="left" w:pos="7290"/>
              </w:tabs>
              <w:rPr>
                <w:sz w:val="18"/>
                <w:szCs w:val="18"/>
                <w:lang w:val="fr-CA"/>
              </w:rPr>
            </w:pPr>
          </w:p>
        </w:tc>
        <w:tc>
          <w:tcPr>
            <w:tcW w:w="1522" w:type="dxa"/>
            <w:shd w:val="clear" w:color="auto" w:fill="auto"/>
          </w:tcPr>
          <w:p w:rsidR="0052712E" w:rsidRPr="00ED22D1" w:rsidRDefault="0052712E" w:rsidP="0052712E">
            <w:pPr>
              <w:spacing w:after="60"/>
              <w:jc w:val="center"/>
              <w:rPr>
                <w:sz w:val="18"/>
                <w:szCs w:val="18"/>
                <w:lang w:val="fr-CA"/>
              </w:rPr>
            </w:pPr>
            <w:r w:rsidRPr="00ED22D1">
              <w:rPr>
                <w:sz w:val="18"/>
                <w:szCs w:val="18"/>
                <w:lang w:val="fr-CA"/>
              </w:rPr>
              <w:t>Fabrication</w:t>
            </w:r>
          </w:p>
        </w:tc>
        <w:tc>
          <w:tcPr>
            <w:tcW w:w="1418" w:type="dxa"/>
            <w:shd w:val="clear" w:color="auto" w:fill="auto"/>
          </w:tcPr>
          <w:p w:rsidR="0052712E" w:rsidRPr="00ED22D1" w:rsidRDefault="0052712E" w:rsidP="0052712E">
            <w:pPr>
              <w:spacing w:after="60"/>
              <w:jc w:val="center"/>
              <w:rPr>
                <w:sz w:val="18"/>
                <w:szCs w:val="18"/>
                <w:lang w:val="fr-CA"/>
              </w:rPr>
            </w:pPr>
            <w:r w:rsidRPr="00ED22D1">
              <w:rPr>
                <w:sz w:val="18"/>
                <w:szCs w:val="18"/>
                <w:lang w:val="fr-CA"/>
              </w:rPr>
              <w:t>Entretien</w:t>
            </w:r>
          </w:p>
        </w:tc>
        <w:tc>
          <w:tcPr>
            <w:tcW w:w="2917" w:type="dxa"/>
            <w:gridSpan w:val="2"/>
            <w:shd w:val="clear" w:color="auto" w:fill="auto"/>
          </w:tcPr>
          <w:p w:rsidR="0052712E" w:rsidRPr="00ED22D1" w:rsidRDefault="0052712E" w:rsidP="00D26EF9">
            <w:pPr>
              <w:tabs>
                <w:tab w:val="left" w:pos="7290"/>
              </w:tabs>
              <w:rPr>
                <w:sz w:val="18"/>
                <w:szCs w:val="18"/>
                <w:lang w:val="fr-CA"/>
              </w:rPr>
            </w:pPr>
          </w:p>
        </w:tc>
      </w:tr>
      <w:tr w:rsidR="00C1026B" w:rsidRPr="00ED22D1" w:rsidTr="00D26EF9">
        <w:trPr>
          <w:trHeight w:val="240"/>
        </w:trPr>
        <w:tc>
          <w:tcPr>
            <w:tcW w:w="1515" w:type="dxa"/>
            <w:shd w:val="clear" w:color="auto" w:fill="auto"/>
          </w:tcPr>
          <w:p w:rsidR="00C1026B" w:rsidRPr="00ED22D1" w:rsidRDefault="00C1026B" w:rsidP="00D26EF9">
            <w:pPr>
              <w:tabs>
                <w:tab w:val="left" w:pos="7290"/>
              </w:tabs>
              <w:rPr>
                <w:sz w:val="18"/>
                <w:szCs w:val="18"/>
                <w:lang w:val="fr-CA"/>
              </w:rPr>
            </w:pPr>
            <w:r w:rsidRPr="00ED22D1">
              <w:rPr>
                <w:sz w:val="18"/>
                <w:szCs w:val="18"/>
                <w:lang w:val="fr-CA"/>
              </w:rPr>
              <w:t>HCFC-22</w:t>
            </w:r>
          </w:p>
        </w:tc>
        <w:tc>
          <w:tcPr>
            <w:tcW w:w="1378" w:type="dxa"/>
            <w:shd w:val="clear" w:color="auto" w:fill="auto"/>
          </w:tcPr>
          <w:p w:rsidR="00C1026B" w:rsidRPr="00ED22D1" w:rsidRDefault="00C1026B" w:rsidP="00D26EF9">
            <w:pPr>
              <w:tabs>
                <w:tab w:val="left" w:pos="7290"/>
              </w:tabs>
              <w:jc w:val="right"/>
              <w:rPr>
                <w:sz w:val="18"/>
                <w:szCs w:val="18"/>
                <w:highlight w:val="red"/>
                <w:lang w:val="fr-CA"/>
              </w:rPr>
            </w:pPr>
          </w:p>
        </w:tc>
        <w:tc>
          <w:tcPr>
            <w:tcW w:w="1250"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1 </w:t>
            </w:r>
            <w:r w:rsidR="00C1026B" w:rsidRPr="00ED22D1">
              <w:rPr>
                <w:sz w:val="18"/>
                <w:szCs w:val="18"/>
                <w:lang w:val="fr-CA"/>
              </w:rPr>
              <w:t>59</w:t>
            </w:r>
            <w:r w:rsidRPr="00ED22D1">
              <w:rPr>
                <w:sz w:val="18"/>
                <w:szCs w:val="18"/>
                <w:lang w:val="fr-CA"/>
              </w:rPr>
              <w:t>5,</w:t>
            </w:r>
            <w:r w:rsidR="00C1026B" w:rsidRPr="00ED22D1">
              <w:rPr>
                <w:sz w:val="18"/>
                <w:szCs w:val="18"/>
                <w:lang w:val="fr-CA"/>
              </w:rPr>
              <w:t>00</w:t>
            </w:r>
          </w:p>
        </w:tc>
        <w:tc>
          <w:tcPr>
            <w:tcW w:w="1522"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5 </w:t>
            </w:r>
            <w:r w:rsidR="00C1026B" w:rsidRPr="00ED22D1">
              <w:rPr>
                <w:sz w:val="18"/>
                <w:szCs w:val="18"/>
                <w:lang w:val="fr-CA"/>
              </w:rPr>
              <w:t>08</w:t>
            </w:r>
            <w:r w:rsidRPr="00ED22D1">
              <w:rPr>
                <w:sz w:val="18"/>
                <w:szCs w:val="18"/>
                <w:lang w:val="fr-CA"/>
              </w:rPr>
              <w:t>7,</w:t>
            </w:r>
            <w:r w:rsidR="00C1026B" w:rsidRPr="00ED22D1">
              <w:rPr>
                <w:sz w:val="18"/>
                <w:szCs w:val="18"/>
                <w:lang w:val="fr-CA"/>
              </w:rPr>
              <w:t>50</w:t>
            </w:r>
          </w:p>
        </w:tc>
        <w:tc>
          <w:tcPr>
            <w:tcW w:w="1418"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2 </w:t>
            </w:r>
            <w:r w:rsidR="00C1026B" w:rsidRPr="00ED22D1">
              <w:rPr>
                <w:sz w:val="18"/>
                <w:szCs w:val="18"/>
                <w:lang w:val="fr-CA"/>
              </w:rPr>
              <w:t>83</w:t>
            </w:r>
            <w:r w:rsidRPr="00ED22D1">
              <w:rPr>
                <w:sz w:val="18"/>
                <w:szCs w:val="18"/>
                <w:lang w:val="fr-CA"/>
              </w:rPr>
              <w:t>1,</w:t>
            </w:r>
            <w:r w:rsidR="00C1026B" w:rsidRPr="00ED22D1">
              <w:rPr>
                <w:sz w:val="18"/>
                <w:szCs w:val="18"/>
                <w:lang w:val="fr-CA"/>
              </w:rPr>
              <w:t>55</w:t>
            </w:r>
          </w:p>
        </w:tc>
        <w:tc>
          <w:tcPr>
            <w:tcW w:w="1472" w:type="dxa"/>
            <w:shd w:val="clear" w:color="auto" w:fill="auto"/>
          </w:tcPr>
          <w:p w:rsidR="00C1026B" w:rsidRPr="00ED22D1" w:rsidRDefault="00C1026B" w:rsidP="00D26EF9">
            <w:pPr>
              <w:tabs>
                <w:tab w:val="left" w:pos="7290"/>
              </w:tabs>
              <w:jc w:val="right"/>
              <w:rPr>
                <w:sz w:val="18"/>
                <w:szCs w:val="18"/>
                <w:highlight w:val="red"/>
                <w:lang w:val="fr-CA"/>
              </w:rPr>
            </w:pPr>
          </w:p>
        </w:tc>
        <w:tc>
          <w:tcPr>
            <w:tcW w:w="1445"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9 </w:t>
            </w:r>
            <w:r w:rsidR="00C1026B" w:rsidRPr="00ED22D1">
              <w:rPr>
                <w:sz w:val="18"/>
                <w:szCs w:val="18"/>
                <w:lang w:val="fr-CA"/>
              </w:rPr>
              <w:t>51</w:t>
            </w:r>
            <w:r w:rsidRPr="00ED22D1">
              <w:rPr>
                <w:sz w:val="18"/>
                <w:szCs w:val="18"/>
                <w:lang w:val="fr-CA"/>
              </w:rPr>
              <w:t>4,</w:t>
            </w:r>
            <w:r w:rsidR="00C1026B" w:rsidRPr="00ED22D1">
              <w:rPr>
                <w:sz w:val="18"/>
                <w:szCs w:val="18"/>
                <w:lang w:val="fr-CA"/>
              </w:rPr>
              <w:t>05</w:t>
            </w:r>
          </w:p>
        </w:tc>
      </w:tr>
      <w:tr w:rsidR="00C1026B" w:rsidRPr="00ED22D1" w:rsidTr="00D26EF9">
        <w:trPr>
          <w:trHeight w:val="240"/>
        </w:trPr>
        <w:tc>
          <w:tcPr>
            <w:tcW w:w="1515" w:type="dxa"/>
            <w:shd w:val="clear" w:color="auto" w:fill="auto"/>
          </w:tcPr>
          <w:p w:rsidR="00C1026B" w:rsidRPr="00ED22D1" w:rsidRDefault="00C1026B" w:rsidP="00D26EF9">
            <w:pPr>
              <w:tabs>
                <w:tab w:val="left" w:pos="7290"/>
              </w:tabs>
              <w:rPr>
                <w:sz w:val="18"/>
                <w:szCs w:val="18"/>
                <w:lang w:val="fr-CA"/>
              </w:rPr>
            </w:pPr>
            <w:r w:rsidRPr="00ED22D1">
              <w:rPr>
                <w:sz w:val="18"/>
                <w:szCs w:val="18"/>
                <w:lang w:val="fr-CA"/>
              </w:rPr>
              <w:t>HCFC-123</w:t>
            </w:r>
          </w:p>
        </w:tc>
        <w:tc>
          <w:tcPr>
            <w:tcW w:w="1378" w:type="dxa"/>
            <w:shd w:val="clear" w:color="auto" w:fill="auto"/>
          </w:tcPr>
          <w:p w:rsidR="00C1026B" w:rsidRPr="00ED22D1" w:rsidRDefault="00C1026B" w:rsidP="00D26EF9">
            <w:pPr>
              <w:tabs>
                <w:tab w:val="left" w:pos="7290"/>
              </w:tabs>
              <w:jc w:val="right"/>
              <w:rPr>
                <w:sz w:val="18"/>
                <w:szCs w:val="18"/>
                <w:highlight w:val="red"/>
                <w:lang w:val="fr-CA"/>
              </w:rPr>
            </w:pPr>
          </w:p>
        </w:tc>
        <w:tc>
          <w:tcPr>
            <w:tcW w:w="1250" w:type="dxa"/>
            <w:shd w:val="clear" w:color="auto" w:fill="auto"/>
          </w:tcPr>
          <w:p w:rsidR="00C1026B" w:rsidRPr="00ED22D1" w:rsidRDefault="00C1026B" w:rsidP="00D26EF9">
            <w:pPr>
              <w:tabs>
                <w:tab w:val="left" w:pos="7290"/>
              </w:tabs>
              <w:jc w:val="right"/>
              <w:rPr>
                <w:sz w:val="18"/>
                <w:szCs w:val="18"/>
                <w:lang w:val="fr-CA"/>
              </w:rPr>
            </w:pPr>
          </w:p>
        </w:tc>
        <w:tc>
          <w:tcPr>
            <w:tcW w:w="1522"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1</w:t>
            </w:r>
            <w:r w:rsidR="004A6828" w:rsidRPr="00ED22D1">
              <w:rPr>
                <w:sz w:val="18"/>
                <w:szCs w:val="18"/>
                <w:lang w:val="fr-CA"/>
              </w:rPr>
              <w:t>2,</w:t>
            </w:r>
            <w:r w:rsidRPr="00ED22D1">
              <w:rPr>
                <w:sz w:val="18"/>
                <w:szCs w:val="18"/>
                <w:lang w:val="fr-CA"/>
              </w:rPr>
              <w:t>88</w:t>
            </w:r>
          </w:p>
        </w:tc>
        <w:tc>
          <w:tcPr>
            <w:tcW w:w="1418"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6,</w:t>
            </w:r>
            <w:r w:rsidR="00C1026B" w:rsidRPr="00ED22D1">
              <w:rPr>
                <w:sz w:val="18"/>
                <w:szCs w:val="18"/>
                <w:lang w:val="fr-CA"/>
              </w:rPr>
              <w:t>95</w:t>
            </w:r>
          </w:p>
        </w:tc>
        <w:tc>
          <w:tcPr>
            <w:tcW w:w="1472" w:type="dxa"/>
            <w:shd w:val="clear" w:color="auto" w:fill="auto"/>
          </w:tcPr>
          <w:p w:rsidR="00C1026B" w:rsidRPr="00ED22D1" w:rsidRDefault="00C1026B" w:rsidP="00D26EF9">
            <w:pPr>
              <w:tabs>
                <w:tab w:val="left" w:pos="7290"/>
              </w:tabs>
              <w:jc w:val="right"/>
              <w:rPr>
                <w:sz w:val="18"/>
                <w:szCs w:val="18"/>
                <w:highlight w:val="red"/>
                <w:lang w:val="fr-CA"/>
              </w:rPr>
            </w:pPr>
          </w:p>
        </w:tc>
        <w:tc>
          <w:tcPr>
            <w:tcW w:w="1445"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1</w:t>
            </w:r>
            <w:r w:rsidR="004A6828" w:rsidRPr="00ED22D1">
              <w:rPr>
                <w:sz w:val="18"/>
                <w:szCs w:val="18"/>
                <w:lang w:val="fr-CA"/>
              </w:rPr>
              <w:t>9,</w:t>
            </w:r>
            <w:r w:rsidRPr="00ED22D1">
              <w:rPr>
                <w:sz w:val="18"/>
                <w:szCs w:val="18"/>
                <w:lang w:val="fr-CA"/>
              </w:rPr>
              <w:t>83</w:t>
            </w:r>
          </w:p>
        </w:tc>
      </w:tr>
      <w:tr w:rsidR="00C1026B" w:rsidRPr="00ED22D1" w:rsidTr="00D26EF9">
        <w:trPr>
          <w:trHeight w:val="240"/>
        </w:trPr>
        <w:tc>
          <w:tcPr>
            <w:tcW w:w="1515" w:type="dxa"/>
            <w:shd w:val="clear" w:color="auto" w:fill="auto"/>
          </w:tcPr>
          <w:p w:rsidR="00C1026B" w:rsidRPr="00ED22D1" w:rsidRDefault="00C1026B" w:rsidP="00D26EF9">
            <w:pPr>
              <w:tabs>
                <w:tab w:val="left" w:pos="7290"/>
              </w:tabs>
              <w:rPr>
                <w:sz w:val="18"/>
                <w:szCs w:val="18"/>
                <w:lang w:val="fr-CA"/>
              </w:rPr>
            </w:pPr>
            <w:r w:rsidRPr="00ED22D1">
              <w:rPr>
                <w:sz w:val="18"/>
                <w:szCs w:val="18"/>
                <w:lang w:val="fr-CA"/>
              </w:rPr>
              <w:t>HCFC-124</w:t>
            </w:r>
          </w:p>
        </w:tc>
        <w:tc>
          <w:tcPr>
            <w:tcW w:w="1378" w:type="dxa"/>
            <w:shd w:val="clear" w:color="auto" w:fill="auto"/>
          </w:tcPr>
          <w:p w:rsidR="00C1026B" w:rsidRPr="00ED22D1" w:rsidRDefault="00C1026B" w:rsidP="00D26EF9">
            <w:pPr>
              <w:tabs>
                <w:tab w:val="left" w:pos="7290"/>
              </w:tabs>
              <w:jc w:val="right"/>
              <w:rPr>
                <w:sz w:val="18"/>
                <w:szCs w:val="18"/>
                <w:highlight w:val="red"/>
                <w:lang w:val="fr-CA"/>
              </w:rPr>
            </w:pPr>
          </w:p>
        </w:tc>
        <w:tc>
          <w:tcPr>
            <w:tcW w:w="1250" w:type="dxa"/>
            <w:shd w:val="clear" w:color="auto" w:fill="auto"/>
          </w:tcPr>
          <w:p w:rsidR="00C1026B" w:rsidRPr="00ED22D1" w:rsidRDefault="00C1026B" w:rsidP="00D26EF9">
            <w:pPr>
              <w:tabs>
                <w:tab w:val="left" w:pos="7290"/>
              </w:tabs>
              <w:jc w:val="right"/>
              <w:rPr>
                <w:sz w:val="18"/>
                <w:szCs w:val="18"/>
                <w:lang w:val="fr-CA"/>
              </w:rPr>
            </w:pPr>
          </w:p>
        </w:tc>
        <w:tc>
          <w:tcPr>
            <w:tcW w:w="1522" w:type="dxa"/>
            <w:shd w:val="clear" w:color="auto" w:fill="auto"/>
          </w:tcPr>
          <w:p w:rsidR="00C1026B" w:rsidRPr="00ED22D1" w:rsidRDefault="00C1026B" w:rsidP="00D26EF9">
            <w:pPr>
              <w:tabs>
                <w:tab w:val="left" w:pos="7290"/>
              </w:tabs>
              <w:jc w:val="right"/>
              <w:rPr>
                <w:sz w:val="18"/>
                <w:szCs w:val="18"/>
                <w:lang w:val="fr-CA"/>
              </w:rPr>
            </w:pPr>
          </w:p>
        </w:tc>
        <w:tc>
          <w:tcPr>
            <w:tcW w:w="1418"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w:t>
            </w:r>
            <w:r w:rsidR="004A6828" w:rsidRPr="00ED22D1">
              <w:rPr>
                <w:sz w:val="18"/>
                <w:szCs w:val="18"/>
                <w:lang w:val="fr-CA"/>
              </w:rPr>
              <w:t>0,</w:t>
            </w:r>
            <w:r w:rsidRPr="00ED22D1">
              <w:rPr>
                <w:sz w:val="18"/>
                <w:szCs w:val="18"/>
                <w:lang w:val="fr-CA"/>
              </w:rPr>
              <w:t>13</w:t>
            </w:r>
          </w:p>
        </w:tc>
        <w:tc>
          <w:tcPr>
            <w:tcW w:w="1472" w:type="dxa"/>
            <w:shd w:val="clear" w:color="auto" w:fill="auto"/>
          </w:tcPr>
          <w:p w:rsidR="00C1026B" w:rsidRPr="00ED22D1" w:rsidRDefault="00C1026B" w:rsidP="00D26EF9">
            <w:pPr>
              <w:tabs>
                <w:tab w:val="left" w:pos="7290"/>
              </w:tabs>
              <w:jc w:val="right"/>
              <w:rPr>
                <w:sz w:val="18"/>
                <w:szCs w:val="18"/>
                <w:highlight w:val="red"/>
                <w:lang w:val="fr-CA"/>
              </w:rPr>
            </w:pPr>
          </w:p>
        </w:tc>
        <w:tc>
          <w:tcPr>
            <w:tcW w:w="1445"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w:t>
            </w:r>
            <w:r w:rsidR="004A6828" w:rsidRPr="00ED22D1">
              <w:rPr>
                <w:sz w:val="18"/>
                <w:szCs w:val="18"/>
                <w:lang w:val="fr-CA"/>
              </w:rPr>
              <w:t>0,</w:t>
            </w:r>
            <w:r w:rsidRPr="00ED22D1">
              <w:rPr>
                <w:sz w:val="18"/>
                <w:szCs w:val="18"/>
                <w:lang w:val="fr-CA"/>
              </w:rPr>
              <w:t>13</w:t>
            </w:r>
          </w:p>
        </w:tc>
      </w:tr>
      <w:tr w:rsidR="00C1026B" w:rsidRPr="00ED22D1" w:rsidTr="00D26EF9">
        <w:trPr>
          <w:trHeight w:val="240"/>
        </w:trPr>
        <w:tc>
          <w:tcPr>
            <w:tcW w:w="1515" w:type="dxa"/>
            <w:shd w:val="clear" w:color="auto" w:fill="auto"/>
          </w:tcPr>
          <w:p w:rsidR="00C1026B" w:rsidRPr="00ED22D1" w:rsidRDefault="00C1026B" w:rsidP="00D26EF9">
            <w:pPr>
              <w:tabs>
                <w:tab w:val="left" w:pos="7290"/>
              </w:tabs>
              <w:rPr>
                <w:sz w:val="18"/>
                <w:szCs w:val="18"/>
                <w:lang w:val="fr-CA"/>
              </w:rPr>
            </w:pPr>
            <w:r w:rsidRPr="00ED22D1">
              <w:rPr>
                <w:sz w:val="18"/>
                <w:szCs w:val="18"/>
                <w:lang w:val="fr-CA"/>
              </w:rPr>
              <w:t>HCFC-141b</w:t>
            </w:r>
          </w:p>
        </w:tc>
        <w:tc>
          <w:tcPr>
            <w:tcW w:w="1378" w:type="dxa"/>
            <w:shd w:val="clear" w:color="auto" w:fill="auto"/>
          </w:tcPr>
          <w:p w:rsidR="00C1026B" w:rsidRPr="00ED22D1" w:rsidRDefault="00C1026B" w:rsidP="00D26EF9">
            <w:pPr>
              <w:tabs>
                <w:tab w:val="left" w:pos="7290"/>
              </w:tabs>
              <w:jc w:val="right"/>
              <w:rPr>
                <w:sz w:val="18"/>
                <w:szCs w:val="18"/>
                <w:highlight w:val="red"/>
                <w:lang w:val="fr-CA"/>
              </w:rPr>
            </w:pPr>
          </w:p>
        </w:tc>
        <w:tc>
          <w:tcPr>
            <w:tcW w:w="1250"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4 </w:t>
            </w:r>
            <w:r w:rsidR="00C1026B" w:rsidRPr="00ED22D1">
              <w:rPr>
                <w:sz w:val="18"/>
                <w:szCs w:val="18"/>
                <w:lang w:val="fr-CA"/>
              </w:rPr>
              <w:t>00</w:t>
            </w:r>
            <w:r w:rsidRPr="00ED22D1">
              <w:rPr>
                <w:sz w:val="18"/>
                <w:szCs w:val="18"/>
                <w:lang w:val="fr-CA"/>
              </w:rPr>
              <w:t>8,</w:t>
            </w:r>
            <w:r w:rsidR="00C1026B" w:rsidRPr="00ED22D1">
              <w:rPr>
                <w:sz w:val="18"/>
                <w:szCs w:val="18"/>
                <w:lang w:val="fr-CA"/>
              </w:rPr>
              <w:t>26</w:t>
            </w:r>
          </w:p>
        </w:tc>
        <w:tc>
          <w:tcPr>
            <w:tcW w:w="1522" w:type="dxa"/>
            <w:shd w:val="clear" w:color="auto" w:fill="auto"/>
          </w:tcPr>
          <w:p w:rsidR="00C1026B" w:rsidRPr="00ED22D1" w:rsidRDefault="00C1026B" w:rsidP="00D26EF9">
            <w:pPr>
              <w:tabs>
                <w:tab w:val="left" w:pos="7290"/>
              </w:tabs>
              <w:jc w:val="right"/>
              <w:rPr>
                <w:sz w:val="18"/>
                <w:szCs w:val="18"/>
                <w:lang w:val="fr-CA"/>
              </w:rPr>
            </w:pPr>
          </w:p>
        </w:tc>
        <w:tc>
          <w:tcPr>
            <w:tcW w:w="1418" w:type="dxa"/>
            <w:shd w:val="clear" w:color="auto" w:fill="auto"/>
          </w:tcPr>
          <w:p w:rsidR="00C1026B" w:rsidRPr="00ED22D1" w:rsidRDefault="00C1026B" w:rsidP="00D26EF9">
            <w:pPr>
              <w:tabs>
                <w:tab w:val="left" w:pos="7290"/>
              </w:tabs>
              <w:jc w:val="right"/>
              <w:rPr>
                <w:sz w:val="18"/>
                <w:szCs w:val="18"/>
                <w:lang w:val="fr-CA"/>
              </w:rPr>
            </w:pPr>
          </w:p>
        </w:tc>
        <w:tc>
          <w:tcPr>
            <w:tcW w:w="1472"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39</w:t>
            </w:r>
            <w:r w:rsidR="004A6828" w:rsidRPr="00ED22D1">
              <w:rPr>
                <w:sz w:val="18"/>
                <w:szCs w:val="18"/>
                <w:lang w:val="fr-CA"/>
              </w:rPr>
              <w:t>6,</w:t>
            </w:r>
            <w:r w:rsidRPr="00ED22D1">
              <w:rPr>
                <w:sz w:val="18"/>
                <w:szCs w:val="18"/>
                <w:lang w:val="fr-CA"/>
              </w:rPr>
              <w:t>00</w:t>
            </w:r>
          </w:p>
        </w:tc>
        <w:tc>
          <w:tcPr>
            <w:tcW w:w="1445"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4 </w:t>
            </w:r>
            <w:r w:rsidR="00C1026B" w:rsidRPr="00ED22D1">
              <w:rPr>
                <w:sz w:val="18"/>
                <w:szCs w:val="18"/>
                <w:lang w:val="fr-CA"/>
              </w:rPr>
              <w:t>40</w:t>
            </w:r>
            <w:r w:rsidRPr="00ED22D1">
              <w:rPr>
                <w:sz w:val="18"/>
                <w:szCs w:val="18"/>
                <w:lang w:val="fr-CA"/>
              </w:rPr>
              <w:t>4,</w:t>
            </w:r>
            <w:r w:rsidR="00C1026B" w:rsidRPr="00ED22D1">
              <w:rPr>
                <w:sz w:val="18"/>
                <w:szCs w:val="18"/>
                <w:lang w:val="fr-CA"/>
              </w:rPr>
              <w:t>26</w:t>
            </w:r>
          </w:p>
        </w:tc>
      </w:tr>
      <w:tr w:rsidR="00C1026B" w:rsidRPr="00ED22D1" w:rsidTr="00D26EF9">
        <w:trPr>
          <w:trHeight w:val="240"/>
        </w:trPr>
        <w:tc>
          <w:tcPr>
            <w:tcW w:w="1515" w:type="dxa"/>
            <w:shd w:val="clear" w:color="auto" w:fill="auto"/>
          </w:tcPr>
          <w:p w:rsidR="00C1026B" w:rsidRPr="00ED22D1" w:rsidRDefault="00C1026B" w:rsidP="00D26EF9">
            <w:pPr>
              <w:tabs>
                <w:tab w:val="left" w:pos="7290"/>
              </w:tabs>
              <w:rPr>
                <w:sz w:val="18"/>
                <w:szCs w:val="18"/>
                <w:lang w:val="fr-CA"/>
              </w:rPr>
            </w:pPr>
            <w:r w:rsidRPr="00ED22D1">
              <w:rPr>
                <w:sz w:val="18"/>
                <w:szCs w:val="18"/>
                <w:lang w:val="fr-CA"/>
              </w:rPr>
              <w:t>HCFC-142b</w:t>
            </w:r>
          </w:p>
        </w:tc>
        <w:tc>
          <w:tcPr>
            <w:tcW w:w="1378" w:type="dxa"/>
            <w:shd w:val="clear" w:color="auto" w:fill="auto"/>
          </w:tcPr>
          <w:p w:rsidR="00C1026B" w:rsidRPr="00ED22D1" w:rsidRDefault="00C1026B" w:rsidP="00D26EF9">
            <w:pPr>
              <w:tabs>
                <w:tab w:val="left" w:pos="7290"/>
              </w:tabs>
              <w:jc w:val="right"/>
              <w:rPr>
                <w:sz w:val="18"/>
                <w:szCs w:val="18"/>
                <w:highlight w:val="red"/>
                <w:lang w:val="fr-CA"/>
              </w:rPr>
            </w:pPr>
          </w:p>
        </w:tc>
        <w:tc>
          <w:tcPr>
            <w:tcW w:w="1250"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61</w:t>
            </w:r>
            <w:r w:rsidR="004A6828" w:rsidRPr="00ED22D1">
              <w:rPr>
                <w:sz w:val="18"/>
                <w:szCs w:val="18"/>
                <w:lang w:val="fr-CA"/>
              </w:rPr>
              <w:t>7,</w:t>
            </w:r>
            <w:r w:rsidRPr="00ED22D1">
              <w:rPr>
                <w:sz w:val="18"/>
                <w:szCs w:val="18"/>
                <w:lang w:val="fr-CA"/>
              </w:rPr>
              <w:t>50</w:t>
            </w:r>
          </w:p>
        </w:tc>
        <w:tc>
          <w:tcPr>
            <w:tcW w:w="1522" w:type="dxa"/>
            <w:shd w:val="clear" w:color="auto" w:fill="auto"/>
          </w:tcPr>
          <w:p w:rsidR="00C1026B" w:rsidRPr="00ED22D1" w:rsidRDefault="004A6828" w:rsidP="00D26EF9">
            <w:pPr>
              <w:tabs>
                <w:tab w:val="left" w:pos="7290"/>
              </w:tabs>
              <w:jc w:val="right"/>
              <w:rPr>
                <w:sz w:val="18"/>
                <w:szCs w:val="18"/>
                <w:highlight w:val="red"/>
                <w:lang w:val="fr-CA"/>
              </w:rPr>
            </w:pPr>
            <w:r w:rsidRPr="00ED22D1">
              <w:rPr>
                <w:sz w:val="18"/>
                <w:szCs w:val="18"/>
                <w:lang w:val="fr-CA"/>
              </w:rPr>
              <w:t>5,</w:t>
            </w:r>
            <w:r w:rsidR="00C1026B" w:rsidRPr="00ED22D1">
              <w:rPr>
                <w:sz w:val="18"/>
                <w:szCs w:val="18"/>
                <w:lang w:val="fr-CA"/>
              </w:rPr>
              <w:t>85</w:t>
            </w:r>
          </w:p>
        </w:tc>
        <w:tc>
          <w:tcPr>
            <w:tcW w:w="1418"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4</w:t>
            </w:r>
            <w:r w:rsidR="004A6828" w:rsidRPr="00ED22D1">
              <w:rPr>
                <w:sz w:val="18"/>
                <w:szCs w:val="18"/>
                <w:lang w:val="fr-CA"/>
              </w:rPr>
              <w:t>3,</w:t>
            </w:r>
            <w:r w:rsidRPr="00ED22D1">
              <w:rPr>
                <w:sz w:val="18"/>
                <w:szCs w:val="18"/>
                <w:lang w:val="fr-CA"/>
              </w:rPr>
              <w:t>06</w:t>
            </w:r>
          </w:p>
        </w:tc>
        <w:tc>
          <w:tcPr>
            <w:tcW w:w="1472" w:type="dxa"/>
            <w:shd w:val="clear" w:color="auto" w:fill="auto"/>
          </w:tcPr>
          <w:p w:rsidR="00C1026B" w:rsidRPr="00ED22D1" w:rsidRDefault="00C1026B" w:rsidP="00D26EF9">
            <w:pPr>
              <w:tabs>
                <w:tab w:val="left" w:pos="7290"/>
              </w:tabs>
              <w:jc w:val="right"/>
              <w:rPr>
                <w:sz w:val="18"/>
                <w:szCs w:val="18"/>
                <w:lang w:val="fr-CA"/>
              </w:rPr>
            </w:pPr>
          </w:p>
        </w:tc>
        <w:tc>
          <w:tcPr>
            <w:tcW w:w="1445" w:type="dxa"/>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66</w:t>
            </w:r>
            <w:r w:rsidR="004A6828" w:rsidRPr="00ED22D1">
              <w:rPr>
                <w:sz w:val="18"/>
                <w:szCs w:val="18"/>
                <w:lang w:val="fr-CA"/>
              </w:rPr>
              <w:t>6,</w:t>
            </w:r>
            <w:r w:rsidRPr="00ED22D1">
              <w:rPr>
                <w:sz w:val="18"/>
                <w:szCs w:val="18"/>
                <w:lang w:val="fr-CA"/>
              </w:rPr>
              <w:t>41</w:t>
            </w:r>
          </w:p>
        </w:tc>
      </w:tr>
      <w:tr w:rsidR="00C1026B" w:rsidRPr="00ED22D1" w:rsidTr="00D26EF9">
        <w:trPr>
          <w:trHeight w:val="240"/>
        </w:trPr>
        <w:tc>
          <w:tcPr>
            <w:tcW w:w="1515" w:type="dxa"/>
            <w:shd w:val="clear" w:color="auto" w:fill="auto"/>
          </w:tcPr>
          <w:p w:rsidR="00C1026B" w:rsidRPr="00ED22D1" w:rsidRDefault="00C1026B" w:rsidP="00D26EF9">
            <w:pPr>
              <w:tabs>
                <w:tab w:val="left" w:pos="7290"/>
              </w:tabs>
              <w:rPr>
                <w:sz w:val="18"/>
                <w:szCs w:val="18"/>
                <w:lang w:val="fr-CA"/>
              </w:rPr>
            </w:pPr>
            <w:r w:rsidRPr="00ED22D1">
              <w:rPr>
                <w:sz w:val="18"/>
                <w:szCs w:val="18"/>
                <w:lang w:val="fr-CA"/>
              </w:rPr>
              <w:t>HCFC-225ca</w:t>
            </w:r>
          </w:p>
        </w:tc>
        <w:tc>
          <w:tcPr>
            <w:tcW w:w="1378" w:type="dxa"/>
            <w:shd w:val="clear" w:color="auto" w:fill="auto"/>
          </w:tcPr>
          <w:p w:rsidR="00C1026B" w:rsidRPr="00ED22D1" w:rsidRDefault="00C1026B" w:rsidP="00D26EF9">
            <w:pPr>
              <w:tabs>
                <w:tab w:val="left" w:pos="7290"/>
              </w:tabs>
              <w:jc w:val="right"/>
              <w:rPr>
                <w:sz w:val="18"/>
                <w:szCs w:val="18"/>
                <w:highlight w:val="red"/>
                <w:lang w:val="fr-CA"/>
              </w:rPr>
            </w:pPr>
          </w:p>
        </w:tc>
        <w:tc>
          <w:tcPr>
            <w:tcW w:w="1250" w:type="dxa"/>
            <w:shd w:val="clear" w:color="auto" w:fill="auto"/>
          </w:tcPr>
          <w:p w:rsidR="00C1026B" w:rsidRPr="00ED22D1" w:rsidRDefault="00C1026B" w:rsidP="00D26EF9">
            <w:pPr>
              <w:tabs>
                <w:tab w:val="left" w:pos="7290"/>
              </w:tabs>
              <w:jc w:val="right"/>
              <w:rPr>
                <w:sz w:val="18"/>
                <w:szCs w:val="18"/>
                <w:lang w:val="fr-CA"/>
              </w:rPr>
            </w:pPr>
          </w:p>
        </w:tc>
        <w:tc>
          <w:tcPr>
            <w:tcW w:w="1522" w:type="dxa"/>
            <w:shd w:val="clear" w:color="auto" w:fill="auto"/>
          </w:tcPr>
          <w:p w:rsidR="00C1026B" w:rsidRPr="00ED22D1" w:rsidRDefault="00C1026B" w:rsidP="00D26EF9">
            <w:pPr>
              <w:tabs>
                <w:tab w:val="left" w:pos="7290"/>
              </w:tabs>
              <w:jc w:val="right"/>
              <w:rPr>
                <w:sz w:val="18"/>
                <w:szCs w:val="18"/>
                <w:highlight w:val="red"/>
                <w:lang w:val="fr-CA"/>
              </w:rPr>
            </w:pPr>
          </w:p>
        </w:tc>
        <w:tc>
          <w:tcPr>
            <w:tcW w:w="1418" w:type="dxa"/>
            <w:shd w:val="clear" w:color="auto" w:fill="auto"/>
          </w:tcPr>
          <w:p w:rsidR="00C1026B" w:rsidRPr="00ED22D1" w:rsidRDefault="00C1026B" w:rsidP="00D26EF9">
            <w:pPr>
              <w:tabs>
                <w:tab w:val="left" w:pos="7290"/>
              </w:tabs>
              <w:jc w:val="right"/>
              <w:rPr>
                <w:sz w:val="18"/>
                <w:szCs w:val="18"/>
                <w:highlight w:val="red"/>
                <w:lang w:val="fr-CA"/>
              </w:rPr>
            </w:pPr>
          </w:p>
        </w:tc>
        <w:tc>
          <w:tcPr>
            <w:tcW w:w="1472"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0,</w:t>
            </w:r>
            <w:r w:rsidR="00C1026B" w:rsidRPr="00ED22D1">
              <w:rPr>
                <w:sz w:val="18"/>
                <w:szCs w:val="18"/>
                <w:lang w:val="fr-CA"/>
              </w:rPr>
              <w:t>96</w:t>
            </w:r>
          </w:p>
        </w:tc>
        <w:tc>
          <w:tcPr>
            <w:tcW w:w="1445" w:type="dxa"/>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0,</w:t>
            </w:r>
            <w:r w:rsidR="00C1026B" w:rsidRPr="00ED22D1">
              <w:rPr>
                <w:sz w:val="18"/>
                <w:szCs w:val="18"/>
                <w:lang w:val="fr-CA"/>
              </w:rPr>
              <w:t>96</w:t>
            </w:r>
          </w:p>
        </w:tc>
      </w:tr>
    </w:tbl>
    <w:p w:rsidR="00C1026B" w:rsidRPr="00ED22D1" w:rsidRDefault="00C1026B" w:rsidP="00C1026B">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71"/>
        <w:gridCol w:w="1230"/>
        <w:gridCol w:w="4969"/>
        <w:gridCol w:w="1230"/>
      </w:tblGrid>
      <w:tr w:rsidR="00C1026B" w:rsidRPr="00C80221" w:rsidTr="00D26EF9">
        <w:trPr>
          <w:trHeight w:val="240"/>
        </w:trPr>
        <w:tc>
          <w:tcPr>
            <w:tcW w:w="0" w:type="auto"/>
            <w:gridSpan w:val="4"/>
            <w:shd w:val="clear" w:color="auto" w:fill="auto"/>
          </w:tcPr>
          <w:p w:rsidR="00C1026B" w:rsidRPr="00ED22D1" w:rsidRDefault="00C1026B" w:rsidP="00D26EF9">
            <w:pPr>
              <w:tabs>
                <w:tab w:val="left" w:pos="7290"/>
              </w:tabs>
              <w:rPr>
                <w:b/>
                <w:sz w:val="18"/>
                <w:szCs w:val="18"/>
                <w:lang w:val="fr-CA"/>
              </w:rPr>
            </w:pPr>
            <w:r w:rsidRPr="00ED22D1">
              <w:rPr>
                <w:b/>
                <w:sz w:val="18"/>
                <w:szCs w:val="18"/>
                <w:lang w:val="fr-CA"/>
              </w:rPr>
              <w:t>(IV</w:t>
            </w:r>
            <w:r w:rsidR="00CD72DB" w:rsidRPr="00ED22D1">
              <w:rPr>
                <w:b/>
                <w:sz w:val="20"/>
                <w:szCs w:val="24"/>
                <w:lang w:val="fr-CA"/>
              </w:rPr>
              <w:t xml:space="preserve"> </w:t>
            </w:r>
            <w:r w:rsidR="00CD72DB" w:rsidRPr="00ED22D1">
              <w:rPr>
                <w:b/>
                <w:sz w:val="18"/>
                <w:szCs w:val="18"/>
                <w:lang w:val="fr-CA"/>
              </w:rPr>
              <w:t>DONNÉES SUR LA CONSOMMATION</w:t>
            </w:r>
            <w:r w:rsidR="00CD72DB" w:rsidRPr="00ED22D1">
              <w:rPr>
                <w:b/>
                <w:sz w:val="20"/>
                <w:szCs w:val="24"/>
                <w:lang w:val="fr-CA"/>
              </w:rPr>
              <w:t xml:space="preserve"> </w:t>
            </w:r>
            <w:r w:rsidR="0052712E" w:rsidRPr="00ED22D1">
              <w:rPr>
                <w:b/>
                <w:sz w:val="18"/>
                <w:szCs w:val="18"/>
                <w:lang w:val="fr-CA"/>
              </w:rPr>
              <w:t>(tonnes PAO)</w:t>
            </w:r>
          </w:p>
        </w:tc>
      </w:tr>
      <w:tr w:rsidR="00CD72DB" w:rsidRPr="00ED22D1" w:rsidTr="00D26EF9">
        <w:trPr>
          <w:trHeight w:val="240"/>
        </w:trPr>
        <w:tc>
          <w:tcPr>
            <w:tcW w:w="0" w:type="auto"/>
            <w:shd w:val="clear" w:color="auto" w:fill="auto"/>
          </w:tcPr>
          <w:p w:rsidR="00C1026B" w:rsidRPr="00ED22D1" w:rsidRDefault="00CD72DB" w:rsidP="00CD72DB">
            <w:pPr>
              <w:tabs>
                <w:tab w:val="left" w:pos="7290"/>
              </w:tabs>
              <w:rPr>
                <w:sz w:val="18"/>
                <w:szCs w:val="18"/>
                <w:lang w:val="fr-CA"/>
              </w:rPr>
            </w:pPr>
            <w:r w:rsidRPr="00ED22D1">
              <w:rPr>
                <w:sz w:val="18"/>
                <w:szCs w:val="18"/>
                <w:lang w:val="fr-CA"/>
              </w:rPr>
              <w:t xml:space="preserve">Référence </w:t>
            </w:r>
            <w:r w:rsidR="00C1026B" w:rsidRPr="00ED22D1">
              <w:rPr>
                <w:sz w:val="18"/>
                <w:szCs w:val="18"/>
                <w:lang w:val="fr-CA"/>
              </w:rPr>
              <w:t>2009 - 2010</w:t>
            </w:r>
            <w:r w:rsidR="00791BF7" w:rsidRPr="00ED22D1">
              <w:rPr>
                <w:sz w:val="18"/>
                <w:szCs w:val="18"/>
                <w:lang w:val="fr-CA"/>
              </w:rPr>
              <w:t> :</w:t>
            </w:r>
          </w:p>
        </w:tc>
        <w:tc>
          <w:tcPr>
            <w:tcW w:w="0" w:type="auto"/>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1</w:t>
            </w:r>
            <w:r w:rsidR="004A6828" w:rsidRPr="00ED22D1">
              <w:rPr>
                <w:sz w:val="18"/>
                <w:szCs w:val="18"/>
                <w:lang w:val="fr-CA"/>
              </w:rPr>
              <w:t>9 </w:t>
            </w:r>
            <w:r w:rsidRPr="00ED22D1">
              <w:rPr>
                <w:sz w:val="18"/>
                <w:szCs w:val="18"/>
                <w:lang w:val="fr-CA"/>
              </w:rPr>
              <w:t>26</w:t>
            </w:r>
            <w:r w:rsidR="004A6828" w:rsidRPr="00ED22D1">
              <w:rPr>
                <w:sz w:val="18"/>
                <w:szCs w:val="18"/>
                <w:lang w:val="fr-CA"/>
              </w:rPr>
              <w:t>9,</w:t>
            </w:r>
            <w:r w:rsidRPr="00ED22D1">
              <w:rPr>
                <w:sz w:val="18"/>
                <w:szCs w:val="18"/>
                <w:lang w:val="fr-CA"/>
              </w:rPr>
              <w:t>00</w:t>
            </w:r>
          </w:p>
        </w:tc>
        <w:tc>
          <w:tcPr>
            <w:tcW w:w="0" w:type="auto"/>
            <w:shd w:val="clear" w:color="auto" w:fill="auto"/>
          </w:tcPr>
          <w:p w:rsidR="00C1026B" w:rsidRPr="00ED22D1" w:rsidRDefault="00CD72DB" w:rsidP="000A507C">
            <w:pPr>
              <w:tabs>
                <w:tab w:val="left" w:pos="7290"/>
              </w:tabs>
              <w:jc w:val="center"/>
              <w:rPr>
                <w:sz w:val="18"/>
                <w:szCs w:val="18"/>
                <w:lang w:val="fr-CA"/>
              </w:rPr>
            </w:pPr>
            <w:r w:rsidRPr="00ED22D1">
              <w:rPr>
                <w:sz w:val="18"/>
                <w:szCs w:val="18"/>
                <w:lang w:val="fr-CA"/>
              </w:rPr>
              <w:t>Point de départ des réductions globales durables</w:t>
            </w:r>
            <w:r w:rsidR="00791BF7" w:rsidRPr="00ED22D1">
              <w:rPr>
                <w:sz w:val="18"/>
                <w:szCs w:val="18"/>
                <w:lang w:val="fr-CA"/>
              </w:rPr>
              <w:t> :</w:t>
            </w:r>
          </w:p>
        </w:tc>
        <w:tc>
          <w:tcPr>
            <w:tcW w:w="0" w:type="auto"/>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1</w:t>
            </w:r>
            <w:r w:rsidR="004A6828" w:rsidRPr="00ED22D1">
              <w:rPr>
                <w:sz w:val="18"/>
                <w:szCs w:val="18"/>
                <w:lang w:val="fr-CA"/>
              </w:rPr>
              <w:t>8 </w:t>
            </w:r>
            <w:r w:rsidRPr="00ED22D1">
              <w:rPr>
                <w:sz w:val="18"/>
                <w:szCs w:val="18"/>
                <w:lang w:val="fr-CA"/>
              </w:rPr>
              <w:t>86</w:t>
            </w:r>
            <w:r w:rsidR="004A6828" w:rsidRPr="00ED22D1">
              <w:rPr>
                <w:sz w:val="18"/>
                <w:szCs w:val="18"/>
                <w:lang w:val="fr-CA"/>
              </w:rPr>
              <w:t>5,</w:t>
            </w:r>
            <w:r w:rsidRPr="00ED22D1">
              <w:rPr>
                <w:sz w:val="18"/>
                <w:szCs w:val="18"/>
                <w:lang w:val="fr-CA"/>
              </w:rPr>
              <w:t>44</w:t>
            </w:r>
          </w:p>
        </w:tc>
      </w:tr>
      <w:tr w:rsidR="00C1026B" w:rsidRPr="00C80221" w:rsidTr="00D26EF9">
        <w:trPr>
          <w:trHeight w:val="240"/>
        </w:trPr>
        <w:tc>
          <w:tcPr>
            <w:tcW w:w="0" w:type="auto"/>
            <w:gridSpan w:val="4"/>
            <w:shd w:val="clear" w:color="auto" w:fill="auto"/>
          </w:tcPr>
          <w:p w:rsidR="00C1026B" w:rsidRPr="00ED22D1" w:rsidRDefault="00CD72DB" w:rsidP="00D26EF9">
            <w:pPr>
              <w:tabs>
                <w:tab w:val="left" w:pos="7290"/>
              </w:tabs>
              <w:rPr>
                <w:b/>
                <w:sz w:val="18"/>
                <w:szCs w:val="18"/>
                <w:lang w:val="fr-CA"/>
              </w:rPr>
            </w:pPr>
            <w:r w:rsidRPr="00ED22D1">
              <w:rPr>
                <w:b/>
                <w:sz w:val="18"/>
                <w:szCs w:val="18"/>
                <w:lang w:val="fr-CA"/>
              </w:rPr>
              <w:t xml:space="preserve">CONSOMMATION ADMISSIBLE AU FINANCEMENT </w:t>
            </w:r>
            <w:r w:rsidR="0052712E" w:rsidRPr="00ED22D1">
              <w:rPr>
                <w:b/>
                <w:sz w:val="18"/>
                <w:szCs w:val="18"/>
                <w:lang w:val="fr-CA"/>
              </w:rPr>
              <w:t>(tonnes PAO)</w:t>
            </w:r>
          </w:p>
        </w:tc>
      </w:tr>
      <w:tr w:rsidR="00CD72DB" w:rsidRPr="00ED22D1" w:rsidTr="00D26EF9">
        <w:trPr>
          <w:trHeight w:val="240"/>
        </w:trPr>
        <w:tc>
          <w:tcPr>
            <w:tcW w:w="0" w:type="auto"/>
            <w:shd w:val="clear" w:color="auto" w:fill="auto"/>
          </w:tcPr>
          <w:p w:rsidR="00C1026B" w:rsidRPr="00ED22D1" w:rsidRDefault="00CD72DB" w:rsidP="00CD72DB">
            <w:pPr>
              <w:tabs>
                <w:tab w:val="left" w:pos="7290"/>
              </w:tabs>
              <w:rPr>
                <w:sz w:val="18"/>
                <w:szCs w:val="18"/>
                <w:lang w:val="fr-CA"/>
              </w:rPr>
            </w:pPr>
            <w:r w:rsidRPr="00ED22D1">
              <w:rPr>
                <w:sz w:val="18"/>
                <w:szCs w:val="18"/>
                <w:lang w:val="fr-CA"/>
              </w:rPr>
              <w:t>Déjà approuvée</w:t>
            </w:r>
            <w:r w:rsidR="00791BF7" w:rsidRPr="00ED22D1">
              <w:rPr>
                <w:sz w:val="18"/>
                <w:szCs w:val="18"/>
                <w:lang w:val="fr-CA"/>
              </w:rPr>
              <w:t> :</w:t>
            </w:r>
          </w:p>
        </w:tc>
        <w:tc>
          <w:tcPr>
            <w:tcW w:w="0" w:type="auto"/>
            <w:shd w:val="clear" w:color="auto" w:fill="auto"/>
          </w:tcPr>
          <w:p w:rsidR="00C1026B" w:rsidRPr="00ED22D1" w:rsidRDefault="00C1026B" w:rsidP="00D26EF9">
            <w:pPr>
              <w:tabs>
                <w:tab w:val="left" w:pos="7290"/>
              </w:tabs>
              <w:jc w:val="right"/>
              <w:rPr>
                <w:sz w:val="18"/>
                <w:szCs w:val="18"/>
                <w:lang w:val="fr-CA"/>
              </w:rPr>
            </w:pPr>
            <w:r w:rsidRPr="00ED22D1">
              <w:rPr>
                <w:sz w:val="18"/>
                <w:szCs w:val="18"/>
                <w:lang w:val="fr-CA"/>
              </w:rPr>
              <w:t>1</w:t>
            </w:r>
            <w:r w:rsidR="004A6828" w:rsidRPr="00ED22D1">
              <w:rPr>
                <w:sz w:val="18"/>
                <w:szCs w:val="18"/>
                <w:lang w:val="fr-CA"/>
              </w:rPr>
              <w:t>2 </w:t>
            </w:r>
            <w:r w:rsidRPr="00ED22D1">
              <w:rPr>
                <w:sz w:val="18"/>
                <w:szCs w:val="18"/>
                <w:lang w:val="fr-CA"/>
              </w:rPr>
              <w:t>16</w:t>
            </w:r>
            <w:r w:rsidR="004A6828" w:rsidRPr="00ED22D1">
              <w:rPr>
                <w:sz w:val="18"/>
                <w:szCs w:val="18"/>
                <w:lang w:val="fr-CA"/>
              </w:rPr>
              <w:t>1,</w:t>
            </w:r>
            <w:r w:rsidRPr="00ED22D1">
              <w:rPr>
                <w:sz w:val="18"/>
                <w:szCs w:val="18"/>
                <w:lang w:val="fr-CA"/>
              </w:rPr>
              <w:t>02</w:t>
            </w:r>
          </w:p>
        </w:tc>
        <w:tc>
          <w:tcPr>
            <w:tcW w:w="0" w:type="auto"/>
            <w:shd w:val="clear" w:color="auto" w:fill="auto"/>
          </w:tcPr>
          <w:p w:rsidR="00C1026B" w:rsidRPr="00ED22D1" w:rsidRDefault="00C1026B" w:rsidP="000A507C">
            <w:pPr>
              <w:tabs>
                <w:tab w:val="left" w:pos="7290"/>
              </w:tabs>
              <w:jc w:val="center"/>
              <w:rPr>
                <w:sz w:val="18"/>
                <w:szCs w:val="18"/>
                <w:lang w:val="fr-CA"/>
              </w:rPr>
            </w:pPr>
            <w:r w:rsidRPr="00ED22D1">
              <w:rPr>
                <w:sz w:val="18"/>
                <w:szCs w:val="18"/>
                <w:lang w:val="fr-CA"/>
              </w:rPr>
              <w:t>Re</w:t>
            </w:r>
            <w:r w:rsidR="00CD72DB" w:rsidRPr="00ED22D1">
              <w:rPr>
                <w:sz w:val="18"/>
                <w:szCs w:val="18"/>
                <w:lang w:val="fr-CA"/>
              </w:rPr>
              <w:t>stante</w:t>
            </w:r>
            <w:r w:rsidR="00791BF7" w:rsidRPr="00ED22D1">
              <w:rPr>
                <w:sz w:val="18"/>
                <w:szCs w:val="18"/>
                <w:lang w:val="fr-CA"/>
              </w:rPr>
              <w:t> :</w:t>
            </w:r>
          </w:p>
        </w:tc>
        <w:tc>
          <w:tcPr>
            <w:tcW w:w="0" w:type="auto"/>
            <w:shd w:val="clear" w:color="auto" w:fill="auto"/>
          </w:tcPr>
          <w:p w:rsidR="00C1026B" w:rsidRPr="00ED22D1" w:rsidRDefault="004A6828" w:rsidP="00D26EF9">
            <w:pPr>
              <w:tabs>
                <w:tab w:val="left" w:pos="7290"/>
              </w:tabs>
              <w:jc w:val="right"/>
              <w:rPr>
                <w:sz w:val="18"/>
                <w:szCs w:val="18"/>
                <w:lang w:val="fr-CA"/>
              </w:rPr>
            </w:pPr>
            <w:r w:rsidRPr="00ED22D1">
              <w:rPr>
                <w:sz w:val="18"/>
                <w:szCs w:val="18"/>
                <w:lang w:val="fr-CA"/>
              </w:rPr>
              <w:t>6 </w:t>
            </w:r>
            <w:r w:rsidR="00C1026B" w:rsidRPr="00ED22D1">
              <w:rPr>
                <w:sz w:val="18"/>
                <w:szCs w:val="18"/>
                <w:lang w:val="fr-CA"/>
              </w:rPr>
              <w:t>70</w:t>
            </w:r>
            <w:r w:rsidRPr="00ED22D1">
              <w:rPr>
                <w:sz w:val="18"/>
                <w:szCs w:val="18"/>
                <w:lang w:val="fr-CA"/>
              </w:rPr>
              <w:t>4,</w:t>
            </w:r>
            <w:r w:rsidR="00C1026B" w:rsidRPr="00ED22D1">
              <w:rPr>
                <w:sz w:val="18"/>
                <w:szCs w:val="18"/>
                <w:lang w:val="fr-CA"/>
              </w:rPr>
              <w:t>42</w:t>
            </w:r>
          </w:p>
        </w:tc>
      </w:tr>
    </w:tbl>
    <w:p w:rsidR="00C1026B" w:rsidRPr="00ED22D1" w:rsidRDefault="00C1026B" w:rsidP="00C1026B">
      <w:pPr>
        <w:tabs>
          <w:tab w:val="left" w:pos="7290"/>
        </w:tabs>
        <w:rPr>
          <w:sz w:val="18"/>
          <w:szCs w:val="18"/>
          <w:lang w:val="fr-CA"/>
        </w:rPr>
      </w:pPr>
    </w:p>
    <w:tbl>
      <w:tblPr>
        <w:tblStyle w:val="TableGrid"/>
        <w:tblW w:w="998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101"/>
        <w:gridCol w:w="3685"/>
        <w:gridCol w:w="1276"/>
        <w:gridCol w:w="1417"/>
        <w:gridCol w:w="1276"/>
        <w:gridCol w:w="1226"/>
      </w:tblGrid>
      <w:tr w:rsidR="00C1026B" w:rsidRPr="00ED22D1" w:rsidTr="00CD72DB">
        <w:trPr>
          <w:trHeight w:val="308"/>
        </w:trPr>
        <w:tc>
          <w:tcPr>
            <w:tcW w:w="4786" w:type="dxa"/>
            <w:gridSpan w:val="2"/>
            <w:shd w:val="clear" w:color="auto" w:fill="auto"/>
          </w:tcPr>
          <w:p w:rsidR="00C1026B" w:rsidRPr="00ED22D1" w:rsidRDefault="00C1026B" w:rsidP="00802F71">
            <w:pPr>
              <w:tabs>
                <w:tab w:val="left" w:pos="7290"/>
              </w:tabs>
              <w:rPr>
                <w:b/>
                <w:sz w:val="18"/>
                <w:szCs w:val="18"/>
                <w:lang w:val="fr-CA"/>
              </w:rPr>
            </w:pPr>
            <w:r w:rsidRPr="00ED22D1">
              <w:rPr>
                <w:b/>
                <w:sz w:val="18"/>
                <w:szCs w:val="18"/>
                <w:lang w:val="fr-CA"/>
              </w:rPr>
              <w:t>(V)</w:t>
            </w:r>
            <w:r w:rsidR="00CD72DB" w:rsidRPr="00ED22D1">
              <w:rPr>
                <w:b/>
                <w:sz w:val="20"/>
                <w:szCs w:val="24"/>
                <w:lang w:val="fr-CA"/>
              </w:rPr>
              <w:t xml:space="preserve"> </w:t>
            </w:r>
            <w:r w:rsidR="00CD72DB" w:rsidRPr="00ED22D1">
              <w:rPr>
                <w:b/>
                <w:sz w:val="18"/>
                <w:szCs w:val="18"/>
                <w:lang w:val="fr-CA"/>
              </w:rPr>
              <w:t>PLAN D’ACTIVITÉS</w:t>
            </w:r>
          </w:p>
        </w:tc>
        <w:tc>
          <w:tcPr>
            <w:tcW w:w="1276" w:type="dxa"/>
            <w:shd w:val="clear" w:color="auto" w:fill="auto"/>
          </w:tcPr>
          <w:p w:rsidR="00C1026B" w:rsidRPr="00ED22D1" w:rsidRDefault="00C1026B" w:rsidP="00D26EF9">
            <w:pPr>
              <w:tabs>
                <w:tab w:val="left" w:pos="7290"/>
              </w:tabs>
              <w:jc w:val="center"/>
              <w:rPr>
                <w:b/>
                <w:sz w:val="18"/>
                <w:szCs w:val="18"/>
                <w:lang w:val="fr-CA"/>
              </w:rPr>
            </w:pPr>
            <w:r w:rsidRPr="00ED22D1">
              <w:rPr>
                <w:b/>
                <w:sz w:val="18"/>
                <w:szCs w:val="18"/>
                <w:lang w:val="fr-CA"/>
              </w:rPr>
              <w:t>2019</w:t>
            </w:r>
          </w:p>
        </w:tc>
        <w:tc>
          <w:tcPr>
            <w:tcW w:w="1417" w:type="dxa"/>
            <w:shd w:val="clear" w:color="auto" w:fill="auto"/>
          </w:tcPr>
          <w:p w:rsidR="00C1026B" w:rsidRPr="00ED22D1" w:rsidRDefault="00C1026B" w:rsidP="00D26EF9">
            <w:pPr>
              <w:tabs>
                <w:tab w:val="left" w:pos="7290"/>
              </w:tabs>
              <w:jc w:val="center"/>
              <w:rPr>
                <w:b/>
                <w:sz w:val="18"/>
                <w:szCs w:val="18"/>
                <w:lang w:val="fr-CA"/>
              </w:rPr>
            </w:pPr>
            <w:r w:rsidRPr="00ED22D1">
              <w:rPr>
                <w:b/>
                <w:sz w:val="18"/>
                <w:szCs w:val="18"/>
                <w:lang w:val="fr-CA"/>
              </w:rPr>
              <w:t>2020</w:t>
            </w:r>
          </w:p>
        </w:tc>
        <w:tc>
          <w:tcPr>
            <w:tcW w:w="1276" w:type="dxa"/>
            <w:shd w:val="clear" w:color="auto" w:fill="auto"/>
          </w:tcPr>
          <w:p w:rsidR="00C1026B" w:rsidRPr="00ED22D1" w:rsidRDefault="00C1026B" w:rsidP="00D26EF9">
            <w:pPr>
              <w:tabs>
                <w:tab w:val="left" w:pos="7290"/>
              </w:tabs>
              <w:jc w:val="center"/>
              <w:rPr>
                <w:b/>
                <w:sz w:val="18"/>
                <w:szCs w:val="18"/>
                <w:lang w:val="fr-CA"/>
              </w:rPr>
            </w:pPr>
            <w:r w:rsidRPr="00ED22D1">
              <w:rPr>
                <w:b/>
                <w:sz w:val="18"/>
                <w:szCs w:val="18"/>
                <w:lang w:val="fr-CA"/>
              </w:rPr>
              <w:t>2021</w:t>
            </w:r>
          </w:p>
        </w:tc>
        <w:tc>
          <w:tcPr>
            <w:tcW w:w="1226" w:type="dxa"/>
          </w:tcPr>
          <w:p w:rsidR="00C1026B" w:rsidRPr="00ED22D1" w:rsidRDefault="00C1026B" w:rsidP="00D26EF9">
            <w:pPr>
              <w:tabs>
                <w:tab w:val="left" w:pos="7290"/>
              </w:tabs>
              <w:jc w:val="center"/>
              <w:rPr>
                <w:b/>
                <w:sz w:val="18"/>
                <w:szCs w:val="18"/>
                <w:lang w:val="fr-CA"/>
              </w:rPr>
            </w:pPr>
            <w:r w:rsidRPr="00ED22D1">
              <w:rPr>
                <w:b/>
                <w:sz w:val="18"/>
                <w:szCs w:val="18"/>
                <w:lang w:val="fr-CA"/>
              </w:rPr>
              <w:t>Total</w:t>
            </w:r>
          </w:p>
        </w:tc>
      </w:tr>
      <w:tr w:rsidR="00CD72DB" w:rsidRPr="00ED22D1" w:rsidTr="00CD72DB">
        <w:trPr>
          <w:trHeight w:val="249"/>
        </w:trPr>
        <w:tc>
          <w:tcPr>
            <w:tcW w:w="1101" w:type="dxa"/>
            <w:vMerge w:val="restart"/>
            <w:shd w:val="clear" w:color="auto" w:fill="auto"/>
          </w:tcPr>
          <w:p w:rsidR="00CD72DB" w:rsidRPr="00ED22D1" w:rsidRDefault="00CD72DB" w:rsidP="00D26EF9">
            <w:pPr>
              <w:tabs>
                <w:tab w:val="left" w:pos="7290"/>
              </w:tabs>
              <w:rPr>
                <w:sz w:val="18"/>
                <w:szCs w:val="18"/>
                <w:lang w:val="fr-CA"/>
              </w:rPr>
            </w:pPr>
            <w:r w:rsidRPr="00ED22D1">
              <w:rPr>
                <w:sz w:val="18"/>
                <w:szCs w:val="18"/>
                <w:lang w:val="fr-CA"/>
              </w:rPr>
              <w:t>ONUDI</w:t>
            </w:r>
          </w:p>
        </w:tc>
        <w:tc>
          <w:tcPr>
            <w:tcW w:w="3685" w:type="dxa"/>
            <w:shd w:val="clear" w:color="auto" w:fill="auto"/>
          </w:tcPr>
          <w:p w:rsidR="00CD72DB" w:rsidRPr="00ED22D1" w:rsidRDefault="00CD72DB" w:rsidP="00921BDE">
            <w:pPr>
              <w:spacing w:after="60"/>
              <w:jc w:val="left"/>
              <w:rPr>
                <w:sz w:val="18"/>
                <w:szCs w:val="18"/>
                <w:lang w:val="fr-CA"/>
              </w:rPr>
            </w:pPr>
            <w:r w:rsidRPr="00ED22D1">
              <w:rPr>
                <w:sz w:val="18"/>
                <w:szCs w:val="18"/>
                <w:lang w:val="fr-CA"/>
              </w:rPr>
              <w:t>Élimination des SAO (tonnes PAO)</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162,15</w:t>
            </w:r>
          </w:p>
        </w:tc>
        <w:tc>
          <w:tcPr>
            <w:tcW w:w="1417"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187,35</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194,58</w:t>
            </w:r>
          </w:p>
        </w:tc>
        <w:tc>
          <w:tcPr>
            <w:tcW w:w="1226" w:type="dxa"/>
            <w:tcBorders>
              <w:right w:val="single" w:sz="4" w:space="0" w:color="666699"/>
            </w:tcBorders>
            <w:vAlign w:val="center"/>
          </w:tcPr>
          <w:p w:rsidR="00CD72DB" w:rsidRPr="00ED22D1" w:rsidRDefault="00CD72DB" w:rsidP="00D26EF9">
            <w:pPr>
              <w:tabs>
                <w:tab w:val="left" w:pos="7290"/>
              </w:tabs>
              <w:jc w:val="right"/>
              <w:rPr>
                <w:sz w:val="18"/>
                <w:szCs w:val="18"/>
                <w:lang w:val="fr-CA"/>
              </w:rPr>
            </w:pPr>
            <w:r w:rsidRPr="00ED22D1">
              <w:rPr>
                <w:sz w:val="18"/>
                <w:szCs w:val="18"/>
                <w:lang w:val="fr-CA"/>
              </w:rPr>
              <w:t>544,08</w:t>
            </w:r>
          </w:p>
        </w:tc>
      </w:tr>
      <w:tr w:rsidR="00CD72DB" w:rsidRPr="00ED22D1" w:rsidTr="00CD72DB">
        <w:trPr>
          <w:trHeight w:val="249"/>
        </w:trPr>
        <w:tc>
          <w:tcPr>
            <w:tcW w:w="1101" w:type="dxa"/>
            <w:vMerge/>
            <w:shd w:val="clear" w:color="auto" w:fill="auto"/>
          </w:tcPr>
          <w:p w:rsidR="00CD72DB" w:rsidRPr="00ED22D1" w:rsidRDefault="00CD72DB" w:rsidP="00D26EF9">
            <w:pPr>
              <w:tabs>
                <w:tab w:val="left" w:pos="7290"/>
              </w:tabs>
              <w:rPr>
                <w:sz w:val="18"/>
                <w:szCs w:val="18"/>
                <w:lang w:val="fr-CA"/>
              </w:rPr>
            </w:pPr>
          </w:p>
        </w:tc>
        <w:tc>
          <w:tcPr>
            <w:tcW w:w="3685" w:type="dxa"/>
            <w:shd w:val="clear" w:color="auto" w:fill="auto"/>
          </w:tcPr>
          <w:p w:rsidR="00CD72DB" w:rsidRPr="00ED22D1" w:rsidRDefault="00CD72DB" w:rsidP="00921BDE">
            <w:pPr>
              <w:spacing w:after="60"/>
              <w:jc w:val="left"/>
              <w:rPr>
                <w:sz w:val="18"/>
                <w:szCs w:val="18"/>
                <w:lang w:val="fr-CA"/>
              </w:rPr>
            </w:pPr>
            <w:r w:rsidRPr="00ED22D1">
              <w:rPr>
                <w:sz w:val="18"/>
                <w:szCs w:val="18"/>
                <w:lang w:val="fr-CA"/>
              </w:rPr>
              <w:t>Financement ($US)</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8 560 000</w:t>
            </w:r>
          </w:p>
        </w:tc>
        <w:tc>
          <w:tcPr>
            <w:tcW w:w="1417"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9 890 530</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10 272 000</w:t>
            </w:r>
          </w:p>
        </w:tc>
        <w:tc>
          <w:tcPr>
            <w:tcW w:w="1226" w:type="dxa"/>
            <w:tcBorders>
              <w:right w:val="single" w:sz="4" w:space="0" w:color="666699"/>
            </w:tcBorders>
            <w:vAlign w:val="center"/>
          </w:tcPr>
          <w:p w:rsidR="00CD72DB" w:rsidRPr="00ED22D1" w:rsidRDefault="00CD72DB" w:rsidP="00D26EF9">
            <w:pPr>
              <w:tabs>
                <w:tab w:val="left" w:pos="7290"/>
              </w:tabs>
              <w:jc w:val="right"/>
              <w:rPr>
                <w:sz w:val="18"/>
                <w:szCs w:val="18"/>
                <w:lang w:val="fr-CA"/>
              </w:rPr>
            </w:pPr>
            <w:r w:rsidRPr="00ED22D1">
              <w:rPr>
                <w:sz w:val="18"/>
                <w:szCs w:val="18"/>
                <w:lang w:val="fr-CA"/>
              </w:rPr>
              <w:t>28 722 530</w:t>
            </w:r>
          </w:p>
        </w:tc>
      </w:tr>
      <w:tr w:rsidR="00CD72DB" w:rsidRPr="00ED22D1" w:rsidTr="00CD72DB">
        <w:trPr>
          <w:trHeight w:val="249"/>
        </w:trPr>
        <w:tc>
          <w:tcPr>
            <w:tcW w:w="1101" w:type="dxa"/>
            <w:vMerge w:val="restart"/>
            <w:shd w:val="clear" w:color="auto" w:fill="auto"/>
          </w:tcPr>
          <w:p w:rsidR="00CD72DB" w:rsidRPr="00ED22D1" w:rsidRDefault="00CD72DB" w:rsidP="00D26EF9">
            <w:pPr>
              <w:tabs>
                <w:tab w:val="left" w:pos="7290"/>
              </w:tabs>
              <w:rPr>
                <w:sz w:val="18"/>
                <w:szCs w:val="18"/>
                <w:lang w:val="fr-CA"/>
              </w:rPr>
            </w:pPr>
            <w:r w:rsidRPr="00ED22D1">
              <w:rPr>
                <w:sz w:val="18"/>
                <w:szCs w:val="18"/>
                <w:lang w:val="fr-CA"/>
              </w:rPr>
              <w:t>Allemagne</w:t>
            </w:r>
          </w:p>
        </w:tc>
        <w:tc>
          <w:tcPr>
            <w:tcW w:w="3685" w:type="dxa"/>
            <w:shd w:val="clear" w:color="auto" w:fill="auto"/>
          </w:tcPr>
          <w:p w:rsidR="00CD72DB" w:rsidRPr="00ED22D1" w:rsidRDefault="00CD72DB" w:rsidP="00921BDE">
            <w:pPr>
              <w:spacing w:after="60"/>
              <w:jc w:val="left"/>
              <w:rPr>
                <w:sz w:val="18"/>
                <w:szCs w:val="18"/>
                <w:lang w:val="fr-CA"/>
              </w:rPr>
            </w:pPr>
            <w:r w:rsidRPr="00ED22D1">
              <w:rPr>
                <w:sz w:val="18"/>
                <w:szCs w:val="18"/>
                <w:lang w:val="fr-CA"/>
              </w:rPr>
              <w:t>Élimination des SAO (tonnes PAO)</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0,00</w:t>
            </w:r>
          </w:p>
        </w:tc>
        <w:tc>
          <w:tcPr>
            <w:tcW w:w="1417"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7,23</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0,00</w:t>
            </w:r>
          </w:p>
        </w:tc>
        <w:tc>
          <w:tcPr>
            <w:tcW w:w="1226" w:type="dxa"/>
            <w:tcBorders>
              <w:right w:val="single" w:sz="4" w:space="0" w:color="666699"/>
            </w:tcBorders>
            <w:vAlign w:val="center"/>
          </w:tcPr>
          <w:p w:rsidR="00CD72DB" w:rsidRPr="00ED22D1" w:rsidRDefault="00CD72DB" w:rsidP="00D26EF9">
            <w:pPr>
              <w:tabs>
                <w:tab w:val="left" w:pos="7290"/>
              </w:tabs>
              <w:jc w:val="right"/>
              <w:rPr>
                <w:sz w:val="18"/>
                <w:szCs w:val="18"/>
                <w:lang w:val="fr-CA"/>
              </w:rPr>
            </w:pPr>
            <w:r w:rsidRPr="00ED22D1">
              <w:rPr>
                <w:sz w:val="18"/>
                <w:szCs w:val="18"/>
                <w:lang w:val="fr-CA"/>
              </w:rPr>
              <w:t>7,23</w:t>
            </w:r>
          </w:p>
        </w:tc>
      </w:tr>
      <w:tr w:rsidR="00CD72DB" w:rsidRPr="00ED22D1" w:rsidTr="00CD72DB">
        <w:trPr>
          <w:trHeight w:val="249"/>
        </w:trPr>
        <w:tc>
          <w:tcPr>
            <w:tcW w:w="1101" w:type="dxa"/>
            <w:vMerge/>
            <w:shd w:val="clear" w:color="auto" w:fill="auto"/>
          </w:tcPr>
          <w:p w:rsidR="00CD72DB" w:rsidRPr="00ED22D1" w:rsidRDefault="00CD72DB" w:rsidP="00D26EF9">
            <w:pPr>
              <w:tabs>
                <w:tab w:val="left" w:pos="7290"/>
              </w:tabs>
              <w:rPr>
                <w:sz w:val="18"/>
                <w:szCs w:val="18"/>
                <w:lang w:val="fr-CA"/>
              </w:rPr>
            </w:pPr>
          </w:p>
        </w:tc>
        <w:tc>
          <w:tcPr>
            <w:tcW w:w="3685" w:type="dxa"/>
            <w:shd w:val="clear" w:color="auto" w:fill="auto"/>
          </w:tcPr>
          <w:p w:rsidR="00CD72DB" w:rsidRPr="00ED22D1" w:rsidRDefault="00CD72DB" w:rsidP="00921BDE">
            <w:pPr>
              <w:spacing w:after="60"/>
              <w:jc w:val="left"/>
              <w:rPr>
                <w:sz w:val="18"/>
                <w:szCs w:val="18"/>
                <w:lang w:val="fr-CA"/>
              </w:rPr>
            </w:pPr>
            <w:r w:rsidRPr="00ED22D1">
              <w:rPr>
                <w:sz w:val="18"/>
                <w:szCs w:val="18"/>
                <w:lang w:val="fr-CA"/>
              </w:rPr>
              <w:t>Financement ($US)</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0</w:t>
            </w:r>
          </w:p>
        </w:tc>
        <w:tc>
          <w:tcPr>
            <w:tcW w:w="1417"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399 016</w:t>
            </w:r>
          </w:p>
        </w:tc>
        <w:tc>
          <w:tcPr>
            <w:tcW w:w="1276" w:type="dxa"/>
            <w:shd w:val="clear" w:color="auto" w:fill="auto"/>
            <w:vAlign w:val="center"/>
          </w:tcPr>
          <w:p w:rsidR="00CD72DB" w:rsidRPr="00ED22D1" w:rsidRDefault="00CD72DB" w:rsidP="00D26EF9">
            <w:pPr>
              <w:tabs>
                <w:tab w:val="left" w:pos="7290"/>
              </w:tabs>
              <w:jc w:val="right"/>
              <w:rPr>
                <w:sz w:val="18"/>
                <w:szCs w:val="18"/>
                <w:lang w:val="fr-CA"/>
              </w:rPr>
            </w:pPr>
            <w:r w:rsidRPr="00ED22D1">
              <w:rPr>
                <w:sz w:val="18"/>
                <w:szCs w:val="18"/>
                <w:lang w:val="fr-CA"/>
              </w:rPr>
              <w:t>0</w:t>
            </w:r>
          </w:p>
        </w:tc>
        <w:tc>
          <w:tcPr>
            <w:tcW w:w="1226" w:type="dxa"/>
            <w:tcBorders>
              <w:right w:val="single" w:sz="4" w:space="0" w:color="666699"/>
            </w:tcBorders>
            <w:vAlign w:val="center"/>
          </w:tcPr>
          <w:p w:rsidR="00CD72DB" w:rsidRPr="00ED22D1" w:rsidRDefault="00CD72DB" w:rsidP="00D26EF9">
            <w:pPr>
              <w:tabs>
                <w:tab w:val="left" w:pos="7290"/>
              </w:tabs>
              <w:jc w:val="right"/>
              <w:rPr>
                <w:sz w:val="18"/>
                <w:szCs w:val="18"/>
                <w:lang w:val="fr-CA"/>
              </w:rPr>
            </w:pPr>
            <w:r w:rsidRPr="00ED22D1">
              <w:rPr>
                <w:sz w:val="18"/>
                <w:szCs w:val="18"/>
                <w:lang w:val="fr-CA"/>
              </w:rPr>
              <w:t>399 016</w:t>
            </w:r>
          </w:p>
        </w:tc>
      </w:tr>
    </w:tbl>
    <w:p w:rsidR="00C1026B" w:rsidRPr="00ED22D1" w:rsidRDefault="00C1026B" w:rsidP="00C1026B">
      <w:pPr>
        <w:tabs>
          <w:tab w:val="left" w:pos="7290"/>
        </w:tabs>
        <w:rPr>
          <w:sz w:val="18"/>
          <w:szCs w:val="18"/>
          <w:lang w:val="fr-CA"/>
        </w:rPr>
      </w:pPr>
    </w:p>
    <w:p w:rsidR="00C1026B" w:rsidRPr="00ED22D1" w:rsidRDefault="00C1026B" w:rsidP="00C1026B">
      <w:pPr>
        <w:tabs>
          <w:tab w:val="left" w:pos="7290"/>
        </w:tabs>
        <w:rPr>
          <w:sz w:val="18"/>
          <w:szCs w:val="18"/>
          <w:lang w:val="fr-CA"/>
        </w:rPr>
      </w:pPr>
    </w:p>
    <w:p w:rsidR="00C1026B" w:rsidRPr="00ED22D1" w:rsidRDefault="00C1026B" w:rsidP="00C1026B">
      <w:pPr>
        <w:tabs>
          <w:tab w:val="left" w:pos="7290"/>
        </w:tabs>
        <w:rPr>
          <w:sz w:val="18"/>
          <w:szCs w:val="18"/>
          <w:lang w:val="fr-CA"/>
        </w:rPr>
      </w:pPr>
    </w:p>
    <w:p w:rsidR="00C1026B" w:rsidRPr="00ED22D1" w:rsidRDefault="00C1026B" w:rsidP="00C1026B">
      <w:pPr>
        <w:tabs>
          <w:tab w:val="left" w:pos="7290"/>
        </w:tabs>
        <w:rPr>
          <w:sz w:val="18"/>
          <w:szCs w:val="18"/>
          <w:lang w:val="fr-CA"/>
        </w:rPr>
      </w:pPr>
    </w:p>
    <w:p w:rsidR="00C1026B" w:rsidRPr="00ED22D1" w:rsidRDefault="00C1026B" w:rsidP="00C1026B">
      <w:pPr>
        <w:tabs>
          <w:tab w:val="left" w:pos="7290"/>
        </w:tabs>
        <w:rPr>
          <w:lang w:val="fr-CA"/>
        </w:rPr>
        <w:sectPr w:rsidR="00C1026B" w:rsidRPr="00ED22D1" w:rsidSect="00D26EF9">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pPr>
    </w:p>
    <w:tbl>
      <w:tblPr>
        <w:tblStyle w:val="TableGrid"/>
        <w:tblW w:w="1393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28"/>
        <w:gridCol w:w="942"/>
        <w:gridCol w:w="709"/>
        <w:gridCol w:w="888"/>
        <w:gridCol w:w="969"/>
        <w:gridCol w:w="970"/>
        <w:gridCol w:w="969"/>
        <w:gridCol w:w="969"/>
        <w:gridCol w:w="970"/>
        <w:gridCol w:w="969"/>
        <w:gridCol w:w="969"/>
        <w:gridCol w:w="970"/>
        <w:gridCol w:w="969"/>
        <w:gridCol w:w="969"/>
        <w:gridCol w:w="970"/>
      </w:tblGrid>
      <w:tr w:rsidR="00C1026B" w:rsidRPr="00ED22D1" w:rsidTr="00CD72DB">
        <w:trPr>
          <w:trHeight w:val="186"/>
        </w:trPr>
        <w:tc>
          <w:tcPr>
            <w:tcW w:w="2379" w:type="dxa"/>
            <w:gridSpan w:val="3"/>
            <w:shd w:val="clear" w:color="auto" w:fill="auto"/>
          </w:tcPr>
          <w:p w:rsidR="00C1026B" w:rsidRPr="00ED22D1" w:rsidRDefault="00C1026B" w:rsidP="00D26EF9">
            <w:pPr>
              <w:tabs>
                <w:tab w:val="left" w:pos="7290"/>
              </w:tabs>
              <w:rPr>
                <w:b/>
                <w:sz w:val="16"/>
                <w:szCs w:val="16"/>
                <w:lang w:val="fr-CA"/>
              </w:rPr>
            </w:pPr>
            <w:r w:rsidRPr="00ED22D1">
              <w:rPr>
                <w:b/>
                <w:sz w:val="16"/>
                <w:szCs w:val="16"/>
                <w:lang w:val="fr-CA"/>
              </w:rPr>
              <w:lastRenderedPageBreak/>
              <w:t xml:space="preserve">(VI) </w:t>
            </w:r>
            <w:r w:rsidR="00CD72DB" w:rsidRPr="00ED22D1">
              <w:rPr>
                <w:b/>
                <w:sz w:val="16"/>
                <w:szCs w:val="16"/>
                <w:lang w:val="fr-CA"/>
              </w:rPr>
              <w:t>DONNÉES DU PROJET</w:t>
            </w:r>
          </w:p>
        </w:tc>
        <w:tc>
          <w:tcPr>
            <w:tcW w:w="888" w:type="dxa"/>
            <w:shd w:val="clear" w:color="auto" w:fill="auto"/>
          </w:tcPr>
          <w:p w:rsidR="00C1026B" w:rsidRPr="00ED22D1" w:rsidRDefault="00C1026B" w:rsidP="00D26EF9">
            <w:pPr>
              <w:tabs>
                <w:tab w:val="left" w:pos="7290"/>
              </w:tabs>
              <w:jc w:val="center"/>
              <w:rPr>
                <w:b/>
                <w:bCs/>
                <w:sz w:val="16"/>
                <w:szCs w:val="16"/>
                <w:lang w:val="fr-CA"/>
              </w:rPr>
            </w:pPr>
            <w:r w:rsidRPr="00ED22D1">
              <w:rPr>
                <w:b/>
                <w:bCs/>
                <w:sz w:val="16"/>
                <w:szCs w:val="16"/>
                <w:lang w:val="fr-CA"/>
              </w:rPr>
              <w:t>2016</w:t>
            </w:r>
          </w:p>
        </w:tc>
        <w:tc>
          <w:tcPr>
            <w:tcW w:w="969" w:type="dxa"/>
            <w:shd w:val="clear" w:color="auto" w:fill="auto"/>
          </w:tcPr>
          <w:p w:rsidR="00C1026B" w:rsidRPr="00ED22D1" w:rsidRDefault="00C1026B" w:rsidP="00D26EF9">
            <w:pPr>
              <w:tabs>
                <w:tab w:val="left" w:pos="7290"/>
              </w:tabs>
              <w:jc w:val="center"/>
              <w:rPr>
                <w:b/>
                <w:bCs/>
                <w:sz w:val="16"/>
                <w:szCs w:val="16"/>
                <w:lang w:val="fr-CA"/>
              </w:rPr>
            </w:pPr>
            <w:r w:rsidRPr="00ED22D1">
              <w:rPr>
                <w:b/>
                <w:bCs/>
                <w:sz w:val="16"/>
                <w:szCs w:val="16"/>
                <w:lang w:val="fr-CA"/>
              </w:rPr>
              <w:t>2017</w:t>
            </w:r>
          </w:p>
        </w:tc>
        <w:tc>
          <w:tcPr>
            <w:tcW w:w="970" w:type="dxa"/>
            <w:shd w:val="clear" w:color="auto" w:fill="auto"/>
          </w:tcPr>
          <w:p w:rsidR="00C1026B" w:rsidRPr="00ED22D1" w:rsidRDefault="00C1026B" w:rsidP="00D26EF9">
            <w:pPr>
              <w:tabs>
                <w:tab w:val="left" w:pos="7290"/>
              </w:tabs>
              <w:jc w:val="center"/>
              <w:rPr>
                <w:b/>
                <w:bCs/>
                <w:sz w:val="16"/>
                <w:szCs w:val="16"/>
                <w:lang w:val="fr-CA"/>
              </w:rPr>
            </w:pPr>
            <w:r w:rsidRPr="00ED22D1">
              <w:rPr>
                <w:b/>
                <w:bCs/>
                <w:sz w:val="16"/>
                <w:szCs w:val="16"/>
                <w:lang w:val="fr-CA"/>
              </w:rPr>
              <w:t>2018</w:t>
            </w:r>
          </w:p>
        </w:tc>
        <w:tc>
          <w:tcPr>
            <w:tcW w:w="969" w:type="dxa"/>
            <w:shd w:val="clear" w:color="auto" w:fill="auto"/>
          </w:tcPr>
          <w:p w:rsidR="00C1026B" w:rsidRPr="00ED22D1" w:rsidRDefault="00C1026B" w:rsidP="00D26EF9">
            <w:pPr>
              <w:tabs>
                <w:tab w:val="left" w:pos="7290"/>
              </w:tabs>
              <w:jc w:val="center"/>
              <w:rPr>
                <w:b/>
                <w:bCs/>
                <w:sz w:val="16"/>
                <w:szCs w:val="16"/>
                <w:lang w:val="fr-CA"/>
              </w:rPr>
            </w:pPr>
            <w:r w:rsidRPr="00ED22D1">
              <w:rPr>
                <w:b/>
                <w:bCs/>
                <w:sz w:val="16"/>
                <w:szCs w:val="16"/>
                <w:lang w:val="fr-CA"/>
              </w:rPr>
              <w:t>2019</w:t>
            </w:r>
          </w:p>
        </w:tc>
        <w:tc>
          <w:tcPr>
            <w:tcW w:w="969" w:type="dxa"/>
            <w:shd w:val="clear" w:color="auto" w:fill="auto"/>
          </w:tcPr>
          <w:p w:rsidR="00C1026B" w:rsidRPr="00ED22D1" w:rsidRDefault="00C1026B" w:rsidP="00D26EF9">
            <w:pPr>
              <w:tabs>
                <w:tab w:val="left" w:pos="7290"/>
              </w:tabs>
              <w:jc w:val="center"/>
              <w:rPr>
                <w:b/>
                <w:bCs/>
                <w:sz w:val="16"/>
                <w:szCs w:val="16"/>
                <w:lang w:val="fr-CA"/>
              </w:rPr>
            </w:pPr>
            <w:r w:rsidRPr="00ED22D1">
              <w:rPr>
                <w:b/>
                <w:bCs/>
                <w:sz w:val="16"/>
                <w:szCs w:val="16"/>
                <w:lang w:val="fr-CA"/>
              </w:rPr>
              <w:t>2020</w:t>
            </w:r>
          </w:p>
        </w:tc>
        <w:tc>
          <w:tcPr>
            <w:tcW w:w="970" w:type="dxa"/>
            <w:shd w:val="clear" w:color="auto" w:fill="auto"/>
          </w:tcPr>
          <w:p w:rsidR="00C1026B" w:rsidRPr="00ED22D1" w:rsidRDefault="00C1026B" w:rsidP="00D26EF9">
            <w:pPr>
              <w:tabs>
                <w:tab w:val="left" w:pos="7290"/>
              </w:tabs>
              <w:jc w:val="center"/>
              <w:rPr>
                <w:b/>
                <w:bCs/>
                <w:sz w:val="16"/>
                <w:szCs w:val="16"/>
                <w:lang w:val="fr-CA"/>
              </w:rPr>
            </w:pPr>
            <w:r w:rsidRPr="00ED22D1">
              <w:rPr>
                <w:b/>
                <w:bCs/>
                <w:sz w:val="16"/>
                <w:szCs w:val="16"/>
                <w:lang w:val="fr-CA"/>
              </w:rPr>
              <w:t>2021</w:t>
            </w:r>
          </w:p>
        </w:tc>
        <w:tc>
          <w:tcPr>
            <w:tcW w:w="969" w:type="dxa"/>
          </w:tcPr>
          <w:p w:rsidR="00C1026B" w:rsidRPr="00ED22D1" w:rsidRDefault="00C1026B" w:rsidP="00D26EF9">
            <w:pPr>
              <w:tabs>
                <w:tab w:val="left" w:pos="7290"/>
              </w:tabs>
              <w:jc w:val="center"/>
              <w:rPr>
                <w:b/>
                <w:sz w:val="16"/>
                <w:szCs w:val="16"/>
                <w:lang w:val="fr-CA"/>
              </w:rPr>
            </w:pPr>
            <w:r w:rsidRPr="00ED22D1">
              <w:rPr>
                <w:b/>
                <w:sz w:val="16"/>
                <w:szCs w:val="16"/>
                <w:lang w:val="fr-CA"/>
              </w:rPr>
              <w:t>2022</w:t>
            </w:r>
          </w:p>
        </w:tc>
        <w:tc>
          <w:tcPr>
            <w:tcW w:w="969" w:type="dxa"/>
          </w:tcPr>
          <w:p w:rsidR="00C1026B" w:rsidRPr="00ED22D1" w:rsidRDefault="00C1026B" w:rsidP="00D26EF9">
            <w:pPr>
              <w:tabs>
                <w:tab w:val="left" w:pos="7290"/>
              </w:tabs>
              <w:jc w:val="center"/>
              <w:rPr>
                <w:b/>
                <w:sz w:val="16"/>
                <w:szCs w:val="16"/>
                <w:lang w:val="fr-CA"/>
              </w:rPr>
            </w:pPr>
            <w:r w:rsidRPr="00ED22D1">
              <w:rPr>
                <w:b/>
                <w:sz w:val="16"/>
                <w:szCs w:val="16"/>
                <w:lang w:val="fr-CA"/>
              </w:rPr>
              <w:t>2023</w:t>
            </w:r>
          </w:p>
        </w:tc>
        <w:tc>
          <w:tcPr>
            <w:tcW w:w="970" w:type="dxa"/>
          </w:tcPr>
          <w:p w:rsidR="00C1026B" w:rsidRPr="00ED22D1" w:rsidRDefault="00C1026B" w:rsidP="00D26EF9">
            <w:pPr>
              <w:tabs>
                <w:tab w:val="left" w:pos="7290"/>
              </w:tabs>
              <w:jc w:val="center"/>
              <w:rPr>
                <w:b/>
                <w:sz w:val="16"/>
                <w:szCs w:val="16"/>
                <w:lang w:val="fr-CA"/>
              </w:rPr>
            </w:pPr>
            <w:r w:rsidRPr="00ED22D1">
              <w:rPr>
                <w:b/>
                <w:sz w:val="16"/>
                <w:szCs w:val="16"/>
                <w:lang w:val="fr-CA"/>
              </w:rPr>
              <w:t>2024</w:t>
            </w:r>
          </w:p>
        </w:tc>
        <w:tc>
          <w:tcPr>
            <w:tcW w:w="969" w:type="dxa"/>
          </w:tcPr>
          <w:p w:rsidR="00C1026B" w:rsidRPr="00ED22D1" w:rsidRDefault="00C1026B" w:rsidP="00D26EF9">
            <w:pPr>
              <w:tabs>
                <w:tab w:val="left" w:pos="7290"/>
              </w:tabs>
              <w:jc w:val="center"/>
              <w:rPr>
                <w:b/>
                <w:sz w:val="16"/>
                <w:szCs w:val="16"/>
                <w:lang w:val="fr-CA"/>
              </w:rPr>
            </w:pPr>
            <w:r w:rsidRPr="00ED22D1">
              <w:rPr>
                <w:b/>
                <w:sz w:val="16"/>
                <w:szCs w:val="16"/>
                <w:lang w:val="fr-CA"/>
              </w:rPr>
              <w:t>2025</w:t>
            </w:r>
          </w:p>
        </w:tc>
        <w:tc>
          <w:tcPr>
            <w:tcW w:w="969" w:type="dxa"/>
          </w:tcPr>
          <w:p w:rsidR="00C1026B" w:rsidRPr="00ED22D1" w:rsidRDefault="00C1026B" w:rsidP="00D26EF9">
            <w:pPr>
              <w:tabs>
                <w:tab w:val="left" w:pos="7290"/>
              </w:tabs>
              <w:jc w:val="center"/>
              <w:rPr>
                <w:b/>
                <w:sz w:val="16"/>
                <w:szCs w:val="16"/>
                <w:lang w:val="fr-CA"/>
              </w:rPr>
            </w:pPr>
            <w:r w:rsidRPr="00ED22D1">
              <w:rPr>
                <w:b/>
                <w:sz w:val="16"/>
                <w:szCs w:val="16"/>
                <w:lang w:val="fr-CA"/>
              </w:rPr>
              <w:t>2026</w:t>
            </w:r>
          </w:p>
        </w:tc>
        <w:tc>
          <w:tcPr>
            <w:tcW w:w="970" w:type="dxa"/>
            <w:shd w:val="clear" w:color="auto" w:fill="auto"/>
          </w:tcPr>
          <w:p w:rsidR="00C1026B" w:rsidRPr="00ED22D1" w:rsidRDefault="00C1026B" w:rsidP="00D26EF9">
            <w:pPr>
              <w:tabs>
                <w:tab w:val="left" w:pos="7290"/>
              </w:tabs>
              <w:jc w:val="center"/>
              <w:rPr>
                <w:b/>
                <w:sz w:val="16"/>
                <w:szCs w:val="16"/>
                <w:lang w:val="fr-CA"/>
              </w:rPr>
            </w:pPr>
            <w:r w:rsidRPr="00ED22D1">
              <w:rPr>
                <w:b/>
                <w:sz w:val="16"/>
                <w:szCs w:val="16"/>
                <w:lang w:val="fr-CA"/>
              </w:rPr>
              <w:t>Total</w:t>
            </w:r>
          </w:p>
        </w:tc>
      </w:tr>
      <w:tr w:rsidR="00CD72DB" w:rsidRPr="00ED22D1" w:rsidTr="00CD72DB">
        <w:trPr>
          <w:trHeight w:val="364"/>
        </w:trPr>
        <w:tc>
          <w:tcPr>
            <w:tcW w:w="2379" w:type="dxa"/>
            <w:gridSpan w:val="3"/>
            <w:shd w:val="clear" w:color="auto" w:fill="auto"/>
          </w:tcPr>
          <w:p w:rsidR="00CD72DB" w:rsidRPr="00ED22D1" w:rsidRDefault="00CD72DB" w:rsidP="00921BDE">
            <w:pPr>
              <w:autoSpaceDE w:val="0"/>
              <w:autoSpaceDN w:val="0"/>
              <w:adjustRightInd w:val="0"/>
              <w:jc w:val="left"/>
              <w:rPr>
                <w:sz w:val="16"/>
                <w:szCs w:val="16"/>
                <w:lang w:val="fr-CA"/>
              </w:rPr>
            </w:pPr>
            <w:r w:rsidRPr="00ED22D1">
              <w:rPr>
                <w:sz w:val="16"/>
                <w:szCs w:val="16"/>
                <w:lang w:val="fr-CA"/>
              </w:rPr>
              <w:t>Limites de consommation du Protocole de Montréal</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17 342,1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17 342,1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17 342,1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17 342,1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12 524,9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12 524,9 </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12 524,9 </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12 524,9 </w:t>
            </w:r>
          </w:p>
        </w:tc>
        <w:tc>
          <w:tcPr>
            <w:tcW w:w="970" w:type="dxa"/>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12 524,9 </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6 262,4 </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 xml:space="preserve">6 262,4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s.o.</w:t>
            </w:r>
          </w:p>
        </w:tc>
      </w:tr>
      <w:tr w:rsidR="00CD72DB" w:rsidRPr="00ED22D1" w:rsidTr="00CD72DB">
        <w:trPr>
          <w:trHeight w:val="373"/>
        </w:trPr>
        <w:tc>
          <w:tcPr>
            <w:tcW w:w="2379" w:type="dxa"/>
            <w:gridSpan w:val="3"/>
            <w:shd w:val="clear" w:color="auto" w:fill="auto"/>
          </w:tcPr>
          <w:p w:rsidR="00CD72DB" w:rsidRPr="00ED22D1" w:rsidRDefault="00CD72DB" w:rsidP="00921BDE">
            <w:pPr>
              <w:autoSpaceDE w:val="0"/>
              <w:autoSpaceDN w:val="0"/>
              <w:adjustRightInd w:val="0"/>
              <w:jc w:val="left"/>
              <w:rPr>
                <w:sz w:val="16"/>
                <w:szCs w:val="16"/>
                <w:lang w:val="fr-CA"/>
              </w:rPr>
            </w:pPr>
            <w:r w:rsidRPr="00ED22D1">
              <w:rPr>
                <w:sz w:val="16"/>
                <w:szCs w:val="16"/>
                <w:lang w:val="fr-CA"/>
              </w:rPr>
              <w:t>Consommation maximale admissible (tonnes PAO)</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2 286,0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2 286,0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2 032,0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2 032,0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1 397,0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1 397,0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1 397,0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762,0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762,0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165,0 </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 xml:space="preserve">0,0 </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s.o.</w:t>
            </w:r>
          </w:p>
        </w:tc>
      </w:tr>
      <w:tr w:rsidR="00CD72DB" w:rsidRPr="00ED22D1" w:rsidTr="00CD72DB">
        <w:trPr>
          <w:trHeight w:val="373"/>
        </w:trPr>
        <w:tc>
          <w:tcPr>
            <w:tcW w:w="728" w:type="dxa"/>
            <w:vMerge w:val="restart"/>
            <w:shd w:val="clear" w:color="auto" w:fill="auto"/>
          </w:tcPr>
          <w:p w:rsidR="00CD72DB" w:rsidRPr="00ED22D1" w:rsidRDefault="00CD72DB" w:rsidP="00D26EF9">
            <w:pPr>
              <w:tabs>
                <w:tab w:val="left" w:pos="7290"/>
              </w:tabs>
              <w:rPr>
                <w:sz w:val="15"/>
                <w:szCs w:val="15"/>
                <w:lang w:val="fr-CA"/>
              </w:rPr>
            </w:pPr>
            <w:r w:rsidRPr="00ED22D1">
              <w:rPr>
                <w:sz w:val="15"/>
                <w:szCs w:val="15"/>
                <w:lang w:val="fr-CA"/>
              </w:rPr>
              <w:t xml:space="preserve">Finance-ment convenu  </w:t>
            </w:r>
            <w:r w:rsidR="00874624" w:rsidRPr="00ED22D1">
              <w:rPr>
                <w:sz w:val="15"/>
                <w:szCs w:val="15"/>
                <w:lang w:val="fr-CA"/>
              </w:rPr>
              <w:t>($US)</w:t>
            </w:r>
          </w:p>
        </w:tc>
        <w:tc>
          <w:tcPr>
            <w:tcW w:w="942" w:type="dxa"/>
            <w:vMerge w:val="restart"/>
            <w:shd w:val="clear" w:color="auto" w:fill="auto"/>
          </w:tcPr>
          <w:p w:rsidR="00CD72DB" w:rsidRPr="00ED22D1" w:rsidRDefault="00CD72DB" w:rsidP="00D26EF9">
            <w:pPr>
              <w:tabs>
                <w:tab w:val="left" w:pos="7290"/>
              </w:tabs>
              <w:rPr>
                <w:sz w:val="16"/>
                <w:szCs w:val="16"/>
                <w:lang w:val="fr-CA"/>
              </w:rPr>
            </w:pPr>
            <w:r w:rsidRPr="00ED22D1">
              <w:rPr>
                <w:sz w:val="16"/>
                <w:szCs w:val="16"/>
                <w:lang w:val="fr-CA"/>
              </w:rPr>
              <w:t>ONUDI</w:t>
            </w: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du projet</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7 514 867</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8 732 614</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8 000 000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9 243 486</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9 600 000</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14 788 765</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11 400 000</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11 300 000</w:t>
            </w:r>
          </w:p>
        </w:tc>
        <w:tc>
          <w:tcPr>
            <w:tcW w:w="970" w:type="dxa"/>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9 550 000</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9 600 000</w:t>
            </w: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11 971 763</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111 701 495</w:t>
            </w:r>
          </w:p>
        </w:tc>
      </w:tr>
      <w:tr w:rsidR="00CD72DB" w:rsidRPr="00ED22D1" w:rsidTr="00CD72DB">
        <w:trPr>
          <w:trHeight w:val="373"/>
        </w:trPr>
        <w:tc>
          <w:tcPr>
            <w:tcW w:w="728" w:type="dxa"/>
            <w:vMerge/>
            <w:shd w:val="clear" w:color="auto" w:fill="auto"/>
          </w:tcPr>
          <w:p w:rsidR="00CD72DB" w:rsidRPr="00ED22D1" w:rsidRDefault="00CD72DB" w:rsidP="00D26EF9">
            <w:pPr>
              <w:tabs>
                <w:tab w:val="left" w:pos="7290"/>
              </w:tabs>
              <w:rPr>
                <w:sz w:val="16"/>
                <w:szCs w:val="16"/>
                <w:lang w:val="fr-CA"/>
              </w:rPr>
            </w:pPr>
          </w:p>
        </w:tc>
        <w:tc>
          <w:tcPr>
            <w:tcW w:w="942" w:type="dxa"/>
            <w:vMerge/>
            <w:shd w:val="clear" w:color="auto" w:fill="auto"/>
          </w:tcPr>
          <w:p w:rsidR="00CD72DB" w:rsidRPr="00ED22D1" w:rsidRDefault="00CD72DB" w:rsidP="00D26EF9">
            <w:pPr>
              <w:tabs>
                <w:tab w:val="left" w:pos="7290"/>
              </w:tabs>
              <w:rPr>
                <w:sz w:val="16"/>
                <w:szCs w:val="16"/>
                <w:lang w:val="fr-CA"/>
              </w:rPr>
            </w:pP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d’appui</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526 041</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611 283</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560 000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647 044</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672 000</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1 035 214</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798 000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791 000</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668 500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672 000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838 023</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7 819 105</w:t>
            </w:r>
          </w:p>
        </w:tc>
      </w:tr>
      <w:tr w:rsidR="00CD72DB" w:rsidRPr="00ED22D1" w:rsidTr="00CD72DB">
        <w:trPr>
          <w:trHeight w:val="373"/>
        </w:trPr>
        <w:tc>
          <w:tcPr>
            <w:tcW w:w="728" w:type="dxa"/>
            <w:vMerge w:val="restart"/>
            <w:shd w:val="clear" w:color="auto" w:fill="auto"/>
          </w:tcPr>
          <w:p w:rsidR="00CD72DB" w:rsidRPr="00ED22D1" w:rsidRDefault="00CD72DB" w:rsidP="00D26EF9">
            <w:pPr>
              <w:tabs>
                <w:tab w:val="left" w:pos="7290"/>
              </w:tabs>
              <w:rPr>
                <w:sz w:val="16"/>
                <w:szCs w:val="16"/>
                <w:lang w:val="fr-CA"/>
              </w:rPr>
            </w:pPr>
          </w:p>
        </w:tc>
        <w:tc>
          <w:tcPr>
            <w:tcW w:w="942" w:type="dxa"/>
            <w:vMerge w:val="restart"/>
            <w:shd w:val="clear" w:color="auto" w:fill="auto"/>
          </w:tcPr>
          <w:p w:rsidR="00CD72DB" w:rsidRPr="00ED22D1" w:rsidRDefault="00CD72DB" w:rsidP="00D26EF9">
            <w:pPr>
              <w:tabs>
                <w:tab w:val="left" w:pos="7290"/>
              </w:tabs>
              <w:rPr>
                <w:sz w:val="16"/>
                <w:szCs w:val="16"/>
                <w:lang w:val="fr-CA"/>
              </w:rPr>
            </w:pPr>
            <w:r w:rsidRPr="00ED22D1">
              <w:rPr>
                <w:sz w:val="16"/>
                <w:szCs w:val="16"/>
                <w:lang w:val="fr-CA"/>
              </w:rPr>
              <w:t>Allemagne</w:t>
            </w: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du projet</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267 386</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365 514</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211 235</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250 000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1 085 135</w:t>
            </w:r>
          </w:p>
        </w:tc>
      </w:tr>
      <w:tr w:rsidR="00CD72DB" w:rsidRPr="00ED22D1" w:rsidTr="00CD72DB">
        <w:trPr>
          <w:trHeight w:val="384"/>
        </w:trPr>
        <w:tc>
          <w:tcPr>
            <w:tcW w:w="728" w:type="dxa"/>
            <w:vMerge/>
            <w:shd w:val="clear" w:color="auto" w:fill="auto"/>
          </w:tcPr>
          <w:p w:rsidR="00CD72DB" w:rsidRPr="00ED22D1" w:rsidRDefault="00CD72DB" w:rsidP="00D26EF9">
            <w:pPr>
              <w:tabs>
                <w:tab w:val="left" w:pos="7290"/>
              </w:tabs>
              <w:rPr>
                <w:sz w:val="16"/>
                <w:szCs w:val="16"/>
                <w:lang w:val="fr-CA"/>
              </w:rPr>
            </w:pPr>
          </w:p>
        </w:tc>
        <w:tc>
          <w:tcPr>
            <w:tcW w:w="942" w:type="dxa"/>
            <w:vMerge/>
            <w:shd w:val="clear" w:color="auto" w:fill="auto"/>
          </w:tcPr>
          <w:p w:rsidR="00CD72DB" w:rsidRPr="00ED22D1" w:rsidRDefault="00CD72DB" w:rsidP="00D26EF9">
            <w:pPr>
              <w:tabs>
                <w:tab w:val="left" w:pos="7290"/>
              </w:tabs>
              <w:rPr>
                <w:sz w:val="16"/>
                <w:szCs w:val="16"/>
                <w:lang w:val="fr-CA"/>
              </w:rPr>
            </w:pP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d’appui</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31 877</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42 502</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25 183</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29 804</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129 365</w:t>
            </w:r>
          </w:p>
        </w:tc>
      </w:tr>
      <w:tr w:rsidR="00CD72DB" w:rsidRPr="00ED22D1" w:rsidTr="00CD72DB">
        <w:trPr>
          <w:trHeight w:val="364"/>
        </w:trPr>
        <w:tc>
          <w:tcPr>
            <w:tcW w:w="1670" w:type="dxa"/>
            <w:gridSpan w:val="2"/>
            <w:vMerge w:val="restart"/>
            <w:shd w:val="clear" w:color="auto" w:fill="auto"/>
          </w:tcPr>
          <w:p w:rsidR="00CD72DB" w:rsidRPr="00ED22D1" w:rsidRDefault="00CD72DB" w:rsidP="00CD72DB">
            <w:pPr>
              <w:tabs>
                <w:tab w:val="left" w:pos="7290"/>
              </w:tabs>
              <w:jc w:val="left"/>
              <w:rPr>
                <w:sz w:val="16"/>
                <w:szCs w:val="16"/>
                <w:lang w:val="fr-CA"/>
              </w:rPr>
            </w:pPr>
            <w:r w:rsidRPr="00ED22D1">
              <w:rPr>
                <w:sz w:val="16"/>
                <w:szCs w:val="16"/>
                <w:lang w:val="fr-CA"/>
              </w:rPr>
              <w:t xml:space="preserve">Financement approuvé par ExCom </w:t>
            </w:r>
            <w:r w:rsidR="00874624" w:rsidRPr="00ED22D1">
              <w:rPr>
                <w:sz w:val="16"/>
                <w:szCs w:val="16"/>
                <w:lang w:val="fr-CA"/>
              </w:rPr>
              <w:t>($US)</w:t>
            </w: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du projet</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7 514 867</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9 000 000</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16 514 867</w:t>
            </w:r>
          </w:p>
        </w:tc>
      </w:tr>
      <w:tr w:rsidR="00CD72DB" w:rsidRPr="00ED22D1" w:rsidTr="00CD72DB">
        <w:trPr>
          <w:trHeight w:val="384"/>
        </w:trPr>
        <w:tc>
          <w:tcPr>
            <w:tcW w:w="1670" w:type="dxa"/>
            <w:gridSpan w:val="2"/>
            <w:vMerge/>
            <w:shd w:val="clear" w:color="auto" w:fill="auto"/>
          </w:tcPr>
          <w:p w:rsidR="00CD72DB" w:rsidRPr="00ED22D1" w:rsidRDefault="00CD72DB" w:rsidP="00D26EF9">
            <w:pPr>
              <w:tabs>
                <w:tab w:val="left" w:pos="7290"/>
              </w:tabs>
              <w:jc w:val="left"/>
              <w:rPr>
                <w:sz w:val="16"/>
                <w:szCs w:val="16"/>
                <w:lang w:val="fr-CA"/>
              </w:rPr>
            </w:pP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d’appui</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526 041</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643 160</w:t>
            </w: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1 125 538</w:t>
            </w:r>
          </w:p>
        </w:tc>
      </w:tr>
      <w:tr w:rsidR="00CD72DB" w:rsidRPr="00ED22D1" w:rsidTr="00CD72DB">
        <w:trPr>
          <w:trHeight w:val="373"/>
        </w:trPr>
        <w:tc>
          <w:tcPr>
            <w:tcW w:w="1670" w:type="dxa"/>
            <w:gridSpan w:val="2"/>
            <w:vMerge w:val="restart"/>
            <w:shd w:val="clear" w:color="auto" w:fill="auto"/>
          </w:tcPr>
          <w:p w:rsidR="00CD72DB" w:rsidRPr="00ED22D1" w:rsidRDefault="00CD72DB" w:rsidP="00CD72DB">
            <w:pPr>
              <w:tabs>
                <w:tab w:val="left" w:pos="7290"/>
              </w:tabs>
              <w:jc w:val="left"/>
              <w:rPr>
                <w:sz w:val="16"/>
                <w:szCs w:val="16"/>
                <w:lang w:val="fr-CA"/>
              </w:rPr>
            </w:pPr>
            <w:r w:rsidRPr="00ED22D1">
              <w:rPr>
                <w:sz w:val="16"/>
                <w:szCs w:val="16"/>
                <w:lang w:val="fr-CA"/>
              </w:rPr>
              <w:t xml:space="preserve">Financement total présenté pour approbation à la présente réunion </w:t>
            </w:r>
            <w:r w:rsidR="00874624" w:rsidRPr="00ED22D1">
              <w:rPr>
                <w:sz w:val="16"/>
                <w:szCs w:val="16"/>
                <w:lang w:val="fr-CA"/>
              </w:rPr>
              <w:t>($US)</w:t>
            </w: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du projet</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8 000 000*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8 000 000</w:t>
            </w:r>
          </w:p>
        </w:tc>
      </w:tr>
      <w:tr w:rsidR="00CD72DB" w:rsidRPr="00ED22D1" w:rsidTr="00CD72DB">
        <w:trPr>
          <w:trHeight w:val="373"/>
        </w:trPr>
        <w:tc>
          <w:tcPr>
            <w:tcW w:w="1670" w:type="dxa"/>
            <w:gridSpan w:val="2"/>
            <w:vMerge/>
            <w:shd w:val="clear" w:color="auto" w:fill="auto"/>
          </w:tcPr>
          <w:p w:rsidR="00CD72DB" w:rsidRPr="00ED22D1" w:rsidRDefault="00CD72DB" w:rsidP="00D26EF9">
            <w:pPr>
              <w:tabs>
                <w:tab w:val="left" w:pos="7290"/>
              </w:tabs>
              <w:rPr>
                <w:sz w:val="16"/>
                <w:szCs w:val="16"/>
                <w:lang w:val="fr-CA"/>
              </w:rPr>
            </w:pPr>
          </w:p>
        </w:tc>
        <w:tc>
          <w:tcPr>
            <w:tcW w:w="709" w:type="dxa"/>
            <w:shd w:val="clear" w:color="auto" w:fill="auto"/>
          </w:tcPr>
          <w:p w:rsidR="00CD72DB" w:rsidRPr="00ED22D1" w:rsidRDefault="00CD72DB" w:rsidP="00921BDE">
            <w:pPr>
              <w:spacing w:after="60"/>
              <w:jc w:val="left"/>
              <w:rPr>
                <w:sz w:val="16"/>
                <w:szCs w:val="16"/>
                <w:lang w:val="fr-CA"/>
              </w:rPr>
            </w:pPr>
            <w:r w:rsidRPr="00ED22D1">
              <w:rPr>
                <w:sz w:val="16"/>
                <w:szCs w:val="16"/>
                <w:lang w:val="fr-CA"/>
              </w:rPr>
              <w:t>Coûts d’appui</w:t>
            </w:r>
          </w:p>
        </w:tc>
        <w:tc>
          <w:tcPr>
            <w:tcW w:w="888"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color w:val="000000"/>
                <w:sz w:val="16"/>
                <w:szCs w:val="16"/>
                <w:lang w:val="fr-CA"/>
              </w:rPr>
              <w:t>560 000*</w:t>
            </w:r>
          </w:p>
        </w:tc>
        <w:tc>
          <w:tcPr>
            <w:tcW w:w="969"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69" w:type="dxa"/>
            <w:tcMar>
              <w:left w:w="57" w:type="dxa"/>
              <w:right w:w="57" w:type="dxa"/>
            </w:tcMar>
          </w:tcPr>
          <w:p w:rsidR="00CD72DB" w:rsidRPr="00ED22D1" w:rsidRDefault="00CD72DB" w:rsidP="00D26EF9">
            <w:pPr>
              <w:tabs>
                <w:tab w:val="left" w:pos="7290"/>
              </w:tabs>
              <w:jc w:val="right"/>
              <w:rPr>
                <w:sz w:val="16"/>
                <w:szCs w:val="16"/>
                <w:lang w:val="fr-CA"/>
              </w:rPr>
            </w:pPr>
          </w:p>
        </w:tc>
        <w:tc>
          <w:tcPr>
            <w:tcW w:w="970" w:type="dxa"/>
            <w:shd w:val="clear" w:color="auto" w:fill="auto"/>
            <w:tcMar>
              <w:left w:w="57" w:type="dxa"/>
              <w:right w:w="57" w:type="dxa"/>
            </w:tcMar>
          </w:tcPr>
          <w:p w:rsidR="00CD72DB" w:rsidRPr="00ED22D1" w:rsidRDefault="00CD72DB" w:rsidP="00D26EF9">
            <w:pPr>
              <w:tabs>
                <w:tab w:val="left" w:pos="7290"/>
              </w:tabs>
              <w:jc w:val="right"/>
              <w:rPr>
                <w:sz w:val="16"/>
                <w:szCs w:val="16"/>
                <w:lang w:val="fr-CA"/>
              </w:rPr>
            </w:pPr>
            <w:r w:rsidRPr="00ED22D1">
              <w:rPr>
                <w:sz w:val="16"/>
                <w:szCs w:val="16"/>
                <w:lang w:val="fr-CA"/>
              </w:rPr>
              <w:t>560 000</w:t>
            </w:r>
          </w:p>
        </w:tc>
      </w:tr>
    </w:tbl>
    <w:p w:rsidR="00C1026B" w:rsidRPr="00ED22D1" w:rsidRDefault="00C1026B" w:rsidP="00C1026B">
      <w:pPr>
        <w:tabs>
          <w:tab w:val="left" w:pos="7290"/>
        </w:tabs>
        <w:jc w:val="left"/>
        <w:rPr>
          <w:sz w:val="16"/>
          <w:szCs w:val="16"/>
          <w:lang w:val="fr-CA"/>
        </w:rPr>
      </w:pPr>
      <w:r w:rsidRPr="00ED22D1">
        <w:rPr>
          <w:sz w:val="16"/>
          <w:szCs w:val="16"/>
          <w:lang w:val="fr-CA"/>
        </w:rPr>
        <w:t>*</w:t>
      </w:r>
      <w:r w:rsidR="00CD72DB" w:rsidRPr="00ED22D1">
        <w:rPr>
          <w:sz w:val="16"/>
          <w:szCs w:val="16"/>
          <w:lang w:val="fr-CA"/>
        </w:rPr>
        <w:t>La</w:t>
      </w:r>
      <w:r w:rsidRPr="00ED22D1">
        <w:rPr>
          <w:sz w:val="16"/>
          <w:szCs w:val="16"/>
          <w:lang w:val="fr-CA"/>
        </w:rPr>
        <w:t xml:space="preserve"> </w:t>
      </w:r>
      <w:r w:rsidR="004A6828" w:rsidRPr="00ED22D1">
        <w:rPr>
          <w:sz w:val="16"/>
          <w:szCs w:val="16"/>
          <w:lang w:val="fr-CA"/>
        </w:rPr>
        <w:t>troisième</w:t>
      </w:r>
      <w:r w:rsidRPr="00ED22D1">
        <w:rPr>
          <w:sz w:val="16"/>
          <w:szCs w:val="16"/>
          <w:lang w:val="fr-CA"/>
        </w:rPr>
        <w:t xml:space="preserve"> (2018) tranche </w:t>
      </w:r>
      <w:r w:rsidR="00CD72DB" w:rsidRPr="00ED22D1">
        <w:rPr>
          <w:sz w:val="16"/>
          <w:szCs w:val="16"/>
          <w:lang w:val="fr-CA"/>
        </w:rPr>
        <w:t xml:space="preserve">a été présentée à la </w:t>
      </w:r>
      <w:r w:rsidRPr="00ED22D1">
        <w:rPr>
          <w:sz w:val="16"/>
          <w:szCs w:val="16"/>
          <w:lang w:val="fr-CA"/>
        </w:rPr>
        <w:t>82</w:t>
      </w:r>
      <w:r w:rsidR="00CD72DB" w:rsidRPr="00ED22D1">
        <w:rPr>
          <w:sz w:val="16"/>
          <w:szCs w:val="16"/>
          <w:vertAlign w:val="superscript"/>
          <w:lang w:val="fr-CA"/>
        </w:rPr>
        <w:t>e</w:t>
      </w:r>
      <w:r w:rsidR="00CD72DB" w:rsidRPr="00ED22D1">
        <w:rPr>
          <w:sz w:val="16"/>
          <w:szCs w:val="16"/>
          <w:lang w:val="fr-CA"/>
        </w:rPr>
        <w:t xml:space="preserve"> </w:t>
      </w:r>
      <w:r w:rsidR="00DD185D" w:rsidRPr="00ED22D1">
        <w:rPr>
          <w:sz w:val="16"/>
          <w:szCs w:val="16"/>
          <w:lang w:val="fr-CA"/>
        </w:rPr>
        <w:t>réunion</w:t>
      </w:r>
      <w:r w:rsidR="004A6828" w:rsidRPr="00ED22D1">
        <w:rPr>
          <w:sz w:val="16"/>
          <w:szCs w:val="16"/>
          <w:lang w:val="fr-CA"/>
        </w:rPr>
        <w:t xml:space="preserve"> et </w:t>
      </w:r>
      <w:r w:rsidR="00CD72DB" w:rsidRPr="00ED22D1">
        <w:rPr>
          <w:sz w:val="16"/>
          <w:szCs w:val="16"/>
          <w:lang w:val="fr-CA"/>
        </w:rPr>
        <w:t>reportée pour examen à la 8</w:t>
      </w:r>
      <w:r w:rsidRPr="00ED22D1">
        <w:rPr>
          <w:sz w:val="16"/>
          <w:szCs w:val="16"/>
          <w:lang w:val="fr-CA"/>
        </w:rPr>
        <w:t>3</w:t>
      </w:r>
      <w:r w:rsidR="00CD72DB" w:rsidRPr="00ED22D1">
        <w:rPr>
          <w:sz w:val="16"/>
          <w:szCs w:val="16"/>
          <w:vertAlign w:val="superscript"/>
          <w:lang w:val="fr-CA"/>
        </w:rPr>
        <w:t>e</w:t>
      </w:r>
      <w:r w:rsidR="00CD72DB"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AA6E77" w:rsidRPr="00ED22D1">
        <w:rPr>
          <w:sz w:val="16"/>
          <w:szCs w:val="16"/>
          <w:lang w:val="fr-CA"/>
        </w:rPr>
        <w:t>décision</w:t>
      </w:r>
      <w:r w:rsidRPr="00ED22D1">
        <w:rPr>
          <w:sz w:val="16"/>
          <w:szCs w:val="16"/>
          <w:lang w:val="fr-CA"/>
        </w:rPr>
        <w:t xml:space="preserve"> 82/71</w:t>
      </w:r>
      <w:r w:rsidR="00CD72DB" w:rsidRPr="00ED22D1">
        <w:rPr>
          <w:sz w:val="16"/>
          <w:szCs w:val="16"/>
          <w:lang w:val="fr-CA"/>
        </w:rPr>
        <w:t xml:space="preserve"> </w:t>
      </w:r>
      <w:r w:rsidRPr="00ED22D1">
        <w:rPr>
          <w:sz w:val="16"/>
          <w:szCs w:val="16"/>
          <w:lang w:val="fr-CA"/>
        </w:rPr>
        <w:t>(b)</w:t>
      </w:r>
      <w:r w:rsidR="00CD72DB" w:rsidRPr="00ED22D1">
        <w:rPr>
          <w:sz w:val="16"/>
          <w:szCs w:val="16"/>
          <w:lang w:val="fr-CA"/>
        </w:rPr>
        <w:t xml:space="preserve"> </w:t>
      </w:r>
      <w:r w:rsidRPr="00ED22D1">
        <w:rPr>
          <w:sz w:val="16"/>
          <w:szCs w:val="16"/>
          <w:lang w:val="fr-CA"/>
        </w:rPr>
        <w:t>)</w:t>
      </w:r>
    </w:p>
    <w:p w:rsidR="00C1026B" w:rsidRPr="00ED22D1" w:rsidRDefault="00C1026B" w:rsidP="00C1026B">
      <w:pPr>
        <w:tabs>
          <w:tab w:val="left" w:pos="7290"/>
        </w:tabs>
        <w:rPr>
          <w:sz w:val="18"/>
          <w:szCs w:val="18"/>
          <w:lang w:val="fr-CA"/>
        </w:rPr>
      </w:pPr>
    </w:p>
    <w:tbl>
      <w:tblPr>
        <w:tblStyle w:val="TableGrid"/>
        <w:tblW w:w="13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04"/>
        <w:gridCol w:w="7111"/>
      </w:tblGrid>
      <w:tr w:rsidR="00C1026B" w:rsidRPr="00ED22D1" w:rsidTr="000A507C">
        <w:trPr>
          <w:trHeight w:val="240"/>
        </w:trPr>
        <w:tc>
          <w:tcPr>
            <w:tcW w:w="6204" w:type="dxa"/>
            <w:shd w:val="clear" w:color="auto" w:fill="auto"/>
          </w:tcPr>
          <w:p w:rsidR="00C1026B" w:rsidRPr="00ED22D1" w:rsidRDefault="000A507C" w:rsidP="000A507C">
            <w:pPr>
              <w:tabs>
                <w:tab w:val="left" w:pos="7290"/>
              </w:tabs>
              <w:rPr>
                <w:b/>
                <w:sz w:val="18"/>
                <w:szCs w:val="18"/>
                <w:lang w:val="fr-CA"/>
              </w:rPr>
            </w:pPr>
            <w:r w:rsidRPr="00ED22D1">
              <w:rPr>
                <w:b/>
                <w:sz w:val="18"/>
                <w:szCs w:val="18"/>
                <w:lang w:val="fr-CA"/>
              </w:rPr>
              <w:t xml:space="preserve">Recommandation du </w:t>
            </w:r>
            <w:r w:rsidR="00DD185D" w:rsidRPr="00ED22D1">
              <w:rPr>
                <w:b/>
                <w:sz w:val="18"/>
                <w:szCs w:val="18"/>
                <w:lang w:val="fr-CA"/>
              </w:rPr>
              <w:t>Secrétariat</w:t>
            </w:r>
            <w:r w:rsidR="00791BF7" w:rsidRPr="00ED22D1">
              <w:rPr>
                <w:b/>
                <w:sz w:val="18"/>
                <w:szCs w:val="18"/>
                <w:lang w:val="fr-CA"/>
              </w:rPr>
              <w:t> :</w:t>
            </w:r>
          </w:p>
        </w:tc>
        <w:tc>
          <w:tcPr>
            <w:tcW w:w="7111" w:type="dxa"/>
            <w:shd w:val="clear" w:color="auto" w:fill="auto"/>
          </w:tcPr>
          <w:p w:rsidR="00C1026B" w:rsidRPr="00ED22D1" w:rsidRDefault="000A507C" w:rsidP="000A507C">
            <w:pPr>
              <w:tabs>
                <w:tab w:val="left" w:pos="7290"/>
              </w:tabs>
              <w:jc w:val="center"/>
              <w:rPr>
                <w:sz w:val="18"/>
                <w:szCs w:val="18"/>
                <w:lang w:val="fr-CA"/>
              </w:rPr>
            </w:pPr>
            <w:r w:rsidRPr="00ED22D1">
              <w:rPr>
                <w:sz w:val="18"/>
                <w:szCs w:val="18"/>
                <w:lang w:val="fr-CA"/>
              </w:rPr>
              <w:t>Pour examen individuel</w:t>
            </w:r>
          </w:p>
        </w:tc>
      </w:tr>
    </w:tbl>
    <w:p w:rsidR="00C1026B" w:rsidRPr="00ED22D1" w:rsidRDefault="00C1026B" w:rsidP="00C1026B">
      <w:pPr>
        <w:tabs>
          <w:tab w:val="left" w:pos="7290"/>
        </w:tabs>
        <w:rPr>
          <w:sz w:val="18"/>
          <w:szCs w:val="18"/>
          <w:lang w:val="fr-CA"/>
        </w:rPr>
      </w:pPr>
    </w:p>
    <w:p w:rsidR="00C1026B" w:rsidRPr="00ED22D1" w:rsidRDefault="00C1026B" w:rsidP="00C1026B">
      <w:pPr>
        <w:tabs>
          <w:tab w:val="left" w:pos="7290"/>
        </w:tabs>
        <w:rPr>
          <w:sz w:val="18"/>
          <w:szCs w:val="18"/>
          <w:lang w:val="fr-CA"/>
        </w:rPr>
      </w:pPr>
    </w:p>
    <w:p w:rsidR="00C1026B" w:rsidRPr="00ED22D1" w:rsidRDefault="00C1026B" w:rsidP="00C1026B">
      <w:pPr>
        <w:tabs>
          <w:tab w:val="left" w:pos="7290"/>
        </w:tabs>
        <w:rPr>
          <w:sz w:val="18"/>
          <w:szCs w:val="18"/>
          <w:lang w:val="fr-CA"/>
        </w:rPr>
        <w:sectPr w:rsidR="00C1026B" w:rsidRPr="00ED22D1" w:rsidSect="00D26EF9">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4" w:header="720" w:footer="475" w:gutter="0"/>
          <w:cols w:space="720"/>
          <w:titlePg/>
          <w:docGrid w:linePitch="299"/>
        </w:sectPr>
      </w:pPr>
    </w:p>
    <w:p w:rsidR="00C1026B" w:rsidRPr="00ED22D1" w:rsidRDefault="00765177" w:rsidP="00C1026B">
      <w:pPr>
        <w:keepNext/>
        <w:jc w:val="center"/>
        <w:rPr>
          <w:b/>
          <w:lang w:val="fr-CA"/>
        </w:rPr>
      </w:pPr>
      <w:r w:rsidRPr="00ED22D1">
        <w:rPr>
          <w:b/>
          <w:lang w:val="fr-CA"/>
        </w:rPr>
        <w:lastRenderedPageBreak/>
        <w:t xml:space="preserve">DESCRIPTION DU </w:t>
      </w:r>
      <w:r w:rsidR="001B45EC" w:rsidRPr="00ED22D1">
        <w:rPr>
          <w:b/>
          <w:lang w:val="fr-CA"/>
        </w:rPr>
        <w:t>PROJET</w:t>
      </w:r>
      <w:r w:rsidR="00C77C84" w:rsidRPr="00ED22D1">
        <w:rPr>
          <w:b/>
          <w:lang w:val="fr-CA"/>
        </w:rPr>
        <w:t xml:space="preserve"> </w:t>
      </w:r>
    </w:p>
    <w:p w:rsidR="00C1026B" w:rsidRPr="00ED22D1" w:rsidRDefault="00C1026B" w:rsidP="00C1026B">
      <w:pPr>
        <w:keepNext/>
        <w:rPr>
          <w:lang w:val="fr-CA"/>
        </w:rPr>
      </w:pPr>
    </w:p>
    <w:p w:rsidR="00C1026B" w:rsidRPr="00ED22D1" w:rsidRDefault="003014CD" w:rsidP="003014CD">
      <w:pPr>
        <w:pStyle w:val="Heading1"/>
        <w:numPr>
          <w:ilvl w:val="0"/>
          <w:numId w:val="0"/>
        </w:numPr>
        <w:rPr>
          <w:lang w:val="fr-CA"/>
        </w:rPr>
      </w:pPr>
      <w:r w:rsidRPr="00ED22D1">
        <w:rPr>
          <w:lang w:val="fr-CA"/>
        </w:rPr>
        <w:t>57.</w:t>
      </w:r>
      <w:r w:rsidRPr="00ED22D1">
        <w:rPr>
          <w:lang w:val="fr-CA"/>
        </w:rPr>
        <w:tab/>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1F19C1" w:rsidRPr="00ED22D1">
        <w:rPr>
          <w:lang w:val="fr-CA"/>
        </w:rPr>
        <w:t>, l’ONUDI</w:t>
      </w:r>
      <w:r w:rsidR="00C77C84" w:rsidRPr="00ED22D1">
        <w:rPr>
          <w:lang w:val="fr-CA"/>
        </w:rPr>
        <w:t>,</w:t>
      </w:r>
      <w:r w:rsidR="00C1026B" w:rsidRPr="00ED22D1">
        <w:rPr>
          <w:lang w:val="fr-CA"/>
        </w:rPr>
        <w:t xml:space="preserve"> </w:t>
      </w:r>
      <w:r w:rsidR="00C77C84" w:rsidRPr="00ED22D1">
        <w:rPr>
          <w:lang w:val="fr-CA"/>
        </w:rPr>
        <w:t>à titre d’agence d’exécution principale</w:t>
      </w:r>
      <w:r w:rsidR="00C1026B" w:rsidRPr="00ED22D1">
        <w:rPr>
          <w:lang w:val="fr-CA"/>
        </w:rPr>
        <w:t xml:space="preserve">, </w:t>
      </w:r>
      <w:r w:rsidR="00C77C84" w:rsidRPr="00ED22D1">
        <w:rPr>
          <w:lang w:val="fr-CA"/>
        </w:rPr>
        <w:t>a </w:t>
      </w:r>
      <w:r w:rsidR="00FB1DC4" w:rsidRPr="00ED22D1">
        <w:rPr>
          <w:lang w:val="fr-CA"/>
        </w:rPr>
        <w:t>présenté</w:t>
      </w:r>
      <w:r w:rsidR="00C1026B" w:rsidRPr="00ED22D1">
        <w:rPr>
          <w:rStyle w:val="FootnoteReference"/>
          <w:lang w:val="fr-CA"/>
        </w:rPr>
        <w:footnoteReference w:id="7"/>
      </w:r>
      <w:r w:rsidR="00C1026B" w:rsidRPr="00ED22D1">
        <w:rPr>
          <w:lang w:val="fr-CA"/>
        </w:rPr>
        <w:t xml:space="preserve"> </w:t>
      </w:r>
      <w:r w:rsidR="00C77C84" w:rsidRPr="00ED22D1">
        <w:rPr>
          <w:lang w:val="fr-CA"/>
        </w:rPr>
        <w:t xml:space="preserve">une demande de financement pour la troisième tranche </w:t>
      </w:r>
      <w:r w:rsidR="00BB7CCB" w:rsidRPr="00ED22D1">
        <w:rPr>
          <w:lang w:val="fr-CA"/>
        </w:rPr>
        <w:t>du plan du secteur des mousses de</w:t>
      </w:r>
      <w:r w:rsidR="00765177" w:rsidRPr="00ED22D1">
        <w:rPr>
          <w:lang w:val="fr-CA"/>
        </w:rPr>
        <w:t> </w:t>
      </w:r>
      <w:r w:rsidR="00BB7CCB" w:rsidRPr="00ED22D1">
        <w:rPr>
          <w:lang w:val="fr-CA"/>
        </w:rPr>
        <w:t xml:space="preserve">polystyrène extrudées </w:t>
      </w:r>
      <w:r w:rsidR="00C1026B" w:rsidRPr="00ED22D1">
        <w:rPr>
          <w:lang w:val="fr-CA"/>
        </w:rPr>
        <w:t xml:space="preserve">(XPS) </w:t>
      </w:r>
      <w:r w:rsidR="00921BDE" w:rsidRPr="00ED22D1">
        <w:rPr>
          <w:lang w:val="fr-CA"/>
        </w:rPr>
        <w:t>de la phase</w:t>
      </w:r>
      <w:r w:rsidR="004A6828" w:rsidRPr="00ED22D1">
        <w:rPr>
          <w:lang w:val="fr-CA"/>
        </w:rPr>
        <w:t xml:space="preserve"> </w:t>
      </w:r>
      <w:r w:rsidR="00C1026B" w:rsidRPr="00ED22D1">
        <w:rPr>
          <w:lang w:val="fr-CA"/>
        </w:rPr>
        <w:t xml:space="preserve">II </w:t>
      </w:r>
      <w:r w:rsidR="00921BDE" w:rsidRPr="00ED22D1">
        <w:rPr>
          <w:lang w:val="fr-CA"/>
        </w:rPr>
        <w:t>du plan d’élimination</w:t>
      </w:r>
      <w:r w:rsidR="004A6828" w:rsidRPr="00ED22D1">
        <w:rPr>
          <w:lang w:val="fr-CA"/>
        </w:rPr>
        <w:t xml:space="preserve"> des HCFC</w:t>
      </w:r>
      <w:r w:rsidR="00C1026B" w:rsidRPr="00ED22D1">
        <w:rPr>
          <w:lang w:val="fr-CA"/>
        </w:rPr>
        <w:t xml:space="preserve"> (</w:t>
      </w:r>
      <w:r w:rsidR="00DD185D" w:rsidRPr="00ED22D1">
        <w:rPr>
          <w:lang w:val="fr-CA"/>
        </w:rPr>
        <w:t>PGEH</w:t>
      </w:r>
      <w:r w:rsidR="00C1026B" w:rsidRPr="00ED22D1">
        <w:rPr>
          <w:lang w:val="fr-CA"/>
        </w:rPr>
        <w:t xml:space="preserve">), </w:t>
      </w:r>
      <w:r w:rsidR="00AC27D1" w:rsidRPr="00ED22D1">
        <w:rPr>
          <w:lang w:val="fr-CA"/>
        </w:rPr>
        <w:t xml:space="preserve">pour un montant de </w:t>
      </w:r>
      <w:r w:rsidR="004A6828" w:rsidRPr="00ED22D1">
        <w:rPr>
          <w:lang w:val="fr-CA"/>
        </w:rPr>
        <w:t>8 </w:t>
      </w:r>
      <w:r w:rsidR="00C1026B" w:rsidRPr="00ED22D1">
        <w:rPr>
          <w:lang w:val="fr-CA"/>
        </w:rPr>
        <w:t>00</w:t>
      </w:r>
      <w:r w:rsidR="004A6828" w:rsidRPr="00ED22D1">
        <w:rPr>
          <w:lang w:val="fr-CA"/>
        </w:rPr>
        <w:t>0</w:t>
      </w:r>
      <w:r w:rsidR="00BA42C0" w:rsidRPr="00ED22D1">
        <w:rPr>
          <w:lang w:val="fr-CA"/>
        </w:rPr>
        <w:t> 000 $US</w:t>
      </w:r>
      <w:r w:rsidR="00BB7CCB" w:rsidRPr="00ED22D1">
        <w:rPr>
          <w:lang w:val="fr-CA"/>
        </w:rPr>
        <w:t>,</w:t>
      </w:r>
      <w:r w:rsidR="004A6828" w:rsidRPr="00ED22D1">
        <w:rPr>
          <w:lang w:val="fr-CA"/>
        </w:rPr>
        <w:t> </w:t>
      </w:r>
      <w:r w:rsidR="001B31BF" w:rsidRPr="00ED22D1">
        <w:rPr>
          <w:lang w:val="fr-CA"/>
        </w:rPr>
        <w:t>plus des coûts</w:t>
      </w:r>
      <w:r w:rsidR="00DD185D" w:rsidRPr="00ED22D1">
        <w:rPr>
          <w:lang w:val="fr-CA"/>
        </w:rPr>
        <w:t xml:space="preserve"> d’appui d’</w:t>
      </w:r>
      <w:r w:rsidR="001B31BF" w:rsidRPr="00ED22D1">
        <w:rPr>
          <w:lang w:val="fr-CA"/>
        </w:rPr>
        <w:t>agence de</w:t>
      </w:r>
      <w:r w:rsidR="00C1026B" w:rsidRPr="00ED22D1">
        <w:rPr>
          <w:lang w:val="fr-CA"/>
        </w:rPr>
        <w:t xml:space="preserve"> 56</w:t>
      </w:r>
      <w:r w:rsidR="004A6828" w:rsidRPr="00ED22D1">
        <w:rPr>
          <w:lang w:val="fr-CA"/>
        </w:rPr>
        <w:t>0</w:t>
      </w:r>
      <w:r w:rsidR="00BA42C0" w:rsidRPr="00ED22D1">
        <w:rPr>
          <w:lang w:val="fr-CA"/>
        </w:rPr>
        <w:t> 000 $US</w:t>
      </w:r>
      <w:r w:rsidR="00C1026B" w:rsidRPr="00ED22D1">
        <w:rPr>
          <w:lang w:val="fr-CA"/>
        </w:rPr>
        <w:t xml:space="preserve"> </w:t>
      </w:r>
      <w:r w:rsidR="00921BDE" w:rsidRPr="00ED22D1">
        <w:rPr>
          <w:lang w:val="fr-CA"/>
        </w:rPr>
        <w:t>pour l’</w:t>
      </w:r>
      <w:r w:rsidR="001F19C1" w:rsidRPr="00ED22D1">
        <w:rPr>
          <w:lang w:val="fr-CA"/>
        </w:rPr>
        <w:t>ONUDI</w:t>
      </w:r>
      <w:r w:rsidR="00A250FD" w:rsidRPr="00ED22D1">
        <w:rPr>
          <w:lang w:val="fr-CA"/>
        </w:rPr>
        <w:t xml:space="preserve"> seulement</w:t>
      </w:r>
      <w:r w:rsidR="00C1026B" w:rsidRPr="00ED22D1">
        <w:rPr>
          <w:lang w:val="fr-CA"/>
        </w:rPr>
        <w:t>.</w:t>
      </w:r>
      <w:r w:rsidR="00C1026B" w:rsidRPr="00ED22D1">
        <w:rPr>
          <w:rStyle w:val="FootnoteReference"/>
          <w:lang w:val="fr-CA"/>
        </w:rPr>
        <w:footnoteReference w:id="8"/>
      </w:r>
      <w:r w:rsidR="00C1026B" w:rsidRPr="00ED22D1">
        <w:rPr>
          <w:lang w:val="fr-CA"/>
        </w:rPr>
        <w:t xml:space="preserve"> </w:t>
      </w:r>
      <w:r w:rsidR="00BB7CCB" w:rsidRPr="00ED22D1">
        <w:rPr>
          <w:lang w:val="fr-CA"/>
        </w:rPr>
        <w:t>La</w:t>
      </w:r>
      <w:r w:rsidR="00765177" w:rsidRPr="00ED22D1">
        <w:rPr>
          <w:lang w:val="fr-CA"/>
        </w:rPr>
        <w:t> </w:t>
      </w:r>
      <w:r w:rsidR="00BB7CCB" w:rsidRPr="00ED22D1">
        <w:rPr>
          <w:lang w:val="fr-CA"/>
        </w:rPr>
        <w:t xml:space="preserve">présentation comprend un </w:t>
      </w:r>
      <w:r w:rsidR="004A6828" w:rsidRPr="00ED22D1">
        <w:rPr>
          <w:lang w:val="fr-CA"/>
        </w:rPr>
        <w:t>rapport périodique</w:t>
      </w:r>
      <w:r w:rsidR="00C1026B" w:rsidRPr="00ED22D1">
        <w:rPr>
          <w:lang w:val="fr-CA"/>
        </w:rPr>
        <w:t xml:space="preserve"> </w:t>
      </w:r>
      <w:r w:rsidR="00921BDE" w:rsidRPr="00ED22D1">
        <w:rPr>
          <w:lang w:val="fr-CA"/>
        </w:rPr>
        <w:t>sur la mise en oeuvre de la deuxième</w:t>
      </w:r>
      <w:r w:rsidR="00C1026B" w:rsidRPr="00ED22D1">
        <w:rPr>
          <w:lang w:val="fr-CA"/>
        </w:rPr>
        <w:t xml:space="preserve"> tranche </w:t>
      </w:r>
      <w:r w:rsidR="00BB7CCB" w:rsidRPr="00ED22D1">
        <w:rPr>
          <w:lang w:val="fr-CA"/>
        </w:rPr>
        <w:t>du plan du</w:t>
      </w:r>
      <w:r w:rsidR="00765177" w:rsidRPr="00ED22D1">
        <w:rPr>
          <w:lang w:val="fr-CA"/>
        </w:rPr>
        <w:t> </w:t>
      </w:r>
      <w:r w:rsidR="00BB7CCB" w:rsidRPr="00ED22D1">
        <w:rPr>
          <w:lang w:val="fr-CA"/>
        </w:rPr>
        <w:t xml:space="preserve">secteur des </w:t>
      </w:r>
      <w:r w:rsidR="00921BDE" w:rsidRPr="00ED22D1">
        <w:rPr>
          <w:lang w:val="fr-CA"/>
        </w:rPr>
        <w:t>mousse</w:t>
      </w:r>
      <w:r w:rsidR="00BB7CCB" w:rsidRPr="00ED22D1">
        <w:rPr>
          <w:lang w:val="fr-CA"/>
        </w:rPr>
        <w:t>s</w:t>
      </w:r>
      <w:r w:rsidR="00921BDE" w:rsidRPr="00ED22D1">
        <w:rPr>
          <w:lang w:val="fr-CA"/>
        </w:rPr>
        <w:t xml:space="preserve"> extrudée</w:t>
      </w:r>
      <w:r w:rsidR="00BB7CCB" w:rsidRPr="00ED22D1">
        <w:rPr>
          <w:lang w:val="fr-CA"/>
        </w:rPr>
        <w:t>s</w:t>
      </w:r>
      <w:r w:rsidR="00921BDE" w:rsidRPr="00ED22D1">
        <w:rPr>
          <w:lang w:val="fr-CA"/>
        </w:rPr>
        <w:t xml:space="preserve"> (XPS)</w:t>
      </w:r>
      <w:r w:rsidR="00C1026B" w:rsidRPr="00ED22D1">
        <w:rPr>
          <w:lang w:val="fr-CA"/>
        </w:rPr>
        <w:t xml:space="preserve">, </w:t>
      </w:r>
      <w:r w:rsidR="00BB7CCB" w:rsidRPr="00ED22D1">
        <w:rPr>
          <w:lang w:val="fr-CA"/>
        </w:rPr>
        <w:t xml:space="preserve">ainsi que </w:t>
      </w:r>
      <w:r w:rsidR="00502C24" w:rsidRPr="00ED22D1">
        <w:rPr>
          <w:lang w:val="fr-CA"/>
        </w:rPr>
        <w:t xml:space="preserve">le plan </w:t>
      </w:r>
      <w:r w:rsidR="001B31BF" w:rsidRPr="00ED22D1">
        <w:rPr>
          <w:lang w:val="fr-CA"/>
        </w:rPr>
        <w:t>de mise en oeuvre de la tranche</w:t>
      </w:r>
      <w:r w:rsidR="00C1026B" w:rsidRPr="00ED22D1">
        <w:rPr>
          <w:lang w:val="fr-CA"/>
        </w:rPr>
        <w:t xml:space="preserve"> </w:t>
      </w:r>
      <w:r w:rsidR="00BB7CCB" w:rsidRPr="00ED22D1">
        <w:rPr>
          <w:lang w:val="fr-CA"/>
        </w:rPr>
        <w:t>de</w:t>
      </w:r>
      <w:r w:rsidR="00765177" w:rsidRPr="00ED22D1">
        <w:rPr>
          <w:lang w:val="fr-CA"/>
        </w:rPr>
        <w:t> </w:t>
      </w:r>
      <w:r w:rsidR="00C1026B" w:rsidRPr="00ED22D1">
        <w:rPr>
          <w:lang w:val="fr-CA"/>
        </w:rPr>
        <w:t>2019</w:t>
      </w:r>
      <w:r w:rsidR="00765177" w:rsidRPr="00ED22D1">
        <w:rPr>
          <w:lang w:val="fr-CA"/>
        </w:rPr>
        <w:t> </w:t>
      </w:r>
      <w:r w:rsidR="00387A9A" w:rsidRPr="00ED22D1">
        <w:rPr>
          <w:lang w:val="fr-CA"/>
        </w:rPr>
        <w:t>à</w:t>
      </w:r>
      <w:r w:rsidR="00765177" w:rsidRPr="00ED22D1">
        <w:rPr>
          <w:lang w:val="fr-CA"/>
        </w:rPr>
        <w:t> </w:t>
      </w:r>
      <w:r w:rsidR="00387A9A" w:rsidRPr="00ED22D1">
        <w:rPr>
          <w:lang w:val="fr-CA"/>
        </w:rPr>
        <w:t>20</w:t>
      </w:r>
      <w:r w:rsidR="00C1026B" w:rsidRPr="00ED22D1">
        <w:rPr>
          <w:lang w:val="fr-CA"/>
        </w:rPr>
        <w:t>2</w:t>
      </w:r>
      <w:r w:rsidR="004A6828" w:rsidRPr="00ED22D1">
        <w:rPr>
          <w:lang w:val="fr-CA"/>
        </w:rPr>
        <w:t>0</w:t>
      </w:r>
      <w:r w:rsidR="00921BDE" w:rsidRPr="00ED22D1">
        <w:rPr>
          <w:lang w:val="fr-CA"/>
        </w:rPr>
        <w:t>.</w:t>
      </w:r>
    </w:p>
    <w:p w:rsidR="00C1026B" w:rsidRPr="00ED22D1" w:rsidRDefault="004A6828" w:rsidP="00C1026B">
      <w:pPr>
        <w:rPr>
          <w:u w:val="single"/>
          <w:lang w:val="fr-CA"/>
        </w:rPr>
      </w:pPr>
      <w:r w:rsidRPr="00ED22D1">
        <w:rPr>
          <w:u w:val="single"/>
          <w:lang w:val="fr-CA"/>
        </w:rPr>
        <w:t>Rapport périodique</w:t>
      </w:r>
      <w:r w:rsidR="00C1026B" w:rsidRPr="00ED22D1">
        <w:rPr>
          <w:u w:val="single"/>
          <w:lang w:val="fr-CA"/>
        </w:rPr>
        <w:t xml:space="preserve"> </w:t>
      </w:r>
      <w:r w:rsidR="00921BDE" w:rsidRPr="00ED22D1">
        <w:rPr>
          <w:u w:val="single"/>
          <w:lang w:val="fr-CA"/>
        </w:rPr>
        <w:t>sur la mise en oeuvre de la deuxième</w:t>
      </w:r>
      <w:r w:rsidR="00C1026B" w:rsidRPr="00ED22D1">
        <w:rPr>
          <w:u w:val="single"/>
          <w:lang w:val="fr-CA"/>
        </w:rPr>
        <w:t xml:space="preserve"> tranche </w:t>
      </w:r>
      <w:r w:rsidR="00921BDE" w:rsidRPr="00ED22D1">
        <w:rPr>
          <w:u w:val="single"/>
          <w:lang w:val="fr-CA"/>
        </w:rPr>
        <w:t>de la phase</w:t>
      </w:r>
      <w:r w:rsidRPr="00ED22D1">
        <w:rPr>
          <w:u w:val="single"/>
          <w:lang w:val="fr-CA"/>
        </w:rPr>
        <w:t xml:space="preserve"> </w:t>
      </w:r>
      <w:r w:rsidR="00C1026B" w:rsidRPr="00ED22D1">
        <w:rPr>
          <w:u w:val="single"/>
          <w:lang w:val="fr-CA"/>
        </w:rPr>
        <w:t>II</w:t>
      </w:r>
    </w:p>
    <w:p w:rsidR="00C1026B" w:rsidRPr="00ED22D1" w:rsidRDefault="00C1026B" w:rsidP="00C1026B">
      <w:pPr>
        <w:rPr>
          <w:u w:val="single"/>
          <w:lang w:val="fr-CA"/>
        </w:rPr>
      </w:pPr>
    </w:p>
    <w:p w:rsidR="00C1026B" w:rsidRPr="00ED22D1" w:rsidRDefault="002D2C0B" w:rsidP="002D2C0B">
      <w:pPr>
        <w:pStyle w:val="Heading1"/>
        <w:numPr>
          <w:ilvl w:val="0"/>
          <w:numId w:val="0"/>
        </w:numPr>
        <w:rPr>
          <w:lang w:val="fr-CA"/>
        </w:rPr>
      </w:pPr>
      <w:r w:rsidRPr="00ED22D1">
        <w:rPr>
          <w:lang w:val="fr-CA"/>
        </w:rPr>
        <w:t>58.</w:t>
      </w:r>
      <w:r w:rsidRPr="00ED22D1">
        <w:rPr>
          <w:lang w:val="fr-CA"/>
        </w:rPr>
        <w:tab/>
      </w:r>
      <w:r w:rsidR="00921BDE" w:rsidRPr="00ED22D1">
        <w:rPr>
          <w:lang w:val="fr-CA"/>
        </w:rPr>
        <w:t xml:space="preserve">Le contrat </w:t>
      </w:r>
      <w:r w:rsidR="004A6828" w:rsidRPr="00ED22D1">
        <w:rPr>
          <w:lang w:val="fr-CA"/>
        </w:rPr>
        <w:t>entre</w:t>
      </w:r>
      <w:r w:rsidR="00C1026B" w:rsidRPr="00ED22D1">
        <w:rPr>
          <w:lang w:val="fr-CA"/>
        </w:rPr>
        <w:t xml:space="preserve"> </w:t>
      </w:r>
      <w:r w:rsidR="00921BDE" w:rsidRPr="00ED22D1">
        <w:rPr>
          <w:lang w:val="fr-CA"/>
        </w:rPr>
        <w:t>l’</w:t>
      </w:r>
      <w:r w:rsidR="00C1026B" w:rsidRPr="00ED22D1">
        <w:rPr>
          <w:lang w:val="fr-CA"/>
        </w:rPr>
        <w:t>IECO</w:t>
      </w:r>
      <w:r w:rsidR="004A6828" w:rsidRPr="00ED22D1">
        <w:rPr>
          <w:lang w:val="fr-CA"/>
        </w:rPr>
        <w:t xml:space="preserve"> et</w:t>
      </w:r>
      <w:r w:rsidR="001F19C1" w:rsidRPr="00ED22D1">
        <w:rPr>
          <w:lang w:val="fr-CA"/>
        </w:rPr>
        <w:t xml:space="preserve"> l’ONUDI</w:t>
      </w:r>
      <w:r w:rsidR="00C1026B" w:rsidRPr="00ED22D1">
        <w:rPr>
          <w:lang w:val="fr-CA"/>
        </w:rPr>
        <w:t xml:space="preserve"> </w:t>
      </w:r>
      <w:r w:rsidR="00921BDE" w:rsidRPr="00ED22D1">
        <w:rPr>
          <w:lang w:val="fr-CA"/>
        </w:rPr>
        <w:t>pour la mise en oeuvre du plan du secteur des mousses de</w:t>
      </w:r>
      <w:r w:rsidR="00765177" w:rsidRPr="00ED22D1">
        <w:rPr>
          <w:lang w:val="fr-CA"/>
        </w:rPr>
        <w:t> </w:t>
      </w:r>
      <w:r w:rsidR="00921BDE" w:rsidRPr="00ED22D1">
        <w:rPr>
          <w:lang w:val="fr-CA"/>
        </w:rPr>
        <w:t>polystyrène extrudées (XPS)</w:t>
      </w:r>
      <w:r w:rsidR="00C1026B" w:rsidRPr="00ED22D1">
        <w:rPr>
          <w:lang w:val="fr-CA"/>
        </w:rPr>
        <w:t xml:space="preserve"> </w:t>
      </w:r>
      <w:r w:rsidR="004A6828" w:rsidRPr="00ED22D1">
        <w:rPr>
          <w:lang w:val="fr-CA"/>
        </w:rPr>
        <w:t>(phase</w:t>
      </w:r>
      <w:r w:rsidR="00C1026B" w:rsidRPr="00ED22D1">
        <w:rPr>
          <w:lang w:val="fr-CA"/>
        </w:rPr>
        <w:t xml:space="preserve"> II) </w:t>
      </w:r>
      <w:r w:rsidR="00BB7CCB" w:rsidRPr="00ED22D1">
        <w:rPr>
          <w:lang w:val="fr-CA"/>
        </w:rPr>
        <w:t xml:space="preserve">a été </w:t>
      </w:r>
      <w:r w:rsidR="00F320D6" w:rsidRPr="00ED22D1">
        <w:rPr>
          <w:lang w:val="fr-CA"/>
        </w:rPr>
        <w:t>signé</w:t>
      </w:r>
      <w:r w:rsidR="00C1026B" w:rsidRPr="00ED22D1">
        <w:rPr>
          <w:lang w:val="fr-CA"/>
        </w:rPr>
        <w:t xml:space="preserve"> </w:t>
      </w:r>
      <w:r w:rsidR="00BB7CCB" w:rsidRPr="00ED22D1">
        <w:rPr>
          <w:lang w:val="fr-CA"/>
        </w:rPr>
        <w:t>en</w:t>
      </w:r>
      <w:r w:rsidR="00921BDE" w:rsidRPr="00ED22D1">
        <w:rPr>
          <w:lang w:val="fr-CA"/>
        </w:rPr>
        <w:t xml:space="preserve"> septembre</w:t>
      </w:r>
      <w:r w:rsidR="00C1026B" w:rsidRPr="00ED22D1">
        <w:rPr>
          <w:lang w:val="fr-CA"/>
        </w:rPr>
        <w:t xml:space="preserve"> 201</w:t>
      </w:r>
      <w:r w:rsidR="004A6828" w:rsidRPr="00ED22D1">
        <w:rPr>
          <w:lang w:val="fr-CA"/>
        </w:rPr>
        <w:t>7</w:t>
      </w:r>
      <w:r w:rsidR="00921BDE" w:rsidRPr="00ED22D1">
        <w:rPr>
          <w:lang w:val="fr-CA"/>
        </w:rPr>
        <w:t>.</w:t>
      </w:r>
      <w:r w:rsidR="00C1026B" w:rsidRPr="00ED22D1">
        <w:rPr>
          <w:lang w:val="fr-CA"/>
        </w:rPr>
        <w:t xml:space="preserve"> </w:t>
      </w:r>
      <w:r w:rsidR="00BB7CCB" w:rsidRPr="00ED22D1">
        <w:rPr>
          <w:lang w:val="fr-CA"/>
        </w:rPr>
        <w:t>Un premier groupe de</w:t>
      </w:r>
      <w:r w:rsidR="00765177" w:rsidRPr="00ED22D1">
        <w:rPr>
          <w:lang w:val="fr-CA"/>
        </w:rPr>
        <w:t> </w:t>
      </w:r>
      <w:r w:rsidR="00C1026B" w:rsidRPr="00ED22D1">
        <w:rPr>
          <w:lang w:val="fr-CA"/>
        </w:rPr>
        <w:t>11</w:t>
      </w:r>
      <w:r w:rsidR="00BB7CCB" w:rsidRPr="00ED22D1">
        <w:rPr>
          <w:lang w:val="fr-CA"/>
        </w:rPr>
        <w:t> </w:t>
      </w:r>
      <w:r w:rsidR="00921BDE" w:rsidRPr="00ED22D1">
        <w:rPr>
          <w:lang w:val="fr-CA"/>
        </w:rPr>
        <w:t>entreprises de mousse</w:t>
      </w:r>
      <w:r w:rsidR="00BB7CCB" w:rsidRPr="00ED22D1">
        <w:rPr>
          <w:lang w:val="fr-CA"/>
        </w:rPr>
        <w:t>s</w:t>
      </w:r>
      <w:r w:rsidR="00921BDE" w:rsidRPr="00ED22D1">
        <w:rPr>
          <w:lang w:val="fr-CA"/>
        </w:rPr>
        <w:t xml:space="preserve"> extrudée</w:t>
      </w:r>
      <w:r w:rsidR="00BB7CCB" w:rsidRPr="00ED22D1">
        <w:rPr>
          <w:lang w:val="fr-CA"/>
        </w:rPr>
        <w:t>s</w:t>
      </w:r>
      <w:r w:rsidR="00921BDE" w:rsidRPr="00ED22D1">
        <w:rPr>
          <w:lang w:val="fr-CA"/>
        </w:rPr>
        <w:t xml:space="preserve"> (XPS)</w:t>
      </w:r>
      <w:r w:rsidR="00C1026B" w:rsidRPr="00ED22D1">
        <w:rPr>
          <w:lang w:val="fr-CA"/>
        </w:rPr>
        <w:t xml:space="preserve"> </w:t>
      </w:r>
      <w:r w:rsidR="00BB7CCB" w:rsidRPr="00ED22D1">
        <w:rPr>
          <w:lang w:val="fr-CA"/>
        </w:rPr>
        <w:t xml:space="preserve">a fait l’objet d’une </w:t>
      </w:r>
      <w:r w:rsidR="00921BDE" w:rsidRPr="00ED22D1">
        <w:rPr>
          <w:lang w:val="fr-CA"/>
        </w:rPr>
        <w:t>vérification</w:t>
      </w:r>
      <w:r w:rsidR="00C1026B" w:rsidRPr="00ED22D1">
        <w:rPr>
          <w:lang w:val="fr-CA"/>
        </w:rPr>
        <w:t xml:space="preserve"> </w:t>
      </w:r>
      <w:r w:rsidR="00BB7CCB" w:rsidRPr="00ED22D1">
        <w:rPr>
          <w:lang w:val="fr-CA"/>
        </w:rPr>
        <w:t xml:space="preserve">de </w:t>
      </w:r>
      <w:r w:rsidR="00765177" w:rsidRPr="00ED22D1">
        <w:rPr>
          <w:lang w:val="fr-CA"/>
        </w:rPr>
        <w:t>ses</w:t>
      </w:r>
      <w:r w:rsidR="00C1026B" w:rsidRPr="00ED22D1">
        <w:rPr>
          <w:lang w:val="fr-CA"/>
        </w:rPr>
        <w:t xml:space="preserve"> </w:t>
      </w:r>
      <w:r w:rsidR="00921BDE" w:rsidRPr="00ED22D1">
        <w:rPr>
          <w:lang w:val="fr-CA"/>
        </w:rPr>
        <w:t>données de référence</w:t>
      </w:r>
      <w:r w:rsidR="00C1026B" w:rsidRPr="00ED22D1">
        <w:rPr>
          <w:lang w:val="fr-CA"/>
        </w:rPr>
        <w:t xml:space="preserve"> (</w:t>
      </w:r>
      <w:r w:rsidR="00BB7CCB" w:rsidRPr="00ED22D1">
        <w:rPr>
          <w:lang w:val="fr-CA"/>
        </w:rPr>
        <w:t>soit, propriété non liée à l’</w:t>
      </w:r>
      <w:r w:rsidR="00C1026B" w:rsidRPr="00ED22D1">
        <w:rPr>
          <w:lang w:val="fr-CA"/>
        </w:rPr>
        <w:t xml:space="preserve">Article-5, </w:t>
      </w:r>
      <w:r w:rsidR="00BB7CCB" w:rsidRPr="00ED22D1">
        <w:rPr>
          <w:lang w:val="fr-CA"/>
        </w:rPr>
        <w:t xml:space="preserve">équipements de </w:t>
      </w:r>
      <w:r w:rsidR="00CD72DB" w:rsidRPr="00ED22D1">
        <w:rPr>
          <w:lang w:val="fr-CA"/>
        </w:rPr>
        <w:t>référence</w:t>
      </w:r>
      <w:r w:rsidR="00C1026B" w:rsidRPr="00ED22D1">
        <w:rPr>
          <w:lang w:val="fr-CA"/>
        </w:rPr>
        <w:t>,</w:t>
      </w:r>
      <w:r w:rsidR="00921BDE" w:rsidRPr="00ED22D1">
        <w:rPr>
          <w:lang w:val="fr-CA"/>
        </w:rPr>
        <w:t xml:space="preserve"> consommation de HCFC</w:t>
      </w:r>
      <w:r w:rsidR="004A6828" w:rsidRPr="00ED22D1">
        <w:rPr>
          <w:lang w:val="fr-CA"/>
        </w:rPr>
        <w:t xml:space="preserve"> et </w:t>
      </w:r>
      <w:r w:rsidR="00921BDE" w:rsidRPr="00ED22D1">
        <w:rPr>
          <w:lang w:val="fr-CA"/>
        </w:rPr>
        <w:t>données financières</w:t>
      </w:r>
      <w:r w:rsidR="00C1026B" w:rsidRPr="00ED22D1">
        <w:rPr>
          <w:lang w:val="fr-CA"/>
        </w:rPr>
        <w:t>)</w:t>
      </w:r>
      <w:r w:rsidR="00921BDE" w:rsidRPr="00ED22D1">
        <w:rPr>
          <w:lang w:val="fr-CA"/>
        </w:rPr>
        <w:t xml:space="preserve">. Dix </w:t>
      </w:r>
      <w:r w:rsidR="00BB7CCB" w:rsidRPr="00ED22D1">
        <w:rPr>
          <w:lang w:val="fr-CA"/>
        </w:rPr>
        <w:t>de ces</w:t>
      </w:r>
      <w:r w:rsidR="00C1026B" w:rsidRPr="00ED22D1">
        <w:rPr>
          <w:lang w:val="fr-CA"/>
        </w:rPr>
        <w:t xml:space="preserve"> </w:t>
      </w:r>
      <w:r w:rsidR="00921BDE" w:rsidRPr="00ED22D1">
        <w:rPr>
          <w:lang w:val="fr-CA"/>
        </w:rPr>
        <w:t>entreprise</w:t>
      </w:r>
      <w:r w:rsidR="00C1026B" w:rsidRPr="00ED22D1">
        <w:rPr>
          <w:lang w:val="fr-CA"/>
        </w:rPr>
        <w:t xml:space="preserve">s </w:t>
      </w:r>
      <w:r w:rsidR="00BB7CCB" w:rsidRPr="00ED22D1">
        <w:rPr>
          <w:lang w:val="fr-CA"/>
        </w:rPr>
        <w:t xml:space="preserve">ont été sélectionnées comme </w:t>
      </w:r>
      <w:r w:rsidR="00921BDE" w:rsidRPr="00ED22D1">
        <w:rPr>
          <w:lang w:val="fr-CA"/>
        </w:rPr>
        <w:t>bénéficiaires</w:t>
      </w:r>
      <w:r w:rsidR="004A6828" w:rsidRPr="00ED22D1">
        <w:rPr>
          <w:lang w:val="fr-CA"/>
        </w:rPr>
        <w:t xml:space="preserve"> et</w:t>
      </w:r>
      <w:r w:rsidR="00903152" w:rsidRPr="00ED22D1">
        <w:rPr>
          <w:lang w:val="fr-CA"/>
        </w:rPr>
        <w:t xml:space="preserve"> ont </w:t>
      </w:r>
      <w:r w:rsidR="00921BDE" w:rsidRPr="00ED22D1">
        <w:rPr>
          <w:lang w:val="fr-CA"/>
        </w:rPr>
        <w:t>déjà</w:t>
      </w:r>
      <w:r w:rsidR="00F320D6" w:rsidRPr="00ED22D1">
        <w:rPr>
          <w:lang w:val="fr-CA"/>
        </w:rPr>
        <w:t xml:space="preserve"> signé</w:t>
      </w:r>
      <w:r w:rsidR="00C1026B" w:rsidRPr="00ED22D1">
        <w:rPr>
          <w:lang w:val="fr-CA"/>
        </w:rPr>
        <w:t xml:space="preserve"> </w:t>
      </w:r>
      <w:r w:rsidR="00BB7CCB" w:rsidRPr="00ED22D1">
        <w:rPr>
          <w:lang w:val="fr-CA"/>
        </w:rPr>
        <w:t>des</w:t>
      </w:r>
      <w:r w:rsidR="00765177" w:rsidRPr="00ED22D1">
        <w:rPr>
          <w:lang w:val="fr-CA"/>
        </w:rPr>
        <w:t> </w:t>
      </w:r>
      <w:r w:rsidR="00921BDE" w:rsidRPr="00ED22D1">
        <w:rPr>
          <w:lang w:val="fr-CA"/>
        </w:rPr>
        <w:t>contrats</w:t>
      </w:r>
      <w:r w:rsidR="00C1026B" w:rsidRPr="00ED22D1">
        <w:rPr>
          <w:lang w:val="fr-CA"/>
        </w:rPr>
        <w:t xml:space="preserve"> </w:t>
      </w:r>
      <w:r w:rsidR="00B84F94" w:rsidRPr="00ED22D1">
        <w:rPr>
          <w:lang w:val="fr-CA"/>
        </w:rPr>
        <w:t>avec</w:t>
      </w:r>
      <w:r w:rsidR="00F320D6" w:rsidRPr="00ED22D1">
        <w:rPr>
          <w:lang w:val="fr-CA"/>
        </w:rPr>
        <w:t xml:space="preserve"> l’IECO</w:t>
      </w:r>
      <w:r w:rsidR="00C1026B" w:rsidRPr="00ED22D1">
        <w:rPr>
          <w:lang w:val="fr-CA"/>
        </w:rPr>
        <w:t xml:space="preserve"> </w:t>
      </w:r>
      <w:r w:rsidR="00BB7CCB" w:rsidRPr="00ED22D1">
        <w:rPr>
          <w:lang w:val="fr-CA"/>
        </w:rPr>
        <w:t xml:space="preserve">pour la </w:t>
      </w:r>
      <w:r w:rsidR="00FB1DC4" w:rsidRPr="00ED22D1">
        <w:rPr>
          <w:lang w:val="fr-CA"/>
        </w:rPr>
        <w:t>reconversion</w:t>
      </w:r>
      <w:r w:rsidR="00C1026B" w:rsidRPr="00ED22D1">
        <w:rPr>
          <w:lang w:val="fr-CA"/>
        </w:rPr>
        <w:t xml:space="preserve"> </w:t>
      </w:r>
      <w:r w:rsidR="00BB7CCB" w:rsidRPr="00ED22D1">
        <w:rPr>
          <w:lang w:val="fr-CA"/>
        </w:rPr>
        <w:t>au</w:t>
      </w:r>
      <w:r w:rsidR="00C1026B" w:rsidRPr="00ED22D1">
        <w:rPr>
          <w:lang w:val="fr-CA"/>
        </w:rPr>
        <w:t xml:space="preserve"> CO</w:t>
      </w:r>
      <w:r w:rsidR="00C1026B" w:rsidRPr="00ED22D1">
        <w:rPr>
          <w:vertAlign w:val="subscript"/>
          <w:lang w:val="fr-CA"/>
        </w:rPr>
        <w:t>2</w:t>
      </w:r>
      <w:r w:rsidR="00C1026B" w:rsidRPr="00ED22D1">
        <w:rPr>
          <w:lang w:val="fr-CA"/>
        </w:rPr>
        <w:t xml:space="preserve"> </w:t>
      </w:r>
      <w:r w:rsidR="00B84F94" w:rsidRPr="00ED22D1">
        <w:rPr>
          <w:lang w:val="fr-CA"/>
        </w:rPr>
        <w:t xml:space="preserve">avec </w:t>
      </w:r>
      <w:r w:rsidR="00BB7CCB" w:rsidRPr="00ED22D1">
        <w:rPr>
          <w:lang w:val="fr-CA"/>
        </w:rPr>
        <w:t>d’autres agents de gonflage à faible potentiel de réchauffement de la planète</w:t>
      </w:r>
      <w:r w:rsidR="00C1026B" w:rsidRPr="00ED22D1">
        <w:rPr>
          <w:rStyle w:val="FootnoteReference"/>
          <w:lang w:val="fr-CA"/>
        </w:rPr>
        <w:footnoteReference w:id="9"/>
      </w:r>
      <w:r w:rsidR="00C1026B" w:rsidRPr="00ED22D1">
        <w:rPr>
          <w:lang w:val="fr-CA"/>
        </w:rPr>
        <w:t xml:space="preserve"> </w:t>
      </w:r>
      <w:r w:rsidR="00BB7CCB" w:rsidRPr="00ED22D1">
        <w:rPr>
          <w:lang w:val="fr-CA"/>
        </w:rPr>
        <w:t>comme technologie de remplacement</w:t>
      </w:r>
      <w:r w:rsidR="00C420BC" w:rsidRPr="00ED22D1">
        <w:rPr>
          <w:lang w:val="fr-CA"/>
        </w:rPr>
        <w:t>. L’</w:t>
      </w:r>
      <w:r w:rsidR="00BB7CCB" w:rsidRPr="00ED22D1">
        <w:rPr>
          <w:lang w:val="fr-CA"/>
        </w:rPr>
        <w:t>état d’avancement des dix</w:t>
      </w:r>
      <w:r w:rsidR="00765177" w:rsidRPr="00ED22D1">
        <w:rPr>
          <w:lang w:val="fr-CA"/>
        </w:rPr>
        <w:t> </w:t>
      </w:r>
      <w:r w:rsidR="00BB7CCB" w:rsidRPr="00ED22D1">
        <w:rPr>
          <w:lang w:val="fr-CA"/>
        </w:rPr>
        <w:t xml:space="preserve">projets en cours </w:t>
      </w:r>
      <w:r w:rsidR="00903152" w:rsidRPr="00ED22D1">
        <w:rPr>
          <w:lang w:val="fr-CA"/>
        </w:rPr>
        <w:t>est présenté</w:t>
      </w:r>
      <w:r w:rsidR="00C1026B" w:rsidRPr="00ED22D1">
        <w:rPr>
          <w:lang w:val="fr-CA"/>
        </w:rPr>
        <w:t xml:space="preserve"> in</w:t>
      </w:r>
      <w:r w:rsidR="00CE7FEC" w:rsidRPr="00ED22D1">
        <w:rPr>
          <w:lang w:val="fr-CA"/>
        </w:rPr>
        <w:t xml:space="preserve"> tableau </w:t>
      </w:r>
      <w:r w:rsidR="004A6828" w:rsidRPr="00ED22D1">
        <w:rPr>
          <w:lang w:val="fr-CA"/>
        </w:rPr>
        <w:t>1</w:t>
      </w:r>
      <w:r w:rsidR="00D05BD1" w:rsidRPr="00ED22D1">
        <w:rPr>
          <w:lang w:val="fr-CA"/>
        </w:rPr>
        <w:t>.</w:t>
      </w:r>
    </w:p>
    <w:p w:rsidR="00C1026B" w:rsidRPr="00ED22D1" w:rsidRDefault="00CE7FEC" w:rsidP="00C1026B">
      <w:pPr>
        <w:rPr>
          <w:b/>
          <w:lang w:val="fr-CA"/>
        </w:rPr>
      </w:pPr>
      <w:r w:rsidRPr="00ED22D1">
        <w:rPr>
          <w:b/>
          <w:lang w:val="fr-CA"/>
        </w:rPr>
        <w:t xml:space="preserve">Tableau </w:t>
      </w:r>
      <w:r w:rsidR="004A6828" w:rsidRPr="00ED22D1">
        <w:rPr>
          <w:b/>
          <w:lang w:val="fr-CA"/>
        </w:rPr>
        <w:t>1</w:t>
      </w:r>
      <w:r w:rsidR="00921BDE" w:rsidRPr="00ED22D1">
        <w:rPr>
          <w:b/>
          <w:lang w:val="fr-CA"/>
        </w:rPr>
        <w:t>.</w:t>
      </w:r>
      <w:r w:rsidR="00C1026B" w:rsidRPr="00ED22D1">
        <w:rPr>
          <w:b/>
          <w:lang w:val="fr-CA"/>
        </w:rPr>
        <w:t xml:space="preserve"> </w:t>
      </w:r>
      <w:r w:rsidR="00BB7CCB" w:rsidRPr="00ED22D1">
        <w:rPr>
          <w:b/>
          <w:lang w:val="fr-CA"/>
        </w:rPr>
        <w:t xml:space="preserve">État d’avancement des </w:t>
      </w:r>
      <w:r w:rsidR="00921BDE" w:rsidRPr="00ED22D1">
        <w:rPr>
          <w:b/>
          <w:lang w:val="fr-CA"/>
        </w:rPr>
        <w:t>entreprises de mousse</w:t>
      </w:r>
      <w:r w:rsidR="00BB7CCB" w:rsidRPr="00ED22D1">
        <w:rPr>
          <w:b/>
          <w:lang w:val="fr-CA"/>
        </w:rPr>
        <w:t>s</w:t>
      </w:r>
      <w:r w:rsidR="00921BDE" w:rsidRPr="00ED22D1">
        <w:rPr>
          <w:b/>
          <w:lang w:val="fr-CA"/>
        </w:rPr>
        <w:t xml:space="preserve"> extrudée</w:t>
      </w:r>
      <w:r w:rsidR="00BB7CCB" w:rsidRPr="00ED22D1">
        <w:rPr>
          <w:b/>
          <w:lang w:val="fr-CA"/>
        </w:rPr>
        <w:t>s</w:t>
      </w:r>
      <w:r w:rsidR="00921BDE" w:rsidRPr="00ED22D1">
        <w:rPr>
          <w:b/>
          <w:lang w:val="fr-CA"/>
        </w:rPr>
        <w:t xml:space="preserve"> (XPS)</w:t>
      </w:r>
      <w:r w:rsidR="00C1026B" w:rsidRPr="00ED22D1">
        <w:rPr>
          <w:b/>
          <w:lang w:val="fr-CA"/>
        </w:rPr>
        <w:t xml:space="preserve"> </w:t>
      </w:r>
      <w:r w:rsidR="00BB7CCB" w:rsidRPr="00ED22D1">
        <w:rPr>
          <w:b/>
          <w:lang w:val="fr-CA"/>
        </w:rPr>
        <w:t>sélectionnées lors des</w:t>
      </w:r>
      <w:r w:rsidR="00765177" w:rsidRPr="00ED22D1">
        <w:rPr>
          <w:b/>
          <w:lang w:val="fr-CA"/>
        </w:rPr>
        <w:t> </w:t>
      </w:r>
      <w:r w:rsidR="00181884" w:rsidRPr="00ED22D1">
        <w:rPr>
          <w:b/>
          <w:lang w:val="fr-CA"/>
        </w:rPr>
        <w:t>première</w:t>
      </w:r>
      <w:r w:rsidR="004A6828" w:rsidRPr="00ED22D1">
        <w:rPr>
          <w:b/>
          <w:lang w:val="fr-CA"/>
        </w:rPr>
        <w:t xml:space="preserve"> et </w:t>
      </w:r>
      <w:r w:rsidR="00921BDE" w:rsidRPr="00ED22D1">
        <w:rPr>
          <w:b/>
          <w:lang w:val="fr-CA"/>
        </w:rPr>
        <w:t>deuxième</w:t>
      </w:r>
      <w:r w:rsidR="00C1026B" w:rsidRPr="00ED22D1">
        <w:rPr>
          <w:b/>
          <w:lang w:val="fr-CA"/>
        </w:rPr>
        <w:t xml:space="preserve"> tranches</w:t>
      </w:r>
    </w:p>
    <w:tbl>
      <w:tblPr>
        <w:tblStyle w:val="TableGrid"/>
        <w:tblW w:w="4945" w:type="pct"/>
        <w:tblInd w:w="108" w:type="dxa"/>
        <w:tblLook w:val="04A0" w:firstRow="1" w:lastRow="0" w:firstColumn="1" w:lastColumn="0" w:noHBand="0" w:noVBand="1"/>
      </w:tblPr>
      <w:tblGrid>
        <w:gridCol w:w="3809"/>
        <w:gridCol w:w="2324"/>
        <w:gridCol w:w="1669"/>
        <w:gridCol w:w="1669"/>
      </w:tblGrid>
      <w:tr w:rsidR="00C1026B" w:rsidRPr="00ED22D1" w:rsidTr="002950F0">
        <w:trPr>
          <w:cantSplit/>
          <w:trHeight w:val="150"/>
        </w:trPr>
        <w:tc>
          <w:tcPr>
            <w:tcW w:w="2011" w:type="pct"/>
            <w:vMerge w:val="restart"/>
            <w:vAlign w:val="center"/>
          </w:tcPr>
          <w:p w:rsidR="00C1026B" w:rsidRPr="00ED22D1" w:rsidRDefault="00BB7CCB" w:rsidP="00BB7CCB">
            <w:pPr>
              <w:jc w:val="center"/>
              <w:rPr>
                <w:b/>
                <w:sz w:val="20"/>
                <w:szCs w:val="20"/>
                <w:lang w:val="fr-CA"/>
              </w:rPr>
            </w:pPr>
            <w:r w:rsidRPr="00ED22D1">
              <w:rPr>
                <w:b/>
                <w:sz w:val="20"/>
                <w:szCs w:val="20"/>
                <w:lang w:val="fr-CA"/>
              </w:rPr>
              <w:t>État de la mise en oeuvre</w:t>
            </w:r>
          </w:p>
        </w:tc>
        <w:tc>
          <w:tcPr>
            <w:tcW w:w="1227" w:type="pct"/>
            <w:vMerge w:val="restart"/>
            <w:vAlign w:val="center"/>
          </w:tcPr>
          <w:p w:rsidR="00C1026B" w:rsidRPr="00ED22D1" w:rsidRDefault="00C1026B" w:rsidP="00BB7CCB">
            <w:pPr>
              <w:jc w:val="center"/>
              <w:rPr>
                <w:b/>
                <w:sz w:val="20"/>
                <w:szCs w:val="20"/>
                <w:lang w:val="fr-CA"/>
              </w:rPr>
            </w:pPr>
            <w:r w:rsidRPr="00ED22D1">
              <w:rPr>
                <w:b/>
                <w:sz w:val="20"/>
                <w:szCs w:val="20"/>
                <w:lang w:val="fr-CA"/>
              </w:rPr>
              <w:t>N</w:t>
            </w:r>
            <w:r w:rsidR="00BB7CCB" w:rsidRPr="00ED22D1">
              <w:rPr>
                <w:b/>
                <w:sz w:val="20"/>
                <w:szCs w:val="20"/>
                <w:lang w:val="fr-CA"/>
              </w:rPr>
              <w:t>ombre d’</w:t>
            </w:r>
            <w:r w:rsidR="00921BDE" w:rsidRPr="00ED22D1">
              <w:rPr>
                <w:b/>
                <w:sz w:val="20"/>
                <w:szCs w:val="20"/>
                <w:lang w:val="fr-CA"/>
              </w:rPr>
              <w:t>entreprise</w:t>
            </w:r>
            <w:r w:rsidRPr="00ED22D1">
              <w:rPr>
                <w:b/>
                <w:sz w:val="20"/>
                <w:szCs w:val="20"/>
                <w:lang w:val="fr-CA"/>
              </w:rPr>
              <w:t>s</w:t>
            </w:r>
          </w:p>
        </w:tc>
        <w:tc>
          <w:tcPr>
            <w:tcW w:w="1762" w:type="pct"/>
            <w:gridSpan w:val="2"/>
            <w:vAlign w:val="center"/>
          </w:tcPr>
          <w:p w:rsidR="00C1026B" w:rsidRPr="00ED22D1" w:rsidRDefault="00181884" w:rsidP="00D26EF9">
            <w:pPr>
              <w:jc w:val="center"/>
              <w:rPr>
                <w:b/>
                <w:sz w:val="20"/>
                <w:szCs w:val="20"/>
                <w:lang w:val="fr-CA"/>
              </w:rPr>
            </w:pPr>
            <w:r w:rsidRPr="00ED22D1">
              <w:rPr>
                <w:b/>
                <w:sz w:val="20"/>
                <w:szCs w:val="20"/>
                <w:lang w:val="fr-CA"/>
              </w:rPr>
              <w:t>Consommation de HCFC</w:t>
            </w:r>
            <w:r w:rsidR="00C1026B" w:rsidRPr="00ED22D1">
              <w:rPr>
                <w:b/>
                <w:sz w:val="20"/>
                <w:szCs w:val="20"/>
                <w:lang w:val="fr-CA"/>
              </w:rPr>
              <w:t xml:space="preserve"> </w:t>
            </w:r>
            <w:r w:rsidR="0052712E" w:rsidRPr="00ED22D1">
              <w:rPr>
                <w:b/>
                <w:sz w:val="20"/>
                <w:szCs w:val="20"/>
                <w:lang w:val="fr-CA"/>
              </w:rPr>
              <w:t>en 20</w:t>
            </w:r>
            <w:r w:rsidR="00C1026B" w:rsidRPr="00ED22D1">
              <w:rPr>
                <w:b/>
                <w:sz w:val="20"/>
                <w:szCs w:val="20"/>
                <w:lang w:val="fr-CA"/>
              </w:rPr>
              <w:t>16</w:t>
            </w:r>
          </w:p>
        </w:tc>
      </w:tr>
      <w:tr w:rsidR="00C1026B" w:rsidRPr="00ED22D1" w:rsidTr="002950F0">
        <w:trPr>
          <w:cantSplit/>
          <w:trHeight w:val="142"/>
        </w:trPr>
        <w:tc>
          <w:tcPr>
            <w:tcW w:w="2011" w:type="pct"/>
            <w:vMerge/>
            <w:vAlign w:val="center"/>
          </w:tcPr>
          <w:p w:rsidR="00C1026B" w:rsidRPr="00ED22D1" w:rsidRDefault="00C1026B" w:rsidP="00D26EF9">
            <w:pPr>
              <w:jc w:val="center"/>
              <w:rPr>
                <w:b/>
                <w:sz w:val="20"/>
                <w:szCs w:val="20"/>
                <w:lang w:val="fr-CA"/>
              </w:rPr>
            </w:pPr>
          </w:p>
        </w:tc>
        <w:tc>
          <w:tcPr>
            <w:tcW w:w="1227" w:type="pct"/>
            <w:vMerge/>
            <w:vAlign w:val="center"/>
          </w:tcPr>
          <w:p w:rsidR="00C1026B" w:rsidRPr="00ED22D1" w:rsidRDefault="00C1026B" w:rsidP="00D26EF9">
            <w:pPr>
              <w:jc w:val="center"/>
              <w:rPr>
                <w:b/>
                <w:sz w:val="20"/>
                <w:szCs w:val="20"/>
                <w:lang w:val="fr-CA"/>
              </w:rPr>
            </w:pPr>
          </w:p>
        </w:tc>
        <w:tc>
          <w:tcPr>
            <w:tcW w:w="881" w:type="pct"/>
            <w:vAlign w:val="center"/>
          </w:tcPr>
          <w:p w:rsidR="00C1026B" w:rsidRPr="00ED22D1" w:rsidRDefault="00BB7CCB" w:rsidP="00BB7CCB">
            <w:pPr>
              <w:jc w:val="center"/>
              <w:rPr>
                <w:b/>
                <w:sz w:val="20"/>
                <w:szCs w:val="20"/>
                <w:lang w:val="fr-CA"/>
              </w:rPr>
            </w:pPr>
            <w:r w:rsidRPr="00ED22D1">
              <w:rPr>
                <w:b/>
                <w:sz w:val="20"/>
                <w:szCs w:val="20"/>
                <w:lang w:val="fr-CA"/>
              </w:rPr>
              <w:t>tm</w:t>
            </w:r>
          </w:p>
        </w:tc>
        <w:tc>
          <w:tcPr>
            <w:tcW w:w="882" w:type="pct"/>
            <w:tcBorders>
              <w:bottom w:val="single" w:sz="4" w:space="0" w:color="auto"/>
            </w:tcBorders>
            <w:vAlign w:val="center"/>
          </w:tcPr>
          <w:p w:rsidR="00C1026B" w:rsidRPr="00ED22D1" w:rsidRDefault="00181884" w:rsidP="00D26EF9">
            <w:pPr>
              <w:jc w:val="center"/>
              <w:rPr>
                <w:b/>
                <w:sz w:val="20"/>
                <w:szCs w:val="20"/>
                <w:lang w:val="fr-CA"/>
              </w:rPr>
            </w:pPr>
            <w:r w:rsidRPr="00ED22D1">
              <w:rPr>
                <w:b/>
                <w:sz w:val="20"/>
                <w:szCs w:val="20"/>
                <w:lang w:val="fr-CA"/>
              </w:rPr>
              <w:t>Tonnes PAO</w:t>
            </w:r>
            <w:r w:rsidR="00C1026B" w:rsidRPr="00ED22D1">
              <w:rPr>
                <w:b/>
                <w:sz w:val="20"/>
                <w:szCs w:val="20"/>
                <w:lang w:val="fr-CA"/>
              </w:rPr>
              <w:t>*</w:t>
            </w:r>
          </w:p>
        </w:tc>
      </w:tr>
      <w:tr w:rsidR="00C1026B" w:rsidRPr="00ED22D1" w:rsidTr="002950F0">
        <w:trPr>
          <w:trHeight w:val="205"/>
        </w:trPr>
        <w:tc>
          <w:tcPr>
            <w:tcW w:w="2011" w:type="pct"/>
          </w:tcPr>
          <w:p w:rsidR="00C1026B" w:rsidRPr="00ED22D1" w:rsidRDefault="00921BDE" w:rsidP="00BB7CCB">
            <w:pPr>
              <w:rPr>
                <w:sz w:val="20"/>
                <w:szCs w:val="20"/>
                <w:lang w:val="fr-CA"/>
              </w:rPr>
            </w:pPr>
            <w:r w:rsidRPr="00ED22D1">
              <w:rPr>
                <w:sz w:val="20"/>
                <w:szCs w:val="20"/>
                <w:lang w:val="fr-CA"/>
              </w:rPr>
              <w:t>Équipements</w:t>
            </w:r>
            <w:r w:rsidR="00C1026B" w:rsidRPr="00ED22D1">
              <w:rPr>
                <w:sz w:val="20"/>
                <w:szCs w:val="20"/>
                <w:lang w:val="fr-CA"/>
              </w:rPr>
              <w:t xml:space="preserve"> </w:t>
            </w:r>
            <w:r w:rsidR="00BB7CCB" w:rsidRPr="00ED22D1">
              <w:rPr>
                <w:sz w:val="20"/>
                <w:szCs w:val="20"/>
                <w:lang w:val="fr-CA"/>
              </w:rPr>
              <w:t>livrés et installés</w:t>
            </w:r>
          </w:p>
        </w:tc>
        <w:tc>
          <w:tcPr>
            <w:tcW w:w="1227" w:type="pct"/>
          </w:tcPr>
          <w:p w:rsidR="00C1026B" w:rsidRPr="00ED22D1" w:rsidRDefault="00C1026B" w:rsidP="00D26EF9">
            <w:pPr>
              <w:jc w:val="right"/>
              <w:rPr>
                <w:sz w:val="20"/>
                <w:szCs w:val="20"/>
                <w:lang w:val="fr-CA"/>
              </w:rPr>
            </w:pPr>
            <w:r w:rsidRPr="00ED22D1">
              <w:rPr>
                <w:sz w:val="20"/>
                <w:szCs w:val="20"/>
                <w:lang w:val="fr-CA"/>
              </w:rPr>
              <w:t>1</w:t>
            </w:r>
          </w:p>
        </w:tc>
        <w:tc>
          <w:tcPr>
            <w:tcW w:w="881" w:type="pct"/>
          </w:tcPr>
          <w:p w:rsidR="00C1026B" w:rsidRPr="00ED22D1" w:rsidRDefault="00C1026B" w:rsidP="00D26EF9">
            <w:pPr>
              <w:jc w:val="right"/>
              <w:rPr>
                <w:sz w:val="20"/>
                <w:szCs w:val="20"/>
                <w:lang w:val="fr-CA"/>
              </w:rPr>
            </w:pPr>
            <w:r w:rsidRPr="00ED22D1">
              <w:rPr>
                <w:sz w:val="20"/>
                <w:szCs w:val="20"/>
                <w:lang w:val="fr-CA"/>
              </w:rPr>
              <w:t>65</w:t>
            </w:r>
            <w:r w:rsidR="004A6828" w:rsidRPr="00ED22D1">
              <w:rPr>
                <w:sz w:val="20"/>
                <w:szCs w:val="20"/>
                <w:lang w:val="fr-CA"/>
              </w:rPr>
              <w:t>5,</w:t>
            </w:r>
            <w:r w:rsidRPr="00ED22D1">
              <w:rPr>
                <w:sz w:val="20"/>
                <w:szCs w:val="20"/>
                <w:lang w:val="fr-CA"/>
              </w:rPr>
              <w:t>07</w:t>
            </w:r>
          </w:p>
        </w:tc>
        <w:tc>
          <w:tcPr>
            <w:tcW w:w="882" w:type="pct"/>
            <w:tcBorders>
              <w:top w:val="single" w:sz="4" w:space="0" w:color="auto"/>
              <w:left w:val="nil"/>
              <w:bottom w:val="single" w:sz="4" w:space="0" w:color="auto"/>
              <w:right w:val="single" w:sz="4" w:space="0" w:color="auto"/>
            </w:tcBorders>
            <w:shd w:val="clear" w:color="auto" w:fill="auto"/>
            <w:vAlign w:val="center"/>
          </w:tcPr>
          <w:p w:rsidR="00C1026B" w:rsidRPr="00ED22D1" w:rsidRDefault="00C1026B" w:rsidP="00D26EF9">
            <w:pPr>
              <w:jc w:val="right"/>
              <w:rPr>
                <w:sz w:val="20"/>
                <w:szCs w:val="20"/>
                <w:lang w:val="fr-CA"/>
              </w:rPr>
            </w:pPr>
            <w:r w:rsidRPr="00ED22D1">
              <w:rPr>
                <w:color w:val="000000"/>
                <w:sz w:val="20"/>
                <w:szCs w:val="20"/>
                <w:lang w:val="fr-CA"/>
              </w:rPr>
              <w:t>3</w:t>
            </w:r>
            <w:r w:rsidR="004A6828" w:rsidRPr="00ED22D1">
              <w:rPr>
                <w:color w:val="000000"/>
                <w:sz w:val="20"/>
                <w:szCs w:val="20"/>
                <w:lang w:val="fr-CA"/>
              </w:rPr>
              <w:t>6,</w:t>
            </w:r>
            <w:r w:rsidRPr="00ED22D1">
              <w:rPr>
                <w:color w:val="000000"/>
                <w:sz w:val="20"/>
                <w:szCs w:val="20"/>
                <w:lang w:val="fr-CA"/>
              </w:rPr>
              <w:t>03</w:t>
            </w:r>
          </w:p>
        </w:tc>
      </w:tr>
      <w:tr w:rsidR="00C1026B" w:rsidRPr="00ED22D1" w:rsidTr="002950F0">
        <w:trPr>
          <w:trHeight w:val="205"/>
        </w:trPr>
        <w:tc>
          <w:tcPr>
            <w:tcW w:w="2011" w:type="pct"/>
          </w:tcPr>
          <w:p w:rsidR="00C1026B" w:rsidRPr="00ED22D1" w:rsidRDefault="00BB7CCB" w:rsidP="00872A2F">
            <w:pPr>
              <w:rPr>
                <w:sz w:val="20"/>
                <w:szCs w:val="20"/>
                <w:lang w:val="fr-CA"/>
              </w:rPr>
            </w:pPr>
            <w:r w:rsidRPr="00ED22D1">
              <w:rPr>
                <w:sz w:val="20"/>
                <w:szCs w:val="20"/>
                <w:lang w:val="fr-CA"/>
              </w:rPr>
              <w:t>Contrat</w:t>
            </w:r>
            <w:r w:rsidR="00872A2F" w:rsidRPr="00ED22D1">
              <w:rPr>
                <w:sz w:val="20"/>
                <w:szCs w:val="20"/>
                <w:lang w:val="fr-CA"/>
              </w:rPr>
              <w:t>s</w:t>
            </w:r>
            <w:r w:rsidRPr="00ED22D1">
              <w:rPr>
                <w:sz w:val="20"/>
                <w:szCs w:val="20"/>
                <w:lang w:val="fr-CA"/>
              </w:rPr>
              <w:t xml:space="preserve"> d’a</w:t>
            </w:r>
            <w:r w:rsidR="00872A2F" w:rsidRPr="00ED22D1">
              <w:rPr>
                <w:sz w:val="20"/>
                <w:szCs w:val="20"/>
                <w:lang w:val="fr-CA"/>
              </w:rPr>
              <w:t>chat</w:t>
            </w:r>
            <w:r w:rsidRPr="00ED22D1">
              <w:rPr>
                <w:sz w:val="20"/>
                <w:szCs w:val="20"/>
                <w:lang w:val="fr-CA"/>
              </w:rPr>
              <w:t xml:space="preserve"> signés avec</w:t>
            </w:r>
            <w:r w:rsidR="00872A2F" w:rsidRPr="00ED22D1">
              <w:rPr>
                <w:sz w:val="20"/>
                <w:szCs w:val="20"/>
                <w:lang w:val="fr-CA"/>
              </w:rPr>
              <w:t xml:space="preserve"> des fournisseurs</w:t>
            </w:r>
          </w:p>
        </w:tc>
        <w:tc>
          <w:tcPr>
            <w:tcW w:w="1227" w:type="pct"/>
          </w:tcPr>
          <w:p w:rsidR="00C1026B" w:rsidRPr="00ED22D1" w:rsidRDefault="00C1026B" w:rsidP="00D26EF9">
            <w:pPr>
              <w:jc w:val="right"/>
              <w:rPr>
                <w:sz w:val="20"/>
                <w:szCs w:val="20"/>
                <w:lang w:val="fr-CA"/>
              </w:rPr>
            </w:pPr>
            <w:r w:rsidRPr="00ED22D1">
              <w:rPr>
                <w:sz w:val="20"/>
                <w:szCs w:val="20"/>
                <w:lang w:val="fr-CA"/>
              </w:rPr>
              <w:t>5</w:t>
            </w:r>
          </w:p>
        </w:tc>
        <w:tc>
          <w:tcPr>
            <w:tcW w:w="881" w:type="pct"/>
          </w:tcPr>
          <w:p w:rsidR="00C1026B" w:rsidRPr="00ED22D1" w:rsidRDefault="004A6828" w:rsidP="00D26EF9">
            <w:pPr>
              <w:jc w:val="right"/>
              <w:rPr>
                <w:sz w:val="20"/>
                <w:szCs w:val="20"/>
                <w:lang w:val="fr-CA"/>
              </w:rPr>
            </w:pPr>
            <w:r w:rsidRPr="00ED22D1">
              <w:rPr>
                <w:sz w:val="20"/>
                <w:szCs w:val="20"/>
                <w:lang w:val="fr-CA"/>
              </w:rPr>
              <w:t>1 </w:t>
            </w:r>
            <w:r w:rsidR="00C1026B" w:rsidRPr="00ED22D1">
              <w:rPr>
                <w:sz w:val="20"/>
                <w:szCs w:val="20"/>
                <w:lang w:val="fr-CA"/>
              </w:rPr>
              <w:t>89</w:t>
            </w:r>
            <w:r w:rsidRPr="00ED22D1">
              <w:rPr>
                <w:sz w:val="20"/>
                <w:szCs w:val="20"/>
                <w:lang w:val="fr-CA"/>
              </w:rPr>
              <w:t>9,</w:t>
            </w:r>
            <w:r w:rsidR="00C1026B" w:rsidRPr="00ED22D1">
              <w:rPr>
                <w:sz w:val="20"/>
                <w:szCs w:val="20"/>
                <w:lang w:val="fr-CA"/>
              </w:rPr>
              <w:t>19</w:t>
            </w:r>
          </w:p>
        </w:tc>
        <w:tc>
          <w:tcPr>
            <w:tcW w:w="882" w:type="pct"/>
            <w:tcBorders>
              <w:top w:val="single" w:sz="4" w:space="0" w:color="auto"/>
              <w:left w:val="nil"/>
              <w:bottom w:val="single" w:sz="4" w:space="0" w:color="auto"/>
              <w:right w:val="single" w:sz="4" w:space="0" w:color="auto"/>
            </w:tcBorders>
            <w:shd w:val="clear" w:color="auto" w:fill="auto"/>
            <w:vAlign w:val="center"/>
          </w:tcPr>
          <w:p w:rsidR="00C1026B" w:rsidRPr="00ED22D1" w:rsidRDefault="00C1026B" w:rsidP="00D26EF9">
            <w:pPr>
              <w:jc w:val="right"/>
              <w:rPr>
                <w:color w:val="000000"/>
                <w:sz w:val="20"/>
                <w:szCs w:val="20"/>
                <w:lang w:val="fr-CA"/>
              </w:rPr>
            </w:pPr>
            <w:r w:rsidRPr="00ED22D1">
              <w:rPr>
                <w:color w:val="000000"/>
                <w:sz w:val="20"/>
                <w:szCs w:val="20"/>
                <w:lang w:val="fr-CA"/>
              </w:rPr>
              <w:t>10</w:t>
            </w:r>
            <w:r w:rsidR="004A6828" w:rsidRPr="00ED22D1">
              <w:rPr>
                <w:color w:val="000000"/>
                <w:sz w:val="20"/>
                <w:szCs w:val="20"/>
                <w:lang w:val="fr-CA"/>
              </w:rPr>
              <w:t>9,</w:t>
            </w:r>
            <w:r w:rsidRPr="00ED22D1">
              <w:rPr>
                <w:color w:val="000000"/>
                <w:sz w:val="20"/>
                <w:szCs w:val="20"/>
                <w:lang w:val="fr-CA"/>
              </w:rPr>
              <w:t>20</w:t>
            </w:r>
          </w:p>
        </w:tc>
      </w:tr>
      <w:tr w:rsidR="00C1026B" w:rsidRPr="00ED22D1" w:rsidTr="002950F0">
        <w:trPr>
          <w:trHeight w:val="205"/>
        </w:trPr>
        <w:tc>
          <w:tcPr>
            <w:tcW w:w="2011" w:type="pct"/>
            <w:tcBorders>
              <w:bottom w:val="single" w:sz="4" w:space="0" w:color="auto"/>
            </w:tcBorders>
          </w:tcPr>
          <w:p w:rsidR="00C1026B" w:rsidRPr="00ED22D1" w:rsidRDefault="00872A2F" w:rsidP="00572798">
            <w:pPr>
              <w:jc w:val="left"/>
              <w:rPr>
                <w:sz w:val="20"/>
                <w:szCs w:val="20"/>
                <w:lang w:val="fr-CA"/>
              </w:rPr>
            </w:pPr>
            <w:r w:rsidRPr="00ED22D1">
              <w:rPr>
                <w:sz w:val="20"/>
                <w:szCs w:val="20"/>
                <w:lang w:val="fr-CA"/>
              </w:rPr>
              <w:t xml:space="preserve">Contrat signé </w:t>
            </w:r>
            <w:r w:rsidR="00B84F94" w:rsidRPr="00ED22D1">
              <w:rPr>
                <w:sz w:val="20"/>
                <w:szCs w:val="20"/>
                <w:lang w:val="fr-CA"/>
              </w:rPr>
              <w:t>avec</w:t>
            </w:r>
            <w:r w:rsidR="00F320D6" w:rsidRPr="00ED22D1">
              <w:rPr>
                <w:sz w:val="20"/>
                <w:szCs w:val="20"/>
                <w:lang w:val="fr-CA"/>
              </w:rPr>
              <w:t xml:space="preserve"> l’IECO</w:t>
            </w:r>
            <w:r w:rsidR="00C1026B" w:rsidRPr="00ED22D1">
              <w:rPr>
                <w:sz w:val="20"/>
                <w:szCs w:val="20"/>
                <w:lang w:val="fr-CA"/>
              </w:rPr>
              <w:t xml:space="preserve"> (</w:t>
            </w:r>
            <w:r w:rsidRPr="00ED22D1">
              <w:rPr>
                <w:sz w:val="20"/>
                <w:szCs w:val="20"/>
                <w:lang w:val="fr-CA"/>
              </w:rPr>
              <w:t>préparation actuelle d</w:t>
            </w:r>
            <w:r w:rsidR="00765177" w:rsidRPr="00ED22D1">
              <w:rPr>
                <w:sz w:val="20"/>
                <w:szCs w:val="20"/>
                <w:lang w:val="fr-CA"/>
              </w:rPr>
              <w:t>e l</w:t>
            </w:r>
            <w:r w:rsidRPr="00ED22D1">
              <w:rPr>
                <w:sz w:val="20"/>
                <w:szCs w:val="20"/>
                <w:lang w:val="fr-CA"/>
              </w:rPr>
              <w:t xml:space="preserve">’achat des </w:t>
            </w:r>
            <w:r w:rsidR="00921BDE" w:rsidRPr="00ED22D1">
              <w:rPr>
                <w:sz w:val="20"/>
                <w:szCs w:val="20"/>
                <w:lang w:val="fr-CA"/>
              </w:rPr>
              <w:t>équipements</w:t>
            </w:r>
            <w:r w:rsidR="00C1026B" w:rsidRPr="00ED22D1">
              <w:rPr>
                <w:sz w:val="20"/>
                <w:szCs w:val="20"/>
                <w:lang w:val="fr-CA"/>
              </w:rPr>
              <w:t>)</w:t>
            </w:r>
          </w:p>
        </w:tc>
        <w:tc>
          <w:tcPr>
            <w:tcW w:w="1227" w:type="pct"/>
            <w:tcBorders>
              <w:bottom w:val="single" w:sz="4" w:space="0" w:color="auto"/>
            </w:tcBorders>
          </w:tcPr>
          <w:p w:rsidR="00C1026B" w:rsidRPr="00ED22D1" w:rsidRDefault="00C1026B" w:rsidP="00D26EF9">
            <w:pPr>
              <w:jc w:val="right"/>
              <w:rPr>
                <w:sz w:val="20"/>
                <w:szCs w:val="20"/>
                <w:lang w:val="fr-CA"/>
              </w:rPr>
            </w:pPr>
            <w:r w:rsidRPr="00ED22D1">
              <w:rPr>
                <w:sz w:val="20"/>
                <w:szCs w:val="20"/>
                <w:lang w:val="fr-CA"/>
              </w:rPr>
              <w:t>4</w:t>
            </w:r>
          </w:p>
        </w:tc>
        <w:tc>
          <w:tcPr>
            <w:tcW w:w="881" w:type="pct"/>
            <w:tcBorders>
              <w:bottom w:val="single" w:sz="4" w:space="0" w:color="auto"/>
            </w:tcBorders>
          </w:tcPr>
          <w:p w:rsidR="00C1026B" w:rsidRPr="00ED22D1" w:rsidRDefault="004A6828" w:rsidP="00D26EF9">
            <w:pPr>
              <w:jc w:val="right"/>
              <w:rPr>
                <w:sz w:val="20"/>
                <w:szCs w:val="20"/>
                <w:lang w:val="fr-CA"/>
              </w:rPr>
            </w:pPr>
            <w:r w:rsidRPr="00ED22D1">
              <w:rPr>
                <w:sz w:val="20"/>
                <w:szCs w:val="20"/>
                <w:lang w:val="fr-CA"/>
              </w:rPr>
              <w:t>1 </w:t>
            </w:r>
            <w:r w:rsidR="00C1026B" w:rsidRPr="00ED22D1">
              <w:rPr>
                <w:sz w:val="20"/>
                <w:szCs w:val="20"/>
                <w:lang w:val="fr-CA"/>
              </w:rPr>
              <w:t>74</w:t>
            </w:r>
            <w:r w:rsidRPr="00ED22D1">
              <w:rPr>
                <w:sz w:val="20"/>
                <w:szCs w:val="20"/>
                <w:lang w:val="fr-CA"/>
              </w:rPr>
              <w:t>2,</w:t>
            </w:r>
            <w:r w:rsidR="00C1026B" w:rsidRPr="00ED22D1">
              <w:rPr>
                <w:sz w:val="20"/>
                <w:szCs w:val="20"/>
                <w:lang w:val="fr-CA"/>
              </w:rPr>
              <w:t>54</w:t>
            </w:r>
          </w:p>
        </w:tc>
        <w:tc>
          <w:tcPr>
            <w:tcW w:w="882" w:type="pct"/>
            <w:tcBorders>
              <w:top w:val="single" w:sz="4" w:space="0" w:color="auto"/>
              <w:left w:val="nil"/>
              <w:bottom w:val="single" w:sz="4" w:space="0" w:color="auto"/>
              <w:right w:val="single" w:sz="4" w:space="0" w:color="auto"/>
            </w:tcBorders>
            <w:shd w:val="clear" w:color="auto" w:fill="auto"/>
            <w:vAlign w:val="center"/>
          </w:tcPr>
          <w:p w:rsidR="00C1026B" w:rsidRPr="00ED22D1" w:rsidRDefault="00C1026B" w:rsidP="00D26EF9">
            <w:pPr>
              <w:jc w:val="right"/>
              <w:rPr>
                <w:color w:val="000000"/>
                <w:sz w:val="20"/>
                <w:szCs w:val="20"/>
                <w:lang w:val="fr-CA"/>
              </w:rPr>
            </w:pPr>
            <w:r w:rsidRPr="00ED22D1">
              <w:rPr>
                <w:color w:val="000000"/>
                <w:sz w:val="20"/>
                <w:szCs w:val="20"/>
                <w:lang w:val="fr-CA"/>
              </w:rPr>
              <w:t>10</w:t>
            </w:r>
            <w:r w:rsidR="004A6828" w:rsidRPr="00ED22D1">
              <w:rPr>
                <w:color w:val="000000"/>
                <w:sz w:val="20"/>
                <w:szCs w:val="20"/>
                <w:lang w:val="fr-CA"/>
              </w:rPr>
              <w:t>0,</w:t>
            </w:r>
            <w:r w:rsidRPr="00ED22D1">
              <w:rPr>
                <w:color w:val="000000"/>
                <w:sz w:val="20"/>
                <w:szCs w:val="20"/>
                <w:lang w:val="fr-CA"/>
              </w:rPr>
              <w:t>20</w:t>
            </w:r>
          </w:p>
        </w:tc>
      </w:tr>
      <w:tr w:rsidR="00C1026B" w:rsidRPr="00ED22D1" w:rsidTr="002950F0">
        <w:trPr>
          <w:trHeight w:val="205"/>
        </w:trPr>
        <w:tc>
          <w:tcPr>
            <w:tcW w:w="2011" w:type="pct"/>
            <w:tcBorders>
              <w:bottom w:val="single" w:sz="4" w:space="0" w:color="auto"/>
            </w:tcBorders>
          </w:tcPr>
          <w:p w:rsidR="00C1026B" w:rsidRPr="00ED22D1" w:rsidRDefault="00C1026B" w:rsidP="00D26EF9">
            <w:pPr>
              <w:rPr>
                <w:b/>
                <w:sz w:val="20"/>
                <w:szCs w:val="20"/>
                <w:lang w:val="fr-CA"/>
              </w:rPr>
            </w:pPr>
            <w:r w:rsidRPr="00ED22D1">
              <w:rPr>
                <w:b/>
                <w:sz w:val="20"/>
                <w:szCs w:val="20"/>
                <w:lang w:val="fr-CA"/>
              </w:rPr>
              <w:t>Total</w:t>
            </w:r>
          </w:p>
        </w:tc>
        <w:tc>
          <w:tcPr>
            <w:tcW w:w="1227" w:type="pct"/>
            <w:tcBorders>
              <w:bottom w:val="single" w:sz="4" w:space="0" w:color="auto"/>
            </w:tcBorders>
          </w:tcPr>
          <w:p w:rsidR="00C1026B" w:rsidRPr="00ED22D1" w:rsidRDefault="00C1026B" w:rsidP="00D26EF9">
            <w:pPr>
              <w:jc w:val="right"/>
              <w:rPr>
                <w:b/>
                <w:sz w:val="20"/>
                <w:szCs w:val="20"/>
                <w:lang w:val="fr-CA"/>
              </w:rPr>
            </w:pPr>
            <w:r w:rsidRPr="00ED22D1">
              <w:rPr>
                <w:b/>
                <w:sz w:val="20"/>
                <w:szCs w:val="20"/>
                <w:lang w:val="fr-CA"/>
              </w:rPr>
              <w:t>10</w:t>
            </w:r>
          </w:p>
        </w:tc>
        <w:tc>
          <w:tcPr>
            <w:tcW w:w="881" w:type="pct"/>
            <w:tcBorders>
              <w:bottom w:val="single" w:sz="4" w:space="0" w:color="auto"/>
            </w:tcBorders>
          </w:tcPr>
          <w:p w:rsidR="00C1026B" w:rsidRPr="00ED22D1" w:rsidRDefault="004A6828" w:rsidP="00D26EF9">
            <w:pPr>
              <w:jc w:val="right"/>
              <w:rPr>
                <w:b/>
                <w:sz w:val="20"/>
                <w:szCs w:val="20"/>
                <w:lang w:val="fr-CA"/>
              </w:rPr>
            </w:pPr>
            <w:r w:rsidRPr="00ED22D1">
              <w:rPr>
                <w:b/>
                <w:sz w:val="20"/>
                <w:szCs w:val="20"/>
                <w:lang w:val="fr-CA"/>
              </w:rPr>
              <w:t>4 </w:t>
            </w:r>
            <w:r w:rsidR="00C1026B" w:rsidRPr="00ED22D1">
              <w:rPr>
                <w:b/>
                <w:sz w:val="20"/>
                <w:szCs w:val="20"/>
                <w:lang w:val="fr-CA"/>
              </w:rPr>
              <w:t>29</w:t>
            </w:r>
            <w:r w:rsidRPr="00ED22D1">
              <w:rPr>
                <w:b/>
                <w:sz w:val="20"/>
                <w:szCs w:val="20"/>
                <w:lang w:val="fr-CA"/>
              </w:rPr>
              <w:t>6,</w:t>
            </w:r>
            <w:r w:rsidR="00C1026B" w:rsidRPr="00ED22D1">
              <w:rPr>
                <w:b/>
                <w:sz w:val="20"/>
                <w:szCs w:val="20"/>
                <w:lang w:val="fr-CA"/>
              </w:rPr>
              <w:t>80</w:t>
            </w:r>
          </w:p>
        </w:tc>
        <w:tc>
          <w:tcPr>
            <w:tcW w:w="882" w:type="pct"/>
            <w:tcBorders>
              <w:top w:val="single" w:sz="4" w:space="0" w:color="auto"/>
              <w:left w:val="nil"/>
              <w:bottom w:val="single" w:sz="4" w:space="0" w:color="auto"/>
              <w:right w:val="single" w:sz="4" w:space="0" w:color="auto"/>
            </w:tcBorders>
            <w:shd w:val="clear" w:color="auto" w:fill="auto"/>
            <w:vAlign w:val="center"/>
          </w:tcPr>
          <w:p w:rsidR="00C1026B" w:rsidRPr="00ED22D1" w:rsidRDefault="00C1026B" w:rsidP="00D26EF9">
            <w:pPr>
              <w:jc w:val="right"/>
              <w:rPr>
                <w:b/>
                <w:sz w:val="20"/>
                <w:szCs w:val="20"/>
                <w:lang w:val="fr-CA"/>
              </w:rPr>
            </w:pPr>
            <w:r w:rsidRPr="00ED22D1">
              <w:rPr>
                <w:b/>
                <w:color w:val="000000"/>
                <w:sz w:val="20"/>
                <w:szCs w:val="20"/>
                <w:lang w:val="fr-CA"/>
              </w:rPr>
              <w:t>24</w:t>
            </w:r>
            <w:r w:rsidR="004A6828" w:rsidRPr="00ED22D1">
              <w:rPr>
                <w:b/>
                <w:color w:val="000000"/>
                <w:sz w:val="20"/>
                <w:szCs w:val="20"/>
                <w:lang w:val="fr-CA"/>
              </w:rPr>
              <w:t>5,</w:t>
            </w:r>
            <w:r w:rsidRPr="00ED22D1">
              <w:rPr>
                <w:b/>
                <w:color w:val="000000"/>
                <w:sz w:val="20"/>
                <w:szCs w:val="20"/>
                <w:lang w:val="fr-CA"/>
              </w:rPr>
              <w:t>43</w:t>
            </w:r>
          </w:p>
        </w:tc>
      </w:tr>
      <w:tr w:rsidR="00C1026B" w:rsidRPr="00C80221" w:rsidTr="002950F0">
        <w:trPr>
          <w:trHeight w:val="205"/>
        </w:trPr>
        <w:tc>
          <w:tcPr>
            <w:tcW w:w="5000" w:type="pct"/>
            <w:gridSpan w:val="4"/>
            <w:tcBorders>
              <w:top w:val="single" w:sz="4" w:space="0" w:color="auto"/>
              <w:left w:val="nil"/>
              <w:bottom w:val="nil"/>
              <w:right w:val="nil"/>
            </w:tcBorders>
          </w:tcPr>
          <w:p w:rsidR="00C1026B" w:rsidRPr="00ED22D1" w:rsidRDefault="00872A2F" w:rsidP="00872A2F">
            <w:pPr>
              <w:pStyle w:val="ListParagraph"/>
              <w:numPr>
                <w:ilvl w:val="0"/>
                <w:numId w:val="26"/>
              </w:numPr>
              <w:jc w:val="left"/>
              <w:rPr>
                <w:b/>
                <w:color w:val="000000"/>
                <w:sz w:val="20"/>
                <w:szCs w:val="20"/>
                <w:lang w:val="fr-CA"/>
              </w:rPr>
            </w:pPr>
            <w:r w:rsidRPr="00ED22D1">
              <w:rPr>
                <w:sz w:val="16"/>
                <w:szCs w:val="16"/>
                <w:lang w:val="fr-CA"/>
              </w:rPr>
              <w:t xml:space="preserve">Le rapport entre le </w:t>
            </w:r>
            <w:r w:rsidR="00C1026B" w:rsidRPr="00ED22D1">
              <w:rPr>
                <w:sz w:val="16"/>
                <w:szCs w:val="16"/>
                <w:lang w:val="fr-CA"/>
              </w:rPr>
              <w:t xml:space="preserve">HCFC-22 </w:t>
            </w:r>
            <w:r w:rsidRPr="00ED22D1">
              <w:rPr>
                <w:sz w:val="16"/>
                <w:szCs w:val="16"/>
                <w:lang w:val="fr-CA"/>
              </w:rPr>
              <w:t>et le</w:t>
            </w:r>
            <w:r w:rsidR="00C1026B" w:rsidRPr="00ED22D1">
              <w:rPr>
                <w:sz w:val="16"/>
                <w:szCs w:val="16"/>
                <w:lang w:val="fr-CA"/>
              </w:rPr>
              <w:t xml:space="preserve"> HCFC-142b</w:t>
            </w:r>
            <w:r w:rsidR="00903152" w:rsidRPr="00ED22D1">
              <w:rPr>
                <w:sz w:val="16"/>
                <w:szCs w:val="16"/>
                <w:lang w:val="fr-CA"/>
              </w:rPr>
              <w:t xml:space="preserve"> est </w:t>
            </w:r>
            <w:r w:rsidRPr="00ED22D1">
              <w:rPr>
                <w:sz w:val="16"/>
                <w:szCs w:val="16"/>
                <w:lang w:val="fr-CA"/>
              </w:rPr>
              <w:t xml:space="preserve">de </w:t>
            </w:r>
            <w:r w:rsidR="00C1026B" w:rsidRPr="00ED22D1">
              <w:rPr>
                <w:sz w:val="16"/>
                <w:szCs w:val="16"/>
                <w:lang w:val="fr-CA"/>
              </w:rPr>
              <w:t xml:space="preserve">75 </w:t>
            </w:r>
            <w:r w:rsidRPr="00ED22D1">
              <w:rPr>
                <w:sz w:val="16"/>
                <w:szCs w:val="16"/>
                <w:lang w:val="fr-CA"/>
              </w:rPr>
              <w:t>à</w:t>
            </w:r>
            <w:r w:rsidR="00C1026B" w:rsidRPr="00ED22D1">
              <w:rPr>
                <w:sz w:val="16"/>
                <w:szCs w:val="16"/>
                <w:lang w:val="fr-CA"/>
              </w:rPr>
              <w:t xml:space="preserve"> 25 </w:t>
            </w:r>
            <w:r w:rsidR="001B31BF" w:rsidRPr="00ED22D1">
              <w:rPr>
                <w:sz w:val="16"/>
                <w:szCs w:val="16"/>
                <w:lang w:val="fr-CA"/>
              </w:rPr>
              <w:t>pour cent</w:t>
            </w:r>
            <w:r w:rsidR="00C1026B" w:rsidRPr="00ED22D1">
              <w:rPr>
                <w:sz w:val="16"/>
                <w:szCs w:val="16"/>
                <w:lang w:val="fr-CA"/>
              </w:rPr>
              <w:t xml:space="preserve"> (</w:t>
            </w:r>
            <w:r w:rsidRPr="00ED22D1">
              <w:rPr>
                <w:sz w:val="16"/>
                <w:szCs w:val="16"/>
                <w:lang w:val="fr-CA"/>
              </w:rPr>
              <w:t>en tonnes métriques</w:t>
            </w:r>
            <w:r w:rsidR="00C1026B" w:rsidRPr="00ED22D1">
              <w:rPr>
                <w:sz w:val="16"/>
                <w:szCs w:val="16"/>
                <w:lang w:val="fr-CA"/>
              </w:rPr>
              <w:t>).</w:t>
            </w:r>
          </w:p>
        </w:tc>
      </w:tr>
    </w:tbl>
    <w:p w:rsidR="00C1026B" w:rsidRPr="00ED22D1" w:rsidRDefault="00C1026B" w:rsidP="00C1026B">
      <w:pPr>
        <w:rPr>
          <w:highlight w:val="yellow"/>
          <w:lang w:val="fr-CA"/>
        </w:rPr>
      </w:pPr>
    </w:p>
    <w:p w:rsidR="00C1026B" w:rsidRPr="00ED22D1" w:rsidRDefault="002D2C0B" w:rsidP="002D2C0B">
      <w:pPr>
        <w:pStyle w:val="Heading1"/>
        <w:numPr>
          <w:ilvl w:val="0"/>
          <w:numId w:val="0"/>
        </w:numPr>
        <w:rPr>
          <w:lang w:val="fr-CA"/>
        </w:rPr>
      </w:pPr>
      <w:r w:rsidRPr="00ED22D1">
        <w:rPr>
          <w:lang w:val="fr-CA"/>
        </w:rPr>
        <w:t>59.</w:t>
      </w:r>
      <w:r w:rsidRPr="00ED22D1">
        <w:rPr>
          <w:lang w:val="fr-CA"/>
        </w:rPr>
        <w:tab/>
      </w:r>
      <w:r w:rsidR="00872A2F" w:rsidRPr="00ED22D1">
        <w:rPr>
          <w:lang w:val="fr-CA"/>
        </w:rPr>
        <w:t xml:space="preserve">Deux </w:t>
      </w:r>
      <w:r w:rsidR="001B45EC" w:rsidRPr="00ED22D1">
        <w:rPr>
          <w:lang w:val="fr-CA"/>
        </w:rPr>
        <w:t>projet</w:t>
      </w:r>
      <w:r w:rsidR="00C1026B" w:rsidRPr="00ED22D1">
        <w:rPr>
          <w:lang w:val="fr-CA"/>
        </w:rPr>
        <w:t xml:space="preserve">s </w:t>
      </w:r>
      <w:r w:rsidR="00872A2F" w:rsidRPr="00ED22D1">
        <w:rPr>
          <w:lang w:val="fr-CA"/>
        </w:rPr>
        <w:t xml:space="preserve">seront </w:t>
      </w:r>
      <w:r w:rsidR="002F6D48" w:rsidRPr="00ED22D1">
        <w:rPr>
          <w:lang w:val="fr-CA"/>
        </w:rPr>
        <w:t>achevé</w:t>
      </w:r>
      <w:r w:rsidR="00872A2F" w:rsidRPr="00ED22D1">
        <w:rPr>
          <w:lang w:val="fr-CA"/>
        </w:rPr>
        <w:t>s</w:t>
      </w:r>
      <w:r w:rsidR="00C1026B" w:rsidRPr="00ED22D1">
        <w:rPr>
          <w:lang w:val="fr-CA"/>
        </w:rPr>
        <w:t xml:space="preserve"> </w:t>
      </w:r>
      <w:r w:rsidR="00872A2F" w:rsidRPr="00ED22D1">
        <w:rPr>
          <w:lang w:val="fr-CA"/>
        </w:rPr>
        <w:t xml:space="preserve">tôt en </w:t>
      </w:r>
      <w:r w:rsidR="00C1026B" w:rsidRPr="00ED22D1">
        <w:rPr>
          <w:lang w:val="fr-CA"/>
        </w:rPr>
        <w:t>202</w:t>
      </w:r>
      <w:r w:rsidR="004A6828" w:rsidRPr="00ED22D1">
        <w:rPr>
          <w:lang w:val="fr-CA"/>
        </w:rPr>
        <w:t>0</w:t>
      </w:r>
      <w:r w:rsidR="00872A2F" w:rsidRPr="00ED22D1">
        <w:rPr>
          <w:lang w:val="fr-CA"/>
        </w:rPr>
        <w:t xml:space="preserve">, </w:t>
      </w:r>
      <w:r w:rsidR="004A6828" w:rsidRPr="00ED22D1">
        <w:rPr>
          <w:lang w:val="fr-CA"/>
        </w:rPr>
        <w:t xml:space="preserve">et </w:t>
      </w:r>
      <w:r w:rsidR="00872A2F" w:rsidRPr="00ED22D1">
        <w:rPr>
          <w:lang w:val="fr-CA"/>
        </w:rPr>
        <w:t>les huit qui restent, au cours de la première moitié de </w:t>
      </w:r>
      <w:r w:rsidR="00C1026B" w:rsidRPr="00ED22D1">
        <w:rPr>
          <w:lang w:val="fr-CA"/>
        </w:rPr>
        <w:t>202</w:t>
      </w:r>
      <w:r w:rsidR="004A6828" w:rsidRPr="00ED22D1">
        <w:rPr>
          <w:lang w:val="fr-CA"/>
        </w:rPr>
        <w:t>0</w:t>
      </w:r>
      <w:r w:rsidR="00872A2F" w:rsidRPr="00ED22D1">
        <w:rPr>
          <w:lang w:val="fr-CA"/>
        </w:rPr>
        <w:t>.</w:t>
      </w:r>
    </w:p>
    <w:p w:rsidR="00C1026B" w:rsidRPr="00ED22D1" w:rsidRDefault="00DE118B" w:rsidP="00C1026B">
      <w:pPr>
        <w:pStyle w:val="Heading1"/>
        <w:numPr>
          <w:ilvl w:val="0"/>
          <w:numId w:val="0"/>
        </w:numPr>
        <w:rPr>
          <w:lang w:val="fr-CA"/>
        </w:rPr>
      </w:pPr>
      <w:r w:rsidRPr="00ED22D1">
        <w:rPr>
          <w:i/>
          <w:lang w:val="fr-CA"/>
        </w:rPr>
        <w:t>A</w:t>
      </w:r>
      <w:r w:rsidR="00872A2F" w:rsidRPr="00ED22D1">
        <w:rPr>
          <w:i/>
          <w:lang w:val="fr-CA"/>
        </w:rPr>
        <w:t>ctivités d’a</w:t>
      </w:r>
      <w:r w:rsidRPr="00ED22D1">
        <w:rPr>
          <w:i/>
          <w:lang w:val="fr-CA"/>
        </w:rPr>
        <w:t>ssistance technique</w:t>
      </w:r>
    </w:p>
    <w:p w:rsidR="00C1026B" w:rsidRPr="00ED22D1" w:rsidRDefault="002D2C0B" w:rsidP="002D2C0B">
      <w:pPr>
        <w:pStyle w:val="Heading1"/>
        <w:numPr>
          <w:ilvl w:val="0"/>
          <w:numId w:val="0"/>
        </w:numPr>
        <w:rPr>
          <w:lang w:val="fr-CA"/>
        </w:rPr>
      </w:pPr>
      <w:r w:rsidRPr="00ED22D1">
        <w:rPr>
          <w:lang w:val="fr-CA"/>
        </w:rPr>
        <w:t>60.</w:t>
      </w:r>
      <w:r w:rsidRPr="00ED22D1">
        <w:rPr>
          <w:lang w:val="fr-CA"/>
        </w:rPr>
        <w:tab/>
      </w:r>
      <w:r w:rsidR="00872A2F" w:rsidRPr="00ED22D1">
        <w:rPr>
          <w:lang w:val="fr-CA"/>
        </w:rPr>
        <w:t>Les a</w:t>
      </w:r>
      <w:r w:rsidR="001B45EC" w:rsidRPr="00ED22D1">
        <w:rPr>
          <w:lang w:val="fr-CA"/>
        </w:rPr>
        <w:t>ctivités</w:t>
      </w:r>
      <w:r w:rsidR="00C1026B" w:rsidRPr="00ED22D1">
        <w:rPr>
          <w:lang w:val="fr-CA"/>
        </w:rPr>
        <w:t xml:space="preserve"> </w:t>
      </w:r>
      <w:r w:rsidR="00872A2F" w:rsidRPr="00ED22D1">
        <w:rPr>
          <w:lang w:val="fr-CA"/>
        </w:rPr>
        <w:t xml:space="preserve">d’assistance technique </w:t>
      </w:r>
      <w:r w:rsidR="001C69F9" w:rsidRPr="00ED22D1">
        <w:rPr>
          <w:lang w:val="fr-CA"/>
        </w:rPr>
        <w:t xml:space="preserve">mises en oeuvre depuis la </w:t>
      </w:r>
      <w:r w:rsidR="00921BDE" w:rsidRPr="00ED22D1">
        <w:rPr>
          <w:lang w:val="fr-CA"/>
        </w:rPr>
        <w:t>deuxième</w:t>
      </w:r>
      <w:r w:rsidR="00C1026B" w:rsidRPr="00ED22D1">
        <w:rPr>
          <w:lang w:val="fr-CA"/>
        </w:rPr>
        <w:t xml:space="preserve"> </w:t>
      </w:r>
      <w:r w:rsidR="001C69F9" w:rsidRPr="00ED22D1">
        <w:rPr>
          <w:lang w:val="fr-CA"/>
        </w:rPr>
        <w:t xml:space="preserve">moitié de </w:t>
      </w:r>
      <w:r w:rsidR="00C1026B" w:rsidRPr="00ED22D1">
        <w:rPr>
          <w:lang w:val="fr-CA"/>
        </w:rPr>
        <w:t xml:space="preserve">2017 </w:t>
      </w:r>
      <w:r w:rsidR="001C69F9" w:rsidRPr="00ED22D1">
        <w:rPr>
          <w:lang w:val="fr-CA"/>
        </w:rPr>
        <w:t xml:space="preserve">comprennent un atelier sur les </w:t>
      </w:r>
      <w:r w:rsidR="00BB7CCB" w:rsidRPr="00ED22D1">
        <w:rPr>
          <w:lang w:val="fr-CA"/>
        </w:rPr>
        <w:t xml:space="preserve">technologies de remplacement </w:t>
      </w:r>
      <w:r w:rsidR="001C69F9" w:rsidRPr="00ED22D1">
        <w:rPr>
          <w:lang w:val="fr-CA"/>
        </w:rPr>
        <w:t xml:space="preserve">dans le secteur des </w:t>
      </w:r>
      <w:r w:rsidR="00921BDE" w:rsidRPr="00ED22D1">
        <w:rPr>
          <w:lang w:val="fr-CA"/>
        </w:rPr>
        <w:t>mousse</w:t>
      </w:r>
      <w:r w:rsidR="001C69F9" w:rsidRPr="00ED22D1">
        <w:rPr>
          <w:lang w:val="fr-CA"/>
        </w:rPr>
        <w:t>s</w:t>
      </w:r>
      <w:r w:rsidR="00921BDE" w:rsidRPr="00ED22D1">
        <w:rPr>
          <w:lang w:val="fr-CA"/>
        </w:rPr>
        <w:t xml:space="preserve"> extrudée</w:t>
      </w:r>
      <w:r w:rsidR="001C69F9" w:rsidRPr="00ED22D1">
        <w:rPr>
          <w:lang w:val="fr-CA"/>
        </w:rPr>
        <w:t>s</w:t>
      </w:r>
      <w:r w:rsidR="00921BDE" w:rsidRPr="00ED22D1">
        <w:rPr>
          <w:lang w:val="fr-CA"/>
        </w:rPr>
        <w:t xml:space="preserve"> (XPS)</w:t>
      </w:r>
      <w:r w:rsidR="00C1026B" w:rsidRPr="00ED22D1">
        <w:rPr>
          <w:lang w:val="fr-CA"/>
        </w:rPr>
        <w:t xml:space="preserve"> </w:t>
      </w:r>
      <w:r w:rsidR="001C69F9" w:rsidRPr="00ED22D1">
        <w:rPr>
          <w:lang w:val="fr-CA"/>
        </w:rPr>
        <w:t xml:space="preserve">tenu en </w:t>
      </w:r>
      <w:r w:rsidR="00921BDE" w:rsidRPr="00ED22D1">
        <w:rPr>
          <w:lang w:val="fr-CA"/>
        </w:rPr>
        <w:t>septembre</w:t>
      </w:r>
      <w:r w:rsidR="00C1026B" w:rsidRPr="00ED22D1">
        <w:rPr>
          <w:lang w:val="fr-CA"/>
        </w:rPr>
        <w:t xml:space="preserve"> 2017; </w:t>
      </w:r>
      <w:r w:rsidR="001C69F9" w:rsidRPr="00ED22D1">
        <w:rPr>
          <w:lang w:val="fr-CA"/>
        </w:rPr>
        <w:t xml:space="preserve">du soutien technique </w:t>
      </w:r>
      <w:r w:rsidR="00DE118B" w:rsidRPr="00ED22D1">
        <w:rPr>
          <w:lang w:val="fr-CA"/>
        </w:rPr>
        <w:t xml:space="preserve">par </w:t>
      </w:r>
      <w:r w:rsidR="001C69F9" w:rsidRPr="00ED22D1">
        <w:rPr>
          <w:lang w:val="fr-CA"/>
        </w:rPr>
        <w:t xml:space="preserve">l’agence de soutien de </w:t>
      </w:r>
      <w:r w:rsidR="00921BDE" w:rsidRPr="00ED22D1">
        <w:rPr>
          <w:lang w:val="fr-CA"/>
        </w:rPr>
        <w:t xml:space="preserve">la mise en oeuvre </w:t>
      </w:r>
      <w:r w:rsidR="00C1026B" w:rsidRPr="00ED22D1">
        <w:rPr>
          <w:lang w:val="fr-CA"/>
        </w:rPr>
        <w:t xml:space="preserve">(ISA) </w:t>
      </w:r>
      <w:r w:rsidR="00F5455E" w:rsidRPr="00ED22D1">
        <w:rPr>
          <w:lang w:val="fr-CA"/>
        </w:rPr>
        <w:t>à</w:t>
      </w:r>
      <w:r w:rsidR="00B03403" w:rsidRPr="00ED22D1">
        <w:rPr>
          <w:lang w:val="fr-CA"/>
        </w:rPr>
        <w:t> </w:t>
      </w:r>
      <w:r w:rsidR="00F5455E" w:rsidRPr="00ED22D1">
        <w:rPr>
          <w:lang w:val="fr-CA"/>
        </w:rPr>
        <w:t>l’IECO</w:t>
      </w:r>
      <w:r w:rsidR="004A6828" w:rsidRPr="00ED22D1">
        <w:rPr>
          <w:lang w:val="fr-CA"/>
        </w:rPr>
        <w:t xml:space="preserve"> et </w:t>
      </w:r>
      <w:r w:rsidR="001C69F9" w:rsidRPr="00ED22D1">
        <w:rPr>
          <w:lang w:val="fr-CA"/>
        </w:rPr>
        <w:t xml:space="preserve">aux </w:t>
      </w:r>
      <w:r w:rsidR="00921BDE" w:rsidRPr="00ED22D1">
        <w:rPr>
          <w:lang w:val="fr-CA"/>
        </w:rPr>
        <w:t>entreprise</w:t>
      </w:r>
      <w:r w:rsidR="00C1026B" w:rsidRPr="00ED22D1">
        <w:rPr>
          <w:lang w:val="fr-CA"/>
        </w:rPr>
        <w:t xml:space="preserve">s </w:t>
      </w:r>
      <w:r w:rsidR="00B84F94" w:rsidRPr="00ED22D1">
        <w:rPr>
          <w:lang w:val="fr-CA"/>
        </w:rPr>
        <w:t xml:space="preserve">avec </w:t>
      </w:r>
      <w:r w:rsidR="001C69F9" w:rsidRPr="00ED22D1">
        <w:rPr>
          <w:lang w:val="fr-CA"/>
        </w:rPr>
        <w:t xml:space="preserve">des opérations quotidiennes </w:t>
      </w:r>
      <w:r w:rsidR="004A6828" w:rsidRPr="00ED22D1">
        <w:rPr>
          <w:lang w:val="fr-CA"/>
        </w:rPr>
        <w:t xml:space="preserve">et </w:t>
      </w:r>
      <w:r w:rsidR="001C69F9" w:rsidRPr="00ED22D1">
        <w:rPr>
          <w:lang w:val="fr-CA"/>
        </w:rPr>
        <w:t>des vérifications de référence et de</w:t>
      </w:r>
      <w:r w:rsidR="00B03403" w:rsidRPr="00ED22D1">
        <w:rPr>
          <w:lang w:val="fr-CA"/>
        </w:rPr>
        <w:t> </w:t>
      </w:r>
      <w:r w:rsidR="001C69F9" w:rsidRPr="00ED22D1">
        <w:rPr>
          <w:lang w:val="fr-CA"/>
        </w:rPr>
        <w:t>rendement sur place</w:t>
      </w:r>
      <w:r w:rsidR="00C1026B" w:rsidRPr="00ED22D1">
        <w:rPr>
          <w:lang w:val="fr-CA"/>
        </w:rPr>
        <w:t xml:space="preserve">; </w:t>
      </w:r>
      <w:r w:rsidR="001C69F9" w:rsidRPr="00ED22D1">
        <w:rPr>
          <w:lang w:val="fr-CA"/>
        </w:rPr>
        <w:t xml:space="preserve">des activités de </w:t>
      </w:r>
      <w:r w:rsidR="002F6D48" w:rsidRPr="00ED22D1">
        <w:rPr>
          <w:lang w:val="fr-CA"/>
        </w:rPr>
        <w:t>sensibilisation du public</w:t>
      </w:r>
      <w:r w:rsidR="00C1026B" w:rsidRPr="00ED22D1">
        <w:rPr>
          <w:lang w:val="fr-CA"/>
        </w:rPr>
        <w:t xml:space="preserve"> </w:t>
      </w:r>
      <w:r w:rsidR="001C69F9" w:rsidRPr="00ED22D1">
        <w:rPr>
          <w:lang w:val="fr-CA"/>
        </w:rPr>
        <w:t>afin de faciliter l’élimination des</w:t>
      </w:r>
      <w:r w:rsidR="00C1026B" w:rsidRPr="00ED22D1">
        <w:rPr>
          <w:lang w:val="fr-CA"/>
        </w:rPr>
        <w:t xml:space="preserve"> HCFC </w:t>
      </w:r>
      <w:r w:rsidR="001C69F9" w:rsidRPr="00ED22D1">
        <w:rPr>
          <w:lang w:val="fr-CA"/>
        </w:rPr>
        <w:t xml:space="preserve">dans le secteur des </w:t>
      </w:r>
      <w:r w:rsidR="00921BDE" w:rsidRPr="00ED22D1">
        <w:rPr>
          <w:lang w:val="fr-CA"/>
        </w:rPr>
        <w:t>mousse</w:t>
      </w:r>
      <w:r w:rsidR="001C69F9" w:rsidRPr="00ED22D1">
        <w:rPr>
          <w:lang w:val="fr-CA"/>
        </w:rPr>
        <w:t>s</w:t>
      </w:r>
      <w:r w:rsidR="00921BDE" w:rsidRPr="00ED22D1">
        <w:rPr>
          <w:lang w:val="fr-CA"/>
        </w:rPr>
        <w:t xml:space="preserve"> extrudée</w:t>
      </w:r>
      <w:r w:rsidR="001C69F9" w:rsidRPr="00ED22D1">
        <w:rPr>
          <w:lang w:val="fr-CA"/>
        </w:rPr>
        <w:t xml:space="preserve">s </w:t>
      </w:r>
      <w:r w:rsidR="00921BDE" w:rsidRPr="00ED22D1">
        <w:rPr>
          <w:lang w:val="fr-CA"/>
        </w:rPr>
        <w:t>(XPS)</w:t>
      </w:r>
      <w:r w:rsidR="00C1026B" w:rsidRPr="00ED22D1">
        <w:rPr>
          <w:lang w:val="fr-CA"/>
        </w:rPr>
        <w:t>;</w:t>
      </w:r>
      <w:r w:rsidR="004A6828" w:rsidRPr="00ED22D1">
        <w:rPr>
          <w:lang w:val="fr-CA"/>
        </w:rPr>
        <w:t xml:space="preserve"> et </w:t>
      </w:r>
      <w:r w:rsidR="001C69F9" w:rsidRPr="00ED22D1">
        <w:rPr>
          <w:lang w:val="fr-CA"/>
        </w:rPr>
        <w:t>une visite d’étude des ministères gouvernementaux</w:t>
      </w:r>
      <w:r w:rsidR="00C1026B" w:rsidRPr="00ED22D1">
        <w:rPr>
          <w:lang w:val="fr-CA"/>
        </w:rPr>
        <w:t>,</w:t>
      </w:r>
      <w:r w:rsidR="00921BDE" w:rsidRPr="00ED22D1">
        <w:rPr>
          <w:lang w:val="fr-CA"/>
        </w:rPr>
        <w:t xml:space="preserve"> </w:t>
      </w:r>
      <w:r w:rsidR="001C69F9" w:rsidRPr="00ED22D1">
        <w:rPr>
          <w:lang w:val="fr-CA"/>
        </w:rPr>
        <w:t xml:space="preserve">des producteurs de </w:t>
      </w:r>
      <w:r w:rsidR="00921BDE" w:rsidRPr="00ED22D1">
        <w:rPr>
          <w:lang w:val="fr-CA"/>
        </w:rPr>
        <w:t>mousse</w:t>
      </w:r>
      <w:r w:rsidR="001C69F9" w:rsidRPr="00ED22D1">
        <w:rPr>
          <w:lang w:val="fr-CA"/>
        </w:rPr>
        <w:t>s</w:t>
      </w:r>
      <w:r w:rsidR="00921BDE" w:rsidRPr="00ED22D1">
        <w:rPr>
          <w:lang w:val="fr-CA"/>
        </w:rPr>
        <w:t xml:space="preserve"> extrudée</w:t>
      </w:r>
      <w:r w:rsidR="001C69F9" w:rsidRPr="00ED22D1">
        <w:rPr>
          <w:lang w:val="fr-CA"/>
        </w:rPr>
        <w:t>s</w:t>
      </w:r>
      <w:r w:rsidR="00921BDE" w:rsidRPr="00ED22D1">
        <w:rPr>
          <w:lang w:val="fr-CA"/>
        </w:rPr>
        <w:t xml:space="preserve"> (XPS)</w:t>
      </w:r>
      <w:r w:rsidR="00C1026B" w:rsidRPr="00ED22D1">
        <w:rPr>
          <w:lang w:val="fr-CA"/>
        </w:rPr>
        <w:t xml:space="preserve"> </w:t>
      </w:r>
      <w:r w:rsidR="004A6828" w:rsidRPr="00ED22D1">
        <w:rPr>
          <w:lang w:val="fr-CA"/>
        </w:rPr>
        <w:t xml:space="preserve">et </w:t>
      </w:r>
      <w:r w:rsidR="001C69F9" w:rsidRPr="00ED22D1">
        <w:rPr>
          <w:lang w:val="fr-CA"/>
        </w:rPr>
        <w:t>des fournisseurs d’</w:t>
      </w:r>
      <w:r w:rsidR="00921BDE" w:rsidRPr="00ED22D1">
        <w:rPr>
          <w:lang w:val="fr-CA"/>
        </w:rPr>
        <w:t>équipements</w:t>
      </w:r>
      <w:r w:rsidR="00C1026B" w:rsidRPr="00ED22D1">
        <w:rPr>
          <w:lang w:val="fr-CA"/>
        </w:rPr>
        <w:t xml:space="preserve"> </w:t>
      </w:r>
      <w:r w:rsidR="001C69F9" w:rsidRPr="00ED22D1">
        <w:rPr>
          <w:lang w:val="fr-CA"/>
        </w:rPr>
        <w:t>e</w:t>
      </w:r>
      <w:r w:rsidR="00C1026B" w:rsidRPr="00ED22D1">
        <w:rPr>
          <w:lang w:val="fr-CA"/>
        </w:rPr>
        <w:t xml:space="preserve">n </w:t>
      </w:r>
      <w:r w:rsidR="004A6828" w:rsidRPr="00ED22D1">
        <w:rPr>
          <w:lang w:val="fr-CA"/>
        </w:rPr>
        <w:t xml:space="preserve">Allemagne et </w:t>
      </w:r>
      <w:r w:rsidR="001C69F9" w:rsidRPr="00ED22D1">
        <w:rPr>
          <w:lang w:val="fr-CA"/>
        </w:rPr>
        <w:t>en Suisse</w:t>
      </w:r>
      <w:r w:rsidR="00C1026B" w:rsidRPr="00ED22D1">
        <w:rPr>
          <w:lang w:val="fr-CA"/>
        </w:rPr>
        <w:t xml:space="preserve"> </w:t>
      </w:r>
      <w:r w:rsidR="001C69F9" w:rsidRPr="00ED22D1">
        <w:rPr>
          <w:lang w:val="fr-CA"/>
        </w:rPr>
        <w:t xml:space="preserve">afin d’échanger des renseignements sur les </w:t>
      </w:r>
      <w:r w:rsidR="00BB7CCB" w:rsidRPr="00ED22D1">
        <w:rPr>
          <w:lang w:val="fr-CA"/>
        </w:rPr>
        <w:t xml:space="preserve">technologies de remplacement </w:t>
      </w:r>
      <w:r w:rsidR="001C69F9" w:rsidRPr="00ED22D1">
        <w:rPr>
          <w:lang w:val="fr-CA"/>
        </w:rPr>
        <w:t>dans le marché européen</w:t>
      </w:r>
      <w:r w:rsidR="00802F71" w:rsidRPr="00ED22D1">
        <w:rPr>
          <w:lang w:val="fr-CA"/>
        </w:rPr>
        <w:t xml:space="preserve"> </w:t>
      </w:r>
      <w:r w:rsidR="001C69F9" w:rsidRPr="00ED22D1">
        <w:rPr>
          <w:lang w:val="fr-CA"/>
        </w:rPr>
        <w:t>des</w:t>
      </w:r>
      <w:r w:rsidR="00B03403" w:rsidRPr="00ED22D1">
        <w:rPr>
          <w:lang w:val="fr-CA"/>
        </w:rPr>
        <w:t> </w:t>
      </w:r>
      <w:r w:rsidR="00921BDE" w:rsidRPr="00ED22D1">
        <w:rPr>
          <w:lang w:val="fr-CA"/>
        </w:rPr>
        <w:t>mousse</w:t>
      </w:r>
      <w:r w:rsidR="001C69F9" w:rsidRPr="00ED22D1">
        <w:rPr>
          <w:lang w:val="fr-CA"/>
        </w:rPr>
        <w:t>s</w:t>
      </w:r>
      <w:r w:rsidR="00921BDE" w:rsidRPr="00ED22D1">
        <w:rPr>
          <w:lang w:val="fr-CA"/>
        </w:rPr>
        <w:t xml:space="preserve"> extrudée</w:t>
      </w:r>
      <w:r w:rsidR="001C69F9" w:rsidRPr="00ED22D1">
        <w:rPr>
          <w:lang w:val="fr-CA"/>
        </w:rPr>
        <w:t>s</w:t>
      </w:r>
      <w:r w:rsidR="00921BDE" w:rsidRPr="00ED22D1">
        <w:rPr>
          <w:lang w:val="fr-CA"/>
        </w:rPr>
        <w:t xml:space="preserve"> (XPS)</w:t>
      </w:r>
      <w:r w:rsidR="00C1026B" w:rsidRPr="00ED22D1">
        <w:rPr>
          <w:lang w:val="fr-CA"/>
        </w:rPr>
        <w:t xml:space="preserve"> </w:t>
      </w:r>
      <w:r w:rsidR="001C69F9" w:rsidRPr="00ED22D1">
        <w:rPr>
          <w:lang w:val="fr-CA"/>
        </w:rPr>
        <w:t xml:space="preserve">qui pourraient contribuer à la </w:t>
      </w:r>
      <w:r w:rsidR="00921BDE" w:rsidRPr="00ED22D1">
        <w:rPr>
          <w:lang w:val="fr-CA"/>
        </w:rPr>
        <w:t>mise en oeuvre de la phase</w:t>
      </w:r>
      <w:r w:rsidR="004A6828" w:rsidRPr="00ED22D1">
        <w:rPr>
          <w:lang w:val="fr-CA"/>
        </w:rPr>
        <w:t xml:space="preserve"> </w:t>
      </w:r>
      <w:r w:rsidR="00C1026B" w:rsidRPr="00ED22D1">
        <w:rPr>
          <w:lang w:val="fr-CA"/>
        </w:rPr>
        <w:t xml:space="preserve">II </w:t>
      </w:r>
      <w:r w:rsidR="001F19C1" w:rsidRPr="00ED22D1">
        <w:rPr>
          <w:lang w:val="fr-CA"/>
        </w:rPr>
        <w:t>du PGEH</w:t>
      </w:r>
      <w:r w:rsidR="00C1026B" w:rsidRPr="00ED22D1">
        <w:rPr>
          <w:lang w:val="fr-CA"/>
        </w:rPr>
        <w:t>.</w:t>
      </w:r>
    </w:p>
    <w:p w:rsidR="001C69F9" w:rsidRPr="00ED22D1" w:rsidRDefault="001C69F9" w:rsidP="00C1026B">
      <w:pPr>
        <w:pStyle w:val="Heading1"/>
        <w:numPr>
          <w:ilvl w:val="0"/>
          <w:numId w:val="0"/>
        </w:numPr>
        <w:rPr>
          <w:u w:val="single"/>
          <w:lang w:val="fr-CA"/>
        </w:rPr>
      </w:pPr>
    </w:p>
    <w:p w:rsidR="00C1026B" w:rsidRPr="00ED22D1" w:rsidRDefault="001C69F9" w:rsidP="00C1026B">
      <w:pPr>
        <w:pStyle w:val="Heading1"/>
        <w:numPr>
          <w:ilvl w:val="0"/>
          <w:numId w:val="0"/>
        </w:numPr>
        <w:rPr>
          <w:u w:val="single"/>
          <w:lang w:val="fr-CA"/>
        </w:rPr>
      </w:pPr>
      <w:r w:rsidRPr="00ED22D1">
        <w:rPr>
          <w:u w:val="single"/>
          <w:lang w:val="fr-CA"/>
        </w:rPr>
        <w:lastRenderedPageBreak/>
        <w:t>Décaissement des fonds</w:t>
      </w:r>
    </w:p>
    <w:p w:rsidR="00C1026B" w:rsidRPr="00ED22D1" w:rsidRDefault="002D2C0B" w:rsidP="002D2C0B">
      <w:pPr>
        <w:pStyle w:val="Heading1"/>
        <w:numPr>
          <w:ilvl w:val="0"/>
          <w:numId w:val="0"/>
        </w:numPr>
        <w:rPr>
          <w:lang w:val="fr-CA"/>
        </w:rPr>
      </w:pPr>
      <w:r w:rsidRPr="00ED22D1">
        <w:rPr>
          <w:lang w:val="fr-CA"/>
        </w:rPr>
        <w:t>61.</w:t>
      </w:r>
      <w:r w:rsidRPr="00ED22D1">
        <w:rPr>
          <w:lang w:val="fr-CA"/>
        </w:rPr>
        <w:tab/>
      </w:r>
      <w:r w:rsidR="001C69F9" w:rsidRPr="00ED22D1">
        <w:rPr>
          <w:lang w:val="fr-CA"/>
        </w:rPr>
        <w:t xml:space="preserve">En date de mars </w:t>
      </w:r>
      <w:r w:rsidR="00C1026B" w:rsidRPr="00ED22D1">
        <w:rPr>
          <w:lang w:val="fr-CA"/>
        </w:rPr>
        <w:t>201</w:t>
      </w:r>
      <w:r w:rsidR="004A6828" w:rsidRPr="00ED22D1">
        <w:rPr>
          <w:lang w:val="fr-CA"/>
        </w:rPr>
        <w:t>9</w:t>
      </w:r>
      <w:r w:rsidR="00EC100C" w:rsidRPr="00ED22D1">
        <w:rPr>
          <w:lang w:val="fr-CA"/>
        </w:rPr>
        <w:t>,</w:t>
      </w:r>
      <w:r w:rsidR="00C1026B" w:rsidRPr="00ED22D1">
        <w:rPr>
          <w:lang w:val="fr-CA"/>
        </w:rPr>
        <w:t xml:space="preserve"> </w:t>
      </w:r>
      <w:r w:rsidR="001C69F9" w:rsidRPr="00ED22D1">
        <w:rPr>
          <w:lang w:val="fr-CA"/>
        </w:rPr>
        <w:t>des</w:t>
      </w:r>
      <w:r w:rsidR="00C1026B" w:rsidRPr="00ED22D1">
        <w:rPr>
          <w:lang w:val="fr-CA"/>
        </w:rPr>
        <w:t xml:space="preserve"> 1</w:t>
      </w:r>
      <w:r w:rsidR="004A6828" w:rsidRPr="00ED22D1">
        <w:rPr>
          <w:lang w:val="fr-CA"/>
        </w:rPr>
        <w:t>6 </w:t>
      </w:r>
      <w:r w:rsidR="00C1026B" w:rsidRPr="00ED22D1">
        <w:rPr>
          <w:lang w:val="fr-CA"/>
        </w:rPr>
        <w:t>51</w:t>
      </w:r>
      <w:r w:rsidR="004A6828" w:rsidRPr="00ED22D1">
        <w:rPr>
          <w:lang w:val="fr-CA"/>
        </w:rPr>
        <w:t>4 </w:t>
      </w:r>
      <w:r w:rsidR="00C1026B" w:rsidRPr="00ED22D1">
        <w:rPr>
          <w:lang w:val="fr-CA"/>
        </w:rPr>
        <w:t>867</w:t>
      </w:r>
      <w:r w:rsidR="00EC100C" w:rsidRPr="00ED22D1">
        <w:rPr>
          <w:lang w:val="fr-CA"/>
        </w:rPr>
        <w:t> $US</w:t>
      </w:r>
      <w:r w:rsidR="00C1026B" w:rsidRPr="00ED22D1">
        <w:rPr>
          <w:lang w:val="fr-CA"/>
        </w:rPr>
        <w:t xml:space="preserve"> </w:t>
      </w:r>
      <w:r w:rsidR="00AA6E77" w:rsidRPr="00ED22D1">
        <w:rPr>
          <w:lang w:val="fr-CA"/>
        </w:rPr>
        <w:t>approuvé</w:t>
      </w:r>
      <w:r w:rsidR="001C69F9" w:rsidRPr="00ED22D1">
        <w:rPr>
          <w:lang w:val="fr-CA"/>
        </w:rPr>
        <w:t>s</w:t>
      </w:r>
      <w:r w:rsidR="00C1026B" w:rsidRPr="00ED22D1">
        <w:rPr>
          <w:lang w:val="fr-CA"/>
        </w:rPr>
        <w:t xml:space="preserve">, </w:t>
      </w:r>
      <w:r w:rsidR="004A6828" w:rsidRPr="00ED22D1">
        <w:rPr>
          <w:lang w:val="fr-CA"/>
        </w:rPr>
        <w:t>4 </w:t>
      </w:r>
      <w:r w:rsidR="00C1026B" w:rsidRPr="00ED22D1">
        <w:rPr>
          <w:lang w:val="fr-CA"/>
        </w:rPr>
        <w:t>34</w:t>
      </w:r>
      <w:r w:rsidR="004A6828" w:rsidRPr="00ED22D1">
        <w:rPr>
          <w:lang w:val="fr-CA"/>
        </w:rPr>
        <w:t>5 </w:t>
      </w:r>
      <w:r w:rsidR="00C1026B" w:rsidRPr="00ED22D1">
        <w:rPr>
          <w:lang w:val="fr-CA"/>
        </w:rPr>
        <w:t>173</w:t>
      </w:r>
      <w:r w:rsidR="00EC100C" w:rsidRPr="00ED22D1">
        <w:rPr>
          <w:lang w:val="fr-CA"/>
        </w:rPr>
        <w:t> $US</w:t>
      </w:r>
      <w:r w:rsidR="00C1026B" w:rsidRPr="00ED22D1">
        <w:rPr>
          <w:lang w:val="fr-CA"/>
        </w:rPr>
        <w:t xml:space="preserve"> (2</w:t>
      </w:r>
      <w:r w:rsidR="004A6828" w:rsidRPr="00ED22D1">
        <w:rPr>
          <w:lang w:val="fr-CA"/>
        </w:rPr>
        <w:t>6,</w:t>
      </w:r>
      <w:r w:rsidR="00C1026B" w:rsidRPr="00ED22D1">
        <w:rPr>
          <w:lang w:val="fr-CA"/>
        </w:rPr>
        <w:t xml:space="preserve">3 </w:t>
      </w:r>
      <w:r w:rsidR="001B31BF" w:rsidRPr="00ED22D1">
        <w:rPr>
          <w:lang w:val="fr-CA"/>
        </w:rPr>
        <w:t>pour cent</w:t>
      </w:r>
      <w:r w:rsidR="00C1026B" w:rsidRPr="00ED22D1">
        <w:rPr>
          <w:lang w:val="fr-CA"/>
        </w:rPr>
        <w:t xml:space="preserve">) </w:t>
      </w:r>
      <w:r w:rsidR="001C69F9" w:rsidRPr="00ED22D1">
        <w:rPr>
          <w:lang w:val="fr-CA"/>
        </w:rPr>
        <w:t>avaient</w:t>
      </w:r>
      <w:r w:rsidR="00903152" w:rsidRPr="00ED22D1">
        <w:rPr>
          <w:lang w:val="fr-CA"/>
        </w:rPr>
        <w:t xml:space="preserve"> été</w:t>
      </w:r>
      <w:r w:rsidR="00C1026B" w:rsidRPr="00ED22D1">
        <w:rPr>
          <w:lang w:val="fr-CA"/>
        </w:rPr>
        <w:t xml:space="preserve"> </w:t>
      </w:r>
      <w:r w:rsidR="00181884" w:rsidRPr="00ED22D1">
        <w:rPr>
          <w:lang w:val="fr-CA"/>
        </w:rPr>
        <w:t>décaissé</w:t>
      </w:r>
      <w:r w:rsidR="001C69F9" w:rsidRPr="00ED22D1">
        <w:rPr>
          <w:lang w:val="fr-CA"/>
        </w:rPr>
        <w:t>s</w:t>
      </w:r>
      <w:r w:rsidR="00DE118B" w:rsidRPr="00ED22D1">
        <w:rPr>
          <w:lang w:val="fr-CA"/>
        </w:rPr>
        <w:t xml:space="preserve"> par</w:t>
      </w:r>
      <w:r w:rsidR="00F320D6" w:rsidRPr="00ED22D1">
        <w:rPr>
          <w:lang w:val="fr-CA"/>
        </w:rPr>
        <w:t xml:space="preserve"> l’IECO</w:t>
      </w:r>
      <w:r w:rsidR="00C1026B" w:rsidRPr="00ED22D1">
        <w:rPr>
          <w:lang w:val="fr-CA"/>
        </w:rPr>
        <w:t xml:space="preserve"> </w:t>
      </w:r>
      <w:r w:rsidR="00F5455E" w:rsidRPr="00ED22D1">
        <w:rPr>
          <w:lang w:val="fr-CA"/>
        </w:rPr>
        <w:t xml:space="preserve">aux </w:t>
      </w:r>
      <w:r w:rsidR="001C69F9" w:rsidRPr="00ED22D1">
        <w:rPr>
          <w:lang w:val="fr-CA"/>
        </w:rPr>
        <w:t>entreprises bénéficiaires</w:t>
      </w:r>
      <w:r w:rsidR="0031390F" w:rsidRPr="00ED22D1">
        <w:rPr>
          <w:lang w:val="fr-CA"/>
        </w:rPr>
        <w:t>. Le</w:t>
      </w:r>
      <w:r w:rsidR="001C69F9" w:rsidRPr="00ED22D1">
        <w:rPr>
          <w:lang w:val="fr-CA"/>
        </w:rPr>
        <w:t xml:space="preserve"> </w:t>
      </w:r>
      <w:r w:rsidR="00CE7FEC" w:rsidRPr="00ED22D1">
        <w:rPr>
          <w:lang w:val="fr-CA"/>
        </w:rPr>
        <w:t xml:space="preserve">tableau </w:t>
      </w:r>
      <w:r w:rsidR="00C1026B" w:rsidRPr="00ED22D1">
        <w:rPr>
          <w:lang w:val="fr-CA"/>
        </w:rPr>
        <w:t xml:space="preserve">2 </w:t>
      </w:r>
      <w:r w:rsidR="001C69F9" w:rsidRPr="00ED22D1">
        <w:rPr>
          <w:lang w:val="fr-CA"/>
        </w:rPr>
        <w:t xml:space="preserve">présente l’état général des </w:t>
      </w:r>
      <w:r w:rsidR="00181884" w:rsidRPr="00ED22D1">
        <w:rPr>
          <w:lang w:val="fr-CA"/>
        </w:rPr>
        <w:t>décaissement</w:t>
      </w:r>
      <w:r w:rsidR="00C1026B" w:rsidRPr="00ED22D1">
        <w:rPr>
          <w:lang w:val="fr-CA"/>
        </w:rPr>
        <w:t xml:space="preserve">s. </w:t>
      </w:r>
    </w:p>
    <w:p w:rsidR="0085675A" w:rsidRPr="00ED22D1" w:rsidRDefault="00CE7FEC" w:rsidP="0085675A">
      <w:pPr>
        <w:keepNext/>
        <w:keepLines/>
        <w:rPr>
          <w:b/>
          <w:lang w:val="fr-CA"/>
        </w:rPr>
      </w:pPr>
      <w:r w:rsidRPr="00ED22D1">
        <w:rPr>
          <w:b/>
          <w:lang w:val="fr-CA"/>
        </w:rPr>
        <w:t xml:space="preserve">Tableau </w:t>
      </w:r>
      <w:r w:rsidR="004A6828" w:rsidRPr="00ED22D1">
        <w:rPr>
          <w:b/>
          <w:lang w:val="fr-CA"/>
        </w:rPr>
        <w:t>2</w:t>
      </w:r>
      <w:r w:rsidR="00D05BD1" w:rsidRPr="00ED22D1">
        <w:rPr>
          <w:b/>
          <w:lang w:val="fr-CA"/>
        </w:rPr>
        <w:t>.</w:t>
      </w:r>
      <w:r w:rsidR="0085675A" w:rsidRPr="00ED22D1">
        <w:rPr>
          <w:b/>
          <w:lang w:val="fr-CA"/>
        </w:rPr>
        <w:t xml:space="preserve"> </w:t>
      </w:r>
      <w:r w:rsidR="001C69F9" w:rsidRPr="00ED22D1">
        <w:rPr>
          <w:b/>
          <w:lang w:val="fr-CA"/>
        </w:rPr>
        <w:t xml:space="preserve">État des </w:t>
      </w:r>
      <w:r w:rsidR="00181884" w:rsidRPr="00ED22D1">
        <w:rPr>
          <w:b/>
          <w:lang w:val="fr-CA"/>
        </w:rPr>
        <w:t>décaissement</w:t>
      </w:r>
      <w:r w:rsidR="0085675A" w:rsidRPr="00ED22D1">
        <w:rPr>
          <w:b/>
          <w:lang w:val="fr-CA"/>
        </w:rPr>
        <w:t xml:space="preserve">s </w:t>
      </w:r>
      <w:r w:rsidR="00874624" w:rsidRPr="00ED22D1">
        <w:rPr>
          <w:b/>
          <w:lang w:val="fr-CA"/>
        </w:rPr>
        <w:t xml:space="preserve">du plan du secteur des </w:t>
      </w:r>
      <w:r w:rsidR="00921BDE" w:rsidRPr="00ED22D1">
        <w:rPr>
          <w:b/>
          <w:lang w:val="fr-CA"/>
        </w:rPr>
        <w:t>mousse</w:t>
      </w:r>
      <w:r w:rsidR="00874624" w:rsidRPr="00ED22D1">
        <w:rPr>
          <w:b/>
          <w:lang w:val="fr-CA"/>
        </w:rPr>
        <w:t>s</w:t>
      </w:r>
      <w:r w:rsidR="00921BDE" w:rsidRPr="00ED22D1">
        <w:rPr>
          <w:b/>
          <w:lang w:val="fr-CA"/>
        </w:rPr>
        <w:t xml:space="preserve"> extrudée</w:t>
      </w:r>
      <w:r w:rsidR="00874624" w:rsidRPr="00ED22D1">
        <w:rPr>
          <w:b/>
          <w:lang w:val="fr-CA"/>
        </w:rPr>
        <w:t>s</w:t>
      </w:r>
      <w:r w:rsidR="00921BDE" w:rsidRPr="00ED22D1">
        <w:rPr>
          <w:b/>
          <w:lang w:val="fr-CA"/>
        </w:rPr>
        <w:t xml:space="preserve"> (XPS)</w:t>
      </w:r>
      <w:r w:rsidR="0085675A" w:rsidRPr="00ED22D1">
        <w:rPr>
          <w:b/>
          <w:lang w:val="fr-CA"/>
        </w:rPr>
        <w:t xml:space="preserve"> (</w:t>
      </w:r>
      <w:r w:rsidR="00874624" w:rsidRPr="00ED22D1">
        <w:rPr>
          <w:b/>
          <w:lang w:val="fr-CA"/>
        </w:rPr>
        <w:t>en date de</w:t>
      </w:r>
      <w:r w:rsidR="00B03403" w:rsidRPr="00ED22D1">
        <w:rPr>
          <w:b/>
          <w:lang w:val="fr-CA"/>
        </w:rPr>
        <w:t> </w:t>
      </w:r>
      <w:r w:rsidR="001C69F9" w:rsidRPr="00ED22D1">
        <w:rPr>
          <w:b/>
          <w:lang w:val="fr-CA"/>
        </w:rPr>
        <w:t>mars</w:t>
      </w:r>
      <w:r w:rsidR="00B03403" w:rsidRPr="00ED22D1">
        <w:rPr>
          <w:b/>
          <w:lang w:val="fr-CA"/>
        </w:rPr>
        <w:t> </w:t>
      </w:r>
      <w:r w:rsidR="0085675A" w:rsidRPr="00ED22D1">
        <w:rPr>
          <w:b/>
          <w:lang w:val="fr-CA"/>
        </w:rPr>
        <w:t>2019)</w:t>
      </w:r>
    </w:p>
    <w:tbl>
      <w:tblPr>
        <w:tblW w:w="5000" w:type="pct"/>
        <w:tblLook w:val="04A0" w:firstRow="1" w:lastRow="0" w:firstColumn="1" w:lastColumn="0" w:noHBand="0" w:noVBand="1"/>
      </w:tblPr>
      <w:tblGrid>
        <w:gridCol w:w="2756"/>
        <w:gridCol w:w="2178"/>
        <w:gridCol w:w="1452"/>
        <w:gridCol w:w="1597"/>
        <w:gridCol w:w="1593"/>
      </w:tblGrid>
      <w:tr w:rsidR="0085675A" w:rsidRPr="00ED22D1" w:rsidTr="0085675A">
        <w:trPr>
          <w:trHeight w:val="280"/>
        </w:trPr>
        <w:tc>
          <w:tcPr>
            <w:tcW w:w="257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75A" w:rsidRPr="00ED22D1" w:rsidRDefault="00874624" w:rsidP="00874624">
            <w:pPr>
              <w:keepNext/>
              <w:keepLines/>
              <w:jc w:val="center"/>
              <w:rPr>
                <w:b/>
                <w:bCs/>
                <w:color w:val="000000"/>
                <w:sz w:val="20"/>
                <w:szCs w:val="20"/>
                <w:lang w:val="fr-CA" w:eastAsia="en-CA"/>
              </w:rPr>
            </w:pPr>
            <w:r w:rsidRPr="00ED22D1">
              <w:rPr>
                <w:b/>
                <w:bCs/>
                <w:color w:val="000000"/>
                <w:sz w:val="20"/>
                <w:szCs w:val="20"/>
                <w:lang w:val="fr-CA" w:eastAsia="en-CA"/>
              </w:rPr>
              <w:t xml:space="preserve">Plan du secteur des mousses </w:t>
            </w:r>
            <w:r w:rsidR="0085675A" w:rsidRPr="00ED22D1">
              <w:rPr>
                <w:b/>
                <w:bCs/>
                <w:color w:val="000000"/>
                <w:sz w:val="20"/>
                <w:szCs w:val="20"/>
                <w:lang w:val="fr-CA" w:eastAsia="en-CA"/>
              </w:rPr>
              <w:t>XPS (</w:t>
            </w:r>
            <w:r w:rsidR="004A6828" w:rsidRPr="00ED22D1">
              <w:rPr>
                <w:b/>
                <w:bCs/>
                <w:color w:val="000000"/>
                <w:sz w:val="20"/>
                <w:szCs w:val="20"/>
                <w:lang w:val="fr-CA" w:eastAsia="en-CA"/>
              </w:rPr>
              <w:t>ONUDI</w:t>
            </w:r>
            <w:r w:rsidR="0085675A" w:rsidRPr="00ED22D1">
              <w:rPr>
                <w:b/>
                <w:bCs/>
                <w:color w:val="000000"/>
                <w:sz w:val="20"/>
                <w:szCs w:val="20"/>
                <w:lang w:val="fr-CA" w:eastAsia="en-CA"/>
              </w:rPr>
              <w:t>/</w:t>
            </w:r>
            <w:r w:rsidR="004A6828" w:rsidRPr="00ED22D1">
              <w:rPr>
                <w:b/>
                <w:bCs/>
                <w:color w:val="000000"/>
                <w:sz w:val="20"/>
                <w:szCs w:val="20"/>
                <w:lang w:val="fr-CA" w:eastAsia="en-CA"/>
              </w:rPr>
              <w:t>Allemagne</w:t>
            </w:r>
            <w:r w:rsidR="0085675A" w:rsidRPr="00ED22D1">
              <w:rPr>
                <w:b/>
                <w:bCs/>
                <w:color w:val="000000"/>
                <w:sz w:val="20"/>
                <w:szCs w:val="20"/>
                <w:lang w:val="fr-CA" w:eastAsia="en-CA"/>
              </w:rPr>
              <w:t>)</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85675A" w:rsidRPr="00ED22D1" w:rsidRDefault="0085675A" w:rsidP="0085675A">
            <w:pPr>
              <w:keepNext/>
              <w:keepLines/>
              <w:jc w:val="center"/>
              <w:rPr>
                <w:b/>
                <w:bCs/>
                <w:color w:val="000000"/>
                <w:sz w:val="20"/>
                <w:szCs w:val="20"/>
                <w:lang w:val="fr-CA" w:eastAsia="en-CA"/>
              </w:rPr>
            </w:pPr>
            <w:r w:rsidRPr="00ED22D1">
              <w:rPr>
                <w:b/>
                <w:bCs/>
                <w:color w:val="000000"/>
                <w:sz w:val="20"/>
                <w:szCs w:val="20"/>
                <w:lang w:val="fr-CA" w:eastAsia="en-CA"/>
              </w:rPr>
              <w:t>Tranche 1</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85675A" w:rsidRPr="00ED22D1" w:rsidRDefault="0085675A" w:rsidP="0085675A">
            <w:pPr>
              <w:keepNext/>
              <w:keepLines/>
              <w:jc w:val="center"/>
              <w:rPr>
                <w:b/>
                <w:bCs/>
                <w:color w:val="000000"/>
                <w:sz w:val="20"/>
                <w:szCs w:val="20"/>
                <w:lang w:val="fr-CA" w:eastAsia="en-CA"/>
              </w:rPr>
            </w:pPr>
            <w:r w:rsidRPr="00ED22D1">
              <w:rPr>
                <w:b/>
                <w:bCs/>
                <w:color w:val="000000"/>
                <w:sz w:val="20"/>
                <w:szCs w:val="20"/>
                <w:lang w:val="fr-CA" w:eastAsia="en-CA"/>
              </w:rPr>
              <w:t>Tranche 2</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rsidR="0085675A" w:rsidRPr="00ED22D1" w:rsidRDefault="0085675A" w:rsidP="0085675A">
            <w:pPr>
              <w:keepNext/>
              <w:keepLines/>
              <w:jc w:val="center"/>
              <w:rPr>
                <w:b/>
                <w:bCs/>
                <w:color w:val="000000"/>
                <w:sz w:val="20"/>
                <w:szCs w:val="20"/>
                <w:lang w:val="fr-CA" w:eastAsia="en-CA"/>
              </w:rPr>
            </w:pPr>
            <w:r w:rsidRPr="00ED22D1">
              <w:rPr>
                <w:b/>
                <w:bCs/>
                <w:color w:val="000000"/>
                <w:sz w:val="20"/>
                <w:szCs w:val="20"/>
                <w:lang w:val="fr-CA" w:eastAsia="en-CA"/>
              </w:rPr>
              <w:t>Total</w:t>
            </w:r>
          </w:p>
        </w:tc>
      </w:tr>
      <w:tr w:rsidR="00874624" w:rsidRPr="00ED22D1" w:rsidTr="0085675A">
        <w:trPr>
          <w:trHeight w:val="280"/>
        </w:trPr>
        <w:tc>
          <w:tcPr>
            <w:tcW w:w="1439" w:type="pct"/>
            <w:vMerge w:val="restart"/>
            <w:tcBorders>
              <w:top w:val="single" w:sz="4" w:space="0" w:color="auto"/>
              <w:left w:val="single" w:sz="4" w:space="0" w:color="auto"/>
              <w:right w:val="single" w:sz="4" w:space="0" w:color="000000"/>
            </w:tcBorders>
            <w:shd w:val="clear" w:color="auto" w:fill="auto"/>
            <w:vAlign w:val="center"/>
            <w:hideMark/>
          </w:tcPr>
          <w:p w:rsidR="0085675A" w:rsidRPr="00ED22D1" w:rsidRDefault="00905638" w:rsidP="0085675A">
            <w:pPr>
              <w:keepNext/>
              <w:keepLines/>
              <w:jc w:val="left"/>
              <w:rPr>
                <w:color w:val="000000"/>
                <w:sz w:val="20"/>
                <w:szCs w:val="20"/>
                <w:lang w:val="fr-CA" w:eastAsia="en-CA"/>
              </w:rPr>
            </w:pPr>
            <w:r w:rsidRPr="00ED22D1">
              <w:rPr>
                <w:color w:val="000000"/>
                <w:sz w:val="20"/>
                <w:szCs w:val="20"/>
                <w:lang w:val="fr-CA" w:eastAsia="en-CA"/>
              </w:rPr>
              <w:t>Financement</w:t>
            </w:r>
            <w:r w:rsidR="0085675A" w:rsidRPr="00ED22D1">
              <w:rPr>
                <w:color w:val="000000"/>
                <w:sz w:val="20"/>
                <w:szCs w:val="20"/>
                <w:lang w:val="fr-CA" w:eastAsia="en-CA"/>
              </w:rPr>
              <w:t xml:space="preserve"> </w:t>
            </w:r>
            <w:r w:rsidR="00AA6E77" w:rsidRPr="00ED22D1">
              <w:rPr>
                <w:color w:val="000000"/>
                <w:sz w:val="20"/>
                <w:szCs w:val="20"/>
                <w:lang w:val="fr-CA" w:eastAsia="en-CA"/>
              </w:rPr>
              <w:t>approuvé</w:t>
            </w:r>
          </w:p>
        </w:tc>
        <w:tc>
          <w:tcPr>
            <w:tcW w:w="1137" w:type="pct"/>
            <w:tcBorders>
              <w:top w:val="single" w:sz="4" w:space="0" w:color="auto"/>
              <w:left w:val="single" w:sz="4" w:space="0" w:color="auto"/>
              <w:bottom w:val="single" w:sz="4" w:space="0" w:color="auto"/>
              <w:right w:val="single" w:sz="4" w:space="0" w:color="000000"/>
            </w:tcBorders>
            <w:shd w:val="clear" w:color="auto" w:fill="auto"/>
            <w:vAlign w:val="center"/>
          </w:tcPr>
          <w:p w:rsidR="0085675A" w:rsidRPr="00ED22D1" w:rsidRDefault="004A6828" w:rsidP="0085675A">
            <w:pPr>
              <w:keepNext/>
              <w:keepLines/>
              <w:jc w:val="left"/>
              <w:rPr>
                <w:color w:val="000000"/>
                <w:sz w:val="20"/>
                <w:szCs w:val="20"/>
                <w:lang w:val="fr-CA" w:eastAsia="en-CA"/>
              </w:rPr>
            </w:pPr>
            <w:r w:rsidRPr="00ED22D1">
              <w:rPr>
                <w:color w:val="000000"/>
                <w:sz w:val="20"/>
                <w:szCs w:val="20"/>
                <w:lang w:val="fr-CA" w:eastAsia="en-CA"/>
              </w:rPr>
              <w:t>ONUDI</w:t>
            </w:r>
          </w:p>
        </w:tc>
        <w:tc>
          <w:tcPr>
            <w:tcW w:w="758" w:type="pct"/>
            <w:tcBorders>
              <w:top w:val="nil"/>
              <w:left w:val="nil"/>
              <w:bottom w:val="single" w:sz="4" w:space="0" w:color="auto"/>
              <w:right w:val="single" w:sz="4" w:space="0" w:color="auto"/>
            </w:tcBorders>
            <w:shd w:val="clear" w:color="auto" w:fill="auto"/>
            <w:vAlign w:val="center"/>
            <w:hideMark/>
          </w:tcPr>
          <w:p w:rsidR="0085675A" w:rsidRPr="00ED22D1" w:rsidRDefault="004A6828" w:rsidP="0085675A">
            <w:pPr>
              <w:keepNext/>
              <w:keepLines/>
              <w:jc w:val="right"/>
              <w:rPr>
                <w:color w:val="000000"/>
                <w:sz w:val="20"/>
                <w:szCs w:val="20"/>
                <w:lang w:val="fr-CA" w:eastAsia="en-CA"/>
              </w:rPr>
            </w:pPr>
            <w:r w:rsidRPr="00ED22D1">
              <w:rPr>
                <w:color w:val="000000"/>
                <w:sz w:val="20"/>
                <w:szCs w:val="20"/>
                <w:lang w:val="fr-CA" w:eastAsia="en-CA"/>
              </w:rPr>
              <w:t>7 </w:t>
            </w:r>
            <w:r w:rsidR="0085675A" w:rsidRPr="00ED22D1">
              <w:rPr>
                <w:color w:val="000000"/>
                <w:sz w:val="20"/>
                <w:szCs w:val="20"/>
                <w:lang w:val="fr-CA" w:eastAsia="en-CA"/>
              </w:rPr>
              <w:t>51</w:t>
            </w:r>
            <w:r w:rsidRPr="00ED22D1">
              <w:rPr>
                <w:color w:val="000000"/>
                <w:sz w:val="20"/>
                <w:szCs w:val="20"/>
                <w:lang w:val="fr-CA" w:eastAsia="en-CA"/>
              </w:rPr>
              <w:t>4 </w:t>
            </w:r>
            <w:r w:rsidR="0085675A" w:rsidRPr="00ED22D1">
              <w:rPr>
                <w:color w:val="000000"/>
                <w:sz w:val="20"/>
                <w:szCs w:val="20"/>
                <w:lang w:val="fr-CA" w:eastAsia="en-CA"/>
              </w:rPr>
              <w:t>867</w:t>
            </w:r>
          </w:p>
        </w:tc>
        <w:tc>
          <w:tcPr>
            <w:tcW w:w="834" w:type="pct"/>
            <w:tcBorders>
              <w:top w:val="nil"/>
              <w:left w:val="nil"/>
              <w:bottom w:val="single" w:sz="4" w:space="0" w:color="auto"/>
              <w:right w:val="single" w:sz="4" w:space="0" w:color="auto"/>
            </w:tcBorders>
            <w:shd w:val="clear" w:color="auto" w:fill="auto"/>
            <w:vAlign w:val="center"/>
            <w:hideMark/>
          </w:tcPr>
          <w:p w:rsidR="0085675A" w:rsidRPr="00ED22D1" w:rsidRDefault="004A6828" w:rsidP="0085675A">
            <w:pPr>
              <w:keepNext/>
              <w:keepLines/>
              <w:jc w:val="right"/>
              <w:rPr>
                <w:color w:val="000000"/>
                <w:sz w:val="20"/>
                <w:szCs w:val="20"/>
                <w:lang w:val="fr-CA" w:eastAsia="en-CA"/>
              </w:rPr>
            </w:pPr>
            <w:r w:rsidRPr="00ED22D1">
              <w:rPr>
                <w:color w:val="000000"/>
                <w:sz w:val="20"/>
                <w:szCs w:val="20"/>
                <w:lang w:val="fr-CA" w:eastAsia="en-CA"/>
              </w:rPr>
              <w:t>8 </w:t>
            </w:r>
            <w:r w:rsidR="0085675A" w:rsidRPr="00ED22D1">
              <w:rPr>
                <w:color w:val="000000"/>
                <w:sz w:val="20"/>
                <w:szCs w:val="20"/>
                <w:lang w:val="fr-CA" w:eastAsia="en-CA"/>
              </w:rPr>
              <w:t>73</w:t>
            </w:r>
            <w:r w:rsidRPr="00ED22D1">
              <w:rPr>
                <w:color w:val="000000"/>
                <w:sz w:val="20"/>
                <w:szCs w:val="20"/>
                <w:lang w:val="fr-CA" w:eastAsia="en-CA"/>
              </w:rPr>
              <w:t>2 </w:t>
            </w:r>
            <w:r w:rsidR="0085675A" w:rsidRPr="00ED22D1">
              <w:rPr>
                <w:color w:val="000000"/>
                <w:sz w:val="20"/>
                <w:szCs w:val="20"/>
                <w:lang w:val="fr-CA" w:eastAsia="en-CA"/>
              </w:rPr>
              <w:t>614</w:t>
            </w:r>
          </w:p>
        </w:tc>
        <w:tc>
          <w:tcPr>
            <w:tcW w:w="832"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keepNext/>
              <w:keepLines/>
              <w:jc w:val="right"/>
              <w:rPr>
                <w:color w:val="000000"/>
                <w:sz w:val="20"/>
                <w:szCs w:val="20"/>
                <w:lang w:val="fr-CA" w:eastAsia="en-CA"/>
              </w:rPr>
            </w:pPr>
            <w:r w:rsidRPr="00ED22D1">
              <w:rPr>
                <w:color w:val="000000"/>
                <w:sz w:val="20"/>
                <w:szCs w:val="20"/>
                <w:lang w:val="fr-CA" w:eastAsia="en-CA"/>
              </w:rPr>
              <w:t>1</w:t>
            </w:r>
            <w:r w:rsidR="004A6828" w:rsidRPr="00ED22D1">
              <w:rPr>
                <w:color w:val="000000"/>
                <w:sz w:val="20"/>
                <w:szCs w:val="20"/>
                <w:lang w:val="fr-CA" w:eastAsia="en-CA"/>
              </w:rPr>
              <w:t>6 </w:t>
            </w:r>
            <w:r w:rsidRPr="00ED22D1">
              <w:rPr>
                <w:color w:val="000000"/>
                <w:sz w:val="20"/>
                <w:szCs w:val="20"/>
                <w:lang w:val="fr-CA" w:eastAsia="en-CA"/>
              </w:rPr>
              <w:t>24</w:t>
            </w:r>
            <w:r w:rsidR="004A6828" w:rsidRPr="00ED22D1">
              <w:rPr>
                <w:color w:val="000000"/>
                <w:sz w:val="20"/>
                <w:szCs w:val="20"/>
                <w:lang w:val="fr-CA" w:eastAsia="en-CA"/>
              </w:rPr>
              <w:t>7 </w:t>
            </w:r>
            <w:r w:rsidRPr="00ED22D1">
              <w:rPr>
                <w:color w:val="000000"/>
                <w:sz w:val="20"/>
                <w:szCs w:val="20"/>
                <w:lang w:val="fr-CA" w:eastAsia="en-CA"/>
              </w:rPr>
              <w:t>481</w:t>
            </w:r>
          </w:p>
        </w:tc>
      </w:tr>
      <w:tr w:rsidR="00874624" w:rsidRPr="00ED22D1" w:rsidTr="0085675A">
        <w:trPr>
          <w:trHeight w:val="280"/>
        </w:trPr>
        <w:tc>
          <w:tcPr>
            <w:tcW w:w="1439" w:type="pct"/>
            <w:vMerge/>
            <w:tcBorders>
              <w:left w:val="single" w:sz="4" w:space="0" w:color="auto"/>
              <w:right w:val="single" w:sz="4" w:space="0" w:color="000000"/>
            </w:tcBorders>
            <w:shd w:val="clear" w:color="auto" w:fill="auto"/>
            <w:vAlign w:val="center"/>
          </w:tcPr>
          <w:p w:rsidR="0085675A" w:rsidRPr="00ED22D1" w:rsidRDefault="0085675A" w:rsidP="0085675A">
            <w:pPr>
              <w:keepNext/>
              <w:keepLines/>
              <w:jc w:val="left"/>
              <w:rPr>
                <w:color w:val="000000"/>
                <w:sz w:val="20"/>
                <w:szCs w:val="20"/>
                <w:lang w:val="fr-CA" w:eastAsia="en-CA"/>
              </w:rPr>
            </w:pPr>
          </w:p>
        </w:tc>
        <w:tc>
          <w:tcPr>
            <w:tcW w:w="1137" w:type="pct"/>
            <w:tcBorders>
              <w:top w:val="single" w:sz="4" w:space="0" w:color="auto"/>
              <w:left w:val="single" w:sz="4" w:space="0" w:color="auto"/>
              <w:bottom w:val="single" w:sz="4" w:space="0" w:color="auto"/>
              <w:right w:val="single" w:sz="4" w:space="0" w:color="000000"/>
            </w:tcBorders>
            <w:shd w:val="clear" w:color="auto" w:fill="auto"/>
            <w:vAlign w:val="center"/>
          </w:tcPr>
          <w:p w:rsidR="0085675A" w:rsidRPr="00ED22D1" w:rsidRDefault="004A6828" w:rsidP="0085675A">
            <w:pPr>
              <w:keepNext/>
              <w:keepLines/>
              <w:jc w:val="left"/>
              <w:rPr>
                <w:color w:val="000000"/>
                <w:sz w:val="20"/>
                <w:szCs w:val="20"/>
                <w:lang w:val="fr-CA" w:eastAsia="en-CA"/>
              </w:rPr>
            </w:pPr>
            <w:r w:rsidRPr="00ED22D1">
              <w:rPr>
                <w:color w:val="000000"/>
                <w:sz w:val="20"/>
                <w:szCs w:val="20"/>
                <w:lang w:val="fr-CA" w:eastAsia="en-CA"/>
              </w:rPr>
              <w:t>Allemagne</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keepNext/>
              <w:keepLines/>
              <w:jc w:val="right"/>
              <w:rPr>
                <w:color w:val="000000"/>
                <w:sz w:val="20"/>
                <w:szCs w:val="20"/>
                <w:lang w:val="fr-CA" w:eastAsia="en-CA"/>
              </w:rPr>
            </w:pPr>
            <w:r w:rsidRPr="00ED22D1">
              <w:rPr>
                <w:color w:val="000000"/>
                <w:sz w:val="20"/>
                <w:szCs w:val="20"/>
                <w:lang w:val="fr-CA" w:eastAsia="en-CA"/>
              </w:rPr>
              <w:t>0</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keepNext/>
              <w:keepLines/>
              <w:jc w:val="right"/>
              <w:rPr>
                <w:color w:val="000000"/>
                <w:sz w:val="20"/>
                <w:szCs w:val="20"/>
                <w:lang w:val="fr-CA" w:eastAsia="en-CA"/>
              </w:rPr>
            </w:pPr>
            <w:r w:rsidRPr="00ED22D1">
              <w:rPr>
                <w:color w:val="000000"/>
                <w:sz w:val="20"/>
                <w:szCs w:val="20"/>
                <w:lang w:val="fr-CA" w:eastAsia="en-CA"/>
              </w:rPr>
              <w:t>26</w:t>
            </w:r>
            <w:r w:rsidR="004A6828" w:rsidRPr="00ED22D1">
              <w:rPr>
                <w:color w:val="000000"/>
                <w:sz w:val="20"/>
                <w:szCs w:val="20"/>
                <w:lang w:val="fr-CA" w:eastAsia="en-CA"/>
              </w:rPr>
              <w:t>7 </w:t>
            </w:r>
            <w:r w:rsidRPr="00ED22D1">
              <w:rPr>
                <w:color w:val="000000"/>
                <w:sz w:val="20"/>
                <w:szCs w:val="20"/>
                <w:lang w:val="fr-CA" w:eastAsia="en-CA"/>
              </w:rPr>
              <w:t>386</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keepNext/>
              <w:keepLines/>
              <w:jc w:val="right"/>
              <w:rPr>
                <w:color w:val="000000"/>
                <w:sz w:val="20"/>
                <w:szCs w:val="20"/>
                <w:lang w:val="fr-CA" w:eastAsia="en-CA"/>
              </w:rPr>
            </w:pPr>
            <w:r w:rsidRPr="00ED22D1">
              <w:rPr>
                <w:color w:val="000000"/>
                <w:sz w:val="20"/>
                <w:szCs w:val="20"/>
                <w:lang w:val="fr-CA" w:eastAsia="en-CA"/>
              </w:rPr>
              <w:t>26</w:t>
            </w:r>
            <w:r w:rsidR="004A6828" w:rsidRPr="00ED22D1">
              <w:rPr>
                <w:color w:val="000000"/>
                <w:sz w:val="20"/>
                <w:szCs w:val="20"/>
                <w:lang w:val="fr-CA" w:eastAsia="en-CA"/>
              </w:rPr>
              <w:t>7 </w:t>
            </w:r>
            <w:r w:rsidRPr="00ED22D1">
              <w:rPr>
                <w:color w:val="000000"/>
                <w:sz w:val="20"/>
                <w:szCs w:val="20"/>
                <w:lang w:val="fr-CA" w:eastAsia="en-CA"/>
              </w:rPr>
              <w:t>386</w:t>
            </w:r>
          </w:p>
        </w:tc>
      </w:tr>
      <w:tr w:rsidR="00874624" w:rsidRPr="00ED22D1" w:rsidTr="0085675A">
        <w:trPr>
          <w:trHeight w:val="280"/>
        </w:trPr>
        <w:tc>
          <w:tcPr>
            <w:tcW w:w="1439" w:type="pct"/>
            <w:vMerge/>
            <w:tcBorders>
              <w:left w:val="single" w:sz="4" w:space="0" w:color="auto"/>
              <w:bottom w:val="single" w:sz="4" w:space="0" w:color="auto"/>
              <w:right w:val="single" w:sz="4" w:space="0" w:color="000000"/>
            </w:tcBorders>
            <w:shd w:val="clear" w:color="auto" w:fill="auto"/>
            <w:vAlign w:val="center"/>
          </w:tcPr>
          <w:p w:rsidR="0085675A" w:rsidRPr="00ED22D1" w:rsidRDefault="0085675A" w:rsidP="0085675A">
            <w:pPr>
              <w:keepNext/>
              <w:keepLines/>
              <w:jc w:val="left"/>
              <w:rPr>
                <w:color w:val="000000"/>
                <w:sz w:val="20"/>
                <w:szCs w:val="20"/>
                <w:lang w:val="fr-CA" w:eastAsia="en-CA"/>
              </w:rPr>
            </w:pPr>
          </w:p>
        </w:tc>
        <w:tc>
          <w:tcPr>
            <w:tcW w:w="1137" w:type="pct"/>
            <w:tcBorders>
              <w:top w:val="single" w:sz="4" w:space="0" w:color="auto"/>
              <w:left w:val="single" w:sz="4" w:space="0" w:color="auto"/>
              <w:bottom w:val="single" w:sz="4" w:space="0" w:color="auto"/>
              <w:right w:val="single" w:sz="4" w:space="0" w:color="000000"/>
            </w:tcBorders>
            <w:shd w:val="clear" w:color="auto" w:fill="auto"/>
            <w:vAlign w:val="center"/>
          </w:tcPr>
          <w:p w:rsidR="0085675A" w:rsidRPr="00ED22D1" w:rsidRDefault="0085675A" w:rsidP="0085675A">
            <w:pPr>
              <w:keepNext/>
              <w:keepLines/>
              <w:jc w:val="left"/>
              <w:rPr>
                <w:b/>
                <w:color w:val="000000"/>
                <w:sz w:val="20"/>
                <w:szCs w:val="20"/>
                <w:lang w:val="fr-CA" w:eastAsia="en-CA"/>
              </w:rPr>
            </w:pPr>
            <w:r w:rsidRPr="00ED22D1">
              <w:rPr>
                <w:b/>
                <w:color w:val="000000"/>
                <w:sz w:val="20"/>
                <w:szCs w:val="20"/>
                <w:lang w:val="fr-CA" w:eastAsia="en-CA"/>
              </w:rPr>
              <w:t xml:space="preserve">Total </w:t>
            </w:r>
            <w:r w:rsidR="00874624" w:rsidRPr="00ED22D1">
              <w:rPr>
                <w:b/>
                <w:color w:val="000000"/>
                <w:sz w:val="20"/>
                <w:szCs w:val="20"/>
                <w:lang w:val="fr-CA" w:eastAsia="en-CA"/>
              </w:rPr>
              <w:t>($US)</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keepNext/>
              <w:keepLines/>
              <w:jc w:val="right"/>
              <w:rPr>
                <w:b/>
                <w:color w:val="000000"/>
                <w:sz w:val="20"/>
                <w:szCs w:val="20"/>
                <w:lang w:val="fr-CA" w:eastAsia="en-CA"/>
              </w:rPr>
            </w:pPr>
            <w:r w:rsidRPr="00ED22D1">
              <w:rPr>
                <w:b/>
                <w:color w:val="000000"/>
                <w:sz w:val="20"/>
                <w:szCs w:val="20"/>
                <w:lang w:val="fr-CA" w:eastAsia="en-CA"/>
              </w:rPr>
              <w:t>7 </w:t>
            </w:r>
            <w:r w:rsidR="0085675A" w:rsidRPr="00ED22D1">
              <w:rPr>
                <w:b/>
                <w:color w:val="000000"/>
                <w:sz w:val="20"/>
                <w:szCs w:val="20"/>
                <w:lang w:val="fr-CA" w:eastAsia="en-CA"/>
              </w:rPr>
              <w:t>51</w:t>
            </w:r>
            <w:r w:rsidRPr="00ED22D1">
              <w:rPr>
                <w:b/>
                <w:color w:val="000000"/>
                <w:sz w:val="20"/>
                <w:szCs w:val="20"/>
                <w:lang w:val="fr-CA" w:eastAsia="en-CA"/>
              </w:rPr>
              <w:t>4 </w:t>
            </w:r>
            <w:r w:rsidR="0085675A" w:rsidRPr="00ED22D1">
              <w:rPr>
                <w:b/>
                <w:color w:val="000000"/>
                <w:sz w:val="20"/>
                <w:szCs w:val="20"/>
                <w:lang w:val="fr-CA" w:eastAsia="en-CA"/>
              </w:rPr>
              <w:t>867</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keepNext/>
              <w:keepLines/>
              <w:jc w:val="right"/>
              <w:rPr>
                <w:b/>
                <w:color w:val="000000"/>
                <w:sz w:val="20"/>
                <w:szCs w:val="20"/>
                <w:lang w:val="fr-CA" w:eastAsia="en-CA"/>
              </w:rPr>
            </w:pPr>
            <w:r w:rsidRPr="00ED22D1">
              <w:rPr>
                <w:b/>
                <w:color w:val="000000"/>
                <w:sz w:val="20"/>
                <w:szCs w:val="20"/>
                <w:lang w:val="fr-CA" w:eastAsia="en-CA"/>
              </w:rPr>
              <w:t>9 </w:t>
            </w:r>
            <w:r w:rsidR="0085675A" w:rsidRPr="00ED22D1">
              <w:rPr>
                <w:b/>
                <w:color w:val="000000"/>
                <w:sz w:val="20"/>
                <w:szCs w:val="20"/>
                <w:lang w:val="fr-CA" w:eastAsia="en-CA"/>
              </w:rPr>
              <w:t>00</w:t>
            </w:r>
            <w:r w:rsidRPr="00ED22D1">
              <w:rPr>
                <w:b/>
                <w:color w:val="000000"/>
                <w:sz w:val="20"/>
                <w:szCs w:val="20"/>
                <w:lang w:val="fr-CA" w:eastAsia="en-CA"/>
              </w:rPr>
              <w:t>0 </w:t>
            </w:r>
            <w:r w:rsidR="0085675A" w:rsidRPr="00ED22D1">
              <w:rPr>
                <w:b/>
                <w:color w:val="000000"/>
                <w:sz w:val="20"/>
                <w:szCs w:val="20"/>
                <w:lang w:val="fr-CA" w:eastAsia="en-CA"/>
              </w:rPr>
              <w:t>000</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keepNext/>
              <w:keepLines/>
              <w:jc w:val="right"/>
              <w:rPr>
                <w:b/>
                <w:color w:val="000000"/>
                <w:sz w:val="20"/>
                <w:szCs w:val="20"/>
                <w:lang w:val="fr-CA" w:eastAsia="en-CA"/>
              </w:rPr>
            </w:pPr>
            <w:r w:rsidRPr="00ED22D1">
              <w:rPr>
                <w:b/>
                <w:color w:val="000000"/>
                <w:sz w:val="20"/>
                <w:szCs w:val="20"/>
                <w:lang w:val="fr-CA" w:eastAsia="en-CA"/>
              </w:rPr>
              <w:t>1</w:t>
            </w:r>
            <w:r w:rsidR="004A6828" w:rsidRPr="00ED22D1">
              <w:rPr>
                <w:b/>
                <w:color w:val="000000"/>
                <w:sz w:val="20"/>
                <w:szCs w:val="20"/>
                <w:lang w:val="fr-CA" w:eastAsia="en-CA"/>
              </w:rPr>
              <w:t>6 </w:t>
            </w:r>
            <w:r w:rsidRPr="00ED22D1">
              <w:rPr>
                <w:b/>
                <w:color w:val="000000"/>
                <w:sz w:val="20"/>
                <w:szCs w:val="20"/>
                <w:lang w:val="fr-CA" w:eastAsia="en-CA"/>
              </w:rPr>
              <w:t>51</w:t>
            </w:r>
            <w:r w:rsidR="004A6828" w:rsidRPr="00ED22D1">
              <w:rPr>
                <w:b/>
                <w:color w:val="000000"/>
                <w:sz w:val="20"/>
                <w:szCs w:val="20"/>
                <w:lang w:val="fr-CA" w:eastAsia="en-CA"/>
              </w:rPr>
              <w:t>4 </w:t>
            </w:r>
            <w:r w:rsidRPr="00ED22D1">
              <w:rPr>
                <w:b/>
                <w:color w:val="000000"/>
                <w:sz w:val="20"/>
                <w:szCs w:val="20"/>
                <w:lang w:val="fr-CA" w:eastAsia="en-CA"/>
              </w:rPr>
              <w:t>867</w:t>
            </w:r>
          </w:p>
        </w:tc>
      </w:tr>
      <w:tr w:rsidR="00874624" w:rsidRPr="00ED22D1" w:rsidTr="0085675A">
        <w:trPr>
          <w:trHeight w:val="280"/>
        </w:trPr>
        <w:tc>
          <w:tcPr>
            <w:tcW w:w="1439" w:type="pct"/>
            <w:vMerge w:val="restart"/>
            <w:tcBorders>
              <w:top w:val="nil"/>
              <w:left w:val="single" w:sz="4" w:space="0" w:color="auto"/>
              <w:bottom w:val="single" w:sz="4" w:space="0" w:color="000000"/>
              <w:right w:val="single" w:sz="4" w:space="0" w:color="auto"/>
            </w:tcBorders>
            <w:shd w:val="clear" w:color="auto" w:fill="auto"/>
            <w:vAlign w:val="center"/>
            <w:hideMark/>
          </w:tcPr>
          <w:p w:rsidR="0085675A" w:rsidRPr="00ED22D1" w:rsidRDefault="00181884" w:rsidP="00874624">
            <w:pPr>
              <w:keepNext/>
              <w:keepLines/>
              <w:jc w:val="left"/>
              <w:rPr>
                <w:color w:val="000000"/>
                <w:sz w:val="20"/>
                <w:szCs w:val="20"/>
                <w:lang w:val="fr-CA" w:eastAsia="en-CA"/>
              </w:rPr>
            </w:pPr>
            <w:r w:rsidRPr="00ED22D1">
              <w:rPr>
                <w:color w:val="000000"/>
                <w:sz w:val="20"/>
                <w:szCs w:val="20"/>
                <w:lang w:val="fr-CA" w:eastAsia="en-CA"/>
              </w:rPr>
              <w:t>Décaissement</w:t>
            </w:r>
            <w:r w:rsidR="0085675A" w:rsidRPr="00ED22D1">
              <w:rPr>
                <w:color w:val="000000"/>
                <w:sz w:val="20"/>
                <w:szCs w:val="20"/>
                <w:lang w:val="fr-CA" w:eastAsia="en-CA"/>
              </w:rPr>
              <w:t xml:space="preserve">s </w:t>
            </w:r>
            <w:r w:rsidR="00874624" w:rsidRPr="00ED22D1">
              <w:rPr>
                <w:color w:val="000000"/>
                <w:sz w:val="20"/>
                <w:szCs w:val="20"/>
                <w:lang w:val="fr-CA" w:eastAsia="en-CA"/>
              </w:rPr>
              <w:t xml:space="preserve">des </w:t>
            </w:r>
            <w:r w:rsidR="00B53D8B" w:rsidRPr="00ED22D1">
              <w:rPr>
                <w:color w:val="000000"/>
                <w:sz w:val="20"/>
                <w:szCs w:val="20"/>
                <w:lang w:val="fr-CA" w:eastAsia="en-CA"/>
              </w:rPr>
              <w:t>agences d’exécution</w:t>
            </w:r>
            <w:r w:rsidR="0085675A" w:rsidRPr="00ED22D1">
              <w:rPr>
                <w:color w:val="000000"/>
                <w:sz w:val="20"/>
                <w:szCs w:val="20"/>
                <w:lang w:val="fr-CA" w:eastAsia="en-CA"/>
              </w:rPr>
              <w:t xml:space="preserve"> </w:t>
            </w:r>
            <w:r w:rsidR="00F5455E" w:rsidRPr="00ED22D1">
              <w:rPr>
                <w:color w:val="000000"/>
                <w:sz w:val="20"/>
                <w:szCs w:val="20"/>
                <w:lang w:val="fr-CA" w:eastAsia="en-CA"/>
              </w:rPr>
              <w:t>à l’IECO</w:t>
            </w:r>
          </w:p>
        </w:tc>
        <w:tc>
          <w:tcPr>
            <w:tcW w:w="113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5675A" w:rsidRPr="00ED22D1" w:rsidRDefault="004A6828" w:rsidP="0085675A">
            <w:pPr>
              <w:keepNext/>
              <w:keepLines/>
              <w:jc w:val="left"/>
              <w:rPr>
                <w:color w:val="000000"/>
                <w:sz w:val="20"/>
                <w:szCs w:val="20"/>
                <w:lang w:val="fr-CA" w:eastAsia="en-CA"/>
              </w:rPr>
            </w:pPr>
            <w:r w:rsidRPr="00ED22D1">
              <w:rPr>
                <w:color w:val="000000"/>
                <w:sz w:val="20"/>
                <w:szCs w:val="20"/>
                <w:lang w:val="fr-CA" w:eastAsia="en-CA"/>
              </w:rPr>
              <w:t>ONUDI</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keepNext/>
              <w:keepLines/>
              <w:jc w:val="right"/>
              <w:rPr>
                <w:color w:val="000000"/>
                <w:sz w:val="20"/>
                <w:szCs w:val="20"/>
                <w:lang w:val="fr-CA" w:eastAsia="en-CA"/>
              </w:rPr>
            </w:pPr>
            <w:r w:rsidRPr="00ED22D1">
              <w:rPr>
                <w:color w:val="000000"/>
                <w:sz w:val="20"/>
                <w:szCs w:val="20"/>
                <w:lang w:val="fr-CA" w:eastAsia="en-CA"/>
              </w:rPr>
              <w:t>3 </w:t>
            </w:r>
            <w:r w:rsidR="0085675A" w:rsidRPr="00ED22D1">
              <w:rPr>
                <w:color w:val="000000"/>
                <w:sz w:val="20"/>
                <w:szCs w:val="20"/>
                <w:lang w:val="fr-CA" w:eastAsia="en-CA"/>
              </w:rPr>
              <w:t>75</w:t>
            </w:r>
            <w:r w:rsidRPr="00ED22D1">
              <w:rPr>
                <w:color w:val="000000"/>
                <w:sz w:val="20"/>
                <w:szCs w:val="20"/>
                <w:lang w:val="fr-CA" w:eastAsia="en-CA"/>
              </w:rPr>
              <w:t>7 </w:t>
            </w:r>
            <w:r w:rsidR="0085675A" w:rsidRPr="00ED22D1">
              <w:rPr>
                <w:color w:val="000000"/>
                <w:sz w:val="20"/>
                <w:szCs w:val="20"/>
                <w:lang w:val="fr-CA" w:eastAsia="en-CA"/>
              </w:rPr>
              <w:t>434</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keepNext/>
              <w:keepLines/>
              <w:jc w:val="right"/>
              <w:rPr>
                <w:color w:val="000000"/>
                <w:sz w:val="20"/>
                <w:szCs w:val="20"/>
                <w:highlight w:val="yellow"/>
                <w:lang w:val="fr-CA" w:eastAsia="en-CA"/>
              </w:rPr>
            </w:pPr>
            <w:r w:rsidRPr="00ED22D1">
              <w:rPr>
                <w:color w:val="000000"/>
                <w:sz w:val="20"/>
                <w:szCs w:val="20"/>
                <w:lang w:val="fr-CA" w:eastAsia="en-CA"/>
              </w:rPr>
              <w:t>4 </w:t>
            </w:r>
            <w:r w:rsidR="0085675A" w:rsidRPr="00ED22D1">
              <w:rPr>
                <w:color w:val="000000"/>
                <w:sz w:val="20"/>
                <w:szCs w:val="20"/>
                <w:lang w:val="fr-CA" w:eastAsia="en-CA"/>
              </w:rPr>
              <w:t>36</w:t>
            </w:r>
            <w:r w:rsidRPr="00ED22D1">
              <w:rPr>
                <w:color w:val="000000"/>
                <w:sz w:val="20"/>
                <w:szCs w:val="20"/>
                <w:lang w:val="fr-CA" w:eastAsia="en-CA"/>
              </w:rPr>
              <w:t>6 </w:t>
            </w:r>
            <w:r w:rsidR="0085675A" w:rsidRPr="00ED22D1">
              <w:rPr>
                <w:color w:val="000000"/>
                <w:sz w:val="20"/>
                <w:szCs w:val="20"/>
                <w:lang w:val="fr-CA" w:eastAsia="en-CA"/>
              </w:rPr>
              <w:t>307</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keepNext/>
              <w:keepLines/>
              <w:jc w:val="right"/>
              <w:rPr>
                <w:color w:val="000000"/>
                <w:sz w:val="20"/>
                <w:szCs w:val="20"/>
                <w:highlight w:val="yellow"/>
                <w:lang w:val="fr-CA" w:eastAsia="en-CA"/>
              </w:rPr>
            </w:pPr>
            <w:r w:rsidRPr="00ED22D1">
              <w:rPr>
                <w:color w:val="000000"/>
                <w:sz w:val="20"/>
                <w:szCs w:val="20"/>
                <w:lang w:val="fr-CA" w:eastAsia="en-CA"/>
              </w:rPr>
              <w:t>8 </w:t>
            </w:r>
            <w:r w:rsidR="0085675A" w:rsidRPr="00ED22D1">
              <w:rPr>
                <w:color w:val="000000"/>
                <w:sz w:val="20"/>
                <w:szCs w:val="20"/>
                <w:lang w:val="fr-CA" w:eastAsia="en-CA"/>
              </w:rPr>
              <w:t>12</w:t>
            </w:r>
            <w:r w:rsidRPr="00ED22D1">
              <w:rPr>
                <w:color w:val="000000"/>
                <w:sz w:val="20"/>
                <w:szCs w:val="20"/>
                <w:lang w:val="fr-CA" w:eastAsia="en-CA"/>
              </w:rPr>
              <w:t>3 </w:t>
            </w:r>
            <w:r w:rsidR="0085675A" w:rsidRPr="00ED22D1">
              <w:rPr>
                <w:color w:val="000000"/>
                <w:sz w:val="20"/>
                <w:szCs w:val="20"/>
                <w:lang w:val="fr-CA" w:eastAsia="en-CA"/>
              </w:rPr>
              <w:t>741</w:t>
            </w:r>
          </w:p>
        </w:tc>
      </w:tr>
      <w:tr w:rsidR="00874624" w:rsidRPr="00ED22D1" w:rsidTr="0085675A">
        <w:trPr>
          <w:trHeight w:val="280"/>
        </w:trPr>
        <w:tc>
          <w:tcPr>
            <w:tcW w:w="1439" w:type="pct"/>
            <w:vMerge/>
            <w:tcBorders>
              <w:top w:val="nil"/>
              <w:left w:val="single" w:sz="4" w:space="0" w:color="auto"/>
              <w:bottom w:val="single" w:sz="4" w:space="0" w:color="000000"/>
              <w:right w:val="single" w:sz="4" w:space="0" w:color="auto"/>
            </w:tcBorders>
            <w:shd w:val="clear" w:color="auto" w:fill="auto"/>
            <w:vAlign w:val="center"/>
          </w:tcPr>
          <w:p w:rsidR="0085675A" w:rsidRPr="00ED22D1" w:rsidRDefault="0085675A" w:rsidP="0085675A">
            <w:pPr>
              <w:jc w:val="left"/>
              <w:rPr>
                <w:color w:val="000000"/>
                <w:sz w:val="20"/>
                <w:szCs w:val="20"/>
                <w:lang w:val="fr-CA" w:eastAsia="en-CA"/>
              </w:rPr>
            </w:pPr>
          </w:p>
        </w:tc>
        <w:tc>
          <w:tcPr>
            <w:tcW w:w="113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5675A" w:rsidRPr="00ED22D1" w:rsidRDefault="004A6828" w:rsidP="0085675A">
            <w:pPr>
              <w:jc w:val="left"/>
              <w:rPr>
                <w:color w:val="000000"/>
                <w:sz w:val="20"/>
                <w:szCs w:val="20"/>
                <w:lang w:val="fr-CA" w:eastAsia="en-CA"/>
              </w:rPr>
            </w:pPr>
            <w:r w:rsidRPr="00ED22D1">
              <w:rPr>
                <w:color w:val="000000"/>
                <w:sz w:val="20"/>
                <w:szCs w:val="20"/>
                <w:lang w:val="fr-CA" w:eastAsia="en-CA"/>
              </w:rPr>
              <w:t>Allemagne</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0</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jc w:val="right"/>
              <w:rPr>
                <w:color w:val="000000"/>
                <w:sz w:val="20"/>
                <w:szCs w:val="20"/>
                <w:highlight w:val="yellow"/>
                <w:lang w:val="fr-CA" w:eastAsia="en-CA"/>
              </w:rPr>
            </w:pPr>
            <w:r w:rsidRPr="00ED22D1">
              <w:rPr>
                <w:color w:val="000000"/>
                <w:sz w:val="20"/>
                <w:szCs w:val="20"/>
                <w:lang w:val="fr-CA" w:eastAsia="en-CA"/>
              </w:rPr>
              <w:t>0</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0</w:t>
            </w:r>
          </w:p>
        </w:tc>
      </w:tr>
      <w:tr w:rsidR="00874624" w:rsidRPr="00ED22D1" w:rsidTr="0085675A">
        <w:trPr>
          <w:trHeight w:val="280"/>
        </w:trPr>
        <w:tc>
          <w:tcPr>
            <w:tcW w:w="1439" w:type="pct"/>
            <w:vMerge/>
            <w:tcBorders>
              <w:top w:val="nil"/>
              <w:left w:val="single" w:sz="4" w:space="0" w:color="auto"/>
              <w:bottom w:val="single" w:sz="4" w:space="0" w:color="000000"/>
              <w:right w:val="single" w:sz="4" w:space="0" w:color="auto"/>
            </w:tcBorders>
            <w:shd w:val="clear" w:color="auto" w:fill="auto"/>
            <w:vAlign w:val="center"/>
          </w:tcPr>
          <w:p w:rsidR="0085675A" w:rsidRPr="00ED22D1" w:rsidRDefault="0085675A" w:rsidP="0085675A">
            <w:pPr>
              <w:jc w:val="left"/>
              <w:rPr>
                <w:color w:val="000000"/>
                <w:sz w:val="20"/>
                <w:szCs w:val="20"/>
                <w:lang w:val="fr-CA" w:eastAsia="en-CA"/>
              </w:rPr>
            </w:pPr>
          </w:p>
        </w:tc>
        <w:tc>
          <w:tcPr>
            <w:tcW w:w="113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5675A" w:rsidRPr="00ED22D1" w:rsidRDefault="0085675A" w:rsidP="0085675A">
            <w:pPr>
              <w:jc w:val="left"/>
              <w:rPr>
                <w:b/>
                <w:color w:val="000000"/>
                <w:sz w:val="20"/>
                <w:szCs w:val="20"/>
                <w:lang w:val="fr-CA" w:eastAsia="en-CA"/>
              </w:rPr>
            </w:pPr>
            <w:r w:rsidRPr="00ED22D1">
              <w:rPr>
                <w:b/>
                <w:color w:val="000000"/>
                <w:sz w:val="20"/>
                <w:szCs w:val="20"/>
                <w:lang w:val="fr-CA" w:eastAsia="en-CA"/>
              </w:rPr>
              <w:t xml:space="preserve">Total </w:t>
            </w:r>
            <w:r w:rsidR="00874624" w:rsidRPr="00ED22D1">
              <w:rPr>
                <w:b/>
                <w:color w:val="000000"/>
                <w:sz w:val="20"/>
                <w:szCs w:val="20"/>
                <w:lang w:val="fr-CA" w:eastAsia="en-CA"/>
              </w:rPr>
              <w:t>($US)</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b/>
                <w:color w:val="000000"/>
                <w:sz w:val="20"/>
                <w:szCs w:val="20"/>
                <w:lang w:val="fr-CA" w:eastAsia="en-CA"/>
              </w:rPr>
            </w:pPr>
            <w:r w:rsidRPr="00ED22D1">
              <w:rPr>
                <w:b/>
                <w:color w:val="000000"/>
                <w:sz w:val="20"/>
                <w:szCs w:val="20"/>
                <w:lang w:val="fr-CA" w:eastAsia="en-CA"/>
              </w:rPr>
              <w:t>3 </w:t>
            </w:r>
            <w:r w:rsidR="0085675A" w:rsidRPr="00ED22D1">
              <w:rPr>
                <w:b/>
                <w:color w:val="000000"/>
                <w:sz w:val="20"/>
                <w:szCs w:val="20"/>
                <w:lang w:val="fr-CA" w:eastAsia="en-CA"/>
              </w:rPr>
              <w:t>75</w:t>
            </w:r>
            <w:r w:rsidRPr="00ED22D1">
              <w:rPr>
                <w:b/>
                <w:color w:val="000000"/>
                <w:sz w:val="20"/>
                <w:szCs w:val="20"/>
                <w:lang w:val="fr-CA" w:eastAsia="en-CA"/>
              </w:rPr>
              <w:t>7 </w:t>
            </w:r>
            <w:r w:rsidR="0085675A" w:rsidRPr="00ED22D1">
              <w:rPr>
                <w:b/>
                <w:color w:val="000000"/>
                <w:sz w:val="20"/>
                <w:szCs w:val="20"/>
                <w:lang w:val="fr-CA" w:eastAsia="en-CA"/>
              </w:rPr>
              <w:t>434</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b/>
                <w:color w:val="000000"/>
                <w:sz w:val="20"/>
                <w:szCs w:val="20"/>
                <w:lang w:val="fr-CA" w:eastAsia="en-CA"/>
              </w:rPr>
            </w:pPr>
            <w:r w:rsidRPr="00ED22D1">
              <w:rPr>
                <w:b/>
                <w:color w:val="000000"/>
                <w:sz w:val="20"/>
                <w:szCs w:val="20"/>
                <w:lang w:val="fr-CA" w:eastAsia="en-CA"/>
              </w:rPr>
              <w:t>4 </w:t>
            </w:r>
            <w:r w:rsidR="0085675A" w:rsidRPr="00ED22D1">
              <w:rPr>
                <w:b/>
                <w:color w:val="000000"/>
                <w:sz w:val="20"/>
                <w:szCs w:val="20"/>
                <w:lang w:val="fr-CA" w:eastAsia="en-CA"/>
              </w:rPr>
              <w:t>36</w:t>
            </w:r>
            <w:r w:rsidRPr="00ED22D1">
              <w:rPr>
                <w:b/>
                <w:color w:val="000000"/>
                <w:sz w:val="20"/>
                <w:szCs w:val="20"/>
                <w:lang w:val="fr-CA" w:eastAsia="en-CA"/>
              </w:rPr>
              <w:t>6 </w:t>
            </w:r>
            <w:r w:rsidR="0085675A" w:rsidRPr="00ED22D1">
              <w:rPr>
                <w:b/>
                <w:color w:val="000000"/>
                <w:sz w:val="20"/>
                <w:szCs w:val="20"/>
                <w:lang w:val="fr-CA" w:eastAsia="en-CA"/>
              </w:rPr>
              <w:t>307</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b/>
                <w:color w:val="000000"/>
                <w:sz w:val="20"/>
                <w:szCs w:val="20"/>
                <w:lang w:val="fr-CA" w:eastAsia="en-CA"/>
              </w:rPr>
            </w:pPr>
            <w:r w:rsidRPr="00ED22D1">
              <w:rPr>
                <w:b/>
                <w:color w:val="000000"/>
                <w:sz w:val="20"/>
                <w:szCs w:val="20"/>
                <w:lang w:val="fr-CA" w:eastAsia="en-CA"/>
              </w:rPr>
              <w:t>8 </w:t>
            </w:r>
            <w:r w:rsidR="0085675A" w:rsidRPr="00ED22D1">
              <w:rPr>
                <w:b/>
                <w:color w:val="000000"/>
                <w:sz w:val="20"/>
                <w:szCs w:val="20"/>
                <w:lang w:val="fr-CA" w:eastAsia="en-CA"/>
              </w:rPr>
              <w:t>12</w:t>
            </w:r>
            <w:r w:rsidRPr="00ED22D1">
              <w:rPr>
                <w:b/>
                <w:color w:val="000000"/>
                <w:sz w:val="20"/>
                <w:szCs w:val="20"/>
                <w:lang w:val="fr-CA" w:eastAsia="en-CA"/>
              </w:rPr>
              <w:t>3 </w:t>
            </w:r>
            <w:r w:rsidR="0085675A" w:rsidRPr="00ED22D1">
              <w:rPr>
                <w:b/>
                <w:color w:val="000000"/>
                <w:sz w:val="20"/>
                <w:szCs w:val="20"/>
                <w:lang w:val="fr-CA" w:eastAsia="en-CA"/>
              </w:rPr>
              <w:t>741</w:t>
            </w:r>
          </w:p>
        </w:tc>
      </w:tr>
      <w:tr w:rsidR="00874624" w:rsidRPr="00ED22D1" w:rsidTr="0085675A">
        <w:trPr>
          <w:trHeight w:val="280"/>
        </w:trPr>
        <w:tc>
          <w:tcPr>
            <w:tcW w:w="1439" w:type="pct"/>
            <w:vMerge/>
            <w:tcBorders>
              <w:top w:val="nil"/>
              <w:left w:val="single" w:sz="4" w:space="0" w:color="auto"/>
              <w:bottom w:val="single" w:sz="4" w:space="0" w:color="000000"/>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137" w:type="pct"/>
            <w:tcBorders>
              <w:top w:val="nil"/>
              <w:left w:val="nil"/>
              <w:bottom w:val="single" w:sz="4" w:space="0" w:color="auto"/>
              <w:right w:val="single" w:sz="4" w:space="0" w:color="auto"/>
            </w:tcBorders>
            <w:shd w:val="clear" w:color="auto" w:fill="auto"/>
            <w:noWrap/>
            <w:vAlign w:val="center"/>
            <w:hideMark/>
          </w:tcPr>
          <w:p w:rsidR="0085675A" w:rsidRPr="00ED22D1" w:rsidRDefault="00350E4F" w:rsidP="0085675A">
            <w:pPr>
              <w:jc w:val="left"/>
              <w:rPr>
                <w:color w:val="000000"/>
                <w:sz w:val="20"/>
                <w:szCs w:val="20"/>
                <w:lang w:val="fr-CA" w:eastAsia="en-CA"/>
              </w:rPr>
            </w:pPr>
            <w:r w:rsidRPr="00ED22D1">
              <w:rPr>
                <w:color w:val="000000"/>
                <w:sz w:val="20"/>
                <w:szCs w:val="20"/>
                <w:lang w:val="fr-CA" w:eastAsia="en-CA"/>
              </w:rPr>
              <w:t>Ratio de décaissement</w:t>
            </w:r>
          </w:p>
        </w:tc>
        <w:tc>
          <w:tcPr>
            <w:tcW w:w="758"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5</w:t>
            </w:r>
            <w:r w:rsidR="004A6828" w:rsidRPr="00ED22D1">
              <w:rPr>
                <w:color w:val="000000"/>
                <w:sz w:val="20"/>
                <w:szCs w:val="20"/>
                <w:lang w:val="fr-CA" w:eastAsia="en-CA"/>
              </w:rPr>
              <w:t>0,</w:t>
            </w:r>
            <w:r w:rsidRPr="00ED22D1">
              <w:rPr>
                <w:color w:val="000000"/>
                <w:sz w:val="20"/>
                <w:szCs w:val="20"/>
                <w:lang w:val="fr-CA" w:eastAsia="en-CA"/>
              </w:rPr>
              <w:t>0</w:t>
            </w:r>
            <w:r w:rsidR="002D6976" w:rsidRPr="00ED22D1">
              <w:rPr>
                <w:color w:val="000000"/>
                <w:sz w:val="20"/>
                <w:szCs w:val="20"/>
                <w:lang w:val="fr-CA" w:eastAsia="en-CA"/>
              </w:rPr>
              <w:t> %</w:t>
            </w:r>
          </w:p>
        </w:tc>
        <w:tc>
          <w:tcPr>
            <w:tcW w:w="834"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4</w:t>
            </w:r>
            <w:r w:rsidR="004A6828" w:rsidRPr="00ED22D1">
              <w:rPr>
                <w:color w:val="000000"/>
                <w:sz w:val="20"/>
                <w:szCs w:val="20"/>
                <w:lang w:val="fr-CA" w:eastAsia="en-CA"/>
              </w:rPr>
              <w:t>8,</w:t>
            </w:r>
            <w:r w:rsidRPr="00ED22D1">
              <w:rPr>
                <w:color w:val="000000"/>
                <w:sz w:val="20"/>
                <w:szCs w:val="20"/>
                <w:lang w:val="fr-CA" w:eastAsia="en-CA"/>
              </w:rPr>
              <w:t>5</w:t>
            </w:r>
            <w:r w:rsidR="002D6976" w:rsidRPr="00ED22D1">
              <w:rPr>
                <w:color w:val="000000"/>
                <w:sz w:val="20"/>
                <w:szCs w:val="20"/>
                <w:lang w:val="fr-CA" w:eastAsia="en-CA"/>
              </w:rPr>
              <w:t> %</w:t>
            </w:r>
          </w:p>
        </w:tc>
        <w:tc>
          <w:tcPr>
            <w:tcW w:w="832"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4</w:t>
            </w:r>
            <w:r w:rsidR="004A6828" w:rsidRPr="00ED22D1">
              <w:rPr>
                <w:color w:val="000000"/>
                <w:sz w:val="20"/>
                <w:szCs w:val="20"/>
                <w:lang w:val="fr-CA" w:eastAsia="en-CA"/>
              </w:rPr>
              <w:t>9,</w:t>
            </w:r>
            <w:r w:rsidRPr="00ED22D1">
              <w:rPr>
                <w:color w:val="000000"/>
                <w:sz w:val="20"/>
                <w:szCs w:val="20"/>
                <w:lang w:val="fr-CA" w:eastAsia="en-CA"/>
              </w:rPr>
              <w:t>2</w:t>
            </w:r>
            <w:r w:rsidR="002D6976" w:rsidRPr="00ED22D1">
              <w:rPr>
                <w:color w:val="000000"/>
                <w:sz w:val="20"/>
                <w:szCs w:val="20"/>
                <w:lang w:val="fr-CA" w:eastAsia="en-CA"/>
              </w:rPr>
              <w:t> %</w:t>
            </w:r>
          </w:p>
        </w:tc>
      </w:tr>
      <w:tr w:rsidR="00874624" w:rsidRPr="00ED22D1" w:rsidTr="0085675A">
        <w:trPr>
          <w:trHeight w:val="280"/>
        </w:trPr>
        <w:tc>
          <w:tcPr>
            <w:tcW w:w="1439" w:type="pct"/>
            <w:vMerge w:val="restart"/>
            <w:tcBorders>
              <w:top w:val="nil"/>
              <w:left w:val="single" w:sz="4" w:space="0" w:color="auto"/>
              <w:bottom w:val="single" w:sz="4" w:space="0" w:color="000000"/>
              <w:right w:val="single" w:sz="4" w:space="0" w:color="auto"/>
            </w:tcBorders>
            <w:shd w:val="clear" w:color="auto" w:fill="auto"/>
            <w:vAlign w:val="center"/>
            <w:hideMark/>
          </w:tcPr>
          <w:p w:rsidR="0085675A" w:rsidRPr="00ED22D1" w:rsidRDefault="00181884" w:rsidP="0085675A">
            <w:pPr>
              <w:jc w:val="left"/>
              <w:rPr>
                <w:color w:val="000000"/>
                <w:sz w:val="20"/>
                <w:szCs w:val="20"/>
                <w:lang w:val="fr-CA" w:eastAsia="en-CA"/>
              </w:rPr>
            </w:pPr>
            <w:r w:rsidRPr="00ED22D1">
              <w:rPr>
                <w:color w:val="000000"/>
                <w:sz w:val="20"/>
                <w:szCs w:val="20"/>
                <w:lang w:val="fr-CA" w:eastAsia="en-CA"/>
              </w:rPr>
              <w:t>Décaissement</w:t>
            </w:r>
            <w:r w:rsidR="0085675A" w:rsidRPr="00ED22D1">
              <w:rPr>
                <w:color w:val="000000"/>
                <w:sz w:val="20"/>
                <w:szCs w:val="20"/>
                <w:lang w:val="fr-CA" w:eastAsia="en-CA"/>
              </w:rPr>
              <w:t xml:space="preserve">s </w:t>
            </w:r>
            <w:r w:rsidR="00F5455E" w:rsidRPr="00ED22D1">
              <w:rPr>
                <w:color w:val="000000"/>
                <w:sz w:val="20"/>
                <w:szCs w:val="20"/>
                <w:lang w:val="fr-CA" w:eastAsia="en-CA"/>
              </w:rPr>
              <w:t>de l’IE</w:t>
            </w:r>
            <w:r w:rsidR="00F320D6" w:rsidRPr="00ED22D1">
              <w:rPr>
                <w:color w:val="000000"/>
                <w:sz w:val="20"/>
                <w:szCs w:val="20"/>
                <w:lang w:val="fr-CA" w:eastAsia="en-CA"/>
              </w:rPr>
              <w:t>CO</w:t>
            </w:r>
            <w:r w:rsidR="0085675A" w:rsidRPr="00ED22D1">
              <w:rPr>
                <w:color w:val="000000"/>
                <w:sz w:val="20"/>
                <w:szCs w:val="20"/>
                <w:lang w:val="fr-CA" w:eastAsia="en-CA"/>
              </w:rPr>
              <w:t xml:space="preserve"> </w:t>
            </w:r>
            <w:r w:rsidR="00F5455E" w:rsidRPr="00ED22D1">
              <w:rPr>
                <w:color w:val="000000"/>
                <w:sz w:val="20"/>
                <w:szCs w:val="20"/>
                <w:lang w:val="fr-CA" w:eastAsia="en-CA"/>
              </w:rPr>
              <w:t>aux bénéficiaires</w:t>
            </w:r>
          </w:p>
        </w:tc>
        <w:tc>
          <w:tcPr>
            <w:tcW w:w="113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5675A" w:rsidRPr="00ED22D1" w:rsidRDefault="004A6828" w:rsidP="0085675A">
            <w:pPr>
              <w:jc w:val="left"/>
              <w:rPr>
                <w:color w:val="000000"/>
                <w:sz w:val="20"/>
                <w:szCs w:val="20"/>
                <w:lang w:val="fr-CA" w:eastAsia="en-CA"/>
              </w:rPr>
            </w:pPr>
            <w:r w:rsidRPr="00ED22D1">
              <w:rPr>
                <w:color w:val="000000"/>
                <w:sz w:val="20"/>
                <w:szCs w:val="20"/>
                <w:lang w:val="fr-CA" w:eastAsia="en-CA"/>
              </w:rPr>
              <w:t>ONUDI</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color w:val="000000"/>
                <w:sz w:val="20"/>
                <w:szCs w:val="20"/>
                <w:lang w:val="fr-CA" w:eastAsia="en-CA"/>
              </w:rPr>
            </w:pPr>
            <w:r w:rsidRPr="00ED22D1">
              <w:rPr>
                <w:color w:val="000000"/>
                <w:sz w:val="20"/>
                <w:szCs w:val="20"/>
                <w:lang w:val="fr-CA" w:eastAsia="en-CA"/>
              </w:rPr>
              <w:t>2 </w:t>
            </w:r>
            <w:r w:rsidR="0085675A" w:rsidRPr="00ED22D1">
              <w:rPr>
                <w:color w:val="000000"/>
                <w:sz w:val="20"/>
                <w:szCs w:val="20"/>
                <w:lang w:val="fr-CA" w:eastAsia="en-CA"/>
              </w:rPr>
              <w:t>03</w:t>
            </w:r>
            <w:r w:rsidRPr="00ED22D1">
              <w:rPr>
                <w:color w:val="000000"/>
                <w:sz w:val="20"/>
                <w:szCs w:val="20"/>
                <w:lang w:val="fr-CA" w:eastAsia="en-CA"/>
              </w:rPr>
              <w:t>1 </w:t>
            </w:r>
            <w:r w:rsidR="0085675A" w:rsidRPr="00ED22D1">
              <w:rPr>
                <w:color w:val="000000"/>
                <w:sz w:val="20"/>
                <w:szCs w:val="20"/>
                <w:lang w:val="fr-CA" w:eastAsia="en-CA"/>
              </w:rPr>
              <w:t>287</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color w:val="000000"/>
                <w:sz w:val="20"/>
                <w:szCs w:val="20"/>
                <w:lang w:val="fr-CA" w:eastAsia="en-CA"/>
              </w:rPr>
            </w:pPr>
            <w:r w:rsidRPr="00ED22D1">
              <w:rPr>
                <w:color w:val="000000"/>
                <w:sz w:val="20"/>
                <w:szCs w:val="20"/>
                <w:lang w:val="fr-CA" w:eastAsia="en-CA"/>
              </w:rPr>
              <w:t>2 </w:t>
            </w:r>
            <w:r w:rsidR="0085675A" w:rsidRPr="00ED22D1">
              <w:rPr>
                <w:color w:val="000000"/>
                <w:sz w:val="20"/>
                <w:szCs w:val="20"/>
                <w:lang w:val="fr-CA" w:eastAsia="en-CA"/>
              </w:rPr>
              <w:t>31</w:t>
            </w:r>
            <w:r w:rsidRPr="00ED22D1">
              <w:rPr>
                <w:color w:val="000000"/>
                <w:sz w:val="20"/>
                <w:szCs w:val="20"/>
                <w:lang w:val="fr-CA" w:eastAsia="en-CA"/>
              </w:rPr>
              <w:t>3 </w:t>
            </w:r>
            <w:r w:rsidR="0085675A" w:rsidRPr="00ED22D1">
              <w:rPr>
                <w:color w:val="000000"/>
                <w:sz w:val="20"/>
                <w:szCs w:val="20"/>
                <w:lang w:val="fr-CA" w:eastAsia="en-CA"/>
              </w:rPr>
              <w:t>886</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color w:val="000000"/>
                <w:sz w:val="20"/>
                <w:szCs w:val="20"/>
                <w:lang w:val="fr-CA" w:eastAsia="en-CA"/>
              </w:rPr>
            </w:pPr>
            <w:r w:rsidRPr="00ED22D1">
              <w:rPr>
                <w:color w:val="000000"/>
                <w:sz w:val="20"/>
                <w:szCs w:val="20"/>
                <w:lang w:val="fr-CA" w:eastAsia="en-CA"/>
              </w:rPr>
              <w:t>4 </w:t>
            </w:r>
            <w:r w:rsidR="0085675A" w:rsidRPr="00ED22D1">
              <w:rPr>
                <w:color w:val="000000"/>
                <w:sz w:val="20"/>
                <w:szCs w:val="20"/>
                <w:lang w:val="fr-CA" w:eastAsia="en-CA"/>
              </w:rPr>
              <w:t>34</w:t>
            </w:r>
            <w:r w:rsidRPr="00ED22D1">
              <w:rPr>
                <w:color w:val="000000"/>
                <w:sz w:val="20"/>
                <w:szCs w:val="20"/>
                <w:lang w:val="fr-CA" w:eastAsia="en-CA"/>
              </w:rPr>
              <w:t>5 </w:t>
            </w:r>
            <w:r w:rsidR="0085675A" w:rsidRPr="00ED22D1">
              <w:rPr>
                <w:color w:val="000000"/>
                <w:sz w:val="20"/>
                <w:szCs w:val="20"/>
                <w:lang w:val="fr-CA" w:eastAsia="en-CA"/>
              </w:rPr>
              <w:t>173</w:t>
            </w:r>
          </w:p>
        </w:tc>
      </w:tr>
      <w:tr w:rsidR="00874624" w:rsidRPr="00ED22D1" w:rsidTr="0085675A">
        <w:trPr>
          <w:trHeight w:val="280"/>
        </w:trPr>
        <w:tc>
          <w:tcPr>
            <w:tcW w:w="1439" w:type="pct"/>
            <w:vMerge/>
            <w:tcBorders>
              <w:top w:val="nil"/>
              <w:left w:val="single" w:sz="4" w:space="0" w:color="auto"/>
              <w:bottom w:val="single" w:sz="4" w:space="0" w:color="000000"/>
              <w:right w:val="single" w:sz="4" w:space="0" w:color="auto"/>
            </w:tcBorders>
            <w:shd w:val="clear" w:color="auto" w:fill="auto"/>
            <w:vAlign w:val="center"/>
          </w:tcPr>
          <w:p w:rsidR="0085675A" w:rsidRPr="00ED22D1" w:rsidRDefault="0085675A" w:rsidP="0085675A">
            <w:pPr>
              <w:jc w:val="left"/>
              <w:rPr>
                <w:color w:val="000000"/>
                <w:sz w:val="20"/>
                <w:szCs w:val="20"/>
                <w:lang w:val="fr-CA" w:eastAsia="en-CA"/>
              </w:rPr>
            </w:pPr>
          </w:p>
        </w:tc>
        <w:tc>
          <w:tcPr>
            <w:tcW w:w="113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5675A" w:rsidRPr="00ED22D1" w:rsidRDefault="004A6828" w:rsidP="0085675A">
            <w:pPr>
              <w:jc w:val="left"/>
              <w:rPr>
                <w:color w:val="000000"/>
                <w:sz w:val="20"/>
                <w:szCs w:val="20"/>
                <w:lang w:val="fr-CA" w:eastAsia="en-CA"/>
              </w:rPr>
            </w:pPr>
            <w:r w:rsidRPr="00ED22D1">
              <w:rPr>
                <w:color w:val="000000"/>
                <w:sz w:val="20"/>
                <w:szCs w:val="20"/>
                <w:lang w:val="fr-CA" w:eastAsia="en-CA"/>
              </w:rPr>
              <w:t>Allemagne</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0</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0</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0</w:t>
            </w:r>
          </w:p>
        </w:tc>
      </w:tr>
      <w:tr w:rsidR="00874624" w:rsidRPr="00ED22D1" w:rsidTr="0085675A">
        <w:trPr>
          <w:trHeight w:val="280"/>
        </w:trPr>
        <w:tc>
          <w:tcPr>
            <w:tcW w:w="1439" w:type="pct"/>
            <w:vMerge/>
            <w:tcBorders>
              <w:top w:val="nil"/>
              <w:left w:val="single" w:sz="4" w:space="0" w:color="auto"/>
              <w:bottom w:val="single" w:sz="4" w:space="0" w:color="000000"/>
              <w:right w:val="single" w:sz="4" w:space="0" w:color="auto"/>
            </w:tcBorders>
            <w:shd w:val="clear" w:color="auto" w:fill="auto"/>
            <w:vAlign w:val="center"/>
          </w:tcPr>
          <w:p w:rsidR="0085675A" w:rsidRPr="00ED22D1" w:rsidRDefault="0085675A" w:rsidP="0085675A">
            <w:pPr>
              <w:jc w:val="left"/>
              <w:rPr>
                <w:color w:val="000000"/>
                <w:sz w:val="20"/>
                <w:szCs w:val="20"/>
                <w:lang w:val="fr-CA" w:eastAsia="en-CA"/>
              </w:rPr>
            </w:pPr>
          </w:p>
        </w:tc>
        <w:tc>
          <w:tcPr>
            <w:tcW w:w="113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5675A" w:rsidRPr="00ED22D1" w:rsidRDefault="0085675A" w:rsidP="0085675A">
            <w:pPr>
              <w:jc w:val="left"/>
              <w:rPr>
                <w:b/>
                <w:color w:val="000000"/>
                <w:sz w:val="20"/>
                <w:szCs w:val="20"/>
                <w:lang w:val="fr-CA" w:eastAsia="en-CA"/>
              </w:rPr>
            </w:pPr>
            <w:r w:rsidRPr="00ED22D1">
              <w:rPr>
                <w:b/>
                <w:color w:val="000000"/>
                <w:sz w:val="20"/>
                <w:szCs w:val="20"/>
                <w:lang w:val="fr-CA" w:eastAsia="en-CA"/>
              </w:rPr>
              <w:t xml:space="preserve">Total </w:t>
            </w:r>
            <w:r w:rsidR="00874624" w:rsidRPr="00ED22D1">
              <w:rPr>
                <w:b/>
                <w:color w:val="000000"/>
                <w:sz w:val="20"/>
                <w:szCs w:val="20"/>
                <w:lang w:val="fr-CA" w:eastAsia="en-CA"/>
              </w:rPr>
              <w:t>($US)</w:t>
            </w:r>
          </w:p>
        </w:tc>
        <w:tc>
          <w:tcPr>
            <w:tcW w:w="758"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b/>
                <w:color w:val="000000"/>
                <w:sz w:val="20"/>
                <w:szCs w:val="20"/>
                <w:lang w:val="fr-CA" w:eastAsia="en-CA"/>
              </w:rPr>
            </w:pPr>
            <w:r w:rsidRPr="00ED22D1">
              <w:rPr>
                <w:b/>
                <w:color w:val="000000"/>
                <w:sz w:val="20"/>
                <w:szCs w:val="20"/>
                <w:lang w:val="fr-CA" w:eastAsia="en-CA"/>
              </w:rPr>
              <w:t>2 </w:t>
            </w:r>
            <w:r w:rsidR="0085675A" w:rsidRPr="00ED22D1">
              <w:rPr>
                <w:b/>
                <w:color w:val="000000"/>
                <w:sz w:val="20"/>
                <w:szCs w:val="20"/>
                <w:lang w:val="fr-CA" w:eastAsia="en-CA"/>
              </w:rPr>
              <w:t>03</w:t>
            </w:r>
            <w:r w:rsidRPr="00ED22D1">
              <w:rPr>
                <w:b/>
                <w:color w:val="000000"/>
                <w:sz w:val="20"/>
                <w:szCs w:val="20"/>
                <w:lang w:val="fr-CA" w:eastAsia="en-CA"/>
              </w:rPr>
              <w:t>1 </w:t>
            </w:r>
            <w:r w:rsidR="0085675A" w:rsidRPr="00ED22D1">
              <w:rPr>
                <w:b/>
                <w:color w:val="000000"/>
                <w:sz w:val="20"/>
                <w:szCs w:val="20"/>
                <w:lang w:val="fr-CA" w:eastAsia="en-CA"/>
              </w:rPr>
              <w:t>287</w:t>
            </w:r>
          </w:p>
        </w:tc>
        <w:tc>
          <w:tcPr>
            <w:tcW w:w="834"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b/>
                <w:color w:val="000000"/>
                <w:sz w:val="20"/>
                <w:szCs w:val="20"/>
                <w:lang w:val="fr-CA" w:eastAsia="en-CA"/>
              </w:rPr>
            </w:pPr>
            <w:r w:rsidRPr="00ED22D1">
              <w:rPr>
                <w:b/>
                <w:color w:val="000000"/>
                <w:sz w:val="20"/>
                <w:szCs w:val="20"/>
                <w:lang w:val="fr-CA" w:eastAsia="en-CA"/>
              </w:rPr>
              <w:t>2 </w:t>
            </w:r>
            <w:r w:rsidR="0085675A" w:rsidRPr="00ED22D1">
              <w:rPr>
                <w:b/>
                <w:color w:val="000000"/>
                <w:sz w:val="20"/>
                <w:szCs w:val="20"/>
                <w:lang w:val="fr-CA" w:eastAsia="en-CA"/>
              </w:rPr>
              <w:t>31</w:t>
            </w:r>
            <w:r w:rsidRPr="00ED22D1">
              <w:rPr>
                <w:b/>
                <w:color w:val="000000"/>
                <w:sz w:val="20"/>
                <w:szCs w:val="20"/>
                <w:lang w:val="fr-CA" w:eastAsia="en-CA"/>
              </w:rPr>
              <w:t>3 </w:t>
            </w:r>
            <w:r w:rsidR="0085675A" w:rsidRPr="00ED22D1">
              <w:rPr>
                <w:b/>
                <w:color w:val="000000"/>
                <w:sz w:val="20"/>
                <w:szCs w:val="20"/>
                <w:lang w:val="fr-CA" w:eastAsia="en-CA"/>
              </w:rPr>
              <w:t>886</w:t>
            </w:r>
          </w:p>
        </w:tc>
        <w:tc>
          <w:tcPr>
            <w:tcW w:w="832" w:type="pct"/>
            <w:tcBorders>
              <w:top w:val="nil"/>
              <w:left w:val="nil"/>
              <w:bottom w:val="single" w:sz="4" w:space="0" w:color="auto"/>
              <w:right w:val="single" w:sz="4" w:space="0" w:color="auto"/>
            </w:tcBorders>
            <w:shd w:val="clear" w:color="auto" w:fill="auto"/>
            <w:vAlign w:val="center"/>
          </w:tcPr>
          <w:p w:rsidR="0085675A" w:rsidRPr="00ED22D1" w:rsidRDefault="004A6828" w:rsidP="0085675A">
            <w:pPr>
              <w:jc w:val="right"/>
              <w:rPr>
                <w:b/>
                <w:color w:val="000000"/>
                <w:sz w:val="20"/>
                <w:szCs w:val="20"/>
                <w:lang w:val="fr-CA" w:eastAsia="en-CA"/>
              </w:rPr>
            </w:pPr>
            <w:r w:rsidRPr="00ED22D1">
              <w:rPr>
                <w:b/>
                <w:color w:val="000000"/>
                <w:sz w:val="20"/>
                <w:szCs w:val="20"/>
                <w:lang w:val="fr-CA" w:eastAsia="en-CA"/>
              </w:rPr>
              <w:t>4 </w:t>
            </w:r>
            <w:r w:rsidR="0085675A" w:rsidRPr="00ED22D1">
              <w:rPr>
                <w:b/>
                <w:color w:val="000000"/>
                <w:sz w:val="20"/>
                <w:szCs w:val="20"/>
                <w:lang w:val="fr-CA" w:eastAsia="en-CA"/>
              </w:rPr>
              <w:t>34</w:t>
            </w:r>
            <w:r w:rsidRPr="00ED22D1">
              <w:rPr>
                <w:b/>
                <w:color w:val="000000"/>
                <w:sz w:val="20"/>
                <w:szCs w:val="20"/>
                <w:lang w:val="fr-CA" w:eastAsia="en-CA"/>
              </w:rPr>
              <w:t>5 </w:t>
            </w:r>
            <w:r w:rsidR="0085675A" w:rsidRPr="00ED22D1">
              <w:rPr>
                <w:b/>
                <w:color w:val="000000"/>
                <w:sz w:val="20"/>
                <w:szCs w:val="20"/>
                <w:lang w:val="fr-CA" w:eastAsia="en-CA"/>
              </w:rPr>
              <w:t>173</w:t>
            </w:r>
          </w:p>
        </w:tc>
      </w:tr>
      <w:tr w:rsidR="00874624" w:rsidRPr="00ED22D1" w:rsidTr="0085675A">
        <w:trPr>
          <w:trHeight w:val="280"/>
        </w:trPr>
        <w:tc>
          <w:tcPr>
            <w:tcW w:w="1439" w:type="pct"/>
            <w:vMerge/>
            <w:tcBorders>
              <w:top w:val="nil"/>
              <w:left w:val="single" w:sz="4" w:space="0" w:color="auto"/>
              <w:bottom w:val="single" w:sz="4" w:space="0" w:color="000000"/>
              <w:right w:val="single" w:sz="4" w:space="0" w:color="auto"/>
            </w:tcBorders>
            <w:vAlign w:val="center"/>
            <w:hideMark/>
          </w:tcPr>
          <w:p w:rsidR="0085675A" w:rsidRPr="00ED22D1" w:rsidRDefault="0085675A" w:rsidP="0085675A">
            <w:pPr>
              <w:jc w:val="left"/>
              <w:rPr>
                <w:color w:val="000000"/>
                <w:sz w:val="20"/>
                <w:szCs w:val="20"/>
                <w:lang w:val="fr-CA" w:eastAsia="en-CA"/>
              </w:rPr>
            </w:pPr>
          </w:p>
        </w:tc>
        <w:tc>
          <w:tcPr>
            <w:tcW w:w="1137" w:type="pct"/>
            <w:tcBorders>
              <w:top w:val="nil"/>
              <w:left w:val="nil"/>
              <w:bottom w:val="single" w:sz="4" w:space="0" w:color="auto"/>
              <w:right w:val="single" w:sz="4" w:space="0" w:color="auto"/>
            </w:tcBorders>
            <w:shd w:val="clear" w:color="auto" w:fill="auto"/>
            <w:noWrap/>
            <w:vAlign w:val="center"/>
            <w:hideMark/>
          </w:tcPr>
          <w:p w:rsidR="0085675A" w:rsidRPr="00ED22D1" w:rsidRDefault="00350E4F" w:rsidP="0085675A">
            <w:pPr>
              <w:jc w:val="left"/>
              <w:rPr>
                <w:color w:val="000000"/>
                <w:sz w:val="20"/>
                <w:szCs w:val="20"/>
                <w:lang w:val="fr-CA" w:eastAsia="en-CA"/>
              </w:rPr>
            </w:pPr>
            <w:r w:rsidRPr="00ED22D1">
              <w:rPr>
                <w:color w:val="000000"/>
                <w:sz w:val="20"/>
                <w:szCs w:val="20"/>
                <w:lang w:val="fr-CA" w:eastAsia="en-CA"/>
              </w:rPr>
              <w:t>Ratio de décaissement</w:t>
            </w:r>
          </w:p>
        </w:tc>
        <w:tc>
          <w:tcPr>
            <w:tcW w:w="758"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2</w:t>
            </w:r>
            <w:r w:rsidR="004A6828" w:rsidRPr="00ED22D1">
              <w:rPr>
                <w:color w:val="000000"/>
                <w:sz w:val="20"/>
                <w:szCs w:val="20"/>
                <w:lang w:val="fr-CA" w:eastAsia="en-CA"/>
              </w:rPr>
              <w:t>7,</w:t>
            </w:r>
            <w:r w:rsidRPr="00ED22D1">
              <w:rPr>
                <w:color w:val="000000"/>
                <w:sz w:val="20"/>
                <w:szCs w:val="20"/>
                <w:lang w:val="fr-CA" w:eastAsia="en-CA"/>
              </w:rPr>
              <w:t>0</w:t>
            </w:r>
            <w:r w:rsidR="002D6976" w:rsidRPr="00ED22D1">
              <w:rPr>
                <w:color w:val="000000"/>
                <w:sz w:val="20"/>
                <w:szCs w:val="20"/>
                <w:lang w:val="fr-CA" w:eastAsia="en-CA"/>
              </w:rPr>
              <w:t> %</w:t>
            </w:r>
          </w:p>
        </w:tc>
        <w:tc>
          <w:tcPr>
            <w:tcW w:w="834"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2</w:t>
            </w:r>
            <w:r w:rsidR="004A6828" w:rsidRPr="00ED22D1">
              <w:rPr>
                <w:color w:val="000000"/>
                <w:sz w:val="20"/>
                <w:szCs w:val="20"/>
                <w:lang w:val="fr-CA" w:eastAsia="en-CA"/>
              </w:rPr>
              <w:t>5,</w:t>
            </w:r>
            <w:r w:rsidRPr="00ED22D1">
              <w:rPr>
                <w:color w:val="000000"/>
                <w:sz w:val="20"/>
                <w:szCs w:val="20"/>
                <w:lang w:val="fr-CA" w:eastAsia="en-CA"/>
              </w:rPr>
              <w:t>7</w:t>
            </w:r>
            <w:r w:rsidR="002D6976" w:rsidRPr="00ED22D1">
              <w:rPr>
                <w:color w:val="000000"/>
                <w:sz w:val="20"/>
                <w:szCs w:val="20"/>
                <w:lang w:val="fr-CA" w:eastAsia="en-CA"/>
              </w:rPr>
              <w:t> %</w:t>
            </w:r>
          </w:p>
        </w:tc>
        <w:tc>
          <w:tcPr>
            <w:tcW w:w="832" w:type="pct"/>
            <w:tcBorders>
              <w:top w:val="nil"/>
              <w:left w:val="nil"/>
              <w:bottom w:val="single" w:sz="4" w:space="0" w:color="auto"/>
              <w:right w:val="single" w:sz="4" w:space="0" w:color="auto"/>
            </w:tcBorders>
            <w:shd w:val="clear" w:color="auto" w:fill="auto"/>
            <w:vAlign w:val="center"/>
            <w:hideMark/>
          </w:tcPr>
          <w:p w:rsidR="0085675A" w:rsidRPr="00ED22D1" w:rsidRDefault="0085675A" w:rsidP="0085675A">
            <w:pPr>
              <w:jc w:val="right"/>
              <w:rPr>
                <w:color w:val="000000"/>
                <w:sz w:val="20"/>
                <w:szCs w:val="20"/>
                <w:lang w:val="fr-CA" w:eastAsia="en-CA"/>
              </w:rPr>
            </w:pPr>
            <w:r w:rsidRPr="00ED22D1">
              <w:rPr>
                <w:color w:val="000000"/>
                <w:sz w:val="20"/>
                <w:szCs w:val="20"/>
                <w:lang w:val="fr-CA" w:eastAsia="en-CA"/>
              </w:rPr>
              <w:t>2</w:t>
            </w:r>
            <w:r w:rsidR="004A6828" w:rsidRPr="00ED22D1">
              <w:rPr>
                <w:color w:val="000000"/>
                <w:sz w:val="20"/>
                <w:szCs w:val="20"/>
                <w:lang w:val="fr-CA" w:eastAsia="en-CA"/>
              </w:rPr>
              <w:t>6,</w:t>
            </w:r>
            <w:r w:rsidRPr="00ED22D1">
              <w:rPr>
                <w:color w:val="000000"/>
                <w:sz w:val="20"/>
                <w:szCs w:val="20"/>
                <w:lang w:val="fr-CA" w:eastAsia="en-CA"/>
              </w:rPr>
              <w:t>3</w:t>
            </w:r>
            <w:r w:rsidR="002D6976" w:rsidRPr="00ED22D1">
              <w:rPr>
                <w:color w:val="000000"/>
                <w:sz w:val="20"/>
                <w:szCs w:val="20"/>
                <w:lang w:val="fr-CA" w:eastAsia="en-CA"/>
              </w:rPr>
              <w:t> %</w:t>
            </w:r>
          </w:p>
        </w:tc>
      </w:tr>
    </w:tbl>
    <w:p w:rsidR="0085675A" w:rsidRPr="00ED22D1" w:rsidRDefault="0085675A" w:rsidP="0085675A">
      <w:pPr>
        <w:rPr>
          <w:sz w:val="20"/>
          <w:szCs w:val="20"/>
          <w:lang w:val="fr-CA"/>
        </w:rPr>
      </w:pPr>
    </w:p>
    <w:p w:rsidR="0085675A" w:rsidRPr="00ED22D1" w:rsidRDefault="00874624" w:rsidP="0085675A">
      <w:pPr>
        <w:keepNext/>
        <w:keepLines/>
        <w:rPr>
          <w:u w:val="single"/>
          <w:lang w:val="fr-CA"/>
        </w:rPr>
      </w:pPr>
      <w:r w:rsidRPr="00ED22D1">
        <w:rPr>
          <w:u w:val="single"/>
          <w:lang w:val="fr-CA"/>
        </w:rPr>
        <w:t>Plan de m</w:t>
      </w:r>
      <w:r w:rsidR="00921BDE" w:rsidRPr="00ED22D1">
        <w:rPr>
          <w:u w:val="single"/>
          <w:lang w:val="fr-CA"/>
        </w:rPr>
        <w:t xml:space="preserve">ise en oeuvre </w:t>
      </w:r>
      <w:r w:rsidRPr="00ED22D1">
        <w:rPr>
          <w:u w:val="single"/>
          <w:lang w:val="fr-CA"/>
        </w:rPr>
        <w:t>de la</w:t>
      </w:r>
      <w:r w:rsidR="0085675A" w:rsidRPr="00ED22D1">
        <w:rPr>
          <w:u w:val="single"/>
          <w:lang w:val="fr-CA"/>
        </w:rPr>
        <w:t xml:space="preserve"> </w:t>
      </w:r>
      <w:r w:rsidR="004A6828" w:rsidRPr="00ED22D1">
        <w:rPr>
          <w:u w:val="single"/>
          <w:lang w:val="fr-CA"/>
        </w:rPr>
        <w:t>troisième</w:t>
      </w:r>
      <w:r w:rsidR="0085675A" w:rsidRPr="00ED22D1">
        <w:rPr>
          <w:u w:val="single"/>
          <w:lang w:val="fr-CA"/>
        </w:rPr>
        <w:t xml:space="preserve"> tranche </w:t>
      </w:r>
      <w:r w:rsidR="00921BDE" w:rsidRPr="00ED22D1">
        <w:rPr>
          <w:u w:val="single"/>
          <w:lang w:val="fr-CA"/>
        </w:rPr>
        <w:t>de la phase</w:t>
      </w:r>
      <w:r w:rsidR="004A6828" w:rsidRPr="00ED22D1">
        <w:rPr>
          <w:u w:val="single"/>
          <w:lang w:val="fr-CA"/>
        </w:rPr>
        <w:t xml:space="preserve"> </w:t>
      </w:r>
      <w:r w:rsidR="0085675A" w:rsidRPr="00ED22D1">
        <w:rPr>
          <w:u w:val="single"/>
          <w:lang w:val="fr-CA"/>
        </w:rPr>
        <w:t>II</w:t>
      </w:r>
    </w:p>
    <w:p w:rsidR="0085675A" w:rsidRPr="00ED22D1" w:rsidRDefault="0085675A" w:rsidP="0085675A">
      <w:pPr>
        <w:keepNext/>
        <w:keepLines/>
        <w:rPr>
          <w:lang w:val="fr-CA"/>
        </w:rPr>
      </w:pPr>
    </w:p>
    <w:p w:rsidR="0085675A" w:rsidRPr="00ED22D1" w:rsidRDefault="002D2C0B" w:rsidP="002D2C0B">
      <w:pPr>
        <w:pStyle w:val="Heading1"/>
        <w:keepNext/>
        <w:keepLines/>
        <w:numPr>
          <w:ilvl w:val="0"/>
          <w:numId w:val="0"/>
        </w:numPr>
        <w:rPr>
          <w:lang w:val="fr-CA"/>
        </w:rPr>
      </w:pPr>
      <w:r w:rsidRPr="00ED22D1">
        <w:rPr>
          <w:lang w:val="fr-CA"/>
        </w:rPr>
        <w:t>62.</w:t>
      </w:r>
      <w:r w:rsidRPr="00ED22D1">
        <w:rPr>
          <w:lang w:val="fr-CA"/>
        </w:rPr>
        <w:tab/>
      </w:r>
      <w:r w:rsidR="00874624" w:rsidRPr="00ED22D1">
        <w:rPr>
          <w:lang w:val="fr-CA"/>
        </w:rPr>
        <w:t>L’</w:t>
      </w:r>
      <w:r w:rsidR="0085675A" w:rsidRPr="00ED22D1">
        <w:rPr>
          <w:lang w:val="fr-CA"/>
        </w:rPr>
        <w:t xml:space="preserve">IECO </w:t>
      </w:r>
      <w:r w:rsidR="00874624" w:rsidRPr="00ED22D1">
        <w:rPr>
          <w:lang w:val="fr-CA"/>
        </w:rPr>
        <w:t xml:space="preserve">poursuivra l’application des règlements en matière de contingents pour les </w:t>
      </w:r>
      <w:r w:rsidR="00921BDE" w:rsidRPr="00ED22D1">
        <w:rPr>
          <w:lang w:val="fr-CA"/>
        </w:rPr>
        <w:t>entreprises de mousse</w:t>
      </w:r>
      <w:r w:rsidR="00874624" w:rsidRPr="00ED22D1">
        <w:rPr>
          <w:lang w:val="fr-CA"/>
        </w:rPr>
        <w:t>s</w:t>
      </w:r>
      <w:r w:rsidR="00921BDE" w:rsidRPr="00ED22D1">
        <w:rPr>
          <w:lang w:val="fr-CA"/>
        </w:rPr>
        <w:t xml:space="preserve"> extrudée</w:t>
      </w:r>
      <w:r w:rsidR="00874624" w:rsidRPr="00ED22D1">
        <w:rPr>
          <w:lang w:val="fr-CA"/>
        </w:rPr>
        <w:t>s</w:t>
      </w:r>
      <w:r w:rsidR="00921BDE" w:rsidRPr="00ED22D1">
        <w:rPr>
          <w:lang w:val="fr-CA"/>
        </w:rPr>
        <w:t xml:space="preserve"> (XPS)</w:t>
      </w:r>
      <w:r w:rsidR="00874624" w:rsidRPr="00ED22D1">
        <w:rPr>
          <w:lang w:val="fr-CA"/>
        </w:rPr>
        <w:t xml:space="preserve"> consommant plus de </w:t>
      </w:r>
      <w:r w:rsidR="0085675A" w:rsidRPr="00ED22D1">
        <w:rPr>
          <w:lang w:val="fr-CA"/>
        </w:rPr>
        <w:t>100 </w:t>
      </w:r>
      <w:r w:rsidR="00181884" w:rsidRPr="00ED22D1">
        <w:rPr>
          <w:lang w:val="fr-CA"/>
        </w:rPr>
        <w:t>tonnes métriques</w:t>
      </w:r>
      <w:r w:rsidR="0085675A" w:rsidRPr="00ED22D1">
        <w:rPr>
          <w:lang w:val="fr-CA"/>
        </w:rPr>
        <w:t xml:space="preserve"> (</w:t>
      </w:r>
      <w:r w:rsidR="001279D7" w:rsidRPr="00ED22D1">
        <w:rPr>
          <w:lang w:val="fr-CA"/>
        </w:rPr>
        <w:t>tm</w:t>
      </w:r>
      <w:r w:rsidR="0085675A" w:rsidRPr="00ED22D1">
        <w:rPr>
          <w:lang w:val="fr-CA"/>
        </w:rPr>
        <w:t xml:space="preserve">) </w:t>
      </w:r>
      <w:r w:rsidR="00874624" w:rsidRPr="00ED22D1">
        <w:rPr>
          <w:lang w:val="fr-CA"/>
        </w:rPr>
        <w:t>de</w:t>
      </w:r>
      <w:r w:rsidR="0085675A" w:rsidRPr="00ED22D1">
        <w:rPr>
          <w:lang w:val="fr-CA"/>
        </w:rPr>
        <w:t xml:space="preserve"> </w:t>
      </w:r>
      <w:r w:rsidR="00181884" w:rsidRPr="00ED22D1">
        <w:rPr>
          <w:lang w:val="fr-CA"/>
        </w:rPr>
        <w:t>HCFC</w:t>
      </w:r>
      <w:r w:rsidR="00350E4F" w:rsidRPr="00ED22D1">
        <w:rPr>
          <w:lang w:val="fr-CA"/>
        </w:rPr>
        <w:t xml:space="preserve"> par </w:t>
      </w:r>
      <w:r w:rsidR="0052712E" w:rsidRPr="00ED22D1">
        <w:rPr>
          <w:lang w:val="fr-CA"/>
        </w:rPr>
        <w:t>année</w:t>
      </w:r>
      <w:r w:rsidR="00C420BC" w:rsidRPr="00ED22D1">
        <w:rPr>
          <w:lang w:val="fr-CA"/>
        </w:rPr>
        <w:t>. L’</w:t>
      </w:r>
      <w:r w:rsidR="00F320D6" w:rsidRPr="00ED22D1">
        <w:rPr>
          <w:lang w:val="fr-CA"/>
        </w:rPr>
        <w:t>IECO</w:t>
      </w:r>
      <w:r w:rsidR="0085675A" w:rsidRPr="00ED22D1">
        <w:rPr>
          <w:lang w:val="fr-CA"/>
        </w:rPr>
        <w:t xml:space="preserve"> </w:t>
      </w:r>
      <w:r w:rsidR="00874624" w:rsidRPr="00ED22D1">
        <w:rPr>
          <w:lang w:val="fr-CA"/>
        </w:rPr>
        <w:t xml:space="preserve">poursuivra aussi la </w:t>
      </w:r>
      <w:r w:rsidR="00FB1DC4" w:rsidRPr="00ED22D1">
        <w:rPr>
          <w:lang w:val="fr-CA"/>
        </w:rPr>
        <w:t>reconversion</w:t>
      </w:r>
      <w:r w:rsidR="0085675A" w:rsidRPr="00ED22D1">
        <w:rPr>
          <w:lang w:val="fr-CA"/>
        </w:rPr>
        <w:t xml:space="preserve"> </w:t>
      </w:r>
      <w:r w:rsidR="00874624" w:rsidRPr="00ED22D1">
        <w:rPr>
          <w:lang w:val="fr-CA"/>
        </w:rPr>
        <w:t xml:space="preserve">des </w:t>
      </w:r>
      <w:r w:rsidR="00921BDE" w:rsidRPr="00ED22D1">
        <w:rPr>
          <w:lang w:val="fr-CA"/>
        </w:rPr>
        <w:t>dix entreprise</w:t>
      </w:r>
      <w:r w:rsidR="0085675A" w:rsidRPr="00ED22D1">
        <w:rPr>
          <w:lang w:val="fr-CA"/>
        </w:rPr>
        <w:t>s,</w:t>
      </w:r>
      <w:r w:rsidR="004A6828" w:rsidRPr="00ED22D1">
        <w:rPr>
          <w:lang w:val="fr-CA"/>
        </w:rPr>
        <w:t xml:space="preserve"> et </w:t>
      </w:r>
      <w:r w:rsidR="00874624" w:rsidRPr="00ED22D1">
        <w:rPr>
          <w:lang w:val="fr-CA"/>
        </w:rPr>
        <w:t>sélectionnera de</w:t>
      </w:r>
      <w:r w:rsidR="0085675A" w:rsidRPr="00ED22D1">
        <w:rPr>
          <w:lang w:val="fr-CA"/>
        </w:rPr>
        <w:t xml:space="preserve"> </w:t>
      </w:r>
      <w:r w:rsidR="00874624" w:rsidRPr="00ED22D1">
        <w:rPr>
          <w:lang w:val="fr-CA"/>
        </w:rPr>
        <w:t>deux</w:t>
      </w:r>
      <w:r w:rsidR="004A6828" w:rsidRPr="00ED22D1">
        <w:rPr>
          <w:lang w:val="fr-CA"/>
        </w:rPr>
        <w:t xml:space="preserve"> </w:t>
      </w:r>
      <w:r w:rsidR="00874624" w:rsidRPr="00ED22D1">
        <w:rPr>
          <w:lang w:val="fr-CA"/>
        </w:rPr>
        <w:t>à</w:t>
      </w:r>
      <w:r w:rsidR="004A6828" w:rsidRPr="00ED22D1">
        <w:rPr>
          <w:lang w:val="fr-CA"/>
        </w:rPr>
        <w:t xml:space="preserve"> </w:t>
      </w:r>
      <w:r w:rsidR="0085675A" w:rsidRPr="00ED22D1">
        <w:rPr>
          <w:lang w:val="fr-CA"/>
        </w:rPr>
        <w:t xml:space="preserve">six </w:t>
      </w:r>
      <w:r w:rsidR="00921BDE" w:rsidRPr="00ED22D1">
        <w:rPr>
          <w:lang w:val="fr-CA"/>
        </w:rPr>
        <w:t>entreprise</w:t>
      </w:r>
      <w:r w:rsidR="0085675A" w:rsidRPr="00ED22D1">
        <w:rPr>
          <w:lang w:val="fr-CA"/>
        </w:rPr>
        <w:t>s</w:t>
      </w:r>
      <w:r w:rsidR="00874624" w:rsidRPr="00ED22D1">
        <w:rPr>
          <w:lang w:val="fr-CA"/>
        </w:rPr>
        <w:t xml:space="preserve"> supplémentaires pour la</w:t>
      </w:r>
      <w:r w:rsidR="00FB1DC4" w:rsidRPr="00ED22D1">
        <w:rPr>
          <w:lang w:val="fr-CA"/>
        </w:rPr>
        <w:t xml:space="preserve"> reconversion</w:t>
      </w:r>
      <w:r w:rsidR="0085675A" w:rsidRPr="00ED22D1">
        <w:rPr>
          <w:lang w:val="fr-CA"/>
        </w:rPr>
        <w:t xml:space="preserve">, </w:t>
      </w:r>
      <w:r w:rsidR="00874624" w:rsidRPr="00ED22D1">
        <w:rPr>
          <w:lang w:val="fr-CA"/>
        </w:rPr>
        <w:t xml:space="preserve">ce qui permettra une réduction supplémentaire d’au moins </w:t>
      </w:r>
      <w:r w:rsidR="004A6828" w:rsidRPr="00ED22D1">
        <w:rPr>
          <w:lang w:val="fr-CA"/>
        </w:rPr>
        <w:t>1 </w:t>
      </w:r>
      <w:r w:rsidR="0085675A" w:rsidRPr="00ED22D1">
        <w:rPr>
          <w:lang w:val="fr-CA"/>
        </w:rPr>
        <w:t>212</w:t>
      </w:r>
      <w:r w:rsidR="00874624" w:rsidRPr="00ED22D1">
        <w:rPr>
          <w:lang w:val="fr-CA"/>
        </w:rPr>
        <w:t> </w:t>
      </w:r>
      <w:r w:rsidR="004B666A" w:rsidRPr="00ED22D1">
        <w:rPr>
          <w:lang w:val="fr-CA"/>
        </w:rPr>
        <w:t xml:space="preserve">tm </w:t>
      </w:r>
      <w:r w:rsidR="00874624" w:rsidRPr="00ED22D1">
        <w:rPr>
          <w:lang w:val="fr-CA"/>
        </w:rPr>
        <w:t>de</w:t>
      </w:r>
      <w:r w:rsidR="0085675A" w:rsidRPr="00ED22D1">
        <w:rPr>
          <w:lang w:val="fr-CA"/>
        </w:rPr>
        <w:t xml:space="preserve"> </w:t>
      </w:r>
      <w:r w:rsidR="00181884" w:rsidRPr="00ED22D1">
        <w:rPr>
          <w:lang w:val="fr-CA"/>
        </w:rPr>
        <w:t>HCFC</w:t>
      </w:r>
      <w:r w:rsidR="0085675A" w:rsidRPr="00ED22D1">
        <w:rPr>
          <w:lang w:val="fr-CA"/>
        </w:rPr>
        <w:t xml:space="preserve">. </w:t>
      </w:r>
    </w:p>
    <w:p w:rsidR="0085675A" w:rsidRPr="00ED22D1" w:rsidRDefault="002D2C0B" w:rsidP="002D2C0B">
      <w:pPr>
        <w:pStyle w:val="Heading1"/>
        <w:numPr>
          <w:ilvl w:val="0"/>
          <w:numId w:val="0"/>
        </w:numPr>
        <w:rPr>
          <w:lang w:val="fr-CA"/>
        </w:rPr>
      </w:pPr>
      <w:r w:rsidRPr="00ED22D1">
        <w:rPr>
          <w:lang w:val="fr-CA"/>
        </w:rPr>
        <w:t>63.</w:t>
      </w:r>
      <w:r w:rsidRPr="00ED22D1">
        <w:rPr>
          <w:lang w:val="fr-CA"/>
        </w:rPr>
        <w:tab/>
      </w:r>
      <w:r w:rsidR="00874624" w:rsidRPr="00ED22D1">
        <w:rPr>
          <w:lang w:val="fr-CA"/>
        </w:rPr>
        <w:t xml:space="preserve">Les </w:t>
      </w:r>
      <w:r w:rsidR="004B666A" w:rsidRPr="00ED22D1">
        <w:rPr>
          <w:lang w:val="fr-CA"/>
        </w:rPr>
        <w:t xml:space="preserve">activités d’assistance technique </w:t>
      </w:r>
      <w:r w:rsidR="00874624" w:rsidRPr="00ED22D1">
        <w:rPr>
          <w:lang w:val="fr-CA"/>
        </w:rPr>
        <w:t>suivantes seront mises en oeuvre</w:t>
      </w:r>
      <w:r w:rsidR="00791BF7" w:rsidRPr="00ED22D1">
        <w:rPr>
          <w:lang w:val="fr-CA"/>
        </w:rPr>
        <w:t> :</w:t>
      </w:r>
      <w:r w:rsidR="00874624" w:rsidRPr="00ED22D1">
        <w:rPr>
          <w:lang w:val="fr-CA"/>
        </w:rPr>
        <w:t xml:space="preserve"> deux ateliers techniques</w:t>
      </w:r>
      <w:r w:rsidR="0085675A" w:rsidRPr="00ED22D1">
        <w:rPr>
          <w:lang w:val="fr-CA"/>
        </w:rPr>
        <w:t xml:space="preserve"> </w:t>
      </w:r>
      <w:r w:rsidR="00874624" w:rsidRPr="00ED22D1">
        <w:rPr>
          <w:lang w:val="fr-CA"/>
        </w:rPr>
        <w:t>sur la stratégie d’élimination des HCFC</w:t>
      </w:r>
      <w:r w:rsidR="0085675A" w:rsidRPr="00ED22D1">
        <w:rPr>
          <w:lang w:val="fr-CA"/>
        </w:rPr>
        <w:t xml:space="preserve">, </w:t>
      </w:r>
      <w:r w:rsidR="00874624" w:rsidRPr="00ED22D1">
        <w:rPr>
          <w:lang w:val="fr-CA"/>
        </w:rPr>
        <w:t>les politiques</w:t>
      </w:r>
      <w:r w:rsidR="0085675A" w:rsidRPr="00ED22D1">
        <w:rPr>
          <w:lang w:val="fr-CA"/>
        </w:rPr>
        <w:t>,</w:t>
      </w:r>
      <w:r w:rsidR="004A6828" w:rsidRPr="00ED22D1">
        <w:rPr>
          <w:lang w:val="fr-CA"/>
        </w:rPr>
        <w:t xml:space="preserve"> et </w:t>
      </w:r>
      <w:r w:rsidR="00874624" w:rsidRPr="00ED22D1">
        <w:rPr>
          <w:lang w:val="fr-CA"/>
        </w:rPr>
        <w:t xml:space="preserve">les </w:t>
      </w:r>
      <w:r w:rsidR="00BB7CCB" w:rsidRPr="00ED22D1">
        <w:rPr>
          <w:lang w:val="fr-CA"/>
        </w:rPr>
        <w:t>technologies de remplacement</w:t>
      </w:r>
      <w:r w:rsidR="0085675A" w:rsidRPr="00ED22D1">
        <w:rPr>
          <w:lang w:val="fr-CA"/>
        </w:rPr>
        <w:t>;</w:t>
      </w:r>
      <w:r w:rsidR="004A6828" w:rsidRPr="00ED22D1">
        <w:rPr>
          <w:lang w:val="fr-CA"/>
        </w:rPr>
        <w:t xml:space="preserve"> et</w:t>
      </w:r>
      <w:r w:rsidR="00B03403" w:rsidRPr="00ED22D1">
        <w:rPr>
          <w:lang w:val="fr-CA"/>
        </w:rPr>
        <w:t> </w:t>
      </w:r>
      <w:r w:rsidR="00874624" w:rsidRPr="00ED22D1">
        <w:rPr>
          <w:lang w:val="fr-CA"/>
        </w:rPr>
        <w:t>la</w:t>
      </w:r>
      <w:r w:rsidR="00B03403" w:rsidRPr="00ED22D1">
        <w:rPr>
          <w:lang w:val="fr-CA"/>
        </w:rPr>
        <w:t> </w:t>
      </w:r>
      <w:r w:rsidR="00874624" w:rsidRPr="00ED22D1">
        <w:rPr>
          <w:lang w:val="fr-CA"/>
        </w:rPr>
        <w:t xml:space="preserve">poursuite des activités de </w:t>
      </w:r>
      <w:r w:rsidR="002F6D48" w:rsidRPr="00ED22D1">
        <w:rPr>
          <w:lang w:val="fr-CA"/>
        </w:rPr>
        <w:t>sensibilisation du public</w:t>
      </w:r>
      <w:r w:rsidR="0085675A" w:rsidRPr="00ED22D1">
        <w:rPr>
          <w:lang w:val="fr-CA"/>
        </w:rPr>
        <w:t xml:space="preserve"> </w:t>
      </w:r>
      <w:r w:rsidR="00874624" w:rsidRPr="00ED22D1">
        <w:rPr>
          <w:lang w:val="fr-CA"/>
        </w:rPr>
        <w:t>afin de faciliter l’élimination des</w:t>
      </w:r>
      <w:r w:rsidR="0085675A" w:rsidRPr="00ED22D1">
        <w:rPr>
          <w:lang w:val="fr-CA"/>
        </w:rPr>
        <w:t xml:space="preserve"> HCFC </w:t>
      </w:r>
      <w:r w:rsidR="00874624" w:rsidRPr="00ED22D1">
        <w:rPr>
          <w:lang w:val="fr-CA"/>
        </w:rPr>
        <w:t xml:space="preserve">du secteur des </w:t>
      </w:r>
      <w:r w:rsidR="00921BDE" w:rsidRPr="00ED22D1">
        <w:rPr>
          <w:lang w:val="fr-CA"/>
        </w:rPr>
        <w:t>mousse</w:t>
      </w:r>
      <w:r w:rsidR="00874624" w:rsidRPr="00ED22D1">
        <w:rPr>
          <w:lang w:val="fr-CA"/>
        </w:rPr>
        <w:t>s</w:t>
      </w:r>
      <w:r w:rsidR="00921BDE" w:rsidRPr="00ED22D1">
        <w:rPr>
          <w:lang w:val="fr-CA"/>
        </w:rPr>
        <w:t xml:space="preserve"> extrudée</w:t>
      </w:r>
      <w:r w:rsidR="00874624" w:rsidRPr="00ED22D1">
        <w:rPr>
          <w:lang w:val="fr-CA"/>
        </w:rPr>
        <w:t>s</w:t>
      </w:r>
      <w:r w:rsidR="00921BDE" w:rsidRPr="00ED22D1">
        <w:rPr>
          <w:lang w:val="fr-CA"/>
        </w:rPr>
        <w:t xml:space="preserve"> (XPS)</w:t>
      </w:r>
      <w:r w:rsidR="00733306" w:rsidRPr="00ED22D1">
        <w:rPr>
          <w:lang w:val="fr-CA"/>
        </w:rPr>
        <w:t>,</w:t>
      </w:r>
      <w:r w:rsidR="0085675A" w:rsidRPr="00ED22D1">
        <w:rPr>
          <w:lang w:val="fr-CA"/>
        </w:rPr>
        <w:t xml:space="preserve"> </w:t>
      </w:r>
      <w:r w:rsidR="004B666A" w:rsidRPr="00ED22D1">
        <w:rPr>
          <w:lang w:val="fr-CA"/>
        </w:rPr>
        <w:t>y compris</w:t>
      </w:r>
      <w:r w:rsidR="0085675A" w:rsidRPr="00ED22D1">
        <w:rPr>
          <w:lang w:val="fr-CA"/>
        </w:rPr>
        <w:t xml:space="preserve"> </w:t>
      </w:r>
      <w:r w:rsidR="00874624" w:rsidRPr="00ED22D1">
        <w:rPr>
          <w:lang w:val="fr-CA"/>
        </w:rPr>
        <w:t xml:space="preserve">des réunions régulières et la </w:t>
      </w:r>
      <w:r w:rsidR="0085675A" w:rsidRPr="00ED22D1">
        <w:rPr>
          <w:lang w:val="fr-CA"/>
        </w:rPr>
        <w:t>diss</w:t>
      </w:r>
      <w:r w:rsidR="00874624" w:rsidRPr="00ED22D1">
        <w:rPr>
          <w:lang w:val="fr-CA"/>
        </w:rPr>
        <w:t>é</w:t>
      </w:r>
      <w:r w:rsidR="0085675A" w:rsidRPr="00ED22D1">
        <w:rPr>
          <w:lang w:val="fr-CA"/>
        </w:rPr>
        <w:t>mination</w:t>
      </w:r>
      <w:r w:rsidR="00874624" w:rsidRPr="00ED22D1">
        <w:rPr>
          <w:lang w:val="fr-CA"/>
        </w:rPr>
        <w:t xml:space="preserve"> des informations</w:t>
      </w:r>
      <w:r w:rsidR="0085675A" w:rsidRPr="00ED22D1">
        <w:rPr>
          <w:lang w:val="fr-CA"/>
        </w:rPr>
        <w:t>.</w:t>
      </w:r>
    </w:p>
    <w:p w:rsidR="0085675A" w:rsidRPr="00ED22D1" w:rsidRDefault="002D2C0B" w:rsidP="002D2C0B">
      <w:pPr>
        <w:pStyle w:val="Heading1"/>
        <w:numPr>
          <w:ilvl w:val="0"/>
          <w:numId w:val="0"/>
        </w:numPr>
        <w:rPr>
          <w:lang w:val="fr-CA"/>
        </w:rPr>
      </w:pPr>
      <w:r w:rsidRPr="00ED22D1">
        <w:rPr>
          <w:lang w:val="fr-CA"/>
        </w:rPr>
        <w:t>64.</w:t>
      </w:r>
      <w:r w:rsidRPr="00ED22D1">
        <w:rPr>
          <w:lang w:val="fr-CA"/>
        </w:rPr>
        <w:tab/>
      </w:r>
      <w:r w:rsidR="00874624" w:rsidRPr="00ED22D1">
        <w:rPr>
          <w:lang w:val="fr-CA"/>
        </w:rPr>
        <w:t>Le t</w:t>
      </w:r>
      <w:r w:rsidR="00CE7FEC" w:rsidRPr="00ED22D1">
        <w:rPr>
          <w:lang w:val="fr-CA"/>
        </w:rPr>
        <w:t xml:space="preserve">ableau </w:t>
      </w:r>
      <w:r w:rsidR="0085675A" w:rsidRPr="00ED22D1">
        <w:rPr>
          <w:lang w:val="fr-CA"/>
        </w:rPr>
        <w:t xml:space="preserve">3 </w:t>
      </w:r>
      <w:r w:rsidR="00874624" w:rsidRPr="00ED22D1">
        <w:rPr>
          <w:lang w:val="fr-CA"/>
        </w:rPr>
        <w:t>présente le</w:t>
      </w:r>
      <w:r w:rsidR="0085675A" w:rsidRPr="00ED22D1">
        <w:rPr>
          <w:lang w:val="fr-CA"/>
        </w:rPr>
        <w:t xml:space="preserve"> budget</w:t>
      </w:r>
      <w:r w:rsidR="00874624" w:rsidRPr="00ED22D1">
        <w:rPr>
          <w:lang w:val="fr-CA"/>
        </w:rPr>
        <w:t xml:space="preserve"> des </w:t>
      </w:r>
      <w:r w:rsidR="001B45EC" w:rsidRPr="00ED22D1">
        <w:rPr>
          <w:lang w:val="fr-CA"/>
        </w:rPr>
        <w:t>activités</w:t>
      </w:r>
      <w:r w:rsidR="0085675A" w:rsidRPr="00ED22D1">
        <w:rPr>
          <w:lang w:val="fr-CA"/>
        </w:rPr>
        <w:t xml:space="preserve"> </w:t>
      </w:r>
      <w:r w:rsidR="00874624" w:rsidRPr="00ED22D1">
        <w:rPr>
          <w:lang w:val="fr-CA"/>
        </w:rPr>
        <w:t>à effectuer pendant</w:t>
      </w:r>
      <w:r w:rsidR="0085675A" w:rsidRPr="00ED22D1">
        <w:rPr>
          <w:lang w:val="fr-CA"/>
        </w:rPr>
        <w:t xml:space="preserve"> </w:t>
      </w:r>
      <w:r w:rsidR="00921BDE" w:rsidRPr="00ED22D1">
        <w:rPr>
          <w:lang w:val="fr-CA"/>
        </w:rPr>
        <w:t xml:space="preserve">la mise en oeuvre </w:t>
      </w:r>
      <w:r w:rsidR="00874624" w:rsidRPr="00ED22D1">
        <w:rPr>
          <w:lang w:val="fr-CA"/>
        </w:rPr>
        <w:t>de la</w:t>
      </w:r>
      <w:r w:rsidR="0085675A" w:rsidRPr="00ED22D1">
        <w:rPr>
          <w:lang w:val="fr-CA"/>
        </w:rPr>
        <w:t xml:space="preserve"> </w:t>
      </w:r>
      <w:r w:rsidR="004A6828" w:rsidRPr="00ED22D1">
        <w:rPr>
          <w:lang w:val="fr-CA"/>
        </w:rPr>
        <w:t>troisième</w:t>
      </w:r>
      <w:r w:rsidR="0085675A" w:rsidRPr="00ED22D1">
        <w:rPr>
          <w:lang w:val="fr-CA"/>
        </w:rPr>
        <w:t xml:space="preserve"> tranche. </w:t>
      </w:r>
    </w:p>
    <w:p w:rsidR="0085675A" w:rsidRPr="00ED22D1" w:rsidRDefault="00CE7FEC" w:rsidP="0085675A">
      <w:pPr>
        <w:pStyle w:val="Heading1"/>
        <w:keepNext/>
        <w:keepLines/>
        <w:widowControl w:val="0"/>
        <w:numPr>
          <w:ilvl w:val="0"/>
          <w:numId w:val="0"/>
        </w:numPr>
        <w:spacing w:after="0"/>
        <w:jc w:val="left"/>
        <w:rPr>
          <w:b/>
          <w:lang w:val="fr-CA"/>
        </w:rPr>
      </w:pPr>
      <w:r w:rsidRPr="00ED22D1">
        <w:rPr>
          <w:b/>
          <w:lang w:val="fr-CA"/>
        </w:rPr>
        <w:t xml:space="preserve">Tableau </w:t>
      </w:r>
      <w:r w:rsidR="004A6828" w:rsidRPr="00ED22D1">
        <w:rPr>
          <w:b/>
          <w:lang w:val="fr-CA"/>
        </w:rPr>
        <w:t>3</w:t>
      </w:r>
      <w:r w:rsidR="00D05BD1" w:rsidRPr="00ED22D1">
        <w:rPr>
          <w:b/>
          <w:lang w:val="fr-CA"/>
        </w:rPr>
        <w:t>.</w:t>
      </w:r>
      <w:r w:rsidR="0085675A" w:rsidRPr="00ED22D1">
        <w:rPr>
          <w:b/>
          <w:lang w:val="fr-CA"/>
        </w:rPr>
        <w:t xml:space="preserve"> Budget</w:t>
      </w:r>
      <w:r w:rsidR="00874624" w:rsidRPr="00ED22D1">
        <w:rPr>
          <w:b/>
          <w:lang w:val="fr-CA"/>
        </w:rPr>
        <w:t xml:space="preserve"> pour le</w:t>
      </w:r>
      <w:r w:rsidR="0085675A" w:rsidRPr="00ED22D1">
        <w:rPr>
          <w:b/>
          <w:lang w:val="fr-CA"/>
        </w:rPr>
        <w:t xml:space="preserve"> </w:t>
      </w:r>
      <w:r w:rsidR="004A6828" w:rsidRPr="00ED22D1">
        <w:rPr>
          <w:b/>
          <w:lang w:val="fr-CA"/>
        </w:rPr>
        <w:t>troisième</w:t>
      </w:r>
      <w:r w:rsidR="0085675A" w:rsidRPr="00ED22D1">
        <w:rPr>
          <w:b/>
          <w:lang w:val="fr-CA"/>
        </w:rPr>
        <w:t xml:space="preserve"> tranche </w:t>
      </w:r>
      <w:r w:rsidR="00874624" w:rsidRPr="00ED22D1">
        <w:rPr>
          <w:b/>
          <w:lang w:val="fr-CA"/>
        </w:rPr>
        <w:t xml:space="preserve">du plan du secteur des </w:t>
      </w:r>
      <w:r w:rsidR="00921BDE" w:rsidRPr="00ED22D1">
        <w:rPr>
          <w:b/>
          <w:lang w:val="fr-CA"/>
        </w:rPr>
        <w:t>mousse</w:t>
      </w:r>
      <w:r w:rsidR="00874624" w:rsidRPr="00ED22D1">
        <w:rPr>
          <w:b/>
          <w:lang w:val="fr-CA"/>
        </w:rPr>
        <w:t>s</w:t>
      </w:r>
      <w:r w:rsidR="00921BDE" w:rsidRPr="00ED22D1">
        <w:rPr>
          <w:b/>
          <w:lang w:val="fr-CA"/>
        </w:rPr>
        <w:t xml:space="preserve"> extrudée</w:t>
      </w:r>
      <w:r w:rsidR="00874624" w:rsidRPr="00ED22D1">
        <w:rPr>
          <w:b/>
          <w:lang w:val="fr-CA"/>
        </w:rPr>
        <w:t>s</w:t>
      </w:r>
      <w:r w:rsidR="00921BDE" w:rsidRPr="00ED22D1">
        <w:rPr>
          <w:b/>
          <w:lang w:val="fr-CA"/>
        </w:rPr>
        <w:t xml:space="preserve"> (XPS)</w:t>
      </w:r>
      <w:r w:rsidR="0085675A" w:rsidRPr="00ED22D1">
        <w:rPr>
          <w:b/>
          <w:lang w:val="fr-CA"/>
        </w:rPr>
        <w:t xml:space="preserve"> </w:t>
      </w:r>
      <w:r w:rsidR="00181884" w:rsidRPr="00ED22D1">
        <w:rPr>
          <w:b/>
          <w:lang w:val="fr-CA"/>
        </w:rPr>
        <w:t>en</w:t>
      </w:r>
      <w:r w:rsidR="00874624" w:rsidRPr="00ED22D1">
        <w:rPr>
          <w:b/>
          <w:lang w:val="fr-CA"/>
        </w:rPr>
        <w:t> </w:t>
      </w:r>
      <w:r w:rsidR="00181884" w:rsidRPr="00ED22D1">
        <w:rPr>
          <w:b/>
          <w:lang w:val="fr-CA"/>
        </w:rPr>
        <w:t>Chine</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5"/>
        <w:gridCol w:w="1954"/>
      </w:tblGrid>
      <w:tr w:rsidR="0085675A" w:rsidRPr="00ED22D1" w:rsidTr="005302FC">
        <w:trPr>
          <w:tblHeader/>
        </w:trPr>
        <w:tc>
          <w:tcPr>
            <w:tcW w:w="3968" w:type="pct"/>
            <w:tcBorders>
              <w:top w:val="single" w:sz="4" w:space="0" w:color="000000"/>
              <w:left w:val="single" w:sz="4" w:space="0" w:color="000000"/>
              <w:bottom w:val="single" w:sz="4" w:space="0" w:color="000000"/>
              <w:right w:val="single" w:sz="4" w:space="0" w:color="auto"/>
            </w:tcBorders>
          </w:tcPr>
          <w:p w:rsidR="0085675A" w:rsidRPr="00ED22D1" w:rsidRDefault="00DE118B" w:rsidP="0085675A">
            <w:pPr>
              <w:widowControl w:val="0"/>
              <w:tabs>
                <w:tab w:val="left" w:pos="284"/>
              </w:tabs>
              <w:jc w:val="left"/>
              <w:rPr>
                <w:b/>
                <w:sz w:val="20"/>
                <w:szCs w:val="20"/>
                <w:lang w:val="fr-CA"/>
              </w:rPr>
            </w:pPr>
            <w:r w:rsidRPr="00ED22D1">
              <w:rPr>
                <w:b/>
                <w:sz w:val="20"/>
                <w:szCs w:val="20"/>
                <w:lang w:val="fr-CA"/>
              </w:rPr>
              <w:t>Activité</w:t>
            </w:r>
          </w:p>
        </w:tc>
        <w:tc>
          <w:tcPr>
            <w:tcW w:w="1032" w:type="pct"/>
            <w:tcBorders>
              <w:top w:val="single" w:sz="4" w:space="0" w:color="000000"/>
              <w:left w:val="single" w:sz="4" w:space="0" w:color="auto"/>
              <w:bottom w:val="single" w:sz="4" w:space="0" w:color="000000"/>
              <w:right w:val="single" w:sz="4" w:space="0" w:color="000000"/>
            </w:tcBorders>
          </w:tcPr>
          <w:p w:rsidR="0085675A" w:rsidRPr="00ED22D1" w:rsidRDefault="0085675A" w:rsidP="0085675A">
            <w:pPr>
              <w:widowControl w:val="0"/>
              <w:tabs>
                <w:tab w:val="left" w:pos="284"/>
              </w:tabs>
              <w:jc w:val="center"/>
              <w:rPr>
                <w:b/>
                <w:sz w:val="20"/>
                <w:szCs w:val="20"/>
                <w:lang w:val="fr-CA" w:eastAsia="zh-CN"/>
              </w:rPr>
            </w:pPr>
            <w:r w:rsidRPr="00ED22D1">
              <w:rPr>
                <w:b/>
                <w:sz w:val="20"/>
                <w:szCs w:val="20"/>
                <w:lang w:val="fr-CA" w:eastAsia="zh-CN"/>
              </w:rPr>
              <w:t xml:space="preserve">Budget </w:t>
            </w:r>
            <w:r w:rsidR="00874624" w:rsidRPr="00ED22D1">
              <w:rPr>
                <w:b/>
                <w:sz w:val="20"/>
                <w:szCs w:val="20"/>
                <w:lang w:val="fr-CA" w:eastAsia="zh-CN"/>
              </w:rPr>
              <w:t>($US)</w:t>
            </w:r>
          </w:p>
        </w:tc>
      </w:tr>
      <w:tr w:rsidR="0085675A" w:rsidRPr="00ED22D1" w:rsidTr="005302FC">
        <w:trPr>
          <w:tblHeader/>
        </w:trPr>
        <w:tc>
          <w:tcPr>
            <w:tcW w:w="3968" w:type="pct"/>
            <w:tcBorders>
              <w:top w:val="single" w:sz="4" w:space="0" w:color="000000"/>
              <w:left w:val="single" w:sz="4" w:space="0" w:color="000000"/>
              <w:bottom w:val="single" w:sz="4" w:space="0" w:color="000000"/>
              <w:right w:val="single" w:sz="4" w:space="0" w:color="auto"/>
            </w:tcBorders>
          </w:tcPr>
          <w:p w:rsidR="0085675A" w:rsidRPr="00ED22D1" w:rsidRDefault="00874624" w:rsidP="00874624">
            <w:pPr>
              <w:widowControl w:val="0"/>
              <w:tabs>
                <w:tab w:val="left" w:pos="284"/>
              </w:tabs>
              <w:rPr>
                <w:sz w:val="20"/>
                <w:szCs w:val="20"/>
                <w:lang w:val="fr-CA"/>
              </w:rPr>
            </w:pPr>
            <w:r w:rsidRPr="00ED22D1">
              <w:rPr>
                <w:sz w:val="20"/>
                <w:szCs w:val="20"/>
                <w:lang w:val="fr-CA"/>
              </w:rPr>
              <w:t>Rec</w:t>
            </w:r>
            <w:r w:rsidR="0085675A" w:rsidRPr="00ED22D1">
              <w:rPr>
                <w:sz w:val="20"/>
                <w:szCs w:val="20"/>
                <w:lang w:val="fr-CA"/>
              </w:rPr>
              <w:t xml:space="preserve">onversion </w:t>
            </w:r>
            <w:r w:rsidRPr="00ED22D1">
              <w:rPr>
                <w:sz w:val="20"/>
                <w:szCs w:val="20"/>
                <w:lang w:val="fr-CA"/>
              </w:rPr>
              <w:t>des</w:t>
            </w:r>
            <w:r w:rsidR="00921BDE" w:rsidRPr="00ED22D1">
              <w:rPr>
                <w:sz w:val="20"/>
                <w:szCs w:val="20"/>
                <w:lang w:val="fr-CA"/>
              </w:rPr>
              <w:t xml:space="preserve"> entreprises de mousse</w:t>
            </w:r>
            <w:r w:rsidRPr="00ED22D1">
              <w:rPr>
                <w:sz w:val="20"/>
                <w:szCs w:val="20"/>
                <w:lang w:val="fr-CA"/>
              </w:rPr>
              <w:t>s</w:t>
            </w:r>
            <w:r w:rsidR="00921BDE" w:rsidRPr="00ED22D1">
              <w:rPr>
                <w:sz w:val="20"/>
                <w:szCs w:val="20"/>
                <w:lang w:val="fr-CA"/>
              </w:rPr>
              <w:t xml:space="preserve"> extrudée</w:t>
            </w:r>
            <w:r w:rsidRPr="00ED22D1">
              <w:rPr>
                <w:sz w:val="20"/>
                <w:szCs w:val="20"/>
                <w:lang w:val="fr-CA"/>
              </w:rPr>
              <w:t>s</w:t>
            </w:r>
            <w:r w:rsidR="00921BDE" w:rsidRPr="00ED22D1">
              <w:rPr>
                <w:sz w:val="20"/>
                <w:szCs w:val="20"/>
                <w:lang w:val="fr-CA"/>
              </w:rPr>
              <w:t xml:space="preserve"> (XPS)</w:t>
            </w:r>
            <w:r w:rsidR="0085675A" w:rsidRPr="00ED22D1">
              <w:rPr>
                <w:sz w:val="20"/>
                <w:szCs w:val="20"/>
                <w:lang w:val="fr-CA"/>
              </w:rPr>
              <w:t xml:space="preserve"> </w:t>
            </w:r>
            <w:r w:rsidRPr="00ED22D1">
              <w:rPr>
                <w:sz w:val="20"/>
                <w:szCs w:val="20"/>
                <w:lang w:val="fr-CA"/>
              </w:rPr>
              <w:t>à la technologie avec</w:t>
            </w:r>
            <w:r w:rsidR="0085675A" w:rsidRPr="00ED22D1">
              <w:rPr>
                <w:sz w:val="20"/>
                <w:szCs w:val="20"/>
                <w:lang w:val="fr-CA"/>
              </w:rPr>
              <w:t xml:space="preserve"> CO</w:t>
            </w:r>
            <w:r w:rsidR="0085675A" w:rsidRPr="00ED22D1">
              <w:rPr>
                <w:sz w:val="20"/>
                <w:szCs w:val="20"/>
                <w:vertAlign w:val="subscript"/>
                <w:lang w:val="fr-CA"/>
              </w:rPr>
              <w:t>2</w:t>
            </w:r>
            <w:r w:rsidR="0085675A" w:rsidRPr="00ED22D1">
              <w:rPr>
                <w:sz w:val="20"/>
                <w:szCs w:val="20"/>
                <w:lang w:val="fr-CA"/>
              </w:rPr>
              <w:t xml:space="preserve"> </w:t>
            </w:r>
          </w:p>
        </w:tc>
        <w:tc>
          <w:tcPr>
            <w:tcW w:w="1032" w:type="pct"/>
            <w:tcBorders>
              <w:top w:val="single" w:sz="4" w:space="0" w:color="000000"/>
              <w:left w:val="single" w:sz="4" w:space="0" w:color="auto"/>
              <w:bottom w:val="single" w:sz="4" w:space="0" w:color="000000"/>
              <w:right w:val="single" w:sz="4" w:space="0" w:color="000000"/>
            </w:tcBorders>
          </w:tcPr>
          <w:p w:rsidR="0085675A" w:rsidRPr="00ED22D1" w:rsidRDefault="004A6828" w:rsidP="0085675A">
            <w:pPr>
              <w:widowControl w:val="0"/>
              <w:tabs>
                <w:tab w:val="left" w:pos="284"/>
              </w:tabs>
              <w:jc w:val="right"/>
              <w:rPr>
                <w:sz w:val="20"/>
                <w:szCs w:val="20"/>
                <w:lang w:val="fr-CA" w:eastAsia="zh-CN"/>
              </w:rPr>
            </w:pPr>
            <w:r w:rsidRPr="00ED22D1">
              <w:rPr>
                <w:sz w:val="20"/>
                <w:szCs w:val="20"/>
                <w:lang w:val="fr-CA" w:eastAsia="zh-CN"/>
              </w:rPr>
              <w:t>7 </w:t>
            </w:r>
            <w:r w:rsidR="0085675A" w:rsidRPr="00ED22D1">
              <w:rPr>
                <w:sz w:val="20"/>
                <w:szCs w:val="20"/>
                <w:lang w:val="fr-CA" w:eastAsia="zh-CN"/>
              </w:rPr>
              <w:t>28</w:t>
            </w:r>
            <w:r w:rsidRPr="00ED22D1">
              <w:rPr>
                <w:sz w:val="20"/>
                <w:szCs w:val="20"/>
                <w:lang w:val="fr-CA" w:eastAsia="zh-CN"/>
              </w:rPr>
              <w:t>7 </w:t>
            </w:r>
            <w:r w:rsidR="0085675A" w:rsidRPr="00ED22D1">
              <w:rPr>
                <w:sz w:val="20"/>
                <w:szCs w:val="20"/>
                <w:lang w:val="fr-CA" w:eastAsia="zh-CN"/>
              </w:rPr>
              <w:t>752</w:t>
            </w:r>
          </w:p>
        </w:tc>
      </w:tr>
      <w:tr w:rsidR="0085675A" w:rsidRPr="00ED22D1" w:rsidTr="005302FC">
        <w:trPr>
          <w:trHeight w:val="208"/>
          <w:tblHeader/>
        </w:trPr>
        <w:tc>
          <w:tcPr>
            <w:tcW w:w="3968" w:type="pct"/>
            <w:tcBorders>
              <w:right w:val="single" w:sz="4" w:space="0" w:color="auto"/>
            </w:tcBorders>
          </w:tcPr>
          <w:p w:rsidR="0085675A" w:rsidRPr="00ED22D1" w:rsidRDefault="00874624" w:rsidP="00874624">
            <w:pPr>
              <w:widowControl w:val="0"/>
              <w:tabs>
                <w:tab w:val="left" w:pos="284"/>
              </w:tabs>
              <w:rPr>
                <w:sz w:val="20"/>
                <w:szCs w:val="20"/>
                <w:lang w:val="fr-CA"/>
              </w:rPr>
            </w:pPr>
            <w:r w:rsidRPr="00ED22D1">
              <w:rPr>
                <w:sz w:val="20"/>
                <w:szCs w:val="20"/>
                <w:lang w:val="fr-CA"/>
              </w:rPr>
              <w:t>A</w:t>
            </w:r>
            <w:r w:rsidR="001B45EC" w:rsidRPr="00ED22D1">
              <w:rPr>
                <w:sz w:val="20"/>
                <w:szCs w:val="20"/>
                <w:lang w:val="fr-CA"/>
              </w:rPr>
              <w:t>ctivités</w:t>
            </w:r>
            <w:r w:rsidRPr="00ED22D1">
              <w:rPr>
                <w:sz w:val="20"/>
                <w:szCs w:val="20"/>
                <w:lang w:val="fr-CA"/>
              </w:rPr>
              <w:t xml:space="preserve"> d’assistance technique</w:t>
            </w:r>
            <w:r w:rsidR="0085675A" w:rsidRPr="00ED22D1">
              <w:rPr>
                <w:sz w:val="20"/>
                <w:szCs w:val="20"/>
                <w:lang w:val="fr-CA"/>
              </w:rPr>
              <w:t xml:space="preserve">  </w:t>
            </w:r>
          </w:p>
        </w:tc>
        <w:tc>
          <w:tcPr>
            <w:tcW w:w="1032" w:type="pct"/>
            <w:tcBorders>
              <w:left w:val="single" w:sz="4" w:space="0" w:color="auto"/>
            </w:tcBorders>
          </w:tcPr>
          <w:p w:rsidR="0085675A" w:rsidRPr="00ED22D1" w:rsidRDefault="0085675A" w:rsidP="0085675A">
            <w:pPr>
              <w:widowControl w:val="0"/>
              <w:tabs>
                <w:tab w:val="left" w:pos="284"/>
              </w:tabs>
              <w:jc w:val="right"/>
              <w:rPr>
                <w:sz w:val="20"/>
                <w:szCs w:val="20"/>
                <w:lang w:val="fr-CA"/>
              </w:rPr>
            </w:pPr>
            <w:r w:rsidRPr="00ED22D1">
              <w:rPr>
                <w:sz w:val="20"/>
                <w:szCs w:val="20"/>
                <w:lang w:val="fr-CA"/>
              </w:rPr>
              <w:t>29</w:t>
            </w:r>
            <w:r w:rsidR="004A6828" w:rsidRPr="00ED22D1">
              <w:rPr>
                <w:sz w:val="20"/>
                <w:szCs w:val="20"/>
                <w:lang w:val="fr-CA"/>
              </w:rPr>
              <w:t>5 </w:t>
            </w:r>
            <w:r w:rsidRPr="00ED22D1">
              <w:rPr>
                <w:sz w:val="20"/>
                <w:szCs w:val="20"/>
                <w:lang w:val="fr-CA"/>
              </w:rPr>
              <w:t>416</w:t>
            </w:r>
          </w:p>
        </w:tc>
      </w:tr>
      <w:tr w:rsidR="0085675A" w:rsidRPr="00ED22D1" w:rsidTr="005302FC">
        <w:trPr>
          <w:tblHeader/>
        </w:trPr>
        <w:tc>
          <w:tcPr>
            <w:tcW w:w="3968" w:type="pct"/>
            <w:tcBorders>
              <w:top w:val="single" w:sz="4" w:space="0" w:color="000000"/>
              <w:left w:val="single" w:sz="4" w:space="0" w:color="000000"/>
              <w:bottom w:val="single" w:sz="4" w:space="0" w:color="000000"/>
              <w:right w:val="single" w:sz="4" w:space="0" w:color="auto"/>
            </w:tcBorders>
          </w:tcPr>
          <w:p w:rsidR="0085675A" w:rsidRPr="00ED22D1" w:rsidRDefault="00874624" w:rsidP="0085675A">
            <w:pPr>
              <w:widowControl w:val="0"/>
              <w:tabs>
                <w:tab w:val="left" w:pos="284"/>
              </w:tabs>
              <w:jc w:val="left"/>
              <w:rPr>
                <w:sz w:val="20"/>
                <w:szCs w:val="20"/>
                <w:lang w:val="fr-CA" w:eastAsia="zh-CN"/>
              </w:rPr>
            </w:pPr>
            <w:r w:rsidRPr="00ED22D1">
              <w:rPr>
                <w:sz w:val="20"/>
                <w:szCs w:val="20"/>
                <w:lang w:val="fr-CA" w:eastAsia="zh-CN"/>
              </w:rPr>
              <w:t>Suivi du projet</w:t>
            </w:r>
          </w:p>
        </w:tc>
        <w:tc>
          <w:tcPr>
            <w:tcW w:w="1032" w:type="pct"/>
            <w:tcBorders>
              <w:top w:val="single" w:sz="4" w:space="0" w:color="000000"/>
              <w:left w:val="single" w:sz="4" w:space="0" w:color="auto"/>
              <w:bottom w:val="single" w:sz="4" w:space="0" w:color="000000"/>
              <w:right w:val="single" w:sz="4" w:space="0" w:color="auto"/>
            </w:tcBorders>
          </w:tcPr>
          <w:p w:rsidR="0085675A" w:rsidRPr="00ED22D1" w:rsidRDefault="0085675A" w:rsidP="0085675A">
            <w:pPr>
              <w:widowControl w:val="0"/>
              <w:tabs>
                <w:tab w:val="left" w:pos="284"/>
              </w:tabs>
              <w:jc w:val="right"/>
              <w:rPr>
                <w:sz w:val="20"/>
                <w:szCs w:val="20"/>
                <w:lang w:val="fr-CA" w:eastAsia="zh-CN"/>
              </w:rPr>
            </w:pPr>
            <w:r w:rsidRPr="00ED22D1">
              <w:rPr>
                <w:sz w:val="20"/>
                <w:szCs w:val="20"/>
                <w:lang w:val="fr-CA" w:eastAsia="zh-CN"/>
              </w:rPr>
              <w:t>41</w:t>
            </w:r>
            <w:r w:rsidR="004A6828" w:rsidRPr="00ED22D1">
              <w:rPr>
                <w:sz w:val="20"/>
                <w:szCs w:val="20"/>
                <w:lang w:val="fr-CA" w:eastAsia="zh-CN"/>
              </w:rPr>
              <w:t>6 </w:t>
            </w:r>
            <w:r w:rsidRPr="00ED22D1">
              <w:rPr>
                <w:sz w:val="20"/>
                <w:szCs w:val="20"/>
                <w:lang w:val="fr-CA" w:eastAsia="zh-CN"/>
              </w:rPr>
              <w:t>832</w:t>
            </w:r>
          </w:p>
        </w:tc>
      </w:tr>
      <w:tr w:rsidR="0085675A" w:rsidRPr="00ED22D1" w:rsidTr="005302FC">
        <w:trPr>
          <w:tblHeader/>
        </w:trPr>
        <w:tc>
          <w:tcPr>
            <w:tcW w:w="3968" w:type="pct"/>
            <w:tcBorders>
              <w:top w:val="single" w:sz="4" w:space="0" w:color="000000"/>
              <w:left w:val="single" w:sz="4" w:space="0" w:color="000000"/>
              <w:bottom w:val="single" w:sz="4" w:space="0" w:color="000000"/>
              <w:right w:val="single" w:sz="4" w:space="0" w:color="auto"/>
            </w:tcBorders>
            <w:shd w:val="clear" w:color="auto" w:fill="auto"/>
          </w:tcPr>
          <w:p w:rsidR="0085675A" w:rsidRPr="00ED22D1" w:rsidRDefault="0085675A" w:rsidP="0085675A">
            <w:pPr>
              <w:widowControl w:val="0"/>
              <w:tabs>
                <w:tab w:val="left" w:pos="284"/>
              </w:tabs>
              <w:jc w:val="left"/>
              <w:rPr>
                <w:b/>
                <w:sz w:val="20"/>
                <w:szCs w:val="20"/>
                <w:lang w:val="fr-CA" w:eastAsia="zh-CN"/>
              </w:rPr>
            </w:pPr>
            <w:r w:rsidRPr="00ED22D1">
              <w:rPr>
                <w:b/>
                <w:sz w:val="20"/>
                <w:szCs w:val="20"/>
                <w:lang w:val="fr-CA" w:eastAsia="zh-CN"/>
              </w:rPr>
              <w:t>Total</w:t>
            </w:r>
            <w:r w:rsidR="00874624" w:rsidRPr="00ED22D1">
              <w:rPr>
                <w:b/>
                <w:sz w:val="20"/>
                <w:szCs w:val="20"/>
                <w:lang w:val="fr-CA" w:eastAsia="zh-CN"/>
              </w:rPr>
              <w:t xml:space="preserve"> de la</w:t>
            </w:r>
            <w:r w:rsidRPr="00ED22D1">
              <w:rPr>
                <w:b/>
                <w:sz w:val="20"/>
                <w:szCs w:val="20"/>
                <w:lang w:val="fr-CA" w:eastAsia="zh-CN"/>
              </w:rPr>
              <w:t xml:space="preserve"> </w:t>
            </w:r>
            <w:r w:rsidR="004A6828" w:rsidRPr="00ED22D1">
              <w:rPr>
                <w:b/>
                <w:sz w:val="20"/>
                <w:szCs w:val="20"/>
                <w:lang w:val="fr-CA" w:eastAsia="zh-CN"/>
              </w:rPr>
              <w:t>troisième</w:t>
            </w:r>
            <w:r w:rsidRPr="00ED22D1">
              <w:rPr>
                <w:b/>
                <w:sz w:val="20"/>
                <w:szCs w:val="20"/>
                <w:lang w:val="fr-CA" w:eastAsia="zh-CN"/>
              </w:rPr>
              <w:t xml:space="preserve"> tranche</w:t>
            </w:r>
          </w:p>
        </w:tc>
        <w:tc>
          <w:tcPr>
            <w:tcW w:w="1032" w:type="pct"/>
            <w:tcBorders>
              <w:top w:val="single" w:sz="4" w:space="0" w:color="000000"/>
              <w:left w:val="single" w:sz="4" w:space="0" w:color="auto"/>
              <w:bottom w:val="single" w:sz="4" w:space="0" w:color="000000"/>
              <w:right w:val="single" w:sz="4" w:space="0" w:color="auto"/>
            </w:tcBorders>
            <w:shd w:val="clear" w:color="auto" w:fill="auto"/>
          </w:tcPr>
          <w:p w:rsidR="0085675A" w:rsidRPr="00ED22D1" w:rsidRDefault="004A6828" w:rsidP="0085675A">
            <w:pPr>
              <w:widowControl w:val="0"/>
              <w:tabs>
                <w:tab w:val="left" w:pos="284"/>
              </w:tabs>
              <w:jc w:val="right"/>
              <w:rPr>
                <w:b/>
                <w:sz w:val="20"/>
                <w:szCs w:val="20"/>
                <w:lang w:val="fr-CA" w:eastAsia="zh-CN"/>
              </w:rPr>
            </w:pPr>
            <w:r w:rsidRPr="00ED22D1">
              <w:rPr>
                <w:b/>
                <w:sz w:val="20"/>
                <w:szCs w:val="20"/>
                <w:lang w:val="fr-CA"/>
              </w:rPr>
              <w:t>8 </w:t>
            </w:r>
            <w:r w:rsidR="0085675A" w:rsidRPr="00ED22D1">
              <w:rPr>
                <w:b/>
                <w:sz w:val="20"/>
                <w:szCs w:val="20"/>
                <w:lang w:val="fr-CA"/>
              </w:rPr>
              <w:t>00</w:t>
            </w:r>
            <w:r w:rsidRPr="00ED22D1">
              <w:rPr>
                <w:b/>
                <w:sz w:val="20"/>
                <w:szCs w:val="20"/>
                <w:lang w:val="fr-CA"/>
              </w:rPr>
              <w:t>0 </w:t>
            </w:r>
            <w:r w:rsidR="0085675A" w:rsidRPr="00ED22D1">
              <w:rPr>
                <w:b/>
                <w:sz w:val="20"/>
                <w:szCs w:val="20"/>
                <w:lang w:val="fr-CA"/>
              </w:rPr>
              <w:t>000</w:t>
            </w:r>
          </w:p>
        </w:tc>
      </w:tr>
    </w:tbl>
    <w:p w:rsidR="0085675A" w:rsidRPr="00ED22D1" w:rsidRDefault="0085675A" w:rsidP="0085675A">
      <w:pPr>
        <w:jc w:val="left"/>
        <w:rPr>
          <w:b/>
          <w:lang w:val="fr-CA"/>
        </w:rPr>
      </w:pPr>
    </w:p>
    <w:p w:rsidR="0085675A" w:rsidRPr="00ED22D1" w:rsidRDefault="0085675A" w:rsidP="0085675A">
      <w:pPr>
        <w:jc w:val="left"/>
        <w:rPr>
          <w:b/>
          <w:lang w:val="fr-CA"/>
        </w:rPr>
      </w:pPr>
    </w:p>
    <w:p w:rsidR="0085675A" w:rsidRPr="00ED22D1" w:rsidRDefault="001279D7" w:rsidP="0085675A">
      <w:pPr>
        <w:keepNext/>
        <w:spacing w:after="240"/>
        <w:jc w:val="center"/>
        <w:rPr>
          <w:b/>
          <w:lang w:val="fr-CA"/>
        </w:rPr>
      </w:pPr>
      <w:r w:rsidRPr="00ED22D1">
        <w:rPr>
          <w:b/>
          <w:bCs/>
          <w:lang w:val="fr-CA"/>
        </w:rPr>
        <w:lastRenderedPageBreak/>
        <w:t>OBSERVATIONS ET RECOMMANDATION DU SECRÉTARIAT</w:t>
      </w:r>
    </w:p>
    <w:p w:rsidR="0085675A" w:rsidRPr="00ED22D1" w:rsidRDefault="001279D7" w:rsidP="0085675A">
      <w:pPr>
        <w:keepNext/>
        <w:spacing w:after="240"/>
        <w:jc w:val="left"/>
        <w:rPr>
          <w:b/>
          <w:lang w:val="fr-CA"/>
        </w:rPr>
      </w:pPr>
      <w:r w:rsidRPr="00ED22D1">
        <w:rPr>
          <w:b/>
          <w:bCs/>
          <w:lang w:val="fr-CA"/>
        </w:rPr>
        <w:t xml:space="preserve">OBSERVATIONS </w:t>
      </w:r>
    </w:p>
    <w:p w:rsidR="0085675A" w:rsidRPr="00ED22D1" w:rsidRDefault="00181884" w:rsidP="0085675A">
      <w:pPr>
        <w:keepNext/>
        <w:spacing w:after="240"/>
        <w:jc w:val="left"/>
        <w:rPr>
          <w:u w:val="single"/>
          <w:lang w:val="fr-CA"/>
        </w:rPr>
      </w:pPr>
      <w:r w:rsidRPr="00ED22D1">
        <w:rPr>
          <w:u w:val="single"/>
          <w:lang w:val="fr-CA"/>
        </w:rPr>
        <w:t>Consommation de HCFC</w:t>
      </w:r>
    </w:p>
    <w:p w:rsidR="0085675A" w:rsidRPr="00ED22D1" w:rsidRDefault="002D2C0B" w:rsidP="002D2C0B">
      <w:pPr>
        <w:pStyle w:val="Heading1"/>
        <w:numPr>
          <w:ilvl w:val="0"/>
          <w:numId w:val="0"/>
        </w:numPr>
        <w:rPr>
          <w:lang w:val="fr-CA"/>
        </w:rPr>
      </w:pPr>
      <w:r w:rsidRPr="00ED22D1">
        <w:rPr>
          <w:lang w:val="fr-CA"/>
        </w:rPr>
        <w:t>65.</w:t>
      </w:r>
      <w:r w:rsidRPr="00ED22D1">
        <w:rPr>
          <w:lang w:val="fr-CA"/>
        </w:rPr>
        <w:tab/>
      </w:r>
      <w:r w:rsidR="001279D7" w:rsidRPr="00ED22D1">
        <w:rPr>
          <w:lang w:val="fr-CA"/>
        </w:rPr>
        <w:t>En 2017, le secteur de</w:t>
      </w:r>
      <w:r w:rsidR="00B03403" w:rsidRPr="00ED22D1">
        <w:rPr>
          <w:lang w:val="fr-CA"/>
        </w:rPr>
        <w:t xml:space="preserve"> la</w:t>
      </w:r>
      <w:r w:rsidR="001279D7" w:rsidRPr="00ED22D1">
        <w:rPr>
          <w:lang w:val="fr-CA"/>
        </w:rPr>
        <w:t xml:space="preserve"> fabrication des mousses extrudées (XPS) a consommé </w:t>
      </w:r>
      <w:r w:rsidR="0085675A" w:rsidRPr="00ED22D1">
        <w:rPr>
          <w:lang w:val="fr-CA"/>
        </w:rPr>
        <w:t>3</w:t>
      </w:r>
      <w:r w:rsidR="004A6828" w:rsidRPr="00ED22D1">
        <w:rPr>
          <w:lang w:val="fr-CA"/>
        </w:rPr>
        <w:t>8 </w:t>
      </w:r>
      <w:r w:rsidR="0085675A" w:rsidRPr="00ED22D1">
        <w:rPr>
          <w:lang w:val="fr-CA"/>
        </w:rPr>
        <w:t>500</w:t>
      </w:r>
      <w:r w:rsidR="004B666A" w:rsidRPr="00ED22D1">
        <w:rPr>
          <w:lang w:val="fr-CA"/>
        </w:rPr>
        <w:t xml:space="preserve"> tm </w:t>
      </w:r>
      <w:r w:rsidR="0085675A" w:rsidRPr="00ED22D1">
        <w:rPr>
          <w:lang w:val="fr-CA"/>
        </w:rPr>
        <w:t>(</w:t>
      </w:r>
      <w:r w:rsidR="004A6828" w:rsidRPr="00ED22D1">
        <w:rPr>
          <w:lang w:val="fr-CA"/>
        </w:rPr>
        <w:t>2 </w:t>
      </w:r>
      <w:r w:rsidR="0085675A" w:rsidRPr="00ED22D1">
        <w:rPr>
          <w:lang w:val="fr-CA"/>
        </w:rPr>
        <w:t>213</w:t>
      </w:r>
      <w:r w:rsidR="001279D7" w:rsidRPr="00ED22D1">
        <w:rPr>
          <w:lang w:val="fr-CA"/>
        </w:rPr>
        <w:t> </w:t>
      </w:r>
      <w:r w:rsidR="0052712E" w:rsidRPr="00ED22D1">
        <w:rPr>
          <w:lang w:val="fr-CA"/>
        </w:rPr>
        <w:t>tonnes PAO)</w:t>
      </w:r>
      <w:r w:rsidR="001279D7" w:rsidRPr="00ED22D1">
        <w:rPr>
          <w:lang w:val="fr-CA"/>
        </w:rPr>
        <w:t xml:space="preserve"> de HCFC</w:t>
      </w:r>
      <w:r w:rsidR="0085675A" w:rsidRPr="00ED22D1">
        <w:rPr>
          <w:lang w:val="fr-CA"/>
        </w:rPr>
        <w:t xml:space="preserve">, </w:t>
      </w:r>
      <w:r w:rsidR="001279D7" w:rsidRPr="00ED22D1">
        <w:rPr>
          <w:lang w:val="fr-CA"/>
        </w:rPr>
        <w:t xml:space="preserve">ce qui est inférieur à la consommation admissible de </w:t>
      </w:r>
      <w:r w:rsidR="0085675A" w:rsidRPr="00ED22D1">
        <w:rPr>
          <w:lang w:val="fr-CA"/>
        </w:rPr>
        <w:t>3</w:t>
      </w:r>
      <w:r w:rsidR="004A6828" w:rsidRPr="00ED22D1">
        <w:rPr>
          <w:lang w:val="fr-CA"/>
        </w:rPr>
        <w:t>8 </w:t>
      </w:r>
      <w:r w:rsidR="0085675A" w:rsidRPr="00ED22D1">
        <w:rPr>
          <w:lang w:val="fr-CA"/>
        </w:rPr>
        <w:t>746</w:t>
      </w:r>
      <w:r w:rsidR="004B666A" w:rsidRPr="00ED22D1">
        <w:rPr>
          <w:lang w:val="fr-CA"/>
        </w:rPr>
        <w:t xml:space="preserve"> tm </w:t>
      </w:r>
      <w:r w:rsidR="0085675A" w:rsidRPr="00ED22D1">
        <w:rPr>
          <w:lang w:val="fr-CA"/>
        </w:rPr>
        <w:t>(</w:t>
      </w:r>
      <w:r w:rsidR="004A6828" w:rsidRPr="00ED22D1">
        <w:rPr>
          <w:lang w:val="fr-CA"/>
        </w:rPr>
        <w:t>2 </w:t>
      </w:r>
      <w:r w:rsidR="0085675A" w:rsidRPr="00ED22D1">
        <w:rPr>
          <w:lang w:val="fr-CA"/>
        </w:rPr>
        <w:t>286</w:t>
      </w:r>
      <w:r w:rsidR="001279D7" w:rsidRPr="00ED22D1">
        <w:rPr>
          <w:lang w:val="fr-CA"/>
        </w:rPr>
        <w:t> </w:t>
      </w:r>
      <w:r w:rsidR="0052712E" w:rsidRPr="00ED22D1">
        <w:rPr>
          <w:lang w:val="fr-CA"/>
        </w:rPr>
        <w:t>tonnes PAO)</w:t>
      </w:r>
      <w:r w:rsidR="0085675A" w:rsidRPr="00ED22D1">
        <w:rPr>
          <w:lang w:val="fr-CA"/>
        </w:rPr>
        <w:t xml:space="preserve"> </w:t>
      </w:r>
      <w:r w:rsidR="001279D7" w:rsidRPr="00ED22D1">
        <w:rPr>
          <w:lang w:val="fr-CA"/>
        </w:rPr>
        <w:t xml:space="preserve">dans </w:t>
      </w:r>
      <w:r w:rsidR="00CE7FEC" w:rsidRPr="00ED22D1">
        <w:rPr>
          <w:lang w:val="fr-CA"/>
        </w:rPr>
        <w:t>l’accord</w:t>
      </w:r>
      <w:r w:rsidR="0085675A" w:rsidRPr="00ED22D1">
        <w:rPr>
          <w:lang w:val="fr-CA"/>
        </w:rPr>
        <w:t xml:space="preserve"> </w:t>
      </w:r>
      <w:r w:rsidR="004A6828" w:rsidRPr="00ED22D1">
        <w:rPr>
          <w:lang w:val="fr-CA"/>
        </w:rPr>
        <w:t>entre</w:t>
      </w:r>
      <w:r w:rsidR="0085675A"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 Comité exécutif</w:t>
      </w:r>
      <w:r w:rsidR="001279D7" w:rsidRPr="00ED22D1">
        <w:rPr>
          <w:lang w:val="fr-CA"/>
        </w:rPr>
        <w:t xml:space="preserve"> (T</w:t>
      </w:r>
      <w:r w:rsidR="00CE7FEC" w:rsidRPr="00ED22D1">
        <w:rPr>
          <w:lang w:val="fr-CA"/>
        </w:rPr>
        <w:t xml:space="preserve">ableau </w:t>
      </w:r>
      <w:r w:rsidR="004A6828" w:rsidRPr="00ED22D1">
        <w:rPr>
          <w:lang w:val="fr-CA"/>
        </w:rPr>
        <w:t>4</w:t>
      </w:r>
      <w:r w:rsidR="001279D7" w:rsidRPr="00ED22D1">
        <w:rPr>
          <w:lang w:val="fr-CA"/>
        </w:rPr>
        <w:t>)</w:t>
      </w:r>
      <w:r w:rsidR="00D05BD1" w:rsidRPr="00ED22D1">
        <w:rPr>
          <w:lang w:val="fr-CA"/>
        </w:rPr>
        <w:t>.</w:t>
      </w:r>
      <w:r w:rsidR="0085675A" w:rsidRPr="00ED22D1">
        <w:rPr>
          <w:lang w:val="fr-CA"/>
        </w:rPr>
        <w:t xml:space="preserve"> </w:t>
      </w:r>
    </w:p>
    <w:p w:rsidR="0085675A" w:rsidRPr="00ED22D1" w:rsidRDefault="00CE7FEC" w:rsidP="0085675A">
      <w:pPr>
        <w:keepNext/>
        <w:jc w:val="left"/>
        <w:rPr>
          <w:b/>
          <w:lang w:val="fr-CA"/>
        </w:rPr>
      </w:pPr>
      <w:r w:rsidRPr="00ED22D1">
        <w:rPr>
          <w:b/>
          <w:lang w:val="fr-CA"/>
        </w:rPr>
        <w:t xml:space="preserve">Tableau </w:t>
      </w:r>
      <w:r w:rsidR="004A6828" w:rsidRPr="00ED22D1">
        <w:rPr>
          <w:b/>
          <w:lang w:val="fr-CA"/>
        </w:rPr>
        <w:t>4</w:t>
      </w:r>
      <w:r w:rsidR="00D05BD1" w:rsidRPr="00ED22D1">
        <w:rPr>
          <w:b/>
          <w:lang w:val="fr-CA"/>
        </w:rPr>
        <w:t>.</w:t>
      </w:r>
      <w:r w:rsidR="0085675A" w:rsidRPr="00ED22D1">
        <w:rPr>
          <w:b/>
          <w:lang w:val="fr-CA"/>
        </w:rPr>
        <w:t xml:space="preserve"> </w:t>
      </w:r>
      <w:r w:rsidR="00181884" w:rsidRPr="00ED22D1">
        <w:rPr>
          <w:b/>
          <w:lang w:val="fr-CA"/>
        </w:rPr>
        <w:t>Consommation de HCFC</w:t>
      </w:r>
      <w:r w:rsidR="001279D7" w:rsidRPr="00ED22D1">
        <w:rPr>
          <w:b/>
          <w:lang w:val="fr-CA"/>
        </w:rPr>
        <w:t xml:space="preserve"> dans le secteur des mousses extrudées </w:t>
      </w:r>
      <w:r w:rsidR="00921BDE" w:rsidRPr="00ED22D1">
        <w:rPr>
          <w:b/>
          <w:lang w:val="fr-CA"/>
        </w:rPr>
        <w:t>(XPS)</w:t>
      </w:r>
    </w:p>
    <w:tbl>
      <w:tblPr>
        <w:tblStyle w:val="TableGrid"/>
        <w:tblW w:w="4886" w:type="pct"/>
        <w:tblInd w:w="108" w:type="dxa"/>
        <w:tblLook w:val="04A0" w:firstRow="1" w:lastRow="0" w:firstColumn="1" w:lastColumn="0" w:noHBand="0" w:noVBand="1"/>
      </w:tblPr>
      <w:tblGrid>
        <w:gridCol w:w="1539"/>
        <w:gridCol w:w="805"/>
        <w:gridCol w:w="774"/>
        <w:gridCol w:w="780"/>
        <w:gridCol w:w="780"/>
        <w:gridCol w:w="781"/>
        <w:gridCol w:w="781"/>
        <w:gridCol w:w="781"/>
        <w:gridCol w:w="781"/>
        <w:gridCol w:w="781"/>
        <w:gridCol w:w="775"/>
      </w:tblGrid>
      <w:tr w:rsidR="0085675A" w:rsidRPr="00ED22D1" w:rsidTr="00A7575F">
        <w:trPr>
          <w:trHeight w:val="251"/>
          <w:tblHeader/>
        </w:trPr>
        <w:tc>
          <w:tcPr>
            <w:tcW w:w="1224" w:type="pct"/>
            <w:gridSpan w:val="2"/>
          </w:tcPr>
          <w:p w:rsidR="0085675A" w:rsidRPr="00ED22D1" w:rsidRDefault="001279D7" w:rsidP="001279D7">
            <w:pPr>
              <w:widowControl w:val="0"/>
              <w:rPr>
                <w:sz w:val="20"/>
                <w:szCs w:val="20"/>
                <w:lang w:val="fr-CA"/>
              </w:rPr>
            </w:pPr>
            <w:r w:rsidRPr="00ED22D1">
              <w:rPr>
                <w:b/>
                <w:sz w:val="20"/>
                <w:szCs w:val="20"/>
                <w:lang w:val="fr-CA"/>
              </w:rPr>
              <w:t xml:space="preserve">Secteur des mousses </w:t>
            </w:r>
            <w:r w:rsidR="0085675A" w:rsidRPr="00ED22D1">
              <w:rPr>
                <w:b/>
                <w:sz w:val="20"/>
                <w:szCs w:val="20"/>
                <w:lang w:val="fr-CA"/>
              </w:rPr>
              <w:t>XPS</w:t>
            </w:r>
          </w:p>
        </w:tc>
        <w:tc>
          <w:tcPr>
            <w:tcW w:w="419" w:type="pct"/>
          </w:tcPr>
          <w:p w:rsidR="0085675A" w:rsidRPr="00ED22D1" w:rsidRDefault="0085675A" w:rsidP="0085675A">
            <w:pPr>
              <w:widowControl w:val="0"/>
              <w:jc w:val="center"/>
              <w:rPr>
                <w:sz w:val="20"/>
                <w:szCs w:val="20"/>
                <w:lang w:val="fr-CA"/>
              </w:rPr>
            </w:pPr>
            <w:r w:rsidRPr="00ED22D1">
              <w:rPr>
                <w:b/>
                <w:sz w:val="20"/>
                <w:szCs w:val="20"/>
                <w:lang w:val="fr-CA"/>
              </w:rPr>
              <w:t>2009</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2010</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2011</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2012</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2013</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2014</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2015</w:t>
            </w:r>
          </w:p>
        </w:tc>
        <w:tc>
          <w:tcPr>
            <w:tcW w:w="420" w:type="pct"/>
          </w:tcPr>
          <w:p w:rsidR="0085675A" w:rsidRPr="00ED22D1" w:rsidRDefault="0085675A" w:rsidP="0085675A">
            <w:pPr>
              <w:widowControl w:val="0"/>
              <w:jc w:val="center"/>
              <w:rPr>
                <w:sz w:val="20"/>
                <w:szCs w:val="20"/>
                <w:lang w:val="fr-CA"/>
              </w:rPr>
            </w:pPr>
            <w:r w:rsidRPr="00ED22D1">
              <w:rPr>
                <w:b/>
                <w:sz w:val="20"/>
                <w:szCs w:val="20"/>
                <w:lang w:val="fr-CA"/>
              </w:rPr>
              <w:t>2016</w:t>
            </w:r>
          </w:p>
        </w:tc>
        <w:tc>
          <w:tcPr>
            <w:tcW w:w="417" w:type="pct"/>
            <w:shd w:val="clear" w:color="auto" w:fill="auto"/>
          </w:tcPr>
          <w:p w:rsidR="0085675A" w:rsidRPr="00ED22D1" w:rsidRDefault="0085675A" w:rsidP="0085675A">
            <w:pPr>
              <w:widowControl w:val="0"/>
              <w:jc w:val="center"/>
              <w:rPr>
                <w:b/>
                <w:sz w:val="20"/>
                <w:szCs w:val="20"/>
                <w:lang w:val="fr-CA"/>
              </w:rPr>
            </w:pPr>
            <w:r w:rsidRPr="00ED22D1">
              <w:rPr>
                <w:b/>
                <w:sz w:val="20"/>
                <w:szCs w:val="20"/>
                <w:lang w:val="fr-CA"/>
              </w:rPr>
              <w:t>2017</w:t>
            </w:r>
          </w:p>
        </w:tc>
      </w:tr>
      <w:tr w:rsidR="0085675A" w:rsidRPr="00ED22D1" w:rsidTr="00A7575F">
        <w:trPr>
          <w:trHeight w:val="251"/>
        </w:trPr>
        <w:tc>
          <w:tcPr>
            <w:tcW w:w="793" w:type="pct"/>
            <w:vMerge w:val="restart"/>
          </w:tcPr>
          <w:p w:rsidR="0085675A" w:rsidRPr="00ED22D1" w:rsidRDefault="00181884" w:rsidP="0085675A">
            <w:pPr>
              <w:widowControl w:val="0"/>
              <w:rPr>
                <w:sz w:val="20"/>
                <w:szCs w:val="20"/>
                <w:lang w:val="fr-CA"/>
              </w:rPr>
            </w:pPr>
            <w:r w:rsidRPr="00ED22D1">
              <w:rPr>
                <w:sz w:val="20"/>
                <w:szCs w:val="20"/>
                <w:lang w:val="fr-CA"/>
              </w:rPr>
              <w:t>Consommation</w:t>
            </w:r>
            <w:r w:rsidR="0085675A" w:rsidRPr="00ED22D1">
              <w:rPr>
                <w:sz w:val="20"/>
                <w:szCs w:val="20"/>
                <w:lang w:val="fr-CA"/>
              </w:rPr>
              <w:t>*</w:t>
            </w:r>
          </w:p>
        </w:tc>
        <w:tc>
          <w:tcPr>
            <w:tcW w:w="430" w:type="pct"/>
            <w:vAlign w:val="center"/>
          </w:tcPr>
          <w:p w:rsidR="0085675A" w:rsidRPr="00ED22D1" w:rsidRDefault="001279D7" w:rsidP="0085675A">
            <w:pPr>
              <w:widowControl w:val="0"/>
              <w:rPr>
                <w:sz w:val="20"/>
                <w:szCs w:val="20"/>
                <w:lang w:val="fr-CA"/>
              </w:rPr>
            </w:pPr>
            <w:r w:rsidRPr="00ED22D1">
              <w:rPr>
                <w:sz w:val="20"/>
                <w:szCs w:val="20"/>
                <w:lang w:val="fr-CA"/>
              </w:rPr>
              <w:t>tm</w:t>
            </w:r>
          </w:p>
        </w:tc>
        <w:tc>
          <w:tcPr>
            <w:tcW w:w="419"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1 </w:t>
            </w:r>
            <w:r w:rsidRPr="00ED22D1">
              <w:rPr>
                <w:color w:val="000000"/>
                <w:sz w:val="20"/>
                <w:szCs w:val="20"/>
                <w:lang w:val="fr-CA" w:eastAsia="en-CA"/>
              </w:rPr>
              <w:t>000</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5 </w:t>
            </w:r>
            <w:r w:rsidRPr="00ED22D1">
              <w:rPr>
                <w:color w:val="000000"/>
                <w:sz w:val="20"/>
                <w:szCs w:val="20"/>
                <w:lang w:val="fr-CA" w:eastAsia="en-CA"/>
              </w:rPr>
              <w:t>100</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3 </w:t>
            </w:r>
            <w:r w:rsidRPr="00ED22D1">
              <w:rPr>
                <w:color w:val="000000"/>
                <w:sz w:val="20"/>
                <w:szCs w:val="20"/>
                <w:lang w:val="fr-CA" w:eastAsia="en-CA"/>
              </w:rPr>
              <w:t>905</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4 </w:t>
            </w:r>
            <w:r w:rsidRPr="00ED22D1">
              <w:rPr>
                <w:color w:val="000000"/>
                <w:sz w:val="20"/>
                <w:szCs w:val="20"/>
                <w:lang w:val="fr-CA" w:eastAsia="en-CA"/>
              </w:rPr>
              <w:t>200</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1 </w:t>
            </w:r>
            <w:r w:rsidRPr="00ED22D1">
              <w:rPr>
                <w:color w:val="000000"/>
                <w:sz w:val="20"/>
                <w:szCs w:val="20"/>
                <w:lang w:val="fr-CA" w:eastAsia="en-CA"/>
              </w:rPr>
              <w:t>164</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3</w:t>
            </w:r>
            <w:r w:rsidR="004A6828" w:rsidRPr="00ED22D1">
              <w:rPr>
                <w:color w:val="000000"/>
                <w:sz w:val="20"/>
                <w:szCs w:val="20"/>
                <w:lang w:val="fr-CA" w:eastAsia="en-CA"/>
              </w:rPr>
              <w:t>9 </w:t>
            </w:r>
            <w:r w:rsidRPr="00ED22D1">
              <w:rPr>
                <w:color w:val="000000"/>
                <w:sz w:val="20"/>
                <w:szCs w:val="20"/>
                <w:lang w:val="fr-CA" w:eastAsia="en-CA"/>
              </w:rPr>
              <w:t>200</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3</w:t>
            </w:r>
            <w:r w:rsidR="004A6828" w:rsidRPr="00ED22D1">
              <w:rPr>
                <w:color w:val="000000"/>
                <w:sz w:val="20"/>
                <w:szCs w:val="20"/>
                <w:lang w:val="fr-CA" w:eastAsia="en-CA"/>
              </w:rPr>
              <w:t>0 </w:t>
            </w:r>
            <w:r w:rsidRPr="00ED22D1">
              <w:rPr>
                <w:color w:val="000000"/>
                <w:sz w:val="20"/>
                <w:szCs w:val="20"/>
                <w:lang w:val="fr-CA" w:eastAsia="en-CA"/>
              </w:rPr>
              <w:t>100</w:t>
            </w:r>
          </w:p>
        </w:tc>
        <w:tc>
          <w:tcPr>
            <w:tcW w:w="420" w:type="pct"/>
          </w:tcPr>
          <w:p w:rsidR="0085675A" w:rsidRPr="00ED22D1" w:rsidRDefault="0085675A" w:rsidP="0085675A">
            <w:pPr>
              <w:widowControl w:val="0"/>
              <w:jc w:val="right"/>
              <w:rPr>
                <w:sz w:val="20"/>
                <w:szCs w:val="20"/>
                <w:lang w:val="fr-CA"/>
              </w:rPr>
            </w:pPr>
            <w:r w:rsidRPr="00ED22D1">
              <w:rPr>
                <w:sz w:val="20"/>
                <w:szCs w:val="20"/>
                <w:lang w:val="fr-CA"/>
              </w:rPr>
              <w:t>3</w:t>
            </w:r>
            <w:r w:rsidR="004A6828" w:rsidRPr="00ED22D1">
              <w:rPr>
                <w:sz w:val="20"/>
                <w:szCs w:val="20"/>
                <w:lang w:val="fr-CA"/>
              </w:rPr>
              <w:t>5 </w:t>
            </w:r>
            <w:r w:rsidRPr="00ED22D1">
              <w:rPr>
                <w:sz w:val="20"/>
                <w:szCs w:val="20"/>
                <w:lang w:val="fr-CA"/>
              </w:rPr>
              <w:t>500</w:t>
            </w:r>
          </w:p>
        </w:tc>
        <w:tc>
          <w:tcPr>
            <w:tcW w:w="417" w:type="pct"/>
            <w:shd w:val="clear" w:color="auto" w:fill="auto"/>
          </w:tcPr>
          <w:p w:rsidR="0085675A" w:rsidRPr="00ED22D1" w:rsidRDefault="0085675A" w:rsidP="0085675A">
            <w:pPr>
              <w:widowControl w:val="0"/>
              <w:jc w:val="right"/>
              <w:rPr>
                <w:sz w:val="20"/>
                <w:szCs w:val="20"/>
                <w:lang w:val="fr-CA"/>
              </w:rPr>
            </w:pPr>
            <w:r w:rsidRPr="00ED22D1">
              <w:rPr>
                <w:sz w:val="20"/>
                <w:szCs w:val="20"/>
                <w:lang w:val="fr-CA"/>
              </w:rPr>
              <w:t>3</w:t>
            </w:r>
            <w:r w:rsidR="004A6828" w:rsidRPr="00ED22D1">
              <w:rPr>
                <w:sz w:val="20"/>
                <w:szCs w:val="20"/>
                <w:lang w:val="fr-CA"/>
              </w:rPr>
              <w:t>8 </w:t>
            </w:r>
            <w:r w:rsidRPr="00ED22D1">
              <w:rPr>
                <w:sz w:val="20"/>
                <w:szCs w:val="20"/>
                <w:lang w:val="fr-CA"/>
              </w:rPr>
              <w:t>500</w:t>
            </w:r>
          </w:p>
        </w:tc>
      </w:tr>
      <w:tr w:rsidR="0085675A" w:rsidRPr="00ED22D1" w:rsidTr="00A7575F">
        <w:trPr>
          <w:trHeight w:val="251"/>
        </w:trPr>
        <w:tc>
          <w:tcPr>
            <w:tcW w:w="793" w:type="pct"/>
            <w:vMerge/>
          </w:tcPr>
          <w:p w:rsidR="0085675A" w:rsidRPr="00ED22D1" w:rsidRDefault="0085675A" w:rsidP="0085675A">
            <w:pPr>
              <w:widowControl w:val="0"/>
              <w:rPr>
                <w:sz w:val="20"/>
                <w:szCs w:val="20"/>
                <w:lang w:val="fr-CA"/>
              </w:rPr>
            </w:pPr>
          </w:p>
        </w:tc>
        <w:tc>
          <w:tcPr>
            <w:tcW w:w="430" w:type="pct"/>
            <w:vAlign w:val="center"/>
          </w:tcPr>
          <w:p w:rsidR="0085675A" w:rsidRPr="00ED22D1" w:rsidRDefault="00181884" w:rsidP="0085675A">
            <w:pPr>
              <w:widowControl w:val="0"/>
              <w:rPr>
                <w:sz w:val="20"/>
                <w:szCs w:val="20"/>
                <w:lang w:val="fr-CA"/>
              </w:rPr>
            </w:pPr>
            <w:r w:rsidRPr="00ED22D1">
              <w:rPr>
                <w:sz w:val="20"/>
                <w:szCs w:val="20"/>
                <w:lang w:val="fr-CA"/>
              </w:rPr>
              <w:t>Tonnes PAO</w:t>
            </w:r>
          </w:p>
        </w:tc>
        <w:tc>
          <w:tcPr>
            <w:tcW w:w="419"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419</w:t>
            </w:r>
          </w:p>
        </w:tc>
        <w:tc>
          <w:tcPr>
            <w:tcW w:w="420"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661</w:t>
            </w:r>
          </w:p>
        </w:tc>
        <w:tc>
          <w:tcPr>
            <w:tcW w:w="420"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583</w:t>
            </w:r>
          </w:p>
        </w:tc>
        <w:tc>
          <w:tcPr>
            <w:tcW w:w="420"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529</w:t>
            </w:r>
          </w:p>
        </w:tc>
        <w:tc>
          <w:tcPr>
            <w:tcW w:w="420"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377</w:t>
            </w:r>
          </w:p>
        </w:tc>
        <w:tc>
          <w:tcPr>
            <w:tcW w:w="420"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249</w:t>
            </w:r>
          </w:p>
        </w:tc>
        <w:tc>
          <w:tcPr>
            <w:tcW w:w="420" w:type="pct"/>
          </w:tcPr>
          <w:p w:rsidR="0085675A" w:rsidRPr="00ED22D1" w:rsidRDefault="004A6828" w:rsidP="0085675A">
            <w:pPr>
              <w:widowControl w:val="0"/>
              <w:jc w:val="right"/>
              <w:rPr>
                <w:sz w:val="20"/>
                <w:szCs w:val="20"/>
                <w:lang w:val="fr-CA"/>
              </w:rPr>
            </w:pPr>
            <w:r w:rsidRPr="00ED22D1">
              <w:rPr>
                <w:color w:val="000000"/>
                <w:sz w:val="20"/>
                <w:szCs w:val="20"/>
                <w:lang w:val="fr-CA" w:eastAsia="en-CA"/>
              </w:rPr>
              <w:t>1 </w:t>
            </w:r>
            <w:r w:rsidR="0085675A" w:rsidRPr="00ED22D1">
              <w:rPr>
                <w:color w:val="000000"/>
                <w:sz w:val="20"/>
                <w:szCs w:val="20"/>
                <w:lang w:val="fr-CA" w:eastAsia="en-CA"/>
              </w:rPr>
              <w:t>761</w:t>
            </w:r>
          </w:p>
        </w:tc>
        <w:tc>
          <w:tcPr>
            <w:tcW w:w="420" w:type="pct"/>
          </w:tcPr>
          <w:p w:rsidR="0085675A" w:rsidRPr="00ED22D1" w:rsidRDefault="004A6828" w:rsidP="0085675A">
            <w:pPr>
              <w:widowControl w:val="0"/>
              <w:jc w:val="right"/>
              <w:rPr>
                <w:sz w:val="20"/>
                <w:szCs w:val="20"/>
                <w:lang w:val="fr-CA"/>
              </w:rPr>
            </w:pPr>
            <w:r w:rsidRPr="00ED22D1">
              <w:rPr>
                <w:sz w:val="20"/>
                <w:szCs w:val="20"/>
                <w:lang w:val="fr-CA"/>
              </w:rPr>
              <w:t>2 </w:t>
            </w:r>
            <w:r w:rsidR="0085675A" w:rsidRPr="00ED22D1">
              <w:rPr>
                <w:sz w:val="20"/>
                <w:szCs w:val="20"/>
                <w:lang w:val="fr-CA"/>
              </w:rPr>
              <w:t>043</w:t>
            </w:r>
          </w:p>
        </w:tc>
        <w:tc>
          <w:tcPr>
            <w:tcW w:w="417" w:type="pct"/>
            <w:shd w:val="clear" w:color="auto" w:fill="auto"/>
          </w:tcPr>
          <w:p w:rsidR="0085675A" w:rsidRPr="00ED22D1" w:rsidRDefault="004A6828" w:rsidP="0085675A">
            <w:pPr>
              <w:widowControl w:val="0"/>
              <w:jc w:val="right"/>
              <w:rPr>
                <w:sz w:val="20"/>
                <w:szCs w:val="20"/>
                <w:lang w:val="fr-CA"/>
              </w:rPr>
            </w:pPr>
            <w:r w:rsidRPr="00ED22D1">
              <w:rPr>
                <w:sz w:val="20"/>
                <w:szCs w:val="20"/>
                <w:lang w:val="fr-CA"/>
              </w:rPr>
              <w:t>2 </w:t>
            </w:r>
            <w:r w:rsidR="0085675A" w:rsidRPr="00ED22D1">
              <w:rPr>
                <w:sz w:val="20"/>
                <w:szCs w:val="20"/>
                <w:lang w:val="fr-CA"/>
              </w:rPr>
              <w:t>213</w:t>
            </w:r>
          </w:p>
        </w:tc>
      </w:tr>
      <w:tr w:rsidR="0085675A" w:rsidRPr="00ED22D1" w:rsidTr="00A7575F">
        <w:trPr>
          <w:trHeight w:val="251"/>
        </w:trPr>
        <w:tc>
          <w:tcPr>
            <w:tcW w:w="793" w:type="pct"/>
            <w:vMerge w:val="restart"/>
          </w:tcPr>
          <w:p w:rsidR="0085675A" w:rsidRPr="00ED22D1" w:rsidRDefault="001B45EC" w:rsidP="0085675A">
            <w:pPr>
              <w:widowControl w:val="0"/>
              <w:rPr>
                <w:sz w:val="20"/>
                <w:szCs w:val="20"/>
                <w:lang w:val="fr-CA"/>
              </w:rPr>
            </w:pPr>
            <w:r w:rsidRPr="00ED22D1">
              <w:rPr>
                <w:sz w:val="20"/>
                <w:szCs w:val="20"/>
                <w:lang w:val="fr-CA"/>
              </w:rPr>
              <w:t>Consommation maximale admissible</w:t>
            </w:r>
            <w:r w:rsidR="0085675A" w:rsidRPr="00ED22D1">
              <w:rPr>
                <w:sz w:val="20"/>
                <w:szCs w:val="20"/>
                <w:lang w:val="fr-CA"/>
              </w:rPr>
              <w:t>**</w:t>
            </w:r>
          </w:p>
        </w:tc>
        <w:tc>
          <w:tcPr>
            <w:tcW w:w="430" w:type="pct"/>
            <w:vAlign w:val="center"/>
          </w:tcPr>
          <w:p w:rsidR="0085675A" w:rsidRPr="00ED22D1" w:rsidRDefault="001279D7" w:rsidP="0085675A">
            <w:pPr>
              <w:widowControl w:val="0"/>
              <w:rPr>
                <w:sz w:val="20"/>
                <w:szCs w:val="20"/>
                <w:lang w:val="fr-CA"/>
              </w:rPr>
            </w:pPr>
            <w:r w:rsidRPr="00ED22D1">
              <w:rPr>
                <w:sz w:val="20"/>
                <w:szCs w:val="20"/>
                <w:lang w:val="fr-CA"/>
              </w:rPr>
              <w:t>tm</w:t>
            </w:r>
          </w:p>
        </w:tc>
        <w:tc>
          <w:tcPr>
            <w:tcW w:w="419" w:type="pct"/>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3 </w:t>
            </w:r>
            <w:r w:rsidRPr="00ED22D1">
              <w:rPr>
                <w:color w:val="000000"/>
                <w:sz w:val="20"/>
                <w:szCs w:val="20"/>
                <w:lang w:val="fr-CA" w:eastAsia="en-CA"/>
              </w:rPr>
              <w:t>051</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4</w:t>
            </w:r>
            <w:r w:rsidR="004A6828" w:rsidRPr="00ED22D1">
              <w:rPr>
                <w:color w:val="000000"/>
                <w:sz w:val="20"/>
                <w:szCs w:val="20"/>
                <w:lang w:val="fr-CA" w:eastAsia="en-CA"/>
              </w:rPr>
              <w:t>3 </w:t>
            </w:r>
            <w:r w:rsidRPr="00ED22D1">
              <w:rPr>
                <w:color w:val="000000"/>
                <w:sz w:val="20"/>
                <w:szCs w:val="20"/>
                <w:lang w:val="fr-CA" w:eastAsia="en-CA"/>
              </w:rPr>
              <w:t>051</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3</w:t>
            </w:r>
            <w:r w:rsidR="004A6828" w:rsidRPr="00ED22D1">
              <w:rPr>
                <w:color w:val="000000"/>
                <w:sz w:val="20"/>
                <w:szCs w:val="20"/>
                <w:lang w:val="fr-CA" w:eastAsia="en-CA"/>
              </w:rPr>
              <w:t>8 </w:t>
            </w:r>
            <w:r w:rsidRPr="00ED22D1">
              <w:rPr>
                <w:color w:val="000000"/>
                <w:sz w:val="20"/>
                <w:szCs w:val="20"/>
                <w:lang w:val="fr-CA" w:eastAsia="en-CA"/>
              </w:rPr>
              <w:t>746</w:t>
            </w:r>
          </w:p>
        </w:tc>
        <w:tc>
          <w:tcPr>
            <w:tcW w:w="420" w:type="pct"/>
          </w:tcPr>
          <w:p w:rsidR="0085675A" w:rsidRPr="00ED22D1" w:rsidRDefault="0085675A" w:rsidP="0085675A">
            <w:pPr>
              <w:widowControl w:val="0"/>
              <w:jc w:val="right"/>
              <w:rPr>
                <w:sz w:val="20"/>
                <w:szCs w:val="20"/>
                <w:lang w:val="fr-CA"/>
              </w:rPr>
            </w:pPr>
            <w:r w:rsidRPr="00ED22D1">
              <w:rPr>
                <w:color w:val="000000"/>
                <w:sz w:val="20"/>
                <w:szCs w:val="20"/>
                <w:lang w:val="fr-CA" w:eastAsia="en-CA"/>
              </w:rPr>
              <w:t>3</w:t>
            </w:r>
            <w:r w:rsidR="004A6828" w:rsidRPr="00ED22D1">
              <w:rPr>
                <w:color w:val="000000"/>
                <w:sz w:val="20"/>
                <w:szCs w:val="20"/>
                <w:lang w:val="fr-CA" w:eastAsia="en-CA"/>
              </w:rPr>
              <w:t>8 </w:t>
            </w:r>
            <w:r w:rsidRPr="00ED22D1">
              <w:rPr>
                <w:color w:val="000000"/>
                <w:sz w:val="20"/>
                <w:szCs w:val="20"/>
                <w:lang w:val="fr-CA" w:eastAsia="en-CA"/>
              </w:rPr>
              <w:t>746</w:t>
            </w:r>
          </w:p>
        </w:tc>
        <w:tc>
          <w:tcPr>
            <w:tcW w:w="417" w:type="pct"/>
          </w:tcPr>
          <w:p w:rsidR="0085675A" w:rsidRPr="00ED22D1" w:rsidRDefault="0085675A" w:rsidP="0085675A">
            <w:pPr>
              <w:widowControl w:val="0"/>
              <w:jc w:val="right"/>
              <w:rPr>
                <w:color w:val="000000"/>
                <w:sz w:val="20"/>
                <w:szCs w:val="20"/>
                <w:lang w:val="fr-CA" w:eastAsia="en-CA"/>
              </w:rPr>
            </w:pPr>
            <w:r w:rsidRPr="00ED22D1">
              <w:rPr>
                <w:color w:val="000000"/>
                <w:sz w:val="20"/>
                <w:szCs w:val="20"/>
                <w:lang w:val="fr-CA" w:eastAsia="en-CA"/>
              </w:rPr>
              <w:t>3</w:t>
            </w:r>
            <w:r w:rsidR="004A6828" w:rsidRPr="00ED22D1">
              <w:rPr>
                <w:color w:val="000000"/>
                <w:sz w:val="20"/>
                <w:szCs w:val="20"/>
                <w:lang w:val="fr-CA" w:eastAsia="en-CA"/>
              </w:rPr>
              <w:t>8 </w:t>
            </w:r>
            <w:r w:rsidRPr="00ED22D1">
              <w:rPr>
                <w:color w:val="000000"/>
                <w:sz w:val="20"/>
                <w:szCs w:val="20"/>
                <w:lang w:val="fr-CA" w:eastAsia="en-CA"/>
              </w:rPr>
              <w:t>746</w:t>
            </w:r>
          </w:p>
        </w:tc>
      </w:tr>
      <w:tr w:rsidR="0085675A" w:rsidRPr="00ED22D1" w:rsidTr="00A7575F">
        <w:trPr>
          <w:trHeight w:val="251"/>
        </w:trPr>
        <w:tc>
          <w:tcPr>
            <w:tcW w:w="793" w:type="pct"/>
            <w:vMerge/>
            <w:tcBorders>
              <w:bottom w:val="single" w:sz="4" w:space="0" w:color="auto"/>
            </w:tcBorders>
          </w:tcPr>
          <w:p w:rsidR="0085675A" w:rsidRPr="00ED22D1" w:rsidRDefault="0085675A" w:rsidP="0085675A">
            <w:pPr>
              <w:widowControl w:val="0"/>
              <w:rPr>
                <w:sz w:val="20"/>
                <w:szCs w:val="20"/>
                <w:lang w:val="fr-CA"/>
              </w:rPr>
            </w:pPr>
          </w:p>
        </w:tc>
        <w:tc>
          <w:tcPr>
            <w:tcW w:w="430" w:type="pct"/>
            <w:tcBorders>
              <w:bottom w:val="single" w:sz="4" w:space="0" w:color="auto"/>
            </w:tcBorders>
            <w:vAlign w:val="center"/>
          </w:tcPr>
          <w:p w:rsidR="0085675A" w:rsidRPr="00ED22D1" w:rsidRDefault="00181884" w:rsidP="0085675A">
            <w:pPr>
              <w:widowControl w:val="0"/>
              <w:rPr>
                <w:sz w:val="20"/>
                <w:szCs w:val="20"/>
                <w:lang w:val="fr-CA"/>
              </w:rPr>
            </w:pPr>
            <w:r w:rsidRPr="00ED22D1">
              <w:rPr>
                <w:sz w:val="20"/>
                <w:szCs w:val="20"/>
                <w:lang w:val="fr-CA"/>
              </w:rPr>
              <w:t>Tonnes PAO</w:t>
            </w:r>
          </w:p>
        </w:tc>
        <w:tc>
          <w:tcPr>
            <w:tcW w:w="419"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540</w:t>
            </w:r>
          </w:p>
        </w:tc>
        <w:tc>
          <w:tcPr>
            <w:tcW w:w="420" w:type="pct"/>
            <w:tcBorders>
              <w:bottom w:val="single" w:sz="4" w:space="0" w:color="auto"/>
            </w:tcBorders>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540</w:t>
            </w:r>
          </w:p>
        </w:tc>
        <w:tc>
          <w:tcPr>
            <w:tcW w:w="420" w:type="pct"/>
            <w:tcBorders>
              <w:bottom w:val="single" w:sz="4" w:space="0" w:color="auto"/>
            </w:tcBorders>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286</w:t>
            </w:r>
          </w:p>
        </w:tc>
        <w:tc>
          <w:tcPr>
            <w:tcW w:w="420" w:type="pct"/>
            <w:tcBorders>
              <w:bottom w:val="single" w:sz="4" w:space="0" w:color="auto"/>
            </w:tcBorders>
          </w:tcPr>
          <w:p w:rsidR="0085675A" w:rsidRPr="00ED22D1" w:rsidRDefault="004A6828" w:rsidP="0085675A">
            <w:pPr>
              <w:widowControl w:val="0"/>
              <w:jc w:val="right"/>
              <w:rPr>
                <w:sz w:val="20"/>
                <w:szCs w:val="20"/>
                <w:lang w:val="fr-CA"/>
              </w:rPr>
            </w:pPr>
            <w:r w:rsidRPr="00ED22D1">
              <w:rPr>
                <w:color w:val="000000"/>
                <w:sz w:val="20"/>
                <w:szCs w:val="20"/>
                <w:lang w:val="fr-CA" w:eastAsia="en-CA"/>
              </w:rPr>
              <w:t>2 </w:t>
            </w:r>
            <w:r w:rsidR="0085675A" w:rsidRPr="00ED22D1">
              <w:rPr>
                <w:color w:val="000000"/>
                <w:sz w:val="20"/>
                <w:szCs w:val="20"/>
                <w:lang w:val="fr-CA" w:eastAsia="en-CA"/>
              </w:rPr>
              <w:t>286</w:t>
            </w:r>
          </w:p>
        </w:tc>
        <w:tc>
          <w:tcPr>
            <w:tcW w:w="417" w:type="pct"/>
            <w:tcBorders>
              <w:bottom w:val="single" w:sz="4" w:space="0" w:color="auto"/>
            </w:tcBorders>
          </w:tcPr>
          <w:p w:rsidR="0085675A" w:rsidRPr="00ED22D1" w:rsidRDefault="004A6828" w:rsidP="0085675A">
            <w:pPr>
              <w:widowControl w:val="0"/>
              <w:jc w:val="right"/>
              <w:rPr>
                <w:color w:val="000000"/>
                <w:sz w:val="20"/>
                <w:szCs w:val="20"/>
                <w:lang w:val="fr-CA" w:eastAsia="en-CA"/>
              </w:rPr>
            </w:pPr>
            <w:r w:rsidRPr="00ED22D1">
              <w:rPr>
                <w:color w:val="000000"/>
                <w:sz w:val="20"/>
                <w:szCs w:val="20"/>
                <w:lang w:val="fr-CA" w:eastAsia="en-CA"/>
              </w:rPr>
              <w:t>2 </w:t>
            </w:r>
            <w:r w:rsidR="0085675A" w:rsidRPr="00ED22D1">
              <w:rPr>
                <w:color w:val="000000"/>
                <w:sz w:val="20"/>
                <w:szCs w:val="20"/>
                <w:lang w:val="fr-CA" w:eastAsia="en-CA"/>
              </w:rPr>
              <w:t>286</w:t>
            </w:r>
          </w:p>
        </w:tc>
      </w:tr>
      <w:tr w:rsidR="0085675A" w:rsidRPr="00ED22D1" w:rsidTr="00A7575F">
        <w:trPr>
          <w:trHeight w:val="251"/>
        </w:trPr>
        <w:tc>
          <w:tcPr>
            <w:tcW w:w="793" w:type="pct"/>
            <w:vMerge w:val="restart"/>
            <w:tcBorders>
              <w:bottom w:val="single" w:sz="4" w:space="0" w:color="auto"/>
            </w:tcBorders>
          </w:tcPr>
          <w:p w:rsidR="0085675A" w:rsidRPr="00ED22D1" w:rsidRDefault="001279D7" w:rsidP="0085675A">
            <w:pPr>
              <w:widowControl w:val="0"/>
              <w:rPr>
                <w:sz w:val="20"/>
                <w:szCs w:val="20"/>
                <w:lang w:val="fr-CA"/>
              </w:rPr>
            </w:pPr>
            <w:r w:rsidRPr="00ED22D1">
              <w:rPr>
                <w:sz w:val="20"/>
                <w:szCs w:val="20"/>
                <w:lang w:val="fr-CA"/>
              </w:rPr>
              <w:t>Objectif d’élimination</w:t>
            </w:r>
          </w:p>
        </w:tc>
        <w:tc>
          <w:tcPr>
            <w:tcW w:w="430" w:type="pct"/>
            <w:tcBorders>
              <w:bottom w:val="single" w:sz="4" w:space="0" w:color="auto"/>
            </w:tcBorders>
            <w:vAlign w:val="center"/>
          </w:tcPr>
          <w:p w:rsidR="0085675A" w:rsidRPr="00ED22D1" w:rsidRDefault="001279D7" w:rsidP="0085675A">
            <w:pPr>
              <w:widowControl w:val="0"/>
              <w:rPr>
                <w:sz w:val="20"/>
                <w:szCs w:val="20"/>
                <w:lang w:val="fr-CA"/>
              </w:rPr>
            </w:pPr>
            <w:r w:rsidRPr="00ED22D1">
              <w:rPr>
                <w:sz w:val="20"/>
                <w:szCs w:val="20"/>
                <w:lang w:val="fr-CA"/>
              </w:rPr>
              <w:t>tm</w:t>
            </w:r>
          </w:p>
        </w:tc>
        <w:tc>
          <w:tcPr>
            <w:tcW w:w="419"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4A6828" w:rsidP="0085675A">
            <w:pPr>
              <w:widowControl w:val="0"/>
              <w:jc w:val="right"/>
              <w:rPr>
                <w:sz w:val="20"/>
                <w:szCs w:val="20"/>
                <w:lang w:val="fr-CA"/>
              </w:rPr>
            </w:pPr>
            <w:r w:rsidRPr="00ED22D1">
              <w:rPr>
                <w:color w:val="000000"/>
                <w:sz w:val="20"/>
                <w:szCs w:val="20"/>
                <w:lang w:val="fr-CA" w:eastAsia="en-CA"/>
              </w:rPr>
              <w:t>5 </w:t>
            </w:r>
            <w:r w:rsidR="0085675A" w:rsidRPr="00ED22D1">
              <w:rPr>
                <w:color w:val="000000"/>
                <w:sz w:val="20"/>
                <w:szCs w:val="20"/>
                <w:lang w:val="fr-CA" w:eastAsia="en-CA"/>
              </w:rPr>
              <w:t>726</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bottom w:val="single" w:sz="4" w:space="0" w:color="auto"/>
            </w:tcBorders>
          </w:tcPr>
          <w:p w:rsidR="0085675A" w:rsidRPr="00ED22D1" w:rsidRDefault="004A6828" w:rsidP="0085675A">
            <w:pPr>
              <w:widowControl w:val="0"/>
              <w:jc w:val="right"/>
              <w:rPr>
                <w:sz w:val="20"/>
                <w:szCs w:val="20"/>
                <w:lang w:val="fr-CA"/>
              </w:rPr>
            </w:pPr>
            <w:r w:rsidRPr="00ED22D1">
              <w:rPr>
                <w:color w:val="000000"/>
                <w:sz w:val="20"/>
                <w:szCs w:val="20"/>
                <w:lang w:val="fr-CA" w:eastAsia="en-CA"/>
              </w:rPr>
              <w:t>4 </w:t>
            </w:r>
            <w:r w:rsidR="0085675A" w:rsidRPr="00ED22D1">
              <w:rPr>
                <w:color w:val="000000"/>
                <w:sz w:val="20"/>
                <w:szCs w:val="20"/>
                <w:lang w:val="fr-CA" w:eastAsia="en-CA"/>
              </w:rPr>
              <w:t>305</w:t>
            </w:r>
          </w:p>
        </w:tc>
        <w:tc>
          <w:tcPr>
            <w:tcW w:w="420" w:type="pct"/>
            <w:tcBorders>
              <w:bottom w:val="single" w:sz="4" w:space="0" w:color="auto"/>
            </w:tcBorders>
          </w:tcPr>
          <w:p w:rsidR="0085675A" w:rsidRPr="00ED22D1" w:rsidRDefault="00F12D89" w:rsidP="0085675A">
            <w:pPr>
              <w:widowControl w:val="0"/>
              <w:jc w:val="right"/>
              <w:rPr>
                <w:sz w:val="20"/>
                <w:szCs w:val="20"/>
                <w:lang w:val="fr-CA"/>
              </w:rPr>
            </w:pPr>
            <w:r w:rsidRPr="00ED22D1">
              <w:rPr>
                <w:sz w:val="20"/>
                <w:szCs w:val="20"/>
                <w:lang w:val="fr-CA"/>
              </w:rPr>
              <w:t>s.o.</w:t>
            </w:r>
          </w:p>
        </w:tc>
        <w:tc>
          <w:tcPr>
            <w:tcW w:w="417" w:type="pct"/>
            <w:tcBorders>
              <w:bottom w:val="single" w:sz="4" w:space="0" w:color="auto"/>
            </w:tcBorders>
          </w:tcPr>
          <w:p w:rsidR="0085675A" w:rsidRPr="00ED22D1" w:rsidRDefault="00F12D89" w:rsidP="0085675A">
            <w:pPr>
              <w:widowControl w:val="0"/>
              <w:jc w:val="right"/>
              <w:rPr>
                <w:sz w:val="20"/>
                <w:szCs w:val="20"/>
                <w:lang w:val="fr-CA"/>
              </w:rPr>
            </w:pPr>
            <w:r w:rsidRPr="00ED22D1">
              <w:rPr>
                <w:sz w:val="20"/>
                <w:szCs w:val="20"/>
                <w:lang w:val="fr-CA"/>
              </w:rPr>
              <w:t>s.o.</w:t>
            </w:r>
          </w:p>
        </w:tc>
      </w:tr>
      <w:tr w:rsidR="0085675A" w:rsidRPr="00ED22D1" w:rsidTr="00A7575F">
        <w:trPr>
          <w:trHeight w:val="251"/>
        </w:trPr>
        <w:tc>
          <w:tcPr>
            <w:tcW w:w="793" w:type="pct"/>
            <w:vMerge/>
            <w:tcBorders>
              <w:top w:val="single" w:sz="4" w:space="0" w:color="auto"/>
              <w:bottom w:val="single" w:sz="4" w:space="0" w:color="auto"/>
            </w:tcBorders>
          </w:tcPr>
          <w:p w:rsidR="0085675A" w:rsidRPr="00ED22D1" w:rsidRDefault="0085675A" w:rsidP="0085675A">
            <w:pPr>
              <w:widowControl w:val="0"/>
              <w:rPr>
                <w:sz w:val="20"/>
                <w:szCs w:val="20"/>
                <w:lang w:val="fr-CA"/>
              </w:rPr>
            </w:pPr>
          </w:p>
        </w:tc>
        <w:tc>
          <w:tcPr>
            <w:tcW w:w="430" w:type="pct"/>
            <w:tcBorders>
              <w:top w:val="single" w:sz="4" w:space="0" w:color="auto"/>
              <w:bottom w:val="single" w:sz="4" w:space="0" w:color="auto"/>
            </w:tcBorders>
            <w:vAlign w:val="center"/>
          </w:tcPr>
          <w:p w:rsidR="0085675A" w:rsidRPr="00ED22D1" w:rsidRDefault="00181884" w:rsidP="0085675A">
            <w:pPr>
              <w:widowControl w:val="0"/>
              <w:rPr>
                <w:sz w:val="20"/>
                <w:szCs w:val="20"/>
                <w:lang w:val="fr-CA"/>
              </w:rPr>
            </w:pPr>
            <w:r w:rsidRPr="00ED22D1">
              <w:rPr>
                <w:sz w:val="20"/>
                <w:szCs w:val="20"/>
                <w:lang w:val="fr-CA"/>
              </w:rPr>
              <w:t>Tonnes PAO</w:t>
            </w:r>
          </w:p>
        </w:tc>
        <w:tc>
          <w:tcPr>
            <w:tcW w:w="419"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top w:val="single" w:sz="4" w:space="0" w:color="auto"/>
              <w:bottom w:val="single" w:sz="4" w:space="0" w:color="auto"/>
            </w:tcBorders>
          </w:tcPr>
          <w:p w:rsidR="0085675A" w:rsidRPr="00ED22D1" w:rsidRDefault="0085675A" w:rsidP="0085675A">
            <w:pPr>
              <w:widowControl w:val="0"/>
              <w:jc w:val="right"/>
              <w:rPr>
                <w:sz w:val="20"/>
                <w:szCs w:val="20"/>
                <w:lang w:val="fr-CA"/>
              </w:rPr>
            </w:pPr>
            <w:r w:rsidRPr="00ED22D1">
              <w:rPr>
                <w:color w:val="000000"/>
                <w:sz w:val="20"/>
                <w:szCs w:val="20"/>
                <w:lang w:val="fr-CA" w:eastAsia="en-CA"/>
              </w:rPr>
              <w:t>338</w:t>
            </w:r>
          </w:p>
        </w:tc>
        <w:tc>
          <w:tcPr>
            <w:tcW w:w="420"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color w:val="000000"/>
                <w:sz w:val="20"/>
                <w:szCs w:val="20"/>
                <w:lang w:val="fr-CA" w:eastAsia="en-CA"/>
              </w:rPr>
              <w:t>s.o.</w:t>
            </w:r>
          </w:p>
        </w:tc>
        <w:tc>
          <w:tcPr>
            <w:tcW w:w="420" w:type="pct"/>
            <w:tcBorders>
              <w:top w:val="single" w:sz="4" w:space="0" w:color="auto"/>
              <w:bottom w:val="single" w:sz="4" w:space="0" w:color="auto"/>
            </w:tcBorders>
          </w:tcPr>
          <w:p w:rsidR="0085675A" w:rsidRPr="00ED22D1" w:rsidRDefault="0085675A" w:rsidP="0085675A">
            <w:pPr>
              <w:widowControl w:val="0"/>
              <w:jc w:val="right"/>
              <w:rPr>
                <w:sz w:val="20"/>
                <w:szCs w:val="20"/>
                <w:lang w:val="fr-CA"/>
              </w:rPr>
            </w:pPr>
            <w:r w:rsidRPr="00ED22D1">
              <w:rPr>
                <w:color w:val="000000"/>
                <w:sz w:val="20"/>
                <w:szCs w:val="20"/>
                <w:lang w:val="fr-CA" w:eastAsia="en-CA"/>
              </w:rPr>
              <w:t>254</w:t>
            </w:r>
          </w:p>
        </w:tc>
        <w:tc>
          <w:tcPr>
            <w:tcW w:w="420"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sz w:val="20"/>
                <w:szCs w:val="20"/>
                <w:lang w:val="fr-CA"/>
              </w:rPr>
              <w:t>s.o.</w:t>
            </w:r>
          </w:p>
        </w:tc>
        <w:tc>
          <w:tcPr>
            <w:tcW w:w="417" w:type="pct"/>
            <w:tcBorders>
              <w:top w:val="single" w:sz="4" w:space="0" w:color="auto"/>
              <w:bottom w:val="single" w:sz="4" w:space="0" w:color="auto"/>
            </w:tcBorders>
          </w:tcPr>
          <w:p w:rsidR="0085675A" w:rsidRPr="00ED22D1" w:rsidRDefault="00F12D89" w:rsidP="0085675A">
            <w:pPr>
              <w:widowControl w:val="0"/>
              <w:jc w:val="right"/>
              <w:rPr>
                <w:sz w:val="20"/>
                <w:szCs w:val="20"/>
                <w:lang w:val="fr-CA"/>
              </w:rPr>
            </w:pPr>
            <w:r w:rsidRPr="00ED22D1">
              <w:rPr>
                <w:sz w:val="20"/>
                <w:szCs w:val="20"/>
                <w:lang w:val="fr-CA"/>
              </w:rPr>
              <w:t>s.o.</w:t>
            </w:r>
          </w:p>
        </w:tc>
      </w:tr>
      <w:tr w:rsidR="0085675A" w:rsidRPr="00C80221" w:rsidTr="00A7575F">
        <w:trPr>
          <w:trHeight w:val="251"/>
        </w:trPr>
        <w:tc>
          <w:tcPr>
            <w:tcW w:w="5000" w:type="pct"/>
            <w:gridSpan w:val="11"/>
            <w:tcBorders>
              <w:top w:val="nil"/>
              <w:left w:val="nil"/>
              <w:bottom w:val="nil"/>
              <w:right w:val="nil"/>
            </w:tcBorders>
          </w:tcPr>
          <w:p w:rsidR="0085675A" w:rsidRPr="00ED22D1" w:rsidRDefault="001279D7" w:rsidP="0085675A">
            <w:pPr>
              <w:pStyle w:val="ListParagraph"/>
              <w:numPr>
                <w:ilvl w:val="0"/>
                <w:numId w:val="27"/>
              </w:numPr>
              <w:rPr>
                <w:sz w:val="16"/>
                <w:szCs w:val="16"/>
                <w:lang w:val="fr-CA"/>
              </w:rPr>
            </w:pPr>
            <w:r w:rsidRPr="00ED22D1">
              <w:rPr>
                <w:sz w:val="16"/>
                <w:szCs w:val="16"/>
                <w:lang w:val="fr-CA"/>
              </w:rPr>
              <w:t xml:space="preserve">Selon le rapport de mise en oeuvre du </w:t>
            </w:r>
            <w:r w:rsidR="00181884" w:rsidRPr="00ED22D1">
              <w:rPr>
                <w:sz w:val="16"/>
                <w:szCs w:val="16"/>
                <w:lang w:val="fr-CA"/>
              </w:rPr>
              <w:t>programme de pays</w:t>
            </w:r>
            <w:r w:rsidR="0085675A" w:rsidRPr="00ED22D1">
              <w:rPr>
                <w:sz w:val="16"/>
                <w:szCs w:val="16"/>
                <w:lang w:val="fr-CA"/>
              </w:rPr>
              <w:t>.</w:t>
            </w:r>
          </w:p>
          <w:p w:rsidR="0085675A" w:rsidRPr="00ED22D1" w:rsidRDefault="0085675A" w:rsidP="001279D7">
            <w:pPr>
              <w:rPr>
                <w:sz w:val="16"/>
                <w:szCs w:val="16"/>
                <w:lang w:val="fr-CA"/>
              </w:rPr>
            </w:pPr>
            <w:r w:rsidRPr="00ED22D1">
              <w:rPr>
                <w:sz w:val="16"/>
                <w:szCs w:val="16"/>
                <w:lang w:val="fr-CA"/>
              </w:rPr>
              <w:t xml:space="preserve">**     </w:t>
            </w:r>
            <w:r w:rsidR="001279D7" w:rsidRPr="00ED22D1">
              <w:rPr>
                <w:sz w:val="16"/>
                <w:szCs w:val="16"/>
                <w:lang w:val="fr-CA"/>
              </w:rPr>
              <w:t xml:space="preserve">Selon </w:t>
            </w:r>
            <w:r w:rsidR="00CE7FEC" w:rsidRPr="00ED22D1">
              <w:rPr>
                <w:sz w:val="16"/>
                <w:szCs w:val="16"/>
                <w:lang w:val="fr-CA"/>
              </w:rPr>
              <w:t>l’accord</w:t>
            </w:r>
            <w:r w:rsidR="00F320D6" w:rsidRPr="00ED22D1">
              <w:rPr>
                <w:sz w:val="16"/>
                <w:szCs w:val="16"/>
                <w:lang w:val="fr-CA"/>
              </w:rPr>
              <w:t xml:space="preserve"> signé</w:t>
            </w:r>
            <w:r w:rsidRPr="00ED22D1">
              <w:rPr>
                <w:sz w:val="16"/>
                <w:szCs w:val="16"/>
                <w:lang w:val="fr-CA"/>
              </w:rPr>
              <w:t xml:space="preserve"> </w:t>
            </w:r>
            <w:r w:rsidR="00733306" w:rsidRPr="00ED22D1">
              <w:rPr>
                <w:sz w:val="16"/>
                <w:szCs w:val="16"/>
                <w:lang w:val="fr-CA"/>
              </w:rPr>
              <w:t xml:space="preserve">à la </w:t>
            </w:r>
            <w:r w:rsidR="001279D7" w:rsidRPr="00ED22D1">
              <w:rPr>
                <w:sz w:val="16"/>
                <w:szCs w:val="16"/>
                <w:lang w:val="fr-CA"/>
              </w:rPr>
              <w:t>6</w:t>
            </w:r>
            <w:r w:rsidRPr="00ED22D1">
              <w:rPr>
                <w:sz w:val="16"/>
                <w:szCs w:val="16"/>
                <w:lang w:val="fr-CA"/>
              </w:rPr>
              <w:t>7</w:t>
            </w:r>
            <w:r w:rsidR="001279D7" w:rsidRPr="00ED22D1">
              <w:rPr>
                <w:sz w:val="16"/>
                <w:szCs w:val="16"/>
                <w:vertAlign w:val="superscript"/>
                <w:lang w:val="fr-CA"/>
              </w:rPr>
              <w:t>e</w:t>
            </w:r>
            <w:r w:rsidR="001279D7"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1279D7" w:rsidRPr="00ED22D1">
              <w:rPr>
                <w:sz w:val="16"/>
                <w:szCs w:val="16"/>
                <w:lang w:val="fr-CA"/>
              </w:rPr>
              <w:t xml:space="preserve">pour la </w:t>
            </w:r>
            <w:r w:rsidR="004A6828" w:rsidRPr="00ED22D1">
              <w:rPr>
                <w:sz w:val="16"/>
                <w:szCs w:val="16"/>
                <w:lang w:val="fr-CA"/>
              </w:rPr>
              <w:t xml:space="preserve">phase </w:t>
            </w:r>
            <w:r w:rsidRPr="00ED22D1">
              <w:rPr>
                <w:sz w:val="16"/>
                <w:szCs w:val="16"/>
                <w:lang w:val="fr-CA"/>
              </w:rPr>
              <w:t xml:space="preserve">I </w:t>
            </w:r>
            <w:r w:rsidR="001279D7" w:rsidRPr="00ED22D1">
              <w:rPr>
                <w:sz w:val="16"/>
                <w:szCs w:val="16"/>
                <w:lang w:val="fr-CA"/>
              </w:rPr>
              <w:t xml:space="preserve">jusqu’à </w:t>
            </w:r>
            <w:r w:rsidR="00387A9A" w:rsidRPr="00ED22D1">
              <w:rPr>
                <w:sz w:val="16"/>
                <w:szCs w:val="16"/>
                <w:lang w:val="fr-CA"/>
              </w:rPr>
              <w:t>20</w:t>
            </w:r>
            <w:r w:rsidRPr="00ED22D1">
              <w:rPr>
                <w:sz w:val="16"/>
                <w:szCs w:val="16"/>
                <w:lang w:val="fr-CA"/>
              </w:rPr>
              <w:t>1</w:t>
            </w:r>
            <w:r w:rsidR="004A6828" w:rsidRPr="00ED22D1">
              <w:rPr>
                <w:sz w:val="16"/>
                <w:szCs w:val="16"/>
                <w:lang w:val="fr-CA"/>
              </w:rPr>
              <w:t>5</w:t>
            </w:r>
            <w:r w:rsidR="001279D7" w:rsidRPr="00ED22D1">
              <w:rPr>
                <w:sz w:val="16"/>
                <w:szCs w:val="16"/>
                <w:lang w:val="fr-CA"/>
              </w:rPr>
              <w:t>,</w:t>
            </w:r>
            <w:r w:rsidR="004A6828" w:rsidRPr="00ED22D1">
              <w:rPr>
                <w:sz w:val="16"/>
                <w:szCs w:val="16"/>
                <w:lang w:val="fr-CA"/>
              </w:rPr>
              <w:t xml:space="preserve"> et </w:t>
            </w:r>
            <w:r w:rsidR="00CE7FEC" w:rsidRPr="00ED22D1">
              <w:rPr>
                <w:sz w:val="16"/>
                <w:szCs w:val="16"/>
                <w:lang w:val="fr-CA"/>
              </w:rPr>
              <w:t>l’accord</w:t>
            </w:r>
            <w:r w:rsidR="00F320D6" w:rsidRPr="00ED22D1">
              <w:rPr>
                <w:sz w:val="16"/>
                <w:szCs w:val="16"/>
                <w:lang w:val="fr-CA"/>
              </w:rPr>
              <w:t xml:space="preserve"> signé</w:t>
            </w:r>
            <w:r w:rsidRPr="00ED22D1">
              <w:rPr>
                <w:sz w:val="16"/>
                <w:szCs w:val="16"/>
                <w:lang w:val="fr-CA"/>
              </w:rPr>
              <w:t xml:space="preserve"> </w:t>
            </w:r>
            <w:r w:rsidR="00733306" w:rsidRPr="00ED22D1">
              <w:rPr>
                <w:sz w:val="16"/>
                <w:szCs w:val="16"/>
                <w:lang w:val="fr-CA"/>
              </w:rPr>
              <w:t xml:space="preserve">à la </w:t>
            </w:r>
            <w:r w:rsidR="001279D7" w:rsidRPr="00ED22D1">
              <w:rPr>
                <w:sz w:val="16"/>
                <w:szCs w:val="16"/>
                <w:lang w:val="fr-CA"/>
              </w:rPr>
              <w:t>7</w:t>
            </w:r>
            <w:r w:rsidRPr="00ED22D1">
              <w:rPr>
                <w:sz w:val="16"/>
                <w:szCs w:val="16"/>
                <w:lang w:val="fr-CA"/>
              </w:rPr>
              <w:t>9</w:t>
            </w:r>
            <w:r w:rsidR="001279D7" w:rsidRPr="00ED22D1">
              <w:rPr>
                <w:sz w:val="16"/>
                <w:szCs w:val="16"/>
                <w:vertAlign w:val="superscript"/>
                <w:lang w:val="fr-CA"/>
              </w:rPr>
              <w:t>e</w:t>
            </w:r>
            <w:r w:rsidR="001279D7" w:rsidRPr="00ED22D1">
              <w:rPr>
                <w:sz w:val="16"/>
                <w:szCs w:val="16"/>
                <w:lang w:val="fr-CA"/>
              </w:rPr>
              <w:t xml:space="preserve"> r</w:t>
            </w:r>
            <w:r w:rsidR="00DD185D" w:rsidRPr="00ED22D1">
              <w:rPr>
                <w:sz w:val="16"/>
                <w:szCs w:val="16"/>
                <w:lang w:val="fr-CA"/>
              </w:rPr>
              <w:t>éunion</w:t>
            </w:r>
            <w:r w:rsidRPr="00ED22D1">
              <w:rPr>
                <w:sz w:val="16"/>
                <w:szCs w:val="16"/>
                <w:lang w:val="fr-CA"/>
              </w:rPr>
              <w:t xml:space="preserve"> </w:t>
            </w:r>
            <w:r w:rsidR="001279D7" w:rsidRPr="00ED22D1">
              <w:rPr>
                <w:sz w:val="16"/>
                <w:szCs w:val="16"/>
                <w:lang w:val="fr-CA"/>
              </w:rPr>
              <w:t xml:space="preserve">pour la </w:t>
            </w:r>
            <w:r w:rsidR="004A6828" w:rsidRPr="00ED22D1">
              <w:rPr>
                <w:sz w:val="16"/>
                <w:szCs w:val="16"/>
                <w:lang w:val="fr-CA"/>
              </w:rPr>
              <w:t xml:space="preserve">phase </w:t>
            </w:r>
            <w:r w:rsidRPr="00ED22D1">
              <w:rPr>
                <w:sz w:val="16"/>
                <w:szCs w:val="16"/>
                <w:lang w:val="fr-CA"/>
              </w:rPr>
              <w:t>II</w:t>
            </w:r>
            <w:r w:rsidR="001279D7" w:rsidRPr="00ED22D1">
              <w:rPr>
                <w:sz w:val="16"/>
                <w:szCs w:val="16"/>
                <w:lang w:val="fr-CA"/>
              </w:rPr>
              <w:t xml:space="preserve"> de</w:t>
            </w:r>
            <w:r w:rsidRPr="00ED22D1">
              <w:rPr>
                <w:sz w:val="16"/>
                <w:szCs w:val="16"/>
                <w:lang w:val="fr-CA"/>
              </w:rPr>
              <w:t xml:space="preserve"> 2016</w:t>
            </w:r>
            <w:r w:rsidR="004A6828" w:rsidRPr="00ED22D1">
              <w:rPr>
                <w:sz w:val="16"/>
                <w:szCs w:val="16"/>
                <w:lang w:val="fr-CA"/>
              </w:rPr>
              <w:t xml:space="preserve"> et </w:t>
            </w:r>
            <w:r w:rsidRPr="00ED22D1">
              <w:rPr>
                <w:sz w:val="16"/>
                <w:szCs w:val="16"/>
                <w:lang w:val="fr-CA"/>
              </w:rPr>
              <w:t>201</w:t>
            </w:r>
            <w:r w:rsidR="004A6828" w:rsidRPr="00ED22D1">
              <w:rPr>
                <w:sz w:val="16"/>
                <w:szCs w:val="16"/>
                <w:lang w:val="fr-CA"/>
              </w:rPr>
              <w:t>7</w:t>
            </w:r>
            <w:r w:rsidR="001279D7" w:rsidRPr="00ED22D1">
              <w:rPr>
                <w:sz w:val="16"/>
                <w:szCs w:val="16"/>
                <w:lang w:val="fr-CA"/>
              </w:rPr>
              <w:t>.</w:t>
            </w:r>
          </w:p>
        </w:tc>
      </w:tr>
    </w:tbl>
    <w:p w:rsidR="0085675A" w:rsidRPr="00ED22D1" w:rsidRDefault="0085675A" w:rsidP="0085675A">
      <w:pPr>
        <w:widowControl w:val="0"/>
        <w:rPr>
          <w:lang w:val="fr-CA"/>
        </w:rPr>
      </w:pPr>
    </w:p>
    <w:p w:rsidR="0085675A" w:rsidRPr="00ED22D1" w:rsidRDefault="002D2C0B" w:rsidP="002D2C0B">
      <w:pPr>
        <w:pStyle w:val="Heading1"/>
        <w:numPr>
          <w:ilvl w:val="0"/>
          <w:numId w:val="0"/>
        </w:numPr>
        <w:rPr>
          <w:lang w:val="fr-CA"/>
        </w:rPr>
      </w:pPr>
      <w:r w:rsidRPr="00ED22D1">
        <w:rPr>
          <w:lang w:val="fr-CA"/>
        </w:rPr>
        <w:t>66.</w:t>
      </w:r>
      <w:r w:rsidRPr="00ED22D1">
        <w:rPr>
          <w:lang w:val="fr-CA"/>
        </w:rPr>
        <w:tab/>
      </w:r>
      <w:r w:rsidR="001279D7" w:rsidRPr="00ED22D1">
        <w:rPr>
          <w:lang w:val="fr-CA"/>
        </w:rPr>
        <w:t>La c</w:t>
      </w:r>
      <w:r w:rsidR="00181884" w:rsidRPr="00ED22D1">
        <w:rPr>
          <w:lang w:val="fr-CA"/>
        </w:rPr>
        <w:t>onsommation de HCFC</w:t>
      </w:r>
      <w:r w:rsidR="0085675A" w:rsidRPr="00ED22D1">
        <w:rPr>
          <w:lang w:val="fr-CA"/>
        </w:rPr>
        <w:t xml:space="preserve"> </w:t>
      </w:r>
      <w:r w:rsidR="001279D7" w:rsidRPr="00ED22D1">
        <w:rPr>
          <w:lang w:val="fr-CA"/>
        </w:rPr>
        <w:t xml:space="preserve">du secteur s’est accrue en </w:t>
      </w:r>
      <w:r w:rsidR="0052712E" w:rsidRPr="00ED22D1">
        <w:rPr>
          <w:lang w:val="fr-CA"/>
        </w:rPr>
        <w:t>20</w:t>
      </w:r>
      <w:r w:rsidR="0085675A" w:rsidRPr="00ED22D1">
        <w:rPr>
          <w:lang w:val="fr-CA"/>
        </w:rPr>
        <w:t>16</w:t>
      </w:r>
      <w:r w:rsidR="004A6828" w:rsidRPr="00ED22D1">
        <w:rPr>
          <w:lang w:val="fr-CA"/>
        </w:rPr>
        <w:t xml:space="preserve"> et </w:t>
      </w:r>
      <w:r w:rsidR="0085675A" w:rsidRPr="00ED22D1">
        <w:rPr>
          <w:lang w:val="fr-CA"/>
        </w:rPr>
        <w:t>2017</w:t>
      </w:r>
      <w:r w:rsidR="001279D7" w:rsidRPr="00ED22D1">
        <w:rPr>
          <w:lang w:val="fr-CA"/>
        </w:rPr>
        <w:t xml:space="preserve">, en </w:t>
      </w:r>
      <w:r w:rsidR="00802F71" w:rsidRPr="00ED22D1">
        <w:rPr>
          <w:lang w:val="fr-CA"/>
        </w:rPr>
        <w:t>raison</w:t>
      </w:r>
      <w:r w:rsidR="001279D7" w:rsidRPr="00ED22D1">
        <w:rPr>
          <w:lang w:val="fr-CA"/>
        </w:rPr>
        <w:t xml:space="preserve"> de </w:t>
      </w:r>
      <w:r w:rsidR="00B03403" w:rsidRPr="00ED22D1">
        <w:rPr>
          <w:lang w:val="fr-CA"/>
        </w:rPr>
        <w:t xml:space="preserve">l’augmentation de </w:t>
      </w:r>
      <w:r w:rsidR="001279D7" w:rsidRPr="00ED22D1">
        <w:rPr>
          <w:lang w:val="fr-CA"/>
        </w:rPr>
        <w:t xml:space="preserve">la demande pour les produits de mousses extrudées </w:t>
      </w:r>
      <w:r w:rsidR="00921BDE" w:rsidRPr="00ED22D1">
        <w:rPr>
          <w:lang w:val="fr-CA"/>
        </w:rPr>
        <w:t>(XPS)</w:t>
      </w:r>
      <w:r w:rsidR="0085675A" w:rsidRPr="00ED22D1">
        <w:rPr>
          <w:lang w:val="fr-CA"/>
        </w:rPr>
        <w:t xml:space="preserve"> </w:t>
      </w:r>
      <w:r w:rsidR="001279D7" w:rsidRPr="00ED22D1">
        <w:rPr>
          <w:lang w:val="fr-CA"/>
        </w:rPr>
        <w:t>pour l’isolation</w:t>
      </w:r>
      <w:r w:rsidR="00C420BC" w:rsidRPr="00ED22D1">
        <w:rPr>
          <w:lang w:val="fr-CA"/>
        </w:rPr>
        <w:t>. L’</w:t>
      </w:r>
      <w:r w:rsidR="001F19C1" w:rsidRPr="00ED22D1">
        <w:rPr>
          <w:lang w:val="fr-CA"/>
        </w:rPr>
        <w:t>ONUDI</w:t>
      </w:r>
      <w:r w:rsidR="004A6828" w:rsidRPr="00ED22D1">
        <w:rPr>
          <w:lang w:val="fr-CA"/>
        </w:rPr>
        <w:t xml:space="preserve"> et</w:t>
      </w:r>
      <w:r w:rsidR="00F320D6" w:rsidRPr="00ED22D1">
        <w:rPr>
          <w:lang w:val="fr-CA"/>
        </w:rPr>
        <w:t xml:space="preserve"> l’IECO</w:t>
      </w:r>
      <w:r w:rsidR="0085675A" w:rsidRPr="00ED22D1">
        <w:rPr>
          <w:lang w:val="fr-CA"/>
        </w:rPr>
        <w:t xml:space="preserve"> </w:t>
      </w:r>
      <w:r w:rsidR="001767FB" w:rsidRPr="00ED22D1">
        <w:rPr>
          <w:lang w:val="fr-CA"/>
        </w:rPr>
        <w:t xml:space="preserve">continuent d’accélérer l’achèvement des </w:t>
      </w:r>
      <w:r w:rsidR="001B45EC" w:rsidRPr="00ED22D1">
        <w:rPr>
          <w:lang w:val="fr-CA"/>
        </w:rPr>
        <w:t>projets de reconversion</w:t>
      </w:r>
      <w:r w:rsidR="0085675A" w:rsidRPr="00ED22D1">
        <w:rPr>
          <w:lang w:val="fr-CA"/>
        </w:rPr>
        <w:t xml:space="preserve"> </w:t>
      </w:r>
      <w:r w:rsidR="001767FB" w:rsidRPr="00ED22D1">
        <w:rPr>
          <w:lang w:val="fr-CA"/>
        </w:rPr>
        <w:t xml:space="preserve">dans le cadre de la </w:t>
      </w:r>
      <w:r w:rsidR="004A6828" w:rsidRPr="00ED22D1">
        <w:rPr>
          <w:lang w:val="fr-CA"/>
        </w:rPr>
        <w:t xml:space="preserve">phase </w:t>
      </w:r>
      <w:r w:rsidR="0085675A" w:rsidRPr="00ED22D1">
        <w:rPr>
          <w:lang w:val="fr-CA"/>
        </w:rPr>
        <w:t>I,</w:t>
      </w:r>
      <w:r w:rsidR="004A6828" w:rsidRPr="00ED22D1">
        <w:rPr>
          <w:lang w:val="fr-CA"/>
        </w:rPr>
        <w:t xml:space="preserve"> et</w:t>
      </w:r>
      <w:r w:rsidR="00B03403" w:rsidRPr="00ED22D1">
        <w:rPr>
          <w:lang w:val="fr-CA"/>
        </w:rPr>
        <w:t> </w:t>
      </w:r>
      <w:r w:rsidR="001767FB" w:rsidRPr="00ED22D1">
        <w:rPr>
          <w:lang w:val="fr-CA"/>
        </w:rPr>
        <w:t xml:space="preserve">l’achèvement de nouveaux </w:t>
      </w:r>
      <w:r w:rsidR="001B45EC" w:rsidRPr="00ED22D1">
        <w:rPr>
          <w:lang w:val="fr-CA"/>
        </w:rPr>
        <w:t>projet</w:t>
      </w:r>
      <w:r w:rsidR="0085675A" w:rsidRPr="00ED22D1">
        <w:rPr>
          <w:lang w:val="fr-CA"/>
        </w:rPr>
        <w:t>s</w:t>
      </w:r>
      <w:r w:rsidR="001767FB" w:rsidRPr="00ED22D1">
        <w:rPr>
          <w:lang w:val="fr-CA"/>
        </w:rPr>
        <w:t xml:space="preserve"> dans le cadre de la </w:t>
      </w:r>
      <w:r w:rsidR="004A6828" w:rsidRPr="00ED22D1">
        <w:rPr>
          <w:lang w:val="fr-CA"/>
        </w:rPr>
        <w:t xml:space="preserve">phase </w:t>
      </w:r>
      <w:r w:rsidR="0085675A" w:rsidRPr="00ED22D1">
        <w:rPr>
          <w:lang w:val="fr-CA"/>
        </w:rPr>
        <w:t>II</w:t>
      </w:r>
      <w:r w:rsidR="00C420BC" w:rsidRPr="00ED22D1">
        <w:rPr>
          <w:lang w:val="fr-CA"/>
        </w:rPr>
        <w:t>. L’</w:t>
      </w:r>
      <w:r w:rsidR="00F320D6" w:rsidRPr="00ED22D1">
        <w:rPr>
          <w:lang w:val="fr-CA"/>
        </w:rPr>
        <w:t>IECO</w:t>
      </w:r>
      <w:r w:rsidR="0085675A" w:rsidRPr="00ED22D1">
        <w:rPr>
          <w:lang w:val="fr-CA"/>
        </w:rPr>
        <w:t xml:space="preserve"> </w:t>
      </w:r>
      <w:r w:rsidR="001767FB" w:rsidRPr="00ED22D1">
        <w:rPr>
          <w:lang w:val="fr-CA"/>
        </w:rPr>
        <w:t>continue d’appliquer les</w:t>
      </w:r>
      <w:r w:rsidR="00B03403" w:rsidRPr="00ED22D1">
        <w:rPr>
          <w:lang w:val="fr-CA"/>
        </w:rPr>
        <w:t> </w:t>
      </w:r>
      <w:r w:rsidR="001767FB" w:rsidRPr="00ED22D1">
        <w:rPr>
          <w:lang w:val="fr-CA"/>
        </w:rPr>
        <w:t xml:space="preserve">contingents de production de </w:t>
      </w:r>
      <w:r w:rsidR="0085675A" w:rsidRPr="00ED22D1">
        <w:rPr>
          <w:lang w:val="fr-CA"/>
        </w:rPr>
        <w:t xml:space="preserve">HCFC </w:t>
      </w:r>
      <w:r w:rsidR="004A6828" w:rsidRPr="00ED22D1">
        <w:rPr>
          <w:lang w:val="fr-CA"/>
        </w:rPr>
        <w:t xml:space="preserve">et </w:t>
      </w:r>
      <w:r w:rsidR="001767FB" w:rsidRPr="00ED22D1">
        <w:rPr>
          <w:lang w:val="fr-CA"/>
        </w:rPr>
        <w:t xml:space="preserve">de ventes domestiques de HCFC pour </w:t>
      </w:r>
      <w:r w:rsidR="00232667" w:rsidRPr="00ED22D1">
        <w:rPr>
          <w:lang w:val="fr-CA"/>
        </w:rPr>
        <w:t>chaque</w:t>
      </w:r>
      <w:r w:rsidR="0085675A" w:rsidRPr="00ED22D1">
        <w:rPr>
          <w:lang w:val="fr-CA"/>
        </w:rPr>
        <w:t xml:space="preserve"> produc</w:t>
      </w:r>
      <w:r w:rsidR="001767FB" w:rsidRPr="00ED22D1">
        <w:rPr>
          <w:lang w:val="fr-CA"/>
        </w:rPr>
        <w:t>teu</w:t>
      </w:r>
      <w:r w:rsidR="0085675A" w:rsidRPr="00ED22D1">
        <w:rPr>
          <w:lang w:val="fr-CA"/>
        </w:rPr>
        <w:t xml:space="preserve">r, </w:t>
      </w:r>
      <w:r w:rsidR="001767FB" w:rsidRPr="00ED22D1">
        <w:rPr>
          <w:lang w:val="fr-CA"/>
        </w:rPr>
        <w:t>ainsi</w:t>
      </w:r>
      <w:r w:rsidR="004F7ADB">
        <w:rPr>
          <w:lang w:val="fr-CA"/>
        </w:rPr>
        <w:t> </w:t>
      </w:r>
      <w:r w:rsidR="001767FB" w:rsidRPr="00ED22D1">
        <w:rPr>
          <w:lang w:val="fr-CA"/>
        </w:rPr>
        <w:t xml:space="preserve">que les contingents de consommation de HCFC des entreprises de fabrication utilisant plus de </w:t>
      </w:r>
      <w:r w:rsidR="0085675A" w:rsidRPr="00ED22D1">
        <w:rPr>
          <w:lang w:val="fr-CA"/>
        </w:rPr>
        <w:t>100 </w:t>
      </w:r>
      <w:r w:rsidR="001279D7" w:rsidRPr="00ED22D1">
        <w:rPr>
          <w:lang w:val="fr-CA"/>
        </w:rPr>
        <w:t>tm</w:t>
      </w:r>
      <w:r w:rsidR="0085675A" w:rsidRPr="00ED22D1">
        <w:rPr>
          <w:lang w:val="fr-CA"/>
        </w:rPr>
        <w:t>.</w:t>
      </w:r>
    </w:p>
    <w:p w:rsidR="0085675A" w:rsidRPr="00ED22D1" w:rsidRDefault="002D2C0B" w:rsidP="002D2C0B">
      <w:pPr>
        <w:pStyle w:val="Heading1"/>
        <w:numPr>
          <w:ilvl w:val="0"/>
          <w:numId w:val="0"/>
        </w:numPr>
        <w:rPr>
          <w:lang w:val="fr-CA"/>
        </w:rPr>
      </w:pPr>
      <w:r w:rsidRPr="00ED22D1">
        <w:rPr>
          <w:lang w:val="fr-CA"/>
        </w:rPr>
        <w:t>67.</w:t>
      </w:r>
      <w:r w:rsidRPr="00ED22D1">
        <w:rPr>
          <w:lang w:val="fr-CA"/>
        </w:rPr>
        <w:tab/>
      </w:r>
      <w:r w:rsidR="00802F71" w:rsidRPr="00ED22D1">
        <w:rPr>
          <w:lang w:val="fr-CA"/>
        </w:rPr>
        <w:t>Prenant</w:t>
      </w:r>
      <w:r w:rsidR="002F108D" w:rsidRPr="00ED22D1">
        <w:rPr>
          <w:lang w:val="fr-CA"/>
        </w:rPr>
        <w:t xml:space="preserve"> note que </w:t>
      </w:r>
      <w:r w:rsidR="00733306" w:rsidRPr="00ED22D1">
        <w:rPr>
          <w:lang w:val="fr-CA"/>
        </w:rPr>
        <w:t xml:space="preserve">la </w:t>
      </w:r>
      <w:r w:rsidR="001B45EC" w:rsidRPr="00ED22D1">
        <w:rPr>
          <w:lang w:val="fr-CA"/>
        </w:rPr>
        <w:t>consommation maximale admissible</w:t>
      </w:r>
      <w:r w:rsidR="0085675A" w:rsidRPr="00ED22D1">
        <w:rPr>
          <w:lang w:val="fr-CA"/>
        </w:rPr>
        <w:t xml:space="preserve"> </w:t>
      </w:r>
      <w:r w:rsidR="002F108D" w:rsidRPr="00ED22D1">
        <w:rPr>
          <w:lang w:val="fr-CA"/>
        </w:rPr>
        <w:t xml:space="preserve">dans </w:t>
      </w:r>
      <w:r w:rsidR="00CE7FEC" w:rsidRPr="00ED22D1">
        <w:rPr>
          <w:lang w:val="fr-CA"/>
        </w:rPr>
        <w:t>l’accord</w:t>
      </w:r>
      <w:r w:rsidR="0085675A" w:rsidRPr="00ED22D1">
        <w:rPr>
          <w:lang w:val="fr-CA"/>
        </w:rPr>
        <w:t xml:space="preserve"> </w:t>
      </w:r>
      <w:r w:rsidR="002F108D" w:rsidRPr="00ED22D1">
        <w:rPr>
          <w:lang w:val="fr-CA"/>
        </w:rPr>
        <w:t>de</w:t>
      </w:r>
      <w:r w:rsidR="0085675A" w:rsidRPr="00ED22D1">
        <w:rPr>
          <w:lang w:val="fr-CA"/>
        </w:rPr>
        <w:t xml:space="preserve"> 2018 </w:t>
      </w:r>
      <w:r w:rsidR="002F108D" w:rsidRPr="00ED22D1">
        <w:rPr>
          <w:lang w:val="fr-CA"/>
        </w:rPr>
        <w:t>était de</w:t>
      </w:r>
      <w:r w:rsidR="00B03403" w:rsidRPr="00ED22D1">
        <w:rPr>
          <w:lang w:val="fr-CA"/>
        </w:rPr>
        <w:t> </w:t>
      </w:r>
      <w:r w:rsidR="004A6828" w:rsidRPr="00ED22D1">
        <w:rPr>
          <w:lang w:val="fr-CA"/>
        </w:rPr>
        <w:t>2 </w:t>
      </w:r>
      <w:r w:rsidR="0085675A" w:rsidRPr="00ED22D1">
        <w:rPr>
          <w:lang w:val="fr-CA"/>
        </w:rPr>
        <w:t>032</w:t>
      </w:r>
      <w:r w:rsidR="002F108D" w:rsidRPr="00ED22D1">
        <w:rPr>
          <w:lang w:val="fr-CA"/>
        </w:rPr>
        <w:t> </w:t>
      </w:r>
      <w:r w:rsidR="00F96C70" w:rsidRPr="00ED22D1">
        <w:rPr>
          <w:lang w:val="fr-CA"/>
        </w:rPr>
        <w:t>tonnes PAO</w:t>
      </w:r>
      <w:r w:rsidR="0085675A" w:rsidRPr="00ED22D1">
        <w:rPr>
          <w:lang w:val="fr-CA"/>
        </w:rPr>
        <w:t>,</w:t>
      </w:r>
      <w:r w:rsidR="00DD185D" w:rsidRPr="00ED22D1">
        <w:rPr>
          <w:lang w:val="fr-CA"/>
        </w:rPr>
        <w:t xml:space="preserve"> le Secrétariat</w:t>
      </w:r>
      <w:r w:rsidR="0085675A" w:rsidRPr="00ED22D1">
        <w:rPr>
          <w:lang w:val="fr-CA"/>
        </w:rPr>
        <w:t xml:space="preserve"> </w:t>
      </w:r>
      <w:r w:rsidR="002F108D" w:rsidRPr="00ED22D1">
        <w:rPr>
          <w:lang w:val="fr-CA"/>
        </w:rPr>
        <w:t xml:space="preserve">a demandé si les données 2018 sur </w:t>
      </w:r>
      <w:r w:rsidR="00AD0203" w:rsidRPr="00ED22D1">
        <w:rPr>
          <w:lang w:val="fr-CA"/>
        </w:rPr>
        <w:t>la consommation</w:t>
      </w:r>
      <w:r w:rsidR="00921BDE" w:rsidRPr="00ED22D1">
        <w:rPr>
          <w:lang w:val="fr-CA"/>
        </w:rPr>
        <w:t xml:space="preserve"> de HCFC</w:t>
      </w:r>
      <w:r w:rsidR="0085675A" w:rsidRPr="00ED22D1">
        <w:rPr>
          <w:lang w:val="fr-CA"/>
        </w:rPr>
        <w:t xml:space="preserve"> </w:t>
      </w:r>
      <w:r w:rsidR="002F108D" w:rsidRPr="00ED22D1">
        <w:rPr>
          <w:lang w:val="fr-CA"/>
        </w:rPr>
        <w:t>étaient déjà disponibles</w:t>
      </w:r>
      <w:r w:rsidR="0085675A" w:rsidRPr="00ED22D1">
        <w:rPr>
          <w:lang w:val="fr-CA"/>
        </w:rPr>
        <w:t xml:space="preserve"> </w:t>
      </w:r>
      <w:r w:rsidR="004A6828" w:rsidRPr="00ED22D1">
        <w:rPr>
          <w:lang w:val="fr-CA"/>
        </w:rPr>
        <w:t xml:space="preserve">et </w:t>
      </w:r>
      <w:r w:rsidR="002F108D" w:rsidRPr="00ED22D1">
        <w:rPr>
          <w:lang w:val="fr-CA"/>
        </w:rPr>
        <w:t>si le pays était en</w:t>
      </w:r>
      <w:r w:rsidR="0085675A" w:rsidRPr="00ED22D1">
        <w:rPr>
          <w:lang w:val="fr-CA"/>
        </w:rPr>
        <w:t xml:space="preserve"> </w:t>
      </w:r>
      <w:r w:rsidR="00CE7FEC" w:rsidRPr="00ED22D1">
        <w:rPr>
          <w:lang w:val="fr-CA"/>
        </w:rPr>
        <w:t>conformité</w:t>
      </w:r>
      <w:r w:rsidR="0085675A" w:rsidRPr="00ED22D1">
        <w:rPr>
          <w:lang w:val="fr-CA"/>
        </w:rPr>
        <w:t xml:space="preserve"> </w:t>
      </w:r>
      <w:r w:rsidR="00B84F94" w:rsidRPr="00ED22D1">
        <w:rPr>
          <w:lang w:val="fr-CA"/>
        </w:rPr>
        <w:t xml:space="preserve">avec </w:t>
      </w:r>
      <w:r w:rsidR="002F108D" w:rsidRPr="00ED22D1">
        <w:rPr>
          <w:lang w:val="fr-CA"/>
        </w:rPr>
        <w:t>l’objectif</w:t>
      </w:r>
      <w:r w:rsidR="00C420BC" w:rsidRPr="00ED22D1">
        <w:rPr>
          <w:lang w:val="fr-CA"/>
        </w:rPr>
        <w:t>. L’</w:t>
      </w:r>
      <w:r w:rsidR="001F19C1" w:rsidRPr="00ED22D1">
        <w:rPr>
          <w:lang w:val="fr-CA"/>
        </w:rPr>
        <w:t>ONUDI</w:t>
      </w:r>
      <w:r w:rsidR="0085675A" w:rsidRPr="00ED22D1">
        <w:rPr>
          <w:lang w:val="fr-CA"/>
        </w:rPr>
        <w:t xml:space="preserve"> </w:t>
      </w:r>
      <w:r w:rsidR="002F108D" w:rsidRPr="00ED22D1">
        <w:rPr>
          <w:lang w:val="fr-CA"/>
        </w:rPr>
        <w:t xml:space="preserve">a </w:t>
      </w:r>
      <w:r w:rsidR="002B7FD8" w:rsidRPr="00ED22D1">
        <w:rPr>
          <w:lang w:val="fr-CA"/>
        </w:rPr>
        <w:t>expliqué</w:t>
      </w:r>
      <w:r w:rsidR="0085675A" w:rsidRPr="00ED22D1">
        <w:rPr>
          <w:lang w:val="fr-CA"/>
        </w:rPr>
        <w:t xml:space="preserve"> </w:t>
      </w:r>
      <w:r w:rsidR="002F108D" w:rsidRPr="00ED22D1">
        <w:rPr>
          <w:lang w:val="fr-CA"/>
        </w:rPr>
        <w:t>que la collecte des</w:t>
      </w:r>
      <w:r w:rsidR="00B03403" w:rsidRPr="00ED22D1">
        <w:rPr>
          <w:lang w:val="fr-CA"/>
        </w:rPr>
        <w:t> </w:t>
      </w:r>
      <w:r w:rsidR="002F108D" w:rsidRPr="00ED22D1">
        <w:rPr>
          <w:lang w:val="fr-CA"/>
        </w:rPr>
        <w:t xml:space="preserve">données et la </w:t>
      </w:r>
      <w:r w:rsidR="00921BDE" w:rsidRPr="00ED22D1">
        <w:rPr>
          <w:lang w:val="fr-CA"/>
        </w:rPr>
        <w:t>vérification</w:t>
      </w:r>
      <w:r w:rsidR="0085675A" w:rsidRPr="00ED22D1">
        <w:rPr>
          <w:lang w:val="fr-CA"/>
        </w:rPr>
        <w:t xml:space="preserve"> </w:t>
      </w:r>
      <w:r w:rsidR="002F108D" w:rsidRPr="00ED22D1">
        <w:rPr>
          <w:lang w:val="fr-CA"/>
        </w:rPr>
        <w:t>de la production</w:t>
      </w:r>
      <w:r w:rsidR="0085675A" w:rsidRPr="00ED22D1">
        <w:rPr>
          <w:lang w:val="fr-CA"/>
        </w:rPr>
        <w:t xml:space="preserve">, </w:t>
      </w:r>
      <w:r w:rsidR="002F108D" w:rsidRPr="00ED22D1">
        <w:rPr>
          <w:lang w:val="fr-CA"/>
        </w:rPr>
        <w:t xml:space="preserve">la </w:t>
      </w:r>
      <w:r w:rsidR="00181884" w:rsidRPr="00ED22D1">
        <w:rPr>
          <w:lang w:val="fr-CA"/>
        </w:rPr>
        <w:t>consommation</w:t>
      </w:r>
      <w:r w:rsidR="0085675A" w:rsidRPr="00ED22D1">
        <w:rPr>
          <w:lang w:val="fr-CA"/>
        </w:rPr>
        <w:t xml:space="preserve">, </w:t>
      </w:r>
      <w:r w:rsidR="002F108D" w:rsidRPr="00ED22D1">
        <w:rPr>
          <w:lang w:val="fr-CA"/>
        </w:rPr>
        <w:t>l’importation et l’exportation de HCFC se faisait actuellement et que les chiffres sur l</w:t>
      </w:r>
      <w:r w:rsidR="00733306" w:rsidRPr="00ED22D1">
        <w:rPr>
          <w:lang w:val="fr-CA"/>
        </w:rPr>
        <w:t xml:space="preserve">a </w:t>
      </w:r>
      <w:r w:rsidR="00921BDE" w:rsidRPr="00ED22D1">
        <w:rPr>
          <w:lang w:val="fr-CA"/>
        </w:rPr>
        <w:t>consommation de HCFC</w:t>
      </w:r>
      <w:r w:rsidR="0085675A" w:rsidRPr="00ED22D1">
        <w:rPr>
          <w:lang w:val="fr-CA"/>
        </w:rPr>
        <w:t xml:space="preserve"> </w:t>
      </w:r>
      <w:r w:rsidR="00B03403" w:rsidRPr="00ED22D1">
        <w:rPr>
          <w:lang w:val="fr-CA"/>
        </w:rPr>
        <w:t xml:space="preserve">ne </w:t>
      </w:r>
      <w:r w:rsidR="002F108D" w:rsidRPr="00ED22D1">
        <w:rPr>
          <w:lang w:val="fr-CA"/>
        </w:rPr>
        <w:t xml:space="preserve">seraient disponibles </w:t>
      </w:r>
      <w:r w:rsidR="00B03403" w:rsidRPr="00ED22D1">
        <w:rPr>
          <w:lang w:val="fr-CA"/>
        </w:rPr>
        <w:t>qu’</w:t>
      </w:r>
      <w:r w:rsidR="002F108D" w:rsidRPr="00ED22D1">
        <w:rPr>
          <w:lang w:val="fr-CA"/>
        </w:rPr>
        <w:t>en</w:t>
      </w:r>
      <w:r w:rsidR="00B03403" w:rsidRPr="00ED22D1">
        <w:rPr>
          <w:lang w:val="fr-CA"/>
        </w:rPr>
        <w:t> </w:t>
      </w:r>
      <w:r w:rsidR="00921BDE" w:rsidRPr="00ED22D1">
        <w:rPr>
          <w:lang w:val="fr-CA"/>
        </w:rPr>
        <w:t>septembre</w:t>
      </w:r>
      <w:r w:rsidR="0085675A" w:rsidRPr="00ED22D1">
        <w:rPr>
          <w:lang w:val="fr-CA"/>
        </w:rPr>
        <w:t xml:space="preserve"> 201</w:t>
      </w:r>
      <w:r w:rsidR="004A6828" w:rsidRPr="00ED22D1">
        <w:rPr>
          <w:lang w:val="fr-CA"/>
        </w:rPr>
        <w:t>9</w:t>
      </w:r>
      <w:r w:rsidR="002F108D" w:rsidRPr="00ED22D1">
        <w:rPr>
          <w:lang w:val="fr-CA"/>
        </w:rPr>
        <w:t>.</w:t>
      </w:r>
      <w:r w:rsidR="0085675A" w:rsidRPr="00ED22D1">
        <w:rPr>
          <w:lang w:val="fr-CA"/>
        </w:rPr>
        <w:t xml:space="preserve"> </w:t>
      </w:r>
      <w:r w:rsidR="002F108D" w:rsidRPr="00ED22D1">
        <w:rPr>
          <w:lang w:val="fr-CA"/>
        </w:rPr>
        <w:t xml:space="preserve">Il est donc difficile pour le </w:t>
      </w:r>
      <w:r w:rsidR="00903152" w:rsidRPr="00ED22D1">
        <w:rPr>
          <w:lang w:val="fr-CA"/>
        </w:rPr>
        <w:t xml:space="preserve">gouvernement </w:t>
      </w:r>
      <w:r w:rsidR="002F108D" w:rsidRPr="00ED22D1">
        <w:rPr>
          <w:lang w:val="fr-CA"/>
        </w:rPr>
        <w:t>de fournir une estimation de</w:t>
      </w:r>
      <w:r w:rsidR="0085675A" w:rsidRPr="00ED22D1">
        <w:rPr>
          <w:lang w:val="fr-CA"/>
        </w:rPr>
        <w:t xml:space="preserve"> </w:t>
      </w:r>
      <w:r w:rsidR="00AD0203" w:rsidRPr="00ED22D1">
        <w:rPr>
          <w:lang w:val="fr-CA"/>
        </w:rPr>
        <w:t>la</w:t>
      </w:r>
      <w:r w:rsidR="00B03403" w:rsidRPr="00ED22D1">
        <w:rPr>
          <w:lang w:val="fr-CA"/>
        </w:rPr>
        <w:t> </w:t>
      </w:r>
      <w:r w:rsidR="00AD0203" w:rsidRPr="00ED22D1">
        <w:rPr>
          <w:lang w:val="fr-CA"/>
        </w:rPr>
        <w:t>consommation</w:t>
      </w:r>
      <w:r w:rsidR="00921BDE" w:rsidRPr="00ED22D1">
        <w:rPr>
          <w:lang w:val="fr-CA"/>
        </w:rPr>
        <w:t xml:space="preserve"> de HCFC</w:t>
      </w:r>
      <w:r w:rsidR="0085675A" w:rsidRPr="00ED22D1">
        <w:rPr>
          <w:lang w:val="fr-CA"/>
        </w:rPr>
        <w:t xml:space="preserve"> </w:t>
      </w:r>
      <w:r w:rsidR="002F108D" w:rsidRPr="00ED22D1">
        <w:rPr>
          <w:lang w:val="fr-CA"/>
        </w:rPr>
        <w:t>à ce moment</w:t>
      </w:r>
      <w:r w:rsidR="0031390F" w:rsidRPr="00ED22D1">
        <w:rPr>
          <w:lang w:val="fr-CA"/>
        </w:rPr>
        <w:t>. Le</w:t>
      </w:r>
      <w:r w:rsidR="00DD185D" w:rsidRPr="00ED22D1">
        <w:rPr>
          <w:lang w:val="fr-CA"/>
        </w:rPr>
        <w:t xml:space="preserve"> Secrétariat</w:t>
      </w:r>
      <w:r w:rsidR="0085675A" w:rsidRPr="00ED22D1">
        <w:rPr>
          <w:lang w:val="fr-CA"/>
        </w:rPr>
        <w:t xml:space="preserve"> </w:t>
      </w:r>
      <w:r w:rsidR="002F108D" w:rsidRPr="00ED22D1">
        <w:rPr>
          <w:lang w:val="fr-CA"/>
        </w:rPr>
        <w:t xml:space="preserve">souligne que la demande pour la tranche actuelle était initialement prévue </w:t>
      </w:r>
      <w:r w:rsidR="0052712E" w:rsidRPr="00ED22D1">
        <w:rPr>
          <w:lang w:val="fr-CA"/>
        </w:rPr>
        <w:t>en 20</w:t>
      </w:r>
      <w:r w:rsidR="0085675A" w:rsidRPr="00ED22D1">
        <w:rPr>
          <w:lang w:val="fr-CA"/>
        </w:rPr>
        <w:t>1</w:t>
      </w:r>
      <w:r w:rsidR="004A6828" w:rsidRPr="00ED22D1">
        <w:rPr>
          <w:lang w:val="fr-CA"/>
        </w:rPr>
        <w:t>8</w:t>
      </w:r>
      <w:r w:rsidR="002F108D" w:rsidRPr="00ED22D1">
        <w:rPr>
          <w:lang w:val="fr-CA"/>
        </w:rPr>
        <w:t>,</w:t>
      </w:r>
      <w:r w:rsidR="004A6828" w:rsidRPr="00ED22D1">
        <w:rPr>
          <w:lang w:val="fr-CA"/>
        </w:rPr>
        <w:t> </w:t>
      </w:r>
      <w:r w:rsidR="002F108D" w:rsidRPr="00ED22D1">
        <w:rPr>
          <w:lang w:val="fr-CA"/>
        </w:rPr>
        <w:t xml:space="preserve">pour laquelle l’objectif de consommation de </w:t>
      </w:r>
      <w:r w:rsidR="0085675A" w:rsidRPr="00ED22D1">
        <w:rPr>
          <w:lang w:val="fr-CA"/>
        </w:rPr>
        <w:t xml:space="preserve">2017 </w:t>
      </w:r>
      <w:r w:rsidR="002F108D" w:rsidRPr="00ED22D1">
        <w:rPr>
          <w:lang w:val="fr-CA"/>
        </w:rPr>
        <w:t>était accompli</w:t>
      </w:r>
      <w:r w:rsidR="00C420BC" w:rsidRPr="00ED22D1">
        <w:rPr>
          <w:lang w:val="fr-CA"/>
        </w:rPr>
        <w:t>. L’</w:t>
      </w:r>
      <w:r w:rsidR="002F108D" w:rsidRPr="00ED22D1">
        <w:rPr>
          <w:lang w:val="fr-CA"/>
        </w:rPr>
        <w:t xml:space="preserve">achèvement de l’objectif de consommation de </w:t>
      </w:r>
      <w:r w:rsidR="0085675A" w:rsidRPr="00ED22D1">
        <w:rPr>
          <w:lang w:val="fr-CA"/>
        </w:rPr>
        <w:t xml:space="preserve">2018 </w:t>
      </w:r>
      <w:r w:rsidR="002F108D" w:rsidRPr="00ED22D1">
        <w:rPr>
          <w:lang w:val="fr-CA"/>
        </w:rPr>
        <w:t xml:space="preserve">serait une condition préalable à la </w:t>
      </w:r>
      <w:r w:rsidR="00E97BAC" w:rsidRPr="00ED22D1">
        <w:rPr>
          <w:lang w:val="fr-CA"/>
        </w:rPr>
        <w:t xml:space="preserve">divulgation </w:t>
      </w:r>
      <w:r w:rsidR="002F108D" w:rsidRPr="00ED22D1">
        <w:rPr>
          <w:lang w:val="fr-CA"/>
        </w:rPr>
        <w:t>de la</w:t>
      </w:r>
      <w:r w:rsidR="00B03403" w:rsidRPr="00ED22D1">
        <w:rPr>
          <w:lang w:val="fr-CA"/>
        </w:rPr>
        <w:t> </w:t>
      </w:r>
      <w:r w:rsidR="00FB46BE" w:rsidRPr="00ED22D1">
        <w:rPr>
          <w:lang w:val="fr-CA"/>
        </w:rPr>
        <w:t>quatrième</w:t>
      </w:r>
      <w:r w:rsidR="0085675A" w:rsidRPr="00ED22D1">
        <w:rPr>
          <w:lang w:val="fr-CA"/>
        </w:rPr>
        <w:t xml:space="preserve"> tranche </w:t>
      </w:r>
      <w:r w:rsidR="00733306" w:rsidRPr="00ED22D1">
        <w:rPr>
          <w:lang w:val="fr-CA"/>
        </w:rPr>
        <w:t xml:space="preserve">à la </w:t>
      </w:r>
      <w:r w:rsidR="00E97BAC" w:rsidRPr="00ED22D1">
        <w:rPr>
          <w:lang w:val="fr-CA"/>
        </w:rPr>
        <w:t>8</w:t>
      </w:r>
      <w:r w:rsidR="0085675A" w:rsidRPr="00ED22D1">
        <w:rPr>
          <w:lang w:val="fr-CA"/>
        </w:rPr>
        <w:t>4</w:t>
      </w:r>
      <w:r w:rsidR="00E97BAC" w:rsidRPr="00ED22D1">
        <w:rPr>
          <w:vertAlign w:val="superscript"/>
          <w:lang w:val="fr-CA"/>
        </w:rPr>
        <w:t>e</w:t>
      </w:r>
      <w:r w:rsidR="00E97BAC" w:rsidRPr="00ED22D1">
        <w:rPr>
          <w:lang w:val="fr-CA"/>
        </w:rPr>
        <w:t xml:space="preserve"> réunion</w:t>
      </w:r>
      <w:r w:rsidR="0085675A" w:rsidRPr="00ED22D1">
        <w:rPr>
          <w:lang w:val="fr-CA"/>
        </w:rPr>
        <w:t xml:space="preserve">, </w:t>
      </w:r>
      <w:r w:rsidR="00E97BAC" w:rsidRPr="00ED22D1">
        <w:rPr>
          <w:lang w:val="fr-CA"/>
        </w:rPr>
        <w:t xml:space="preserve">selon le calendrier d’allocation de la </w:t>
      </w:r>
      <w:r w:rsidR="0085675A" w:rsidRPr="00ED22D1">
        <w:rPr>
          <w:lang w:val="fr-CA"/>
        </w:rPr>
        <w:t xml:space="preserve">tranche. </w:t>
      </w:r>
    </w:p>
    <w:p w:rsidR="0085675A" w:rsidRPr="00ED22D1" w:rsidRDefault="00D50B9A" w:rsidP="0085675A">
      <w:pPr>
        <w:pStyle w:val="Heading1"/>
        <w:numPr>
          <w:ilvl w:val="0"/>
          <w:numId w:val="0"/>
        </w:numPr>
        <w:rPr>
          <w:u w:val="single"/>
          <w:lang w:val="fr-CA"/>
        </w:rPr>
      </w:pPr>
      <w:r w:rsidRPr="00ED22D1">
        <w:rPr>
          <w:u w:val="single"/>
          <w:lang w:val="fr-CA"/>
        </w:rPr>
        <w:t>État d’achèvement</w:t>
      </w:r>
    </w:p>
    <w:p w:rsidR="0085675A" w:rsidRPr="00ED22D1" w:rsidRDefault="002D2C0B" w:rsidP="002D2C0B">
      <w:pPr>
        <w:pStyle w:val="Heading1"/>
        <w:numPr>
          <w:ilvl w:val="0"/>
          <w:numId w:val="0"/>
        </w:numPr>
        <w:rPr>
          <w:lang w:val="fr-CA"/>
        </w:rPr>
      </w:pPr>
      <w:r w:rsidRPr="00ED22D1">
        <w:rPr>
          <w:lang w:val="fr-CA"/>
        </w:rPr>
        <w:t>68.</w:t>
      </w:r>
      <w:r w:rsidRPr="00ED22D1">
        <w:rPr>
          <w:lang w:val="fr-CA"/>
        </w:rPr>
        <w:tab/>
      </w:r>
      <w:r w:rsidR="00E71388" w:rsidRPr="00ED22D1">
        <w:rPr>
          <w:lang w:val="fr-CA"/>
        </w:rPr>
        <w:t>Le Secré</w:t>
      </w:r>
      <w:r w:rsidR="00DD185D" w:rsidRPr="00ED22D1">
        <w:rPr>
          <w:lang w:val="fr-CA"/>
        </w:rPr>
        <w:t>tariat</w:t>
      </w:r>
      <w:r w:rsidR="0085675A" w:rsidRPr="00ED22D1">
        <w:rPr>
          <w:lang w:val="fr-CA"/>
        </w:rPr>
        <w:t xml:space="preserve"> </w:t>
      </w:r>
      <w:r w:rsidR="00D50B9A" w:rsidRPr="00ED22D1">
        <w:rPr>
          <w:lang w:val="fr-CA"/>
        </w:rPr>
        <w:t xml:space="preserve">a pris note des </w:t>
      </w:r>
      <w:r w:rsidR="0085675A" w:rsidRPr="00ED22D1">
        <w:rPr>
          <w:lang w:val="fr-CA"/>
        </w:rPr>
        <w:t>efforts</w:t>
      </w:r>
      <w:r w:rsidR="00DE118B" w:rsidRPr="00ED22D1">
        <w:rPr>
          <w:lang w:val="fr-CA"/>
        </w:rPr>
        <w:t xml:space="preserve"> </w:t>
      </w:r>
      <w:r w:rsidR="00D50B9A" w:rsidRPr="00ED22D1">
        <w:rPr>
          <w:lang w:val="fr-CA"/>
        </w:rPr>
        <w:t>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50B9A" w:rsidRPr="00ED22D1">
        <w:rPr>
          <w:lang w:val="fr-CA"/>
        </w:rPr>
        <w:t>des</w:t>
      </w:r>
      <w:r w:rsidR="0085675A" w:rsidRPr="00ED22D1">
        <w:rPr>
          <w:lang w:val="fr-CA"/>
        </w:rPr>
        <w:t xml:space="preserve"> </w:t>
      </w:r>
      <w:r w:rsidR="00B53D8B" w:rsidRPr="00ED22D1">
        <w:rPr>
          <w:lang w:val="fr-CA"/>
        </w:rPr>
        <w:t>agences d’exécution</w:t>
      </w:r>
      <w:r w:rsidR="0085675A" w:rsidRPr="00ED22D1">
        <w:rPr>
          <w:lang w:val="fr-CA"/>
        </w:rPr>
        <w:t xml:space="preserve"> </w:t>
      </w:r>
      <w:r w:rsidR="00D50B9A" w:rsidRPr="00ED22D1">
        <w:rPr>
          <w:lang w:val="fr-CA"/>
        </w:rPr>
        <w:t xml:space="preserve">envers l’initiation des dix </w:t>
      </w:r>
      <w:r w:rsidR="00181884" w:rsidRPr="00ED22D1">
        <w:rPr>
          <w:lang w:val="fr-CA"/>
        </w:rPr>
        <w:t>première</w:t>
      </w:r>
      <w:r w:rsidR="00D50B9A" w:rsidRPr="00ED22D1">
        <w:rPr>
          <w:lang w:val="fr-CA"/>
        </w:rPr>
        <w:t>s</w:t>
      </w:r>
      <w:r w:rsidR="00921BDE" w:rsidRPr="00ED22D1">
        <w:rPr>
          <w:lang w:val="fr-CA"/>
        </w:rPr>
        <w:t xml:space="preserve"> </w:t>
      </w:r>
      <w:r w:rsidR="00FB1DC4" w:rsidRPr="00ED22D1">
        <w:rPr>
          <w:lang w:val="fr-CA"/>
        </w:rPr>
        <w:t>reconversion</w:t>
      </w:r>
      <w:r w:rsidR="0085675A" w:rsidRPr="00ED22D1">
        <w:rPr>
          <w:lang w:val="fr-CA"/>
        </w:rPr>
        <w:t>s (245</w:t>
      </w:r>
      <w:r w:rsidR="0052712E" w:rsidRPr="00ED22D1">
        <w:rPr>
          <w:lang w:val="fr-CA"/>
        </w:rPr>
        <w:t xml:space="preserve"> tonnes PAO)</w:t>
      </w:r>
      <w:r w:rsidR="0085675A" w:rsidRPr="00ED22D1">
        <w:rPr>
          <w:lang w:val="fr-CA"/>
        </w:rPr>
        <w:t xml:space="preserve">, </w:t>
      </w:r>
      <w:r w:rsidR="00D50B9A" w:rsidRPr="00ED22D1">
        <w:rPr>
          <w:lang w:val="fr-CA"/>
        </w:rPr>
        <w:t xml:space="preserve">ainsi que du </w:t>
      </w:r>
      <w:r w:rsidR="00502C24" w:rsidRPr="00ED22D1">
        <w:rPr>
          <w:lang w:val="fr-CA"/>
        </w:rPr>
        <w:t xml:space="preserve">plan </w:t>
      </w:r>
      <w:r w:rsidR="00D50B9A" w:rsidRPr="00ED22D1">
        <w:rPr>
          <w:lang w:val="fr-CA"/>
        </w:rPr>
        <w:t xml:space="preserve">de reconversion de </w:t>
      </w:r>
      <w:r w:rsidR="00874624" w:rsidRPr="00ED22D1">
        <w:rPr>
          <w:lang w:val="fr-CA"/>
        </w:rPr>
        <w:t xml:space="preserve">deux </w:t>
      </w:r>
      <w:r w:rsidR="00D50B9A" w:rsidRPr="00ED22D1">
        <w:rPr>
          <w:lang w:val="fr-CA"/>
        </w:rPr>
        <w:t>à</w:t>
      </w:r>
      <w:r w:rsidR="0085675A" w:rsidRPr="00ED22D1">
        <w:rPr>
          <w:lang w:val="fr-CA"/>
        </w:rPr>
        <w:t xml:space="preserve"> six </w:t>
      </w:r>
      <w:r w:rsidR="00D50B9A" w:rsidRPr="00ED22D1">
        <w:rPr>
          <w:lang w:val="fr-CA"/>
        </w:rPr>
        <w:t>entreprises supplémentaires dans le cadre de la</w:t>
      </w:r>
      <w:r w:rsidR="00874624" w:rsidRPr="00ED22D1">
        <w:rPr>
          <w:lang w:val="fr-CA"/>
        </w:rPr>
        <w:t xml:space="preserve"> troisième</w:t>
      </w:r>
      <w:r w:rsidR="0085675A" w:rsidRPr="00ED22D1">
        <w:rPr>
          <w:lang w:val="fr-CA"/>
        </w:rPr>
        <w:t xml:space="preserve"> tranche (estim</w:t>
      </w:r>
      <w:r w:rsidR="00D50B9A" w:rsidRPr="00ED22D1">
        <w:rPr>
          <w:lang w:val="fr-CA"/>
        </w:rPr>
        <w:t xml:space="preserve">ation de </w:t>
      </w:r>
      <w:r w:rsidR="0085675A" w:rsidRPr="00ED22D1">
        <w:rPr>
          <w:lang w:val="fr-CA"/>
        </w:rPr>
        <w:t>70</w:t>
      </w:r>
      <w:r w:rsidR="00B03403" w:rsidRPr="00ED22D1">
        <w:rPr>
          <w:lang w:val="fr-CA"/>
        </w:rPr>
        <w:t> </w:t>
      </w:r>
      <w:r w:rsidR="0052712E" w:rsidRPr="00ED22D1">
        <w:rPr>
          <w:lang w:val="fr-CA"/>
        </w:rPr>
        <w:t>tonnes</w:t>
      </w:r>
      <w:r w:rsidR="00B03403" w:rsidRPr="00ED22D1">
        <w:rPr>
          <w:lang w:val="fr-CA"/>
        </w:rPr>
        <w:t> </w:t>
      </w:r>
      <w:r w:rsidR="0052712E" w:rsidRPr="00ED22D1">
        <w:rPr>
          <w:lang w:val="fr-CA"/>
        </w:rPr>
        <w:t>PAO)</w:t>
      </w:r>
      <w:r w:rsidR="0031390F" w:rsidRPr="00ED22D1">
        <w:rPr>
          <w:lang w:val="fr-CA"/>
        </w:rPr>
        <w:t>. Le</w:t>
      </w:r>
      <w:r w:rsidR="00D50B9A" w:rsidRPr="00ED22D1">
        <w:rPr>
          <w:lang w:val="fr-CA"/>
        </w:rPr>
        <w:t xml:space="preserve">s réductions de </w:t>
      </w:r>
      <w:r w:rsidR="0085675A" w:rsidRPr="00ED22D1">
        <w:rPr>
          <w:lang w:val="fr-CA"/>
        </w:rPr>
        <w:t xml:space="preserve">HCFC </w:t>
      </w:r>
      <w:r w:rsidR="00D50B9A" w:rsidRPr="00ED22D1">
        <w:rPr>
          <w:lang w:val="fr-CA"/>
        </w:rPr>
        <w:t xml:space="preserve">obtenues par tous </w:t>
      </w:r>
      <w:r w:rsidR="00BB7CCB" w:rsidRPr="00ED22D1">
        <w:rPr>
          <w:lang w:val="fr-CA"/>
        </w:rPr>
        <w:t xml:space="preserve">ces </w:t>
      </w:r>
      <w:r w:rsidR="001B45EC" w:rsidRPr="00ED22D1">
        <w:rPr>
          <w:lang w:val="fr-CA"/>
        </w:rPr>
        <w:t>projet</w:t>
      </w:r>
      <w:r w:rsidR="0085675A" w:rsidRPr="00ED22D1">
        <w:rPr>
          <w:lang w:val="fr-CA"/>
        </w:rPr>
        <w:t xml:space="preserve">s </w:t>
      </w:r>
      <w:r w:rsidR="00D50B9A" w:rsidRPr="00ED22D1">
        <w:rPr>
          <w:lang w:val="fr-CA"/>
        </w:rPr>
        <w:t xml:space="preserve">ensemble atteindraient </w:t>
      </w:r>
      <w:r w:rsidR="0085675A" w:rsidRPr="00ED22D1">
        <w:rPr>
          <w:lang w:val="fr-CA"/>
        </w:rPr>
        <w:t>315</w:t>
      </w:r>
      <w:r w:rsidR="00F96C70" w:rsidRPr="00ED22D1">
        <w:rPr>
          <w:lang w:val="fr-CA"/>
        </w:rPr>
        <w:t xml:space="preserve"> tonnes PAO</w:t>
      </w:r>
      <w:r w:rsidR="0085675A" w:rsidRPr="00ED22D1">
        <w:rPr>
          <w:lang w:val="fr-CA"/>
        </w:rPr>
        <w:t xml:space="preserve">, </w:t>
      </w:r>
      <w:r w:rsidR="00D50B9A" w:rsidRPr="00ED22D1">
        <w:rPr>
          <w:lang w:val="fr-CA"/>
        </w:rPr>
        <w:t>et aurai</w:t>
      </w:r>
      <w:r w:rsidR="00B03403" w:rsidRPr="00ED22D1">
        <w:rPr>
          <w:lang w:val="fr-CA"/>
        </w:rPr>
        <w:t>en</w:t>
      </w:r>
      <w:r w:rsidR="00D50B9A" w:rsidRPr="00ED22D1">
        <w:rPr>
          <w:lang w:val="fr-CA"/>
        </w:rPr>
        <w:t xml:space="preserve">t lieu </w:t>
      </w:r>
      <w:r w:rsidR="004A6828" w:rsidRPr="00ED22D1">
        <w:rPr>
          <w:lang w:val="fr-CA"/>
        </w:rPr>
        <w:t>entre</w:t>
      </w:r>
      <w:r w:rsidR="0085675A" w:rsidRPr="00ED22D1">
        <w:rPr>
          <w:lang w:val="fr-CA"/>
        </w:rPr>
        <w:t xml:space="preserve"> 2019</w:t>
      </w:r>
      <w:r w:rsidR="004A6828" w:rsidRPr="00ED22D1">
        <w:rPr>
          <w:lang w:val="fr-CA"/>
        </w:rPr>
        <w:t xml:space="preserve"> et </w:t>
      </w:r>
      <w:r w:rsidR="0085675A" w:rsidRPr="00ED22D1">
        <w:rPr>
          <w:lang w:val="fr-CA"/>
        </w:rPr>
        <w:t>202</w:t>
      </w:r>
      <w:r w:rsidR="004A6828" w:rsidRPr="00ED22D1">
        <w:rPr>
          <w:lang w:val="fr-CA"/>
        </w:rPr>
        <w:t>0</w:t>
      </w:r>
      <w:r w:rsidR="00D50B9A" w:rsidRPr="00ED22D1">
        <w:rPr>
          <w:lang w:val="fr-CA"/>
        </w:rPr>
        <w:t>,</w:t>
      </w:r>
      <w:r w:rsidR="0085675A" w:rsidRPr="00ED22D1">
        <w:rPr>
          <w:lang w:val="fr-CA"/>
        </w:rPr>
        <w:t xml:space="preserve"> </w:t>
      </w:r>
      <w:r w:rsidR="00D50B9A" w:rsidRPr="00ED22D1">
        <w:rPr>
          <w:lang w:val="fr-CA"/>
        </w:rPr>
        <w:t xml:space="preserve">étant donné la durée de deux ans de </w:t>
      </w:r>
      <w:r w:rsidR="00232667" w:rsidRPr="00ED22D1">
        <w:rPr>
          <w:lang w:val="fr-CA"/>
        </w:rPr>
        <w:t>chaque</w:t>
      </w:r>
      <w:r w:rsidR="00FB1DC4" w:rsidRPr="00ED22D1">
        <w:rPr>
          <w:lang w:val="fr-CA"/>
        </w:rPr>
        <w:t xml:space="preserve"> reconversion</w:t>
      </w:r>
      <w:r w:rsidR="0085675A" w:rsidRPr="00ED22D1">
        <w:rPr>
          <w:lang w:val="fr-CA"/>
        </w:rPr>
        <w:t xml:space="preserve">. </w:t>
      </w:r>
      <w:r w:rsidR="00D50B9A" w:rsidRPr="00ED22D1">
        <w:rPr>
          <w:lang w:val="fr-CA"/>
        </w:rPr>
        <w:t>Étant</w:t>
      </w:r>
      <w:r w:rsidR="00B03403" w:rsidRPr="00ED22D1">
        <w:rPr>
          <w:lang w:val="fr-CA"/>
        </w:rPr>
        <w:t> </w:t>
      </w:r>
      <w:r w:rsidR="00D50B9A" w:rsidRPr="00ED22D1">
        <w:rPr>
          <w:lang w:val="fr-CA"/>
        </w:rPr>
        <w:t xml:space="preserve">donné qu’une </w:t>
      </w:r>
      <w:r w:rsidR="00903152" w:rsidRPr="00ED22D1">
        <w:rPr>
          <w:lang w:val="fr-CA"/>
        </w:rPr>
        <w:t>réduction</w:t>
      </w:r>
      <w:r w:rsidR="0085675A" w:rsidRPr="00ED22D1">
        <w:rPr>
          <w:lang w:val="fr-CA"/>
        </w:rPr>
        <w:t xml:space="preserve"> </w:t>
      </w:r>
      <w:r w:rsidR="00D50B9A" w:rsidRPr="00ED22D1">
        <w:rPr>
          <w:lang w:val="fr-CA"/>
        </w:rPr>
        <w:t>de</w:t>
      </w:r>
      <w:r w:rsidR="0085675A" w:rsidRPr="00ED22D1">
        <w:rPr>
          <w:lang w:val="fr-CA"/>
        </w:rPr>
        <w:t xml:space="preserve"> 635</w:t>
      </w:r>
      <w:r w:rsidR="00F96C70" w:rsidRPr="00ED22D1">
        <w:rPr>
          <w:lang w:val="fr-CA"/>
        </w:rPr>
        <w:t xml:space="preserve"> tonnes PAO</w:t>
      </w:r>
      <w:r w:rsidR="00903152" w:rsidRPr="00ED22D1">
        <w:rPr>
          <w:lang w:val="fr-CA"/>
        </w:rPr>
        <w:t xml:space="preserve"> est </w:t>
      </w:r>
      <w:r w:rsidR="00D50B9A" w:rsidRPr="00ED22D1">
        <w:rPr>
          <w:lang w:val="fr-CA"/>
        </w:rPr>
        <w:t xml:space="preserve">requise </w:t>
      </w:r>
      <w:r w:rsidR="002D6976" w:rsidRPr="00ED22D1">
        <w:rPr>
          <w:lang w:val="fr-CA"/>
        </w:rPr>
        <w:t>d’ici 20</w:t>
      </w:r>
      <w:r w:rsidR="0085675A" w:rsidRPr="00ED22D1">
        <w:rPr>
          <w:lang w:val="fr-CA"/>
        </w:rPr>
        <w:t xml:space="preserve">20 </w:t>
      </w:r>
      <w:r w:rsidR="00D50B9A" w:rsidRPr="00ED22D1">
        <w:rPr>
          <w:lang w:val="fr-CA"/>
        </w:rPr>
        <w:t xml:space="preserve">selon </w:t>
      </w:r>
      <w:r w:rsidR="00CE7FEC" w:rsidRPr="00ED22D1">
        <w:rPr>
          <w:lang w:val="fr-CA"/>
        </w:rPr>
        <w:t>l’accord</w:t>
      </w:r>
      <w:r w:rsidR="0085675A" w:rsidRPr="00ED22D1">
        <w:rPr>
          <w:lang w:val="fr-CA"/>
        </w:rPr>
        <w:t>,</w:t>
      </w:r>
      <w:r w:rsidR="00DD185D" w:rsidRPr="00ED22D1">
        <w:rPr>
          <w:lang w:val="fr-CA"/>
        </w:rPr>
        <w:t xml:space="preserve"> le Secrétariat</w:t>
      </w:r>
      <w:r w:rsidR="0085675A" w:rsidRPr="00ED22D1">
        <w:rPr>
          <w:lang w:val="fr-CA"/>
        </w:rPr>
        <w:t xml:space="preserve"> </w:t>
      </w:r>
      <w:r w:rsidR="00D50B9A" w:rsidRPr="00ED22D1">
        <w:rPr>
          <w:lang w:val="fr-CA"/>
        </w:rPr>
        <w:t>a</w:t>
      </w:r>
      <w:r w:rsidR="00B03403" w:rsidRPr="00ED22D1">
        <w:rPr>
          <w:lang w:val="fr-CA"/>
        </w:rPr>
        <w:t> </w:t>
      </w:r>
      <w:r w:rsidR="00D50B9A" w:rsidRPr="00ED22D1">
        <w:rPr>
          <w:lang w:val="fr-CA"/>
        </w:rPr>
        <w:t>demandé de quelle façon ces réductions supplémentaires seraient réalisées</w:t>
      </w:r>
      <w:r w:rsidR="0085675A" w:rsidRPr="00ED22D1">
        <w:rPr>
          <w:lang w:val="fr-CA"/>
        </w:rPr>
        <w:t xml:space="preserve">.  </w:t>
      </w:r>
    </w:p>
    <w:p w:rsidR="0085675A" w:rsidRPr="00ED22D1" w:rsidRDefault="002D2C0B" w:rsidP="002D2C0B">
      <w:pPr>
        <w:pStyle w:val="Heading1"/>
        <w:numPr>
          <w:ilvl w:val="0"/>
          <w:numId w:val="0"/>
        </w:numPr>
        <w:rPr>
          <w:lang w:val="fr-CA"/>
        </w:rPr>
      </w:pPr>
      <w:r w:rsidRPr="00ED22D1">
        <w:rPr>
          <w:lang w:val="fr-CA"/>
        </w:rPr>
        <w:lastRenderedPageBreak/>
        <w:t>69.</w:t>
      </w:r>
      <w:r w:rsidRPr="00ED22D1">
        <w:rPr>
          <w:lang w:val="fr-CA"/>
        </w:rPr>
        <w:tab/>
      </w:r>
      <w:r w:rsidR="00D50B9A" w:rsidRPr="00ED22D1">
        <w:rPr>
          <w:lang w:val="fr-CA"/>
        </w:rPr>
        <w:t>L’</w:t>
      </w:r>
      <w:r w:rsidR="004A6828" w:rsidRPr="00ED22D1">
        <w:rPr>
          <w:lang w:val="fr-CA"/>
        </w:rPr>
        <w:t>ONUDI</w:t>
      </w:r>
      <w:r w:rsidR="0085675A" w:rsidRPr="00ED22D1">
        <w:rPr>
          <w:lang w:val="fr-CA"/>
        </w:rPr>
        <w:t xml:space="preserve"> </w:t>
      </w:r>
      <w:r w:rsidR="00D50B9A" w:rsidRPr="00ED22D1">
        <w:rPr>
          <w:lang w:val="fr-CA"/>
        </w:rPr>
        <w:t xml:space="preserve">a </w:t>
      </w:r>
      <w:r w:rsidR="002B7FD8" w:rsidRPr="00ED22D1">
        <w:rPr>
          <w:lang w:val="fr-CA"/>
        </w:rPr>
        <w:t>expliqué</w:t>
      </w:r>
      <w:r w:rsidR="0085675A" w:rsidRPr="00ED22D1">
        <w:rPr>
          <w:lang w:val="fr-CA"/>
        </w:rPr>
        <w:t xml:space="preserve"> </w:t>
      </w:r>
      <w:r w:rsidR="00D50B9A" w:rsidRPr="00ED22D1">
        <w:rPr>
          <w:lang w:val="fr-CA"/>
        </w:rPr>
        <w:t xml:space="preserve">que la </w:t>
      </w:r>
      <w:r w:rsidR="004A6828" w:rsidRPr="00ED22D1">
        <w:rPr>
          <w:lang w:val="fr-CA"/>
        </w:rPr>
        <w:t xml:space="preserve">phase </w:t>
      </w:r>
      <w:r w:rsidR="0085675A" w:rsidRPr="00ED22D1">
        <w:rPr>
          <w:lang w:val="fr-CA"/>
        </w:rPr>
        <w:t xml:space="preserve">II </w:t>
      </w:r>
      <w:r w:rsidR="00D50B9A" w:rsidRPr="00ED22D1">
        <w:rPr>
          <w:lang w:val="fr-CA"/>
        </w:rPr>
        <w:t xml:space="preserve">du plan du secteur des </w:t>
      </w:r>
      <w:r w:rsidR="001279D7" w:rsidRPr="00ED22D1">
        <w:rPr>
          <w:lang w:val="fr-CA"/>
        </w:rPr>
        <w:t xml:space="preserve">mousses extrudées </w:t>
      </w:r>
      <w:r w:rsidR="00921BDE" w:rsidRPr="00ED22D1">
        <w:rPr>
          <w:lang w:val="fr-CA"/>
        </w:rPr>
        <w:t>(XPS)</w:t>
      </w:r>
      <w:r w:rsidR="0085675A" w:rsidRPr="00ED22D1">
        <w:rPr>
          <w:lang w:val="fr-CA"/>
        </w:rPr>
        <w:t xml:space="preserve"> </w:t>
      </w:r>
      <w:r w:rsidR="00D50B9A" w:rsidRPr="00ED22D1">
        <w:rPr>
          <w:lang w:val="fr-CA"/>
        </w:rPr>
        <w:t xml:space="preserve">éliminerait un total de </w:t>
      </w:r>
      <w:r w:rsidR="004A6828" w:rsidRPr="00ED22D1">
        <w:rPr>
          <w:lang w:val="fr-CA"/>
        </w:rPr>
        <w:t>2 </w:t>
      </w:r>
      <w:r w:rsidR="0085675A" w:rsidRPr="00ED22D1">
        <w:rPr>
          <w:lang w:val="fr-CA"/>
        </w:rPr>
        <w:t>286</w:t>
      </w:r>
      <w:r w:rsidR="00F96C70" w:rsidRPr="00ED22D1">
        <w:rPr>
          <w:lang w:val="fr-CA"/>
        </w:rPr>
        <w:t xml:space="preserve"> tonnes PAO</w:t>
      </w:r>
      <w:r w:rsidR="0085675A" w:rsidRPr="00ED22D1">
        <w:rPr>
          <w:lang w:val="fr-CA"/>
        </w:rPr>
        <w:t xml:space="preserve"> </w:t>
      </w:r>
      <w:r w:rsidR="00D50B9A" w:rsidRPr="00ED22D1">
        <w:rPr>
          <w:lang w:val="fr-CA"/>
        </w:rPr>
        <w:t>de</w:t>
      </w:r>
      <w:r w:rsidR="0085675A" w:rsidRPr="00ED22D1">
        <w:rPr>
          <w:lang w:val="fr-CA"/>
        </w:rPr>
        <w:t xml:space="preserve"> </w:t>
      </w:r>
      <w:r w:rsidR="00181884" w:rsidRPr="00ED22D1">
        <w:rPr>
          <w:lang w:val="fr-CA"/>
        </w:rPr>
        <w:t>HCFC</w:t>
      </w:r>
      <w:r w:rsidR="0085675A" w:rsidRPr="00ED22D1">
        <w:rPr>
          <w:lang w:val="fr-CA"/>
        </w:rPr>
        <w:t xml:space="preserve"> no</w:t>
      </w:r>
      <w:r w:rsidR="00D50B9A" w:rsidRPr="00ED22D1">
        <w:rPr>
          <w:lang w:val="fr-CA"/>
        </w:rPr>
        <w:t>n</w:t>
      </w:r>
      <w:r w:rsidR="00A250FD" w:rsidRPr="00ED22D1">
        <w:rPr>
          <w:lang w:val="fr-CA"/>
        </w:rPr>
        <w:t xml:space="preserve"> seulement</w:t>
      </w:r>
      <w:r w:rsidR="0085675A" w:rsidRPr="00ED22D1">
        <w:rPr>
          <w:lang w:val="fr-CA"/>
        </w:rPr>
        <w:t xml:space="preserve"> </w:t>
      </w:r>
      <w:r w:rsidR="00D50B9A" w:rsidRPr="00ED22D1">
        <w:rPr>
          <w:lang w:val="fr-CA"/>
        </w:rPr>
        <w:t xml:space="preserve">à partir de la </w:t>
      </w:r>
      <w:r w:rsidR="00FB1DC4" w:rsidRPr="00ED22D1">
        <w:rPr>
          <w:lang w:val="fr-CA"/>
        </w:rPr>
        <w:t>reconversion</w:t>
      </w:r>
      <w:r w:rsidR="0085675A" w:rsidRPr="00ED22D1">
        <w:rPr>
          <w:lang w:val="fr-CA"/>
        </w:rPr>
        <w:t xml:space="preserve"> </w:t>
      </w:r>
      <w:r w:rsidR="00D50B9A" w:rsidRPr="00ED22D1">
        <w:rPr>
          <w:lang w:val="fr-CA"/>
        </w:rPr>
        <w:t>des</w:t>
      </w:r>
      <w:r w:rsidR="0085675A" w:rsidRPr="00ED22D1">
        <w:rPr>
          <w:lang w:val="fr-CA"/>
        </w:rPr>
        <w:t xml:space="preserve"> </w:t>
      </w:r>
      <w:r w:rsidR="00D50B9A" w:rsidRPr="00ED22D1">
        <w:rPr>
          <w:lang w:val="fr-CA"/>
        </w:rPr>
        <w:t>entreprises admissibles</w:t>
      </w:r>
      <w:r w:rsidR="0085675A" w:rsidRPr="00ED22D1">
        <w:rPr>
          <w:lang w:val="fr-CA"/>
        </w:rPr>
        <w:t xml:space="preserve">, </w:t>
      </w:r>
      <w:r w:rsidR="00D50B9A" w:rsidRPr="00ED22D1">
        <w:rPr>
          <w:lang w:val="fr-CA"/>
        </w:rPr>
        <w:t xml:space="preserve">mais aussi à </w:t>
      </w:r>
      <w:r w:rsidR="00802F71" w:rsidRPr="00ED22D1">
        <w:rPr>
          <w:lang w:val="fr-CA"/>
        </w:rPr>
        <w:t>partir</w:t>
      </w:r>
      <w:r w:rsidR="00D50B9A" w:rsidRPr="00ED22D1">
        <w:rPr>
          <w:lang w:val="fr-CA"/>
        </w:rPr>
        <w:t xml:space="preserve"> de la reconversion </w:t>
      </w:r>
      <w:r w:rsidR="00802F71" w:rsidRPr="00ED22D1">
        <w:rPr>
          <w:lang w:val="fr-CA"/>
        </w:rPr>
        <w:t>autofinancée</w:t>
      </w:r>
      <w:r w:rsidR="00D50B9A" w:rsidRPr="00ED22D1">
        <w:rPr>
          <w:lang w:val="fr-CA"/>
        </w:rPr>
        <w:t xml:space="preserve"> des entreprises non admissibles</w:t>
      </w:r>
      <w:r w:rsidR="0085675A" w:rsidRPr="00ED22D1">
        <w:rPr>
          <w:lang w:val="fr-CA"/>
        </w:rPr>
        <w:t xml:space="preserve">. </w:t>
      </w:r>
      <w:r w:rsidR="00D50B9A" w:rsidRPr="00ED22D1">
        <w:rPr>
          <w:lang w:val="fr-CA"/>
        </w:rPr>
        <w:t>Cette </w:t>
      </w:r>
      <w:r w:rsidR="00903152" w:rsidRPr="00ED22D1">
        <w:rPr>
          <w:lang w:val="fr-CA"/>
        </w:rPr>
        <w:t>réduction</w:t>
      </w:r>
      <w:r w:rsidR="0085675A" w:rsidRPr="00ED22D1">
        <w:rPr>
          <w:lang w:val="fr-CA"/>
        </w:rPr>
        <w:t xml:space="preserve"> </w:t>
      </w:r>
      <w:r w:rsidR="00D50B9A" w:rsidRPr="00ED22D1">
        <w:rPr>
          <w:lang w:val="fr-CA"/>
        </w:rPr>
        <w:t xml:space="preserve">sera soutenue par des </w:t>
      </w:r>
      <w:r w:rsidR="004B666A" w:rsidRPr="00ED22D1">
        <w:rPr>
          <w:lang w:val="fr-CA"/>
        </w:rPr>
        <w:t xml:space="preserve">activités d’assistance technique </w:t>
      </w:r>
      <w:r w:rsidR="00D50B9A" w:rsidRPr="00ED22D1">
        <w:rPr>
          <w:lang w:val="fr-CA"/>
        </w:rPr>
        <w:t>qui viendront renforce</w:t>
      </w:r>
      <w:r w:rsidR="00B03403" w:rsidRPr="00ED22D1">
        <w:rPr>
          <w:lang w:val="fr-CA"/>
        </w:rPr>
        <w:t>r</w:t>
      </w:r>
      <w:r w:rsidR="00D50B9A" w:rsidRPr="00ED22D1">
        <w:rPr>
          <w:lang w:val="fr-CA"/>
        </w:rPr>
        <w:t xml:space="preserve"> la capacité technique de l’industrie</w:t>
      </w:r>
      <w:r w:rsidR="004A6828" w:rsidRPr="00ED22D1">
        <w:rPr>
          <w:lang w:val="fr-CA"/>
        </w:rPr>
        <w:t xml:space="preserve"> et </w:t>
      </w:r>
      <w:r w:rsidR="00D50B9A" w:rsidRPr="00ED22D1">
        <w:rPr>
          <w:lang w:val="fr-CA"/>
        </w:rPr>
        <w:t>faciliter l’</w:t>
      </w:r>
      <w:r w:rsidR="0085675A" w:rsidRPr="00ED22D1">
        <w:rPr>
          <w:lang w:val="fr-CA"/>
        </w:rPr>
        <w:t xml:space="preserve">adoption </w:t>
      </w:r>
      <w:r w:rsidR="00D50B9A" w:rsidRPr="00ED22D1">
        <w:rPr>
          <w:lang w:val="fr-CA"/>
        </w:rPr>
        <w:t>de solutions de remplacement à faible potentiel de</w:t>
      </w:r>
      <w:r w:rsidR="00B03403" w:rsidRPr="00ED22D1">
        <w:rPr>
          <w:lang w:val="fr-CA"/>
        </w:rPr>
        <w:t> </w:t>
      </w:r>
      <w:r w:rsidR="00D50B9A" w:rsidRPr="00ED22D1">
        <w:rPr>
          <w:lang w:val="fr-CA"/>
        </w:rPr>
        <w:t>réchauffement de la planète</w:t>
      </w:r>
      <w:r w:rsidR="0085675A" w:rsidRPr="00ED22D1">
        <w:rPr>
          <w:lang w:val="fr-CA"/>
        </w:rPr>
        <w:t xml:space="preserve">. </w:t>
      </w:r>
      <w:r w:rsidR="00D50B9A" w:rsidRPr="00ED22D1">
        <w:rPr>
          <w:lang w:val="fr-CA"/>
        </w:rPr>
        <w:t>De même, les interventions en matière de politique et de réglementation</w:t>
      </w:r>
      <w:r w:rsidR="0085675A" w:rsidRPr="00ED22D1">
        <w:rPr>
          <w:lang w:val="fr-CA"/>
        </w:rPr>
        <w:t xml:space="preserve">, </w:t>
      </w:r>
      <w:r w:rsidR="004B666A" w:rsidRPr="00ED22D1">
        <w:rPr>
          <w:lang w:val="fr-CA"/>
        </w:rPr>
        <w:t>y</w:t>
      </w:r>
      <w:r w:rsidR="00D50B9A" w:rsidRPr="00ED22D1">
        <w:rPr>
          <w:lang w:val="fr-CA"/>
        </w:rPr>
        <w:t> </w:t>
      </w:r>
      <w:r w:rsidR="004B666A" w:rsidRPr="00ED22D1">
        <w:rPr>
          <w:lang w:val="fr-CA"/>
        </w:rPr>
        <w:t>compris</w:t>
      </w:r>
      <w:r w:rsidR="0085675A" w:rsidRPr="00ED22D1">
        <w:rPr>
          <w:lang w:val="fr-CA"/>
        </w:rPr>
        <w:t xml:space="preserve"> </w:t>
      </w:r>
      <w:r w:rsidR="00D50B9A" w:rsidRPr="00ED22D1">
        <w:rPr>
          <w:lang w:val="fr-CA"/>
        </w:rPr>
        <w:t xml:space="preserve">les contingents de production </w:t>
      </w:r>
      <w:r w:rsidR="008D5B5F" w:rsidRPr="00ED22D1">
        <w:rPr>
          <w:lang w:val="fr-CA"/>
        </w:rPr>
        <w:t>de HCFC</w:t>
      </w:r>
      <w:r w:rsidR="0085675A" w:rsidRPr="00ED22D1">
        <w:rPr>
          <w:lang w:val="fr-CA"/>
        </w:rPr>
        <w:t xml:space="preserve"> </w:t>
      </w:r>
      <w:r w:rsidR="004A6828" w:rsidRPr="00ED22D1">
        <w:rPr>
          <w:lang w:val="fr-CA"/>
        </w:rPr>
        <w:t xml:space="preserve">et </w:t>
      </w:r>
      <w:r w:rsidR="00D50B9A" w:rsidRPr="00ED22D1">
        <w:rPr>
          <w:lang w:val="fr-CA"/>
        </w:rPr>
        <w:t xml:space="preserve">des ventes domestiques attribués à </w:t>
      </w:r>
      <w:r w:rsidR="00232667" w:rsidRPr="00ED22D1">
        <w:rPr>
          <w:lang w:val="fr-CA"/>
        </w:rPr>
        <w:t>chaque</w:t>
      </w:r>
      <w:r w:rsidR="0085675A" w:rsidRPr="00ED22D1">
        <w:rPr>
          <w:lang w:val="fr-CA"/>
        </w:rPr>
        <w:t xml:space="preserve"> produc</w:t>
      </w:r>
      <w:r w:rsidR="00D50B9A" w:rsidRPr="00ED22D1">
        <w:rPr>
          <w:lang w:val="fr-CA"/>
        </w:rPr>
        <w:t>teur</w:t>
      </w:r>
      <w:r w:rsidR="0085675A" w:rsidRPr="00ED22D1">
        <w:rPr>
          <w:lang w:val="fr-CA"/>
        </w:rPr>
        <w:t xml:space="preserve">, </w:t>
      </w:r>
      <w:r w:rsidR="00D50B9A" w:rsidRPr="00ED22D1">
        <w:rPr>
          <w:lang w:val="fr-CA"/>
        </w:rPr>
        <w:t xml:space="preserve">ainsi que </w:t>
      </w:r>
      <w:r w:rsidR="00AD0203" w:rsidRPr="00ED22D1">
        <w:rPr>
          <w:lang w:val="fr-CA"/>
        </w:rPr>
        <w:t>la consommation</w:t>
      </w:r>
      <w:r w:rsidR="00921BDE" w:rsidRPr="00ED22D1">
        <w:rPr>
          <w:lang w:val="fr-CA"/>
        </w:rPr>
        <w:t xml:space="preserve"> de</w:t>
      </w:r>
      <w:r w:rsidR="00B53D8B" w:rsidRPr="00ED22D1">
        <w:rPr>
          <w:lang w:val="fr-CA"/>
        </w:rPr>
        <w:t xml:space="preserve"> contingents de HCFC</w:t>
      </w:r>
      <w:r w:rsidR="0085675A" w:rsidRPr="00ED22D1">
        <w:rPr>
          <w:lang w:val="fr-CA"/>
        </w:rPr>
        <w:t xml:space="preserve"> </w:t>
      </w:r>
      <w:r w:rsidR="00D50B9A" w:rsidRPr="00ED22D1">
        <w:rPr>
          <w:lang w:val="fr-CA"/>
        </w:rPr>
        <w:t xml:space="preserve">pour les entreprises de fabrication utilisant plus de </w:t>
      </w:r>
      <w:r w:rsidR="0085675A" w:rsidRPr="00ED22D1">
        <w:rPr>
          <w:lang w:val="fr-CA"/>
        </w:rPr>
        <w:t>100 </w:t>
      </w:r>
      <w:r w:rsidR="001279D7" w:rsidRPr="00ED22D1">
        <w:rPr>
          <w:lang w:val="fr-CA"/>
        </w:rPr>
        <w:t>tm</w:t>
      </w:r>
      <w:r w:rsidR="0085675A" w:rsidRPr="00ED22D1">
        <w:rPr>
          <w:lang w:val="fr-CA"/>
        </w:rPr>
        <w:t xml:space="preserve">, </w:t>
      </w:r>
      <w:r w:rsidR="00D50B9A" w:rsidRPr="00ED22D1">
        <w:rPr>
          <w:lang w:val="fr-CA"/>
        </w:rPr>
        <w:t>permettront l’élimination opportune et soutenue des</w:t>
      </w:r>
      <w:r w:rsidR="0085675A" w:rsidRPr="00ED22D1">
        <w:rPr>
          <w:lang w:val="fr-CA"/>
        </w:rPr>
        <w:t xml:space="preserve"> </w:t>
      </w:r>
      <w:r w:rsidR="00181884" w:rsidRPr="00ED22D1">
        <w:rPr>
          <w:lang w:val="fr-CA"/>
        </w:rPr>
        <w:t>HCFC</w:t>
      </w:r>
      <w:r w:rsidR="0085675A" w:rsidRPr="00ED22D1">
        <w:rPr>
          <w:lang w:val="fr-CA"/>
        </w:rPr>
        <w:t xml:space="preserve"> </w:t>
      </w:r>
      <w:r w:rsidR="00D50B9A" w:rsidRPr="00ED22D1">
        <w:rPr>
          <w:lang w:val="fr-CA"/>
        </w:rPr>
        <w:t>dans le</w:t>
      </w:r>
      <w:r w:rsidR="0085675A" w:rsidRPr="00ED22D1">
        <w:rPr>
          <w:lang w:val="fr-CA"/>
        </w:rPr>
        <w:t xml:space="preserve"> </w:t>
      </w:r>
      <w:r w:rsidR="00733306" w:rsidRPr="00ED22D1">
        <w:rPr>
          <w:lang w:val="fr-CA"/>
        </w:rPr>
        <w:t>secteur.</w:t>
      </w:r>
      <w:r w:rsidR="0085675A" w:rsidRPr="00ED22D1">
        <w:rPr>
          <w:lang w:val="fr-CA"/>
        </w:rPr>
        <w:t xml:space="preserve"> </w:t>
      </w:r>
    </w:p>
    <w:p w:rsidR="0085675A" w:rsidRPr="00ED22D1" w:rsidRDefault="002D2C0B" w:rsidP="002D2C0B">
      <w:pPr>
        <w:pStyle w:val="Heading1"/>
        <w:numPr>
          <w:ilvl w:val="0"/>
          <w:numId w:val="0"/>
        </w:numPr>
        <w:rPr>
          <w:lang w:val="fr-CA"/>
        </w:rPr>
      </w:pPr>
      <w:r w:rsidRPr="00ED22D1">
        <w:rPr>
          <w:lang w:val="fr-CA"/>
        </w:rPr>
        <w:t>70.</w:t>
      </w:r>
      <w:r w:rsidRPr="00ED22D1">
        <w:rPr>
          <w:lang w:val="fr-CA"/>
        </w:rPr>
        <w:tab/>
      </w:r>
      <w:r w:rsidR="007738F0" w:rsidRPr="00ED22D1">
        <w:rPr>
          <w:lang w:val="fr-CA"/>
        </w:rPr>
        <w:t>L’</w:t>
      </w:r>
      <w:r w:rsidR="004A6828" w:rsidRPr="00ED22D1">
        <w:rPr>
          <w:lang w:val="fr-CA"/>
        </w:rPr>
        <w:t>ONUDI</w:t>
      </w:r>
      <w:r w:rsidR="0085675A" w:rsidRPr="00ED22D1">
        <w:rPr>
          <w:lang w:val="fr-CA"/>
        </w:rPr>
        <w:t xml:space="preserve"> </w:t>
      </w:r>
      <w:r w:rsidR="007738F0" w:rsidRPr="00ED22D1">
        <w:rPr>
          <w:lang w:val="fr-CA"/>
        </w:rPr>
        <w:t>a aussi fourni l’</w:t>
      </w:r>
      <w:r w:rsidR="0085675A" w:rsidRPr="00ED22D1">
        <w:rPr>
          <w:lang w:val="fr-CA"/>
        </w:rPr>
        <w:t xml:space="preserve">assurance </w:t>
      </w:r>
      <w:r w:rsidR="007738F0" w:rsidRPr="00ED22D1">
        <w:rPr>
          <w:lang w:val="fr-CA"/>
        </w:rPr>
        <w:t>que</w:t>
      </w:r>
      <w:r w:rsidR="00F320D6" w:rsidRPr="00ED22D1">
        <w:rPr>
          <w:lang w:val="fr-CA"/>
        </w:rPr>
        <w:t xml:space="preserve"> l’IECO</w:t>
      </w:r>
      <w:r w:rsidR="004A6828" w:rsidRPr="00ED22D1">
        <w:rPr>
          <w:lang w:val="fr-CA"/>
        </w:rPr>
        <w:t xml:space="preserve"> et</w:t>
      </w:r>
      <w:r w:rsidR="001F19C1" w:rsidRPr="00ED22D1">
        <w:rPr>
          <w:lang w:val="fr-CA"/>
        </w:rPr>
        <w:t xml:space="preserve"> l’ONUDI</w:t>
      </w:r>
      <w:r w:rsidR="0085675A" w:rsidRPr="00ED22D1">
        <w:rPr>
          <w:lang w:val="fr-CA"/>
        </w:rPr>
        <w:t xml:space="preserve"> </w:t>
      </w:r>
      <w:r w:rsidR="007738F0" w:rsidRPr="00ED22D1">
        <w:rPr>
          <w:lang w:val="fr-CA"/>
        </w:rPr>
        <w:t xml:space="preserve">visaient à identifier </w:t>
      </w:r>
      <w:r w:rsidR="00B03403" w:rsidRPr="00ED22D1">
        <w:rPr>
          <w:lang w:val="fr-CA"/>
        </w:rPr>
        <w:t xml:space="preserve">des projets de reconversion </w:t>
      </w:r>
      <w:r w:rsidR="007738F0" w:rsidRPr="00ED22D1">
        <w:rPr>
          <w:lang w:val="fr-CA"/>
        </w:rPr>
        <w:t xml:space="preserve">et à s’engager avec d’autres </w:t>
      </w:r>
      <w:r w:rsidR="00D50B9A" w:rsidRPr="00ED22D1">
        <w:rPr>
          <w:lang w:val="fr-CA"/>
        </w:rPr>
        <w:t>entreprises admissibles</w:t>
      </w:r>
      <w:r w:rsidR="0085675A" w:rsidRPr="00ED22D1">
        <w:rPr>
          <w:lang w:val="fr-CA"/>
        </w:rPr>
        <w:t xml:space="preserve"> </w:t>
      </w:r>
      <w:r w:rsidR="009F5E40" w:rsidRPr="00ED22D1">
        <w:rPr>
          <w:lang w:val="fr-CA"/>
        </w:rPr>
        <w:t xml:space="preserve">à </w:t>
      </w:r>
      <w:r w:rsidR="007738F0" w:rsidRPr="00ED22D1">
        <w:rPr>
          <w:lang w:val="fr-CA"/>
        </w:rPr>
        <w:t xml:space="preserve">participer </w:t>
      </w:r>
      <w:r w:rsidR="009F5E40" w:rsidRPr="00ED22D1">
        <w:rPr>
          <w:lang w:val="fr-CA"/>
        </w:rPr>
        <w:t>à cette</w:t>
      </w:r>
      <w:r w:rsidR="001B45EC" w:rsidRPr="00ED22D1">
        <w:rPr>
          <w:lang w:val="fr-CA"/>
        </w:rPr>
        <w:t xml:space="preserve"> reconversion</w:t>
      </w:r>
      <w:r w:rsidR="0085675A" w:rsidRPr="00ED22D1">
        <w:rPr>
          <w:lang w:val="fr-CA"/>
        </w:rPr>
        <w:t xml:space="preserve"> </w:t>
      </w:r>
      <w:r w:rsidR="007738F0" w:rsidRPr="00ED22D1">
        <w:rPr>
          <w:lang w:val="fr-CA"/>
        </w:rPr>
        <w:t>dès que possible</w:t>
      </w:r>
      <w:r w:rsidR="0085675A" w:rsidRPr="00ED22D1">
        <w:rPr>
          <w:lang w:val="fr-CA"/>
        </w:rPr>
        <w:t xml:space="preserve">. </w:t>
      </w:r>
    </w:p>
    <w:p w:rsidR="0085675A" w:rsidRPr="00ED22D1" w:rsidRDefault="007738F0" w:rsidP="0085675A">
      <w:pPr>
        <w:rPr>
          <w:u w:val="single"/>
          <w:lang w:val="fr-CA"/>
        </w:rPr>
      </w:pPr>
      <w:r w:rsidRPr="00ED22D1">
        <w:rPr>
          <w:u w:val="single"/>
          <w:lang w:val="fr-CA"/>
        </w:rPr>
        <w:t>Unité de mise en oeuvre et de suivi du projet</w:t>
      </w:r>
      <w:r w:rsidR="0085675A" w:rsidRPr="00ED22D1">
        <w:rPr>
          <w:u w:val="single"/>
          <w:lang w:val="fr-CA"/>
        </w:rPr>
        <w:t xml:space="preserve"> (PMU)</w:t>
      </w:r>
    </w:p>
    <w:p w:rsidR="0085675A" w:rsidRPr="00ED22D1" w:rsidRDefault="0085675A" w:rsidP="0085675A">
      <w:pPr>
        <w:rPr>
          <w:lang w:val="fr-CA"/>
        </w:rPr>
      </w:pPr>
    </w:p>
    <w:p w:rsidR="0085675A" w:rsidRPr="00ED22D1" w:rsidRDefault="002D2C0B" w:rsidP="002D2C0B">
      <w:pPr>
        <w:pStyle w:val="Heading1"/>
        <w:numPr>
          <w:ilvl w:val="0"/>
          <w:numId w:val="0"/>
        </w:numPr>
        <w:rPr>
          <w:lang w:val="fr-CA"/>
        </w:rPr>
      </w:pPr>
      <w:r w:rsidRPr="00ED22D1">
        <w:rPr>
          <w:lang w:val="fr-CA"/>
        </w:rPr>
        <w:t>71.</w:t>
      </w:r>
      <w:r w:rsidRPr="00ED22D1">
        <w:rPr>
          <w:lang w:val="fr-CA"/>
        </w:rPr>
        <w:tab/>
      </w:r>
      <w:r w:rsidR="007738F0" w:rsidRPr="00ED22D1">
        <w:rPr>
          <w:lang w:val="fr-CA"/>
        </w:rPr>
        <w:t xml:space="preserve">En soulignant que, conformément à la </w:t>
      </w:r>
      <w:r w:rsidR="00AA6E77" w:rsidRPr="00ED22D1">
        <w:rPr>
          <w:lang w:val="fr-CA"/>
        </w:rPr>
        <w:t>décision</w:t>
      </w:r>
      <w:r w:rsidR="0085675A" w:rsidRPr="00ED22D1">
        <w:rPr>
          <w:lang w:val="fr-CA"/>
        </w:rPr>
        <w:t> 81/46</w:t>
      </w:r>
      <w:r w:rsidR="007738F0" w:rsidRPr="00ED22D1">
        <w:rPr>
          <w:lang w:val="fr-CA"/>
        </w:rPr>
        <w:t> </w:t>
      </w:r>
      <w:r w:rsidR="0085675A" w:rsidRPr="00ED22D1">
        <w:rPr>
          <w:lang w:val="fr-CA"/>
        </w:rPr>
        <w:t xml:space="preserve">b), </w:t>
      </w:r>
      <w:r w:rsidR="007738F0" w:rsidRPr="00ED22D1">
        <w:rPr>
          <w:lang w:val="fr-CA"/>
        </w:rPr>
        <w:t xml:space="preserve">les </w:t>
      </w:r>
      <w:r w:rsidR="00B53D8B" w:rsidRPr="00ED22D1">
        <w:rPr>
          <w:lang w:val="fr-CA"/>
        </w:rPr>
        <w:t>agences d’exécution</w:t>
      </w:r>
      <w:r w:rsidR="0085675A" w:rsidRPr="00ED22D1">
        <w:rPr>
          <w:lang w:val="fr-CA"/>
        </w:rPr>
        <w:t xml:space="preserve"> </w:t>
      </w:r>
      <w:r w:rsidR="007738F0" w:rsidRPr="00ED22D1">
        <w:rPr>
          <w:lang w:val="fr-CA"/>
        </w:rPr>
        <w:t>commenceront à utiliser le format de présentation de rapports financiers convenu à la 81</w:t>
      </w:r>
      <w:r w:rsidR="007738F0" w:rsidRPr="00ED22D1">
        <w:rPr>
          <w:vertAlign w:val="superscript"/>
          <w:lang w:val="fr-CA"/>
        </w:rPr>
        <w:t xml:space="preserve">e </w:t>
      </w:r>
      <w:r w:rsidR="007738F0" w:rsidRPr="00ED22D1">
        <w:rPr>
          <w:lang w:val="fr-CA"/>
        </w:rPr>
        <w:t>réunion</w:t>
      </w:r>
      <w:r w:rsidR="007738F0" w:rsidRPr="00ED22D1">
        <w:rPr>
          <w:rStyle w:val="FootnoteReference"/>
          <w:lang w:val="fr-CA"/>
        </w:rPr>
        <w:footnoteReference w:id="10"/>
      </w:r>
      <w:r w:rsidR="007738F0" w:rsidRPr="00ED22D1">
        <w:rPr>
          <w:lang w:val="fr-CA"/>
        </w:rPr>
        <w:t xml:space="preserve"> pour les dépenses </w:t>
      </w:r>
      <w:r w:rsidR="009F5E40" w:rsidRPr="00ED22D1">
        <w:rPr>
          <w:lang w:val="fr-CA"/>
        </w:rPr>
        <w:t xml:space="preserve">des tranches 2019 </w:t>
      </w:r>
      <w:r w:rsidR="007738F0" w:rsidRPr="00ED22D1">
        <w:rPr>
          <w:lang w:val="fr-CA"/>
        </w:rPr>
        <w:t xml:space="preserve">des </w:t>
      </w:r>
      <w:r w:rsidR="0085675A" w:rsidRPr="00ED22D1">
        <w:rPr>
          <w:lang w:val="fr-CA"/>
        </w:rPr>
        <w:t>PMU,</w:t>
      </w:r>
      <w:r w:rsidR="00DD185D" w:rsidRPr="00ED22D1">
        <w:rPr>
          <w:lang w:val="fr-CA"/>
        </w:rPr>
        <w:t xml:space="preserve"> le Secrétariat</w:t>
      </w:r>
      <w:r w:rsidR="0085675A" w:rsidRPr="00ED22D1">
        <w:rPr>
          <w:lang w:val="fr-CA"/>
        </w:rPr>
        <w:t xml:space="preserve"> </w:t>
      </w:r>
      <w:r w:rsidR="007738F0" w:rsidRPr="00ED22D1">
        <w:rPr>
          <w:lang w:val="fr-CA"/>
        </w:rPr>
        <w:t xml:space="preserve">a demandé la meilleure estimation des dépenses des </w:t>
      </w:r>
      <w:r w:rsidR="0085675A" w:rsidRPr="00ED22D1">
        <w:rPr>
          <w:lang w:val="fr-CA"/>
        </w:rPr>
        <w:t xml:space="preserve">PMU </w:t>
      </w:r>
      <w:r w:rsidR="007738F0" w:rsidRPr="00ED22D1">
        <w:rPr>
          <w:lang w:val="fr-CA"/>
        </w:rPr>
        <w:t xml:space="preserve">pour la présente </w:t>
      </w:r>
      <w:r w:rsidR="00DD185D" w:rsidRPr="00ED22D1">
        <w:rPr>
          <w:lang w:val="fr-CA"/>
        </w:rPr>
        <w:t>réunion</w:t>
      </w:r>
      <w:r w:rsidR="0085675A" w:rsidRPr="00ED22D1">
        <w:rPr>
          <w:lang w:val="fr-CA"/>
        </w:rPr>
        <w:t xml:space="preserve">. </w:t>
      </w:r>
      <w:r w:rsidR="007738F0" w:rsidRPr="00ED22D1">
        <w:rPr>
          <w:lang w:val="fr-CA"/>
        </w:rPr>
        <w:t xml:space="preserve">Ces données sont montrées au </w:t>
      </w:r>
      <w:r w:rsidR="00CE7FEC" w:rsidRPr="00ED22D1">
        <w:rPr>
          <w:lang w:val="fr-CA"/>
        </w:rPr>
        <w:t xml:space="preserve">tableau </w:t>
      </w:r>
      <w:r w:rsidR="004A6828" w:rsidRPr="00ED22D1">
        <w:rPr>
          <w:lang w:val="fr-CA"/>
        </w:rPr>
        <w:t>5</w:t>
      </w:r>
      <w:r w:rsidR="00D05BD1" w:rsidRPr="00ED22D1">
        <w:rPr>
          <w:lang w:val="fr-CA"/>
        </w:rPr>
        <w:t>.</w:t>
      </w:r>
      <w:r w:rsidR="0085675A" w:rsidRPr="00ED22D1">
        <w:rPr>
          <w:lang w:val="fr-CA"/>
        </w:rPr>
        <w:t xml:space="preserve"> </w:t>
      </w:r>
      <w:r w:rsidR="007738F0" w:rsidRPr="00ED22D1">
        <w:rPr>
          <w:lang w:val="fr-CA"/>
        </w:rPr>
        <w:t>D’autres renseignements sur les dépenses des</w:t>
      </w:r>
      <w:r w:rsidR="009F5E40" w:rsidRPr="00ED22D1">
        <w:rPr>
          <w:lang w:val="fr-CA"/>
        </w:rPr>
        <w:t> </w:t>
      </w:r>
      <w:r w:rsidR="0085675A" w:rsidRPr="00ED22D1">
        <w:rPr>
          <w:lang w:val="fr-CA"/>
        </w:rPr>
        <w:t xml:space="preserve">PMU </w:t>
      </w:r>
      <w:r w:rsidR="007738F0" w:rsidRPr="00ED22D1">
        <w:rPr>
          <w:lang w:val="fr-CA"/>
        </w:rPr>
        <w:t>dans tous les plans sectoriels</w:t>
      </w:r>
      <w:r w:rsidR="0085675A" w:rsidRPr="00ED22D1">
        <w:rPr>
          <w:lang w:val="fr-CA"/>
        </w:rPr>
        <w:t xml:space="preserve"> </w:t>
      </w:r>
      <w:r w:rsidR="00181884" w:rsidRPr="00ED22D1">
        <w:rPr>
          <w:lang w:val="fr-CA"/>
        </w:rPr>
        <w:t>en Chine</w:t>
      </w:r>
      <w:r w:rsidR="0085675A" w:rsidRPr="00ED22D1">
        <w:rPr>
          <w:lang w:val="fr-CA"/>
        </w:rPr>
        <w:t xml:space="preserve"> </w:t>
      </w:r>
      <w:r w:rsidR="007738F0" w:rsidRPr="00ED22D1">
        <w:rPr>
          <w:lang w:val="fr-CA"/>
        </w:rPr>
        <w:t xml:space="preserve">seront disponibles dès que la demande de tranche </w:t>
      </w:r>
      <w:r w:rsidR="0085675A" w:rsidRPr="00ED22D1">
        <w:rPr>
          <w:lang w:val="fr-CA"/>
        </w:rPr>
        <w:t xml:space="preserve">2019 </w:t>
      </w:r>
      <w:r w:rsidR="007738F0" w:rsidRPr="00ED22D1">
        <w:rPr>
          <w:lang w:val="fr-CA"/>
        </w:rPr>
        <w:t>sera</w:t>
      </w:r>
      <w:r w:rsidR="00903152" w:rsidRPr="00ED22D1">
        <w:rPr>
          <w:lang w:val="fr-CA"/>
        </w:rPr>
        <w:t xml:space="preserve"> </w:t>
      </w:r>
      <w:r w:rsidR="00FB1DC4" w:rsidRPr="00ED22D1">
        <w:rPr>
          <w:lang w:val="fr-CA"/>
        </w:rPr>
        <w:t>présenté</w:t>
      </w:r>
      <w:r w:rsidR="007738F0" w:rsidRPr="00ED22D1">
        <w:rPr>
          <w:lang w:val="fr-CA"/>
        </w:rPr>
        <w:t>e</w:t>
      </w:r>
      <w:r w:rsidR="0085675A" w:rsidRPr="00ED22D1">
        <w:rPr>
          <w:lang w:val="fr-CA"/>
        </w:rPr>
        <w:t xml:space="preserve">.  </w:t>
      </w:r>
    </w:p>
    <w:p w:rsidR="0085675A" w:rsidRPr="00ED22D1" w:rsidRDefault="00CE7FEC" w:rsidP="0085675A">
      <w:pPr>
        <w:pStyle w:val="Heading1"/>
        <w:numPr>
          <w:ilvl w:val="0"/>
          <w:numId w:val="0"/>
        </w:numPr>
        <w:spacing w:after="0"/>
        <w:rPr>
          <w:b/>
          <w:lang w:val="fr-CA"/>
        </w:rPr>
      </w:pPr>
      <w:r w:rsidRPr="00ED22D1">
        <w:rPr>
          <w:b/>
          <w:lang w:val="fr-CA"/>
        </w:rPr>
        <w:t xml:space="preserve">Tableau </w:t>
      </w:r>
      <w:r w:rsidR="004A6828" w:rsidRPr="00ED22D1">
        <w:rPr>
          <w:b/>
          <w:lang w:val="fr-CA"/>
        </w:rPr>
        <w:t>5</w:t>
      </w:r>
      <w:r w:rsidR="00D05BD1" w:rsidRPr="00ED22D1">
        <w:rPr>
          <w:b/>
          <w:lang w:val="fr-CA"/>
        </w:rPr>
        <w:t>.</w:t>
      </w:r>
      <w:r w:rsidR="0085675A" w:rsidRPr="00ED22D1">
        <w:rPr>
          <w:b/>
          <w:lang w:val="fr-CA"/>
        </w:rPr>
        <w:t xml:space="preserve"> </w:t>
      </w:r>
      <w:r w:rsidR="007738F0" w:rsidRPr="00ED22D1">
        <w:rPr>
          <w:b/>
          <w:lang w:val="fr-CA"/>
        </w:rPr>
        <w:t xml:space="preserve">Dépenses des </w:t>
      </w:r>
      <w:r w:rsidR="0085675A" w:rsidRPr="00ED22D1">
        <w:rPr>
          <w:b/>
          <w:lang w:val="fr-CA"/>
        </w:rPr>
        <w:t>PMU,</w:t>
      </w:r>
      <w:r w:rsidR="004A6828" w:rsidRPr="00ED22D1">
        <w:rPr>
          <w:b/>
          <w:lang w:val="fr-CA"/>
        </w:rPr>
        <w:t xml:space="preserve"> phase </w:t>
      </w:r>
      <w:r w:rsidR="0085675A" w:rsidRPr="00ED22D1">
        <w:rPr>
          <w:b/>
          <w:lang w:val="fr-CA"/>
        </w:rPr>
        <w:t xml:space="preserve">II </w:t>
      </w:r>
      <w:r w:rsidR="007738F0" w:rsidRPr="00ED22D1">
        <w:rPr>
          <w:b/>
          <w:lang w:val="fr-CA"/>
        </w:rPr>
        <w:t xml:space="preserve">du plan du secteur des </w:t>
      </w:r>
      <w:r w:rsidR="001279D7" w:rsidRPr="00ED22D1">
        <w:rPr>
          <w:b/>
          <w:lang w:val="fr-CA"/>
        </w:rPr>
        <w:t xml:space="preserve">mousses extrudées </w:t>
      </w:r>
      <w:r w:rsidR="00921BDE" w:rsidRPr="00ED22D1">
        <w:rPr>
          <w:b/>
          <w:lang w:val="fr-CA"/>
        </w:rPr>
        <w:t>(XPS)</w:t>
      </w:r>
      <w:r w:rsidR="0085675A" w:rsidRPr="00ED22D1">
        <w:rPr>
          <w:b/>
          <w:lang w:val="fr-CA"/>
        </w:rPr>
        <w:t xml:space="preserve"> </w:t>
      </w:r>
      <w:r w:rsidR="00181884" w:rsidRPr="00ED22D1">
        <w:rPr>
          <w:b/>
          <w:lang w:val="fr-CA"/>
        </w:rPr>
        <w:t>en Chine</w:t>
      </w:r>
      <w:r w:rsidR="0085675A" w:rsidRPr="00ED22D1">
        <w:rPr>
          <w:b/>
          <w:lang w:val="fr-CA"/>
        </w:rPr>
        <w:t xml:space="preserve">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6374"/>
        <w:gridCol w:w="1559"/>
      </w:tblGrid>
      <w:tr w:rsidR="0085675A" w:rsidRPr="00ED22D1" w:rsidTr="0085675A">
        <w:trPr>
          <w:jc w:val="center"/>
        </w:trPr>
        <w:tc>
          <w:tcPr>
            <w:tcW w:w="1418" w:type="dxa"/>
            <w:vAlign w:val="center"/>
          </w:tcPr>
          <w:p w:rsidR="0085675A" w:rsidRPr="00ED22D1" w:rsidRDefault="007738F0" w:rsidP="007738F0">
            <w:pPr>
              <w:tabs>
                <w:tab w:val="left" w:pos="284"/>
              </w:tabs>
              <w:spacing w:after="100" w:afterAutospacing="1"/>
              <w:jc w:val="center"/>
              <w:rPr>
                <w:b/>
                <w:kern w:val="36"/>
                <w:sz w:val="20"/>
                <w:szCs w:val="20"/>
                <w:lang w:val="fr-CA"/>
              </w:rPr>
            </w:pPr>
            <w:r w:rsidRPr="00ED22D1">
              <w:rPr>
                <w:b/>
                <w:kern w:val="36"/>
                <w:sz w:val="20"/>
                <w:szCs w:val="20"/>
                <w:lang w:val="fr-CA"/>
              </w:rPr>
              <w:t>Postes</w:t>
            </w:r>
          </w:p>
        </w:tc>
        <w:tc>
          <w:tcPr>
            <w:tcW w:w="6374" w:type="dxa"/>
            <w:tcBorders>
              <w:right w:val="single" w:sz="4" w:space="0" w:color="auto"/>
            </w:tcBorders>
            <w:vAlign w:val="center"/>
          </w:tcPr>
          <w:p w:rsidR="0085675A" w:rsidRPr="00ED22D1" w:rsidRDefault="0085675A" w:rsidP="0085675A">
            <w:pPr>
              <w:tabs>
                <w:tab w:val="left" w:pos="284"/>
              </w:tabs>
              <w:spacing w:after="100" w:afterAutospacing="1"/>
              <w:jc w:val="center"/>
              <w:rPr>
                <w:b/>
                <w:kern w:val="36"/>
                <w:sz w:val="20"/>
                <w:szCs w:val="20"/>
                <w:lang w:val="fr-CA"/>
              </w:rPr>
            </w:pPr>
            <w:r w:rsidRPr="00ED22D1">
              <w:rPr>
                <w:b/>
                <w:kern w:val="36"/>
                <w:sz w:val="20"/>
                <w:szCs w:val="20"/>
                <w:lang w:val="fr-CA"/>
              </w:rPr>
              <w:t>Description</w:t>
            </w:r>
          </w:p>
        </w:tc>
        <w:tc>
          <w:tcPr>
            <w:tcW w:w="1559" w:type="dxa"/>
            <w:tcBorders>
              <w:left w:val="single" w:sz="4" w:space="0" w:color="auto"/>
            </w:tcBorders>
            <w:vAlign w:val="center"/>
          </w:tcPr>
          <w:p w:rsidR="0085675A" w:rsidRPr="00ED22D1" w:rsidRDefault="00D15079" w:rsidP="0085675A">
            <w:pPr>
              <w:tabs>
                <w:tab w:val="left" w:pos="284"/>
              </w:tabs>
              <w:spacing w:after="100" w:afterAutospacing="1"/>
              <w:jc w:val="center"/>
              <w:rPr>
                <w:b/>
                <w:kern w:val="36"/>
                <w:sz w:val="20"/>
                <w:szCs w:val="20"/>
                <w:lang w:val="fr-CA"/>
              </w:rPr>
            </w:pPr>
            <w:r w:rsidRPr="00ED22D1">
              <w:rPr>
                <w:b/>
                <w:kern w:val="36"/>
                <w:sz w:val="20"/>
                <w:szCs w:val="20"/>
                <w:lang w:val="fr-CA"/>
              </w:rPr>
              <w:t>Financement</w:t>
            </w:r>
            <w:r w:rsidR="0085675A" w:rsidRPr="00ED22D1">
              <w:rPr>
                <w:b/>
                <w:kern w:val="36"/>
                <w:sz w:val="20"/>
                <w:szCs w:val="20"/>
                <w:lang w:val="fr-CA"/>
              </w:rPr>
              <w:t xml:space="preserve"> </w:t>
            </w:r>
            <w:r w:rsidR="00874624" w:rsidRPr="00ED22D1">
              <w:rPr>
                <w:b/>
                <w:kern w:val="36"/>
                <w:sz w:val="20"/>
                <w:szCs w:val="20"/>
                <w:lang w:val="fr-CA"/>
              </w:rPr>
              <w:t>($US)</w:t>
            </w:r>
          </w:p>
        </w:tc>
      </w:tr>
      <w:tr w:rsidR="0085675A" w:rsidRPr="00ED22D1" w:rsidTr="0085675A">
        <w:trPr>
          <w:trHeight w:val="220"/>
          <w:jc w:val="center"/>
        </w:trPr>
        <w:tc>
          <w:tcPr>
            <w:tcW w:w="1418" w:type="dxa"/>
            <w:vMerge w:val="restart"/>
            <w:vAlign w:val="center"/>
          </w:tcPr>
          <w:p w:rsidR="0085675A" w:rsidRPr="00ED22D1" w:rsidRDefault="001B45EC" w:rsidP="00DB7C5D">
            <w:pPr>
              <w:tabs>
                <w:tab w:val="left" w:pos="284"/>
              </w:tabs>
              <w:spacing w:after="100" w:afterAutospacing="1"/>
              <w:jc w:val="left"/>
              <w:rPr>
                <w:kern w:val="36"/>
                <w:sz w:val="20"/>
                <w:szCs w:val="20"/>
                <w:lang w:val="fr-CA"/>
              </w:rPr>
            </w:pPr>
            <w:r w:rsidRPr="00ED22D1">
              <w:rPr>
                <w:kern w:val="36"/>
                <w:sz w:val="20"/>
                <w:szCs w:val="20"/>
                <w:lang w:val="fr-CA"/>
              </w:rPr>
              <w:t>P</w:t>
            </w:r>
            <w:r w:rsidR="00DB7C5D" w:rsidRPr="00ED22D1">
              <w:rPr>
                <w:kern w:val="36"/>
                <w:sz w:val="20"/>
                <w:szCs w:val="20"/>
                <w:lang w:val="fr-CA"/>
              </w:rPr>
              <w:t>ersonnel du p</w:t>
            </w:r>
            <w:r w:rsidRPr="00ED22D1">
              <w:rPr>
                <w:kern w:val="36"/>
                <w:sz w:val="20"/>
                <w:szCs w:val="20"/>
                <w:lang w:val="fr-CA"/>
              </w:rPr>
              <w:t>rojet</w:t>
            </w:r>
          </w:p>
        </w:tc>
        <w:tc>
          <w:tcPr>
            <w:tcW w:w="6374" w:type="dxa"/>
            <w:tcBorders>
              <w:right w:val="single" w:sz="4" w:space="0" w:color="auto"/>
            </w:tcBorders>
          </w:tcPr>
          <w:p w:rsidR="0085675A" w:rsidRPr="00ED22D1" w:rsidRDefault="00DB7C5D" w:rsidP="00DB7C5D">
            <w:pPr>
              <w:tabs>
                <w:tab w:val="left" w:pos="284"/>
              </w:tabs>
              <w:spacing w:after="100" w:afterAutospacing="1"/>
              <w:rPr>
                <w:i/>
                <w:kern w:val="36"/>
                <w:sz w:val="20"/>
                <w:szCs w:val="20"/>
                <w:lang w:val="fr-CA"/>
              </w:rPr>
            </w:pPr>
            <w:r w:rsidRPr="00ED22D1">
              <w:rPr>
                <w:i/>
                <w:kern w:val="36"/>
                <w:sz w:val="20"/>
                <w:szCs w:val="20"/>
                <w:lang w:val="fr-CA"/>
              </w:rPr>
              <w:t>Personnel de gestion du p</w:t>
            </w:r>
            <w:r w:rsidR="0085675A" w:rsidRPr="00ED22D1">
              <w:rPr>
                <w:i/>
                <w:kern w:val="36"/>
                <w:sz w:val="20"/>
                <w:szCs w:val="20"/>
                <w:lang w:val="fr-CA"/>
              </w:rPr>
              <w:t>rogramme</w:t>
            </w:r>
          </w:p>
        </w:tc>
        <w:tc>
          <w:tcPr>
            <w:tcW w:w="1559" w:type="dxa"/>
            <w:tcBorders>
              <w:left w:val="single" w:sz="4" w:space="0" w:color="auto"/>
            </w:tcBorders>
            <w:vAlign w:val="center"/>
          </w:tcPr>
          <w:p w:rsidR="0085675A" w:rsidRPr="00ED22D1" w:rsidRDefault="0085675A" w:rsidP="0085675A">
            <w:pPr>
              <w:tabs>
                <w:tab w:val="left" w:pos="284"/>
              </w:tabs>
              <w:spacing w:after="100" w:afterAutospacing="1"/>
              <w:jc w:val="right"/>
              <w:rPr>
                <w:i/>
                <w:kern w:val="36"/>
                <w:sz w:val="20"/>
                <w:szCs w:val="20"/>
                <w:lang w:val="fr-CA"/>
              </w:rPr>
            </w:pPr>
            <w:r w:rsidRPr="00ED22D1">
              <w:rPr>
                <w:i/>
                <w:kern w:val="36"/>
                <w:sz w:val="20"/>
                <w:szCs w:val="20"/>
                <w:lang w:val="fr-CA"/>
              </w:rPr>
              <w:t>12</w:t>
            </w:r>
            <w:r w:rsidR="004A6828" w:rsidRPr="00ED22D1">
              <w:rPr>
                <w:i/>
                <w:kern w:val="36"/>
                <w:sz w:val="20"/>
                <w:szCs w:val="20"/>
                <w:lang w:val="fr-CA"/>
              </w:rPr>
              <w:t>6 </w:t>
            </w:r>
            <w:r w:rsidRPr="00ED22D1">
              <w:rPr>
                <w:i/>
                <w:kern w:val="36"/>
                <w:sz w:val="20"/>
                <w:szCs w:val="20"/>
                <w:lang w:val="fr-CA"/>
              </w:rPr>
              <w:t>746</w:t>
            </w:r>
          </w:p>
        </w:tc>
      </w:tr>
      <w:tr w:rsidR="0085675A" w:rsidRPr="00ED22D1" w:rsidTr="0085675A">
        <w:trPr>
          <w:jc w:val="center"/>
        </w:trPr>
        <w:tc>
          <w:tcPr>
            <w:tcW w:w="1418" w:type="dxa"/>
            <w:vMerge/>
            <w:vAlign w:val="center"/>
          </w:tcPr>
          <w:p w:rsidR="0085675A" w:rsidRPr="00ED22D1" w:rsidRDefault="0085675A" w:rsidP="00DB7C5D">
            <w:pPr>
              <w:tabs>
                <w:tab w:val="left" w:pos="284"/>
              </w:tabs>
              <w:spacing w:after="100" w:afterAutospacing="1"/>
              <w:jc w:val="left"/>
              <w:rPr>
                <w:kern w:val="36"/>
                <w:sz w:val="20"/>
                <w:szCs w:val="20"/>
                <w:lang w:val="fr-CA"/>
              </w:rPr>
            </w:pPr>
          </w:p>
        </w:tc>
        <w:tc>
          <w:tcPr>
            <w:tcW w:w="6374" w:type="dxa"/>
            <w:tcBorders>
              <w:right w:val="single" w:sz="4" w:space="0" w:color="auto"/>
            </w:tcBorders>
          </w:tcPr>
          <w:p w:rsidR="0085675A" w:rsidRPr="00ED22D1" w:rsidRDefault="00DB7C5D" w:rsidP="00DB7C5D">
            <w:pPr>
              <w:tabs>
                <w:tab w:val="left" w:pos="284"/>
              </w:tabs>
              <w:spacing w:after="100" w:afterAutospacing="1"/>
              <w:rPr>
                <w:kern w:val="36"/>
                <w:sz w:val="20"/>
                <w:szCs w:val="20"/>
                <w:lang w:val="fr-CA"/>
              </w:rPr>
            </w:pPr>
            <w:r w:rsidRPr="00ED22D1">
              <w:rPr>
                <w:kern w:val="36"/>
                <w:sz w:val="20"/>
                <w:szCs w:val="20"/>
                <w:lang w:val="fr-CA"/>
              </w:rPr>
              <w:t>Autre personnel de soutien</w:t>
            </w:r>
            <w:r w:rsidR="0085675A" w:rsidRPr="00ED22D1">
              <w:rPr>
                <w:kern w:val="36"/>
                <w:sz w:val="20"/>
                <w:szCs w:val="20"/>
                <w:lang w:val="fr-CA"/>
              </w:rPr>
              <w:t xml:space="preserve"> (financ</w:t>
            </w:r>
            <w:r w:rsidRPr="00ED22D1">
              <w:rPr>
                <w:kern w:val="36"/>
                <w:sz w:val="20"/>
                <w:szCs w:val="20"/>
                <w:lang w:val="fr-CA"/>
              </w:rPr>
              <w:t>es</w:t>
            </w:r>
            <w:r w:rsidR="0085675A" w:rsidRPr="00ED22D1">
              <w:rPr>
                <w:kern w:val="36"/>
                <w:sz w:val="20"/>
                <w:szCs w:val="20"/>
                <w:lang w:val="fr-CA"/>
              </w:rPr>
              <w:t xml:space="preserve">, </w:t>
            </w:r>
            <w:r w:rsidRPr="00ED22D1">
              <w:rPr>
                <w:kern w:val="36"/>
                <w:sz w:val="20"/>
                <w:szCs w:val="20"/>
                <w:lang w:val="fr-CA"/>
              </w:rPr>
              <w:t>achats</w:t>
            </w:r>
            <w:r w:rsidR="0085675A" w:rsidRPr="00ED22D1">
              <w:rPr>
                <w:kern w:val="36"/>
                <w:sz w:val="20"/>
                <w:szCs w:val="20"/>
                <w:lang w:val="fr-CA"/>
              </w:rPr>
              <w:t xml:space="preserve">, </w:t>
            </w:r>
            <w:r w:rsidRPr="00ED22D1">
              <w:rPr>
                <w:kern w:val="36"/>
                <w:sz w:val="20"/>
                <w:szCs w:val="20"/>
                <w:lang w:val="fr-CA"/>
              </w:rPr>
              <w:t>soutien en droit</w:t>
            </w:r>
            <w:r w:rsidR="0085675A" w:rsidRPr="00ED22D1">
              <w:rPr>
                <w:kern w:val="36"/>
                <w:sz w:val="20"/>
                <w:szCs w:val="20"/>
                <w:lang w:val="fr-CA"/>
              </w:rPr>
              <w:t xml:space="preserve">, </w:t>
            </w:r>
            <w:r w:rsidRPr="00ED22D1">
              <w:rPr>
                <w:kern w:val="36"/>
                <w:sz w:val="20"/>
                <w:szCs w:val="20"/>
                <w:lang w:val="fr-CA"/>
              </w:rPr>
              <w:t>autres</w:t>
            </w:r>
            <w:r w:rsidR="0085675A" w:rsidRPr="00ED22D1">
              <w:rPr>
                <w:kern w:val="36"/>
                <w:sz w:val="20"/>
                <w:szCs w:val="20"/>
                <w:lang w:val="fr-CA"/>
              </w:rPr>
              <w:t>)</w:t>
            </w:r>
          </w:p>
        </w:tc>
        <w:tc>
          <w:tcPr>
            <w:tcW w:w="1559" w:type="dxa"/>
            <w:tcBorders>
              <w:left w:val="single" w:sz="4" w:space="0" w:color="auto"/>
            </w:tcBorders>
            <w:vAlign w:val="center"/>
          </w:tcPr>
          <w:p w:rsidR="0085675A" w:rsidRPr="00ED22D1" w:rsidRDefault="0085675A" w:rsidP="0085675A">
            <w:pPr>
              <w:tabs>
                <w:tab w:val="left" w:pos="284"/>
              </w:tabs>
              <w:spacing w:after="100" w:afterAutospacing="1"/>
              <w:jc w:val="right"/>
              <w:rPr>
                <w:kern w:val="36"/>
                <w:sz w:val="20"/>
                <w:szCs w:val="20"/>
                <w:lang w:val="fr-CA"/>
              </w:rPr>
            </w:pPr>
            <w:r w:rsidRPr="00ED22D1">
              <w:rPr>
                <w:kern w:val="36"/>
                <w:sz w:val="20"/>
                <w:szCs w:val="20"/>
                <w:lang w:val="fr-CA"/>
              </w:rPr>
              <w:t>8</w:t>
            </w:r>
            <w:r w:rsidR="004A6828" w:rsidRPr="00ED22D1">
              <w:rPr>
                <w:kern w:val="36"/>
                <w:sz w:val="20"/>
                <w:szCs w:val="20"/>
                <w:lang w:val="fr-CA"/>
              </w:rPr>
              <w:t>4 </w:t>
            </w:r>
            <w:r w:rsidRPr="00ED22D1">
              <w:rPr>
                <w:kern w:val="36"/>
                <w:sz w:val="20"/>
                <w:szCs w:val="20"/>
                <w:lang w:val="fr-CA"/>
              </w:rPr>
              <w:t>498</w:t>
            </w:r>
          </w:p>
        </w:tc>
      </w:tr>
      <w:tr w:rsidR="0085675A" w:rsidRPr="00ED22D1" w:rsidTr="0085675A">
        <w:trPr>
          <w:jc w:val="center"/>
        </w:trPr>
        <w:tc>
          <w:tcPr>
            <w:tcW w:w="1418" w:type="dxa"/>
            <w:vAlign w:val="center"/>
          </w:tcPr>
          <w:p w:rsidR="0085675A" w:rsidRPr="00ED22D1" w:rsidRDefault="00DB7C5D" w:rsidP="00DB7C5D">
            <w:pPr>
              <w:tabs>
                <w:tab w:val="left" w:pos="284"/>
              </w:tabs>
              <w:spacing w:after="100" w:afterAutospacing="1"/>
              <w:jc w:val="left"/>
              <w:rPr>
                <w:kern w:val="36"/>
                <w:sz w:val="20"/>
                <w:szCs w:val="20"/>
                <w:lang w:val="fr-CA"/>
              </w:rPr>
            </w:pPr>
            <w:r w:rsidRPr="00ED22D1">
              <w:rPr>
                <w:kern w:val="36"/>
                <w:sz w:val="20"/>
                <w:szCs w:val="20"/>
                <w:lang w:val="fr-CA"/>
              </w:rPr>
              <w:t>Dépenses de l’a</w:t>
            </w:r>
            <w:r w:rsidR="00181884" w:rsidRPr="00ED22D1">
              <w:rPr>
                <w:kern w:val="36"/>
                <w:sz w:val="20"/>
                <w:szCs w:val="20"/>
                <w:lang w:val="fr-CA"/>
              </w:rPr>
              <w:t>gence</w:t>
            </w:r>
            <w:r w:rsidR="0085675A" w:rsidRPr="00ED22D1">
              <w:rPr>
                <w:kern w:val="36"/>
                <w:sz w:val="20"/>
                <w:szCs w:val="20"/>
                <w:lang w:val="fr-CA"/>
              </w:rPr>
              <w:t xml:space="preserve"> </w:t>
            </w:r>
            <w:r w:rsidRPr="00ED22D1">
              <w:rPr>
                <w:kern w:val="36"/>
                <w:sz w:val="20"/>
                <w:szCs w:val="20"/>
                <w:lang w:val="fr-CA"/>
              </w:rPr>
              <w:t>d’exploitation</w:t>
            </w:r>
          </w:p>
        </w:tc>
        <w:tc>
          <w:tcPr>
            <w:tcW w:w="6374" w:type="dxa"/>
            <w:tcBorders>
              <w:right w:val="single" w:sz="4" w:space="0" w:color="auto"/>
            </w:tcBorders>
          </w:tcPr>
          <w:p w:rsidR="0085675A" w:rsidRPr="00ED22D1" w:rsidRDefault="00DB7C5D" w:rsidP="000768BB">
            <w:pPr>
              <w:tabs>
                <w:tab w:val="left" w:pos="284"/>
              </w:tabs>
              <w:spacing w:after="100" w:afterAutospacing="1"/>
              <w:jc w:val="left"/>
              <w:rPr>
                <w:kern w:val="36"/>
                <w:sz w:val="20"/>
                <w:szCs w:val="20"/>
                <w:lang w:val="fr-CA"/>
              </w:rPr>
            </w:pPr>
            <w:r w:rsidRPr="00ED22D1">
              <w:rPr>
                <w:kern w:val="36"/>
                <w:sz w:val="20"/>
                <w:szCs w:val="20"/>
                <w:lang w:val="fr-CA"/>
              </w:rPr>
              <w:t>Dépenses d’exploitation quotidiennes</w:t>
            </w:r>
            <w:r w:rsidR="0085675A" w:rsidRPr="00ED22D1">
              <w:rPr>
                <w:kern w:val="36"/>
                <w:sz w:val="20"/>
                <w:szCs w:val="20"/>
                <w:lang w:val="fr-CA"/>
              </w:rPr>
              <w:t xml:space="preserve"> (</w:t>
            </w:r>
            <w:r w:rsidR="000768BB" w:rsidRPr="00ED22D1">
              <w:rPr>
                <w:kern w:val="36"/>
                <w:sz w:val="20"/>
                <w:szCs w:val="20"/>
                <w:lang w:val="fr-CA"/>
              </w:rPr>
              <w:t>voyages au pays</w:t>
            </w:r>
            <w:r w:rsidRPr="00ED22D1">
              <w:rPr>
                <w:kern w:val="36"/>
                <w:sz w:val="20"/>
                <w:szCs w:val="20"/>
                <w:lang w:val="fr-CA"/>
              </w:rPr>
              <w:t>, réunions</w:t>
            </w:r>
            <w:r w:rsidR="0085675A" w:rsidRPr="00ED22D1">
              <w:rPr>
                <w:kern w:val="36"/>
                <w:sz w:val="20"/>
                <w:szCs w:val="20"/>
                <w:lang w:val="fr-CA"/>
              </w:rPr>
              <w:t>,</w:t>
            </w:r>
            <w:r w:rsidR="00DD185D" w:rsidRPr="00ED22D1">
              <w:rPr>
                <w:kern w:val="36"/>
                <w:sz w:val="20"/>
                <w:szCs w:val="20"/>
                <w:lang w:val="fr-CA"/>
              </w:rPr>
              <w:t xml:space="preserve"> </w:t>
            </w:r>
            <w:r w:rsidRPr="00ED22D1">
              <w:rPr>
                <w:kern w:val="36"/>
                <w:sz w:val="20"/>
                <w:szCs w:val="20"/>
                <w:lang w:val="fr-CA"/>
              </w:rPr>
              <w:t>installations de bureaux et équipements</w:t>
            </w:r>
            <w:r w:rsidR="0085675A" w:rsidRPr="00ED22D1">
              <w:rPr>
                <w:kern w:val="36"/>
                <w:sz w:val="20"/>
                <w:szCs w:val="20"/>
                <w:lang w:val="fr-CA"/>
              </w:rPr>
              <w:t xml:space="preserve">, </w:t>
            </w:r>
            <w:r w:rsidRPr="00ED22D1">
              <w:rPr>
                <w:kern w:val="36"/>
                <w:sz w:val="20"/>
                <w:szCs w:val="20"/>
                <w:lang w:val="fr-CA"/>
              </w:rPr>
              <w:t>autres</w:t>
            </w:r>
            <w:r w:rsidR="0085675A" w:rsidRPr="00ED22D1">
              <w:rPr>
                <w:kern w:val="36"/>
                <w:sz w:val="20"/>
                <w:szCs w:val="20"/>
                <w:lang w:val="fr-CA"/>
              </w:rPr>
              <w:t>)</w:t>
            </w:r>
          </w:p>
        </w:tc>
        <w:tc>
          <w:tcPr>
            <w:tcW w:w="1559" w:type="dxa"/>
            <w:tcBorders>
              <w:left w:val="single" w:sz="4" w:space="0" w:color="auto"/>
            </w:tcBorders>
            <w:vAlign w:val="center"/>
          </w:tcPr>
          <w:p w:rsidR="0085675A" w:rsidRPr="00ED22D1" w:rsidRDefault="0085675A" w:rsidP="0085675A">
            <w:pPr>
              <w:tabs>
                <w:tab w:val="left" w:pos="284"/>
              </w:tabs>
              <w:spacing w:after="100" w:afterAutospacing="1"/>
              <w:jc w:val="right"/>
              <w:rPr>
                <w:kern w:val="36"/>
                <w:sz w:val="20"/>
                <w:szCs w:val="20"/>
                <w:lang w:val="fr-CA"/>
              </w:rPr>
            </w:pPr>
            <w:r w:rsidRPr="00ED22D1">
              <w:rPr>
                <w:kern w:val="36"/>
                <w:sz w:val="20"/>
                <w:szCs w:val="20"/>
                <w:lang w:val="fr-CA"/>
              </w:rPr>
              <w:t>10</w:t>
            </w:r>
            <w:r w:rsidR="004A6828" w:rsidRPr="00ED22D1">
              <w:rPr>
                <w:kern w:val="36"/>
                <w:sz w:val="20"/>
                <w:szCs w:val="20"/>
                <w:lang w:val="fr-CA"/>
              </w:rPr>
              <w:t>6 </w:t>
            </w:r>
            <w:r w:rsidRPr="00ED22D1">
              <w:rPr>
                <w:kern w:val="36"/>
                <w:sz w:val="20"/>
                <w:szCs w:val="20"/>
                <w:lang w:val="fr-CA"/>
              </w:rPr>
              <w:t>610</w:t>
            </w:r>
          </w:p>
        </w:tc>
      </w:tr>
      <w:tr w:rsidR="0085675A" w:rsidRPr="00ED22D1" w:rsidTr="0085675A">
        <w:trPr>
          <w:jc w:val="center"/>
        </w:trPr>
        <w:tc>
          <w:tcPr>
            <w:tcW w:w="1418" w:type="dxa"/>
            <w:vAlign w:val="center"/>
          </w:tcPr>
          <w:p w:rsidR="0085675A" w:rsidRPr="00ED22D1" w:rsidRDefault="00DB7C5D" w:rsidP="00DB7C5D">
            <w:pPr>
              <w:tabs>
                <w:tab w:val="left" w:pos="284"/>
              </w:tabs>
              <w:spacing w:after="100" w:afterAutospacing="1"/>
              <w:jc w:val="left"/>
              <w:rPr>
                <w:kern w:val="36"/>
                <w:sz w:val="20"/>
                <w:szCs w:val="20"/>
                <w:lang w:val="fr-CA"/>
              </w:rPr>
            </w:pPr>
            <w:r w:rsidRPr="00ED22D1">
              <w:rPr>
                <w:kern w:val="36"/>
                <w:sz w:val="20"/>
                <w:szCs w:val="20"/>
                <w:lang w:val="fr-CA"/>
              </w:rPr>
              <w:t>S</w:t>
            </w:r>
            <w:r w:rsidR="0085675A" w:rsidRPr="00ED22D1">
              <w:rPr>
                <w:kern w:val="36"/>
                <w:sz w:val="20"/>
                <w:szCs w:val="20"/>
                <w:lang w:val="fr-CA"/>
              </w:rPr>
              <w:t>ervices</w:t>
            </w:r>
            <w:r w:rsidRPr="00ED22D1">
              <w:rPr>
                <w:kern w:val="36"/>
                <w:sz w:val="20"/>
                <w:szCs w:val="20"/>
                <w:lang w:val="fr-CA"/>
              </w:rPr>
              <w:t xml:space="preserve"> de consultation</w:t>
            </w:r>
          </w:p>
        </w:tc>
        <w:tc>
          <w:tcPr>
            <w:tcW w:w="6374" w:type="dxa"/>
            <w:tcBorders>
              <w:right w:val="single" w:sz="4" w:space="0" w:color="auto"/>
            </w:tcBorders>
          </w:tcPr>
          <w:p w:rsidR="0085675A" w:rsidRPr="00ED22D1" w:rsidRDefault="00DB7C5D" w:rsidP="00DB7C5D">
            <w:pPr>
              <w:tabs>
                <w:tab w:val="left" w:pos="284"/>
              </w:tabs>
              <w:spacing w:after="100" w:afterAutospacing="1"/>
              <w:rPr>
                <w:kern w:val="36"/>
                <w:sz w:val="20"/>
                <w:szCs w:val="20"/>
                <w:lang w:val="fr-CA"/>
              </w:rPr>
            </w:pPr>
            <w:r w:rsidRPr="00ED22D1">
              <w:rPr>
                <w:kern w:val="36"/>
                <w:sz w:val="20"/>
                <w:szCs w:val="20"/>
                <w:lang w:val="fr-CA"/>
              </w:rPr>
              <w:t>Institutions de consultation et spécialistes embauchés pour l’évaluation des projets, vérification financière et technique,</w:t>
            </w:r>
            <w:r w:rsidR="0085675A" w:rsidRPr="00ED22D1">
              <w:rPr>
                <w:kern w:val="36"/>
                <w:sz w:val="20"/>
                <w:szCs w:val="20"/>
                <w:lang w:val="fr-CA"/>
              </w:rPr>
              <w:t xml:space="preserve"> </w:t>
            </w:r>
            <w:r w:rsidRPr="00ED22D1">
              <w:rPr>
                <w:kern w:val="36"/>
                <w:sz w:val="20"/>
                <w:szCs w:val="20"/>
                <w:lang w:val="fr-CA"/>
              </w:rPr>
              <w:t>examen technique</w:t>
            </w:r>
            <w:r w:rsidR="0085675A" w:rsidRPr="00ED22D1">
              <w:rPr>
                <w:kern w:val="36"/>
                <w:sz w:val="20"/>
                <w:szCs w:val="20"/>
                <w:lang w:val="fr-CA"/>
              </w:rPr>
              <w:t xml:space="preserve">, </w:t>
            </w:r>
            <w:r w:rsidRPr="00ED22D1">
              <w:rPr>
                <w:kern w:val="36"/>
                <w:sz w:val="20"/>
                <w:szCs w:val="20"/>
                <w:lang w:val="fr-CA"/>
              </w:rPr>
              <w:t xml:space="preserve">évaluation des appels d’offres, soutien technique. Personnel à contrat </w:t>
            </w:r>
            <w:r w:rsidR="009F5E40" w:rsidRPr="00ED22D1">
              <w:rPr>
                <w:kern w:val="36"/>
                <w:sz w:val="20"/>
                <w:szCs w:val="20"/>
                <w:lang w:val="fr-CA"/>
              </w:rPr>
              <w:t>pour aider lors</w:t>
            </w:r>
            <w:r w:rsidRPr="00ED22D1">
              <w:rPr>
                <w:kern w:val="36"/>
                <w:sz w:val="20"/>
                <w:szCs w:val="20"/>
                <w:lang w:val="fr-CA"/>
              </w:rPr>
              <w:t xml:space="preserve"> des charges de travail élevées ou des événements spéciaux, comme des </w:t>
            </w:r>
            <w:r w:rsidR="00DD185D" w:rsidRPr="00ED22D1">
              <w:rPr>
                <w:kern w:val="36"/>
                <w:sz w:val="20"/>
                <w:szCs w:val="20"/>
                <w:lang w:val="fr-CA"/>
              </w:rPr>
              <w:t>réunion</w:t>
            </w:r>
            <w:r w:rsidR="0085675A" w:rsidRPr="00ED22D1">
              <w:rPr>
                <w:kern w:val="36"/>
                <w:sz w:val="20"/>
                <w:szCs w:val="20"/>
                <w:lang w:val="fr-CA"/>
              </w:rPr>
              <w:t xml:space="preserve">s, </w:t>
            </w:r>
            <w:r w:rsidRPr="00ED22D1">
              <w:rPr>
                <w:kern w:val="36"/>
                <w:sz w:val="20"/>
                <w:szCs w:val="20"/>
                <w:lang w:val="fr-CA"/>
              </w:rPr>
              <w:t>des ateliers</w:t>
            </w:r>
            <w:r w:rsidR="0085675A" w:rsidRPr="00ED22D1">
              <w:rPr>
                <w:kern w:val="36"/>
                <w:sz w:val="20"/>
                <w:szCs w:val="20"/>
                <w:lang w:val="fr-CA"/>
              </w:rPr>
              <w:t>,</w:t>
            </w:r>
            <w:r w:rsidR="004A6828" w:rsidRPr="00ED22D1">
              <w:rPr>
                <w:kern w:val="36"/>
                <w:sz w:val="20"/>
                <w:szCs w:val="20"/>
                <w:lang w:val="fr-CA"/>
              </w:rPr>
              <w:t xml:space="preserve"> et </w:t>
            </w:r>
            <w:r w:rsidRPr="00ED22D1">
              <w:rPr>
                <w:kern w:val="36"/>
                <w:sz w:val="20"/>
                <w:szCs w:val="20"/>
                <w:lang w:val="fr-CA"/>
              </w:rPr>
              <w:t>coûts de traduction</w:t>
            </w:r>
            <w:r w:rsidR="0085675A" w:rsidRPr="00ED22D1">
              <w:rPr>
                <w:kern w:val="36"/>
                <w:sz w:val="20"/>
                <w:szCs w:val="20"/>
                <w:lang w:val="fr-CA"/>
              </w:rPr>
              <w:t>.</w:t>
            </w:r>
          </w:p>
        </w:tc>
        <w:tc>
          <w:tcPr>
            <w:tcW w:w="1559" w:type="dxa"/>
            <w:tcBorders>
              <w:left w:val="single" w:sz="4" w:space="0" w:color="auto"/>
            </w:tcBorders>
            <w:vAlign w:val="center"/>
          </w:tcPr>
          <w:p w:rsidR="0085675A" w:rsidRPr="00ED22D1" w:rsidRDefault="0085675A" w:rsidP="0085675A">
            <w:pPr>
              <w:tabs>
                <w:tab w:val="left" w:pos="284"/>
              </w:tabs>
              <w:spacing w:after="100" w:afterAutospacing="1"/>
              <w:jc w:val="right"/>
              <w:rPr>
                <w:kern w:val="36"/>
                <w:sz w:val="20"/>
                <w:szCs w:val="20"/>
                <w:lang w:val="fr-CA"/>
              </w:rPr>
            </w:pPr>
            <w:r w:rsidRPr="00ED22D1">
              <w:rPr>
                <w:kern w:val="36"/>
                <w:sz w:val="20"/>
                <w:szCs w:val="20"/>
                <w:lang w:val="fr-CA"/>
              </w:rPr>
              <w:t>10</w:t>
            </w:r>
            <w:r w:rsidR="004A6828" w:rsidRPr="00ED22D1">
              <w:rPr>
                <w:kern w:val="36"/>
                <w:sz w:val="20"/>
                <w:szCs w:val="20"/>
                <w:lang w:val="fr-CA"/>
              </w:rPr>
              <w:t>5 </w:t>
            </w:r>
            <w:r w:rsidRPr="00ED22D1">
              <w:rPr>
                <w:kern w:val="36"/>
                <w:sz w:val="20"/>
                <w:szCs w:val="20"/>
                <w:lang w:val="fr-CA"/>
              </w:rPr>
              <w:t>425</w:t>
            </w:r>
          </w:p>
        </w:tc>
      </w:tr>
      <w:tr w:rsidR="0085675A" w:rsidRPr="00ED22D1" w:rsidTr="0085675A">
        <w:trPr>
          <w:trHeight w:val="282"/>
          <w:jc w:val="center"/>
        </w:trPr>
        <w:tc>
          <w:tcPr>
            <w:tcW w:w="7792" w:type="dxa"/>
            <w:gridSpan w:val="2"/>
            <w:tcBorders>
              <w:right w:val="single" w:sz="4" w:space="0" w:color="auto"/>
            </w:tcBorders>
            <w:vAlign w:val="center"/>
          </w:tcPr>
          <w:p w:rsidR="0085675A" w:rsidRPr="00ED22D1" w:rsidRDefault="0085675A" w:rsidP="00DB7C5D">
            <w:pPr>
              <w:tabs>
                <w:tab w:val="left" w:pos="284"/>
              </w:tabs>
              <w:spacing w:after="100" w:afterAutospacing="1"/>
              <w:jc w:val="left"/>
              <w:rPr>
                <w:b/>
                <w:kern w:val="36"/>
                <w:sz w:val="20"/>
                <w:szCs w:val="20"/>
                <w:lang w:val="fr-CA"/>
              </w:rPr>
            </w:pPr>
            <w:r w:rsidRPr="00ED22D1">
              <w:rPr>
                <w:b/>
                <w:kern w:val="36"/>
                <w:sz w:val="20"/>
                <w:szCs w:val="20"/>
                <w:lang w:val="fr-CA"/>
              </w:rPr>
              <w:t xml:space="preserve">Total </w:t>
            </w:r>
            <w:r w:rsidR="00DB7C5D" w:rsidRPr="00ED22D1">
              <w:rPr>
                <w:b/>
                <w:kern w:val="36"/>
                <w:sz w:val="20"/>
                <w:szCs w:val="20"/>
                <w:lang w:val="fr-CA"/>
              </w:rPr>
              <w:t xml:space="preserve">des dépenses des </w:t>
            </w:r>
            <w:r w:rsidRPr="00ED22D1">
              <w:rPr>
                <w:b/>
                <w:kern w:val="36"/>
                <w:sz w:val="20"/>
                <w:szCs w:val="20"/>
                <w:lang w:val="fr-CA"/>
              </w:rPr>
              <w:t xml:space="preserve">PMU </w:t>
            </w:r>
            <w:r w:rsidR="00DB7C5D" w:rsidRPr="00ED22D1">
              <w:rPr>
                <w:b/>
                <w:kern w:val="36"/>
                <w:sz w:val="20"/>
                <w:szCs w:val="20"/>
                <w:lang w:val="fr-CA"/>
              </w:rPr>
              <w:t xml:space="preserve">décaissées à la </w:t>
            </w:r>
            <w:r w:rsidRPr="00ED22D1">
              <w:rPr>
                <w:b/>
                <w:kern w:val="36"/>
                <w:sz w:val="20"/>
                <w:szCs w:val="20"/>
                <w:lang w:val="fr-CA"/>
              </w:rPr>
              <w:t>tranche 1</w:t>
            </w:r>
            <w:r w:rsidR="004A6828" w:rsidRPr="00ED22D1">
              <w:rPr>
                <w:b/>
                <w:kern w:val="36"/>
                <w:sz w:val="20"/>
                <w:szCs w:val="20"/>
                <w:lang w:val="fr-CA"/>
              </w:rPr>
              <w:t xml:space="preserve"> et </w:t>
            </w:r>
            <w:r w:rsidR="00DB7C5D" w:rsidRPr="00ED22D1">
              <w:rPr>
                <w:b/>
                <w:kern w:val="36"/>
                <w:sz w:val="20"/>
                <w:szCs w:val="20"/>
                <w:lang w:val="fr-CA"/>
              </w:rPr>
              <w:t xml:space="preserve">la </w:t>
            </w:r>
            <w:r w:rsidRPr="00ED22D1">
              <w:rPr>
                <w:b/>
                <w:kern w:val="36"/>
                <w:sz w:val="20"/>
                <w:szCs w:val="20"/>
                <w:lang w:val="fr-CA"/>
              </w:rPr>
              <w:t>tranche 2</w:t>
            </w:r>
          </w:p>
        </w:tc>
        <w:tc>
          <w:tcPr>
            <w:tcW w:w="1559" w:type="dxa"/>
            <w:tcBorders>
              <w:left w:val="single" w:sz="4" w:space="0" w:color="auto"/>
            </w:tcBorders>
            <w:vAlign w:val="center"/>
          </w:tcPr>
          <w:p w:rsidR="0085675A" w:rsidRPr="00ED22D1" w:rsidRDefault="0085675A" w:rsidP="0085675A">
            <w:pPr>
              <w:tabs>
                <w:tab w:val="left" w:pos="284"/>
              </w:tabs>
              <w:spacing w:after="100" w:afterAutospacing="1"/>
              <w:jc w:val="right"/>
              <w:rPr>
                <w:b/>
                <w:kern w:val="36"/>
                <w:sz w:val="20"/>
                <w:szCs w:val="20"/>
                <w:lang w:val="fr-CA"/>
              </w:rPr>
            </w:pPr>
            <w:r w:rsidRPr="00ED22D1">
              <w:rPr>
                <w:b/>
                <w:kern w:val="36"/>
                <w:sz w:val="20"/>
                <w:szCs w:val="20"/>
                <w:lang w:val="fr-CA"/>
              </w:rPr>
              <w:t>42</w:t>
            </w:r>
            <w:r w:rsidR="004A6828" w:rsidRPr="00ED22D1">
              <w:rPr>
                <w:b/>
                <w:kern w:val="36"/>
                <w:sz w:val="20"/>
                <w:szCs w:val="20"/>
                <w:lang w:val="fr-CA"/>
              </w:rPr>
              <w:t>3 </w:t>
            </w:r>
            <w:r w:rsidRPr="00ED22D1">
              <w:rPr>
                <w:b/>
                <w:kern w:val="36"/>
                <w:sz w:val="20"/>
                <w:szCs w:val="20"/>
                <w:lang w:val="fr-CA"/>
              </w:rPr>
              <w:t>279</w:t>
            </w:r>
          </w:p>
        </w:tc>
      </w:tr>
    </w:tbl>
    <w:p w:rsidR="0085675A" w:rsidRPr="00ED22D1" w:rsidRDefault="0085675A" w:rsidP="0085675A">
      <w:pPr>
        <w:pStyle w:val="Heading1"/>
        <w:numPr>
          <w:ilvl w:val="0"/>
          <w:numId w:val="0"/>
        </w:numPr>
        <w:spacing w:after="0"/>
        <w:rPr>
          <w:u w:val="single"/>
          <w:lang w:val="fr-CA"/>
        </w:rPr>
      </w:pPr>
    </w:p>
    <w:p w:rsidR="0085675A" w:rsidRPr="00ED22D1" w:rsidRDefault="00DB7C5D" w:rsidP="0085675A">
      <w:pPr>
        <w:pStyle w:val="Heading1"/>
        <w:keepNext/>
        <w:keepLines/>
        <w:numPr>
          <w:ilvl w:val="0"/>
          <w:numId w:val="0"/>
        </w:numPr>
        <w:rPr>
          <w:lang w:val="fr-CA"/>
        </w:rPr>
      </w:pPr>
      <w:r w:rsidRPr="00ED22D1">
        <w:rPr>
          <w:u w:val="single"/>
          <w:lang w:val="fr-CA"/>
        </w:rPr>
        <w:t>Intérêts</w:t>
      </w:r>
    </w:p>
    <w:p w:rsidR="0085675A" w:rsidRPr="00ED22D1" w:rsidRDefault="002D2C0B" w:rsidP="002D2C0B">
      <w:pPr>
        <w:pStyle w:val="Heading1"/>
        <w:keepNext/>
        <w:keepLines/>
        <w:numPr>
          <w:ilvl w:val="0"/>
          <w:numId w:val="0"/>
        </w:numPr>
        <w:rPr>
          <w:lang w:val="fr-CA"/>
        </w:rPr>
      </w:pPr>
      <w:r w:rsidRPr="00ED22D1">
        <w:rPr>
          <w:lang w:val="fr-CA"/>
        </w:rPr>
        <w:t>72.</w:t>
      </w:r>
      <w:r w:rsidRPr="00ED22D1">
        <w:rPr>
          <w:lang w:val="fr-CA"/>
        </w:rPr>
        <w:tab/>
      </w:r>
      <w:r w:rsidR="00DB7C5D" w:rsidRPr="00ED22D1">
        <w:rPr>
          <w:lang w:val="fr-CA"/>
        </w:rPr>
        <w:t>L’i</w:t>
      </w:r>
      <w:r w:rsidR="0085675A" w:rsidRPr="00ED22D1">
        <w:rPr>
          <w:lang w:val="fr-CA"/>
        </w:rPr>
        <w:t xml:space="preserve">nformation </w:t>
      </w:r>
      <w:r w:rsidR="00DB7C5D" w:rsidRPr="00ED22D1">
        <w:rPr>
          <w:lang w:val="fr-CA"/>
        </w:rPr>
        <w:t>sur les</w:t>
      </w:r>
      <w:r w:rsidR="0085675A" w:rsidRPr="00ED22D1">
        <w:rPr>
          <w:lang w:val="fr-CA"/>
        </w:rPr>
        <w:t xml:space="preserve"> </w:t>
      </w:r>
      <w:r w:rsidR="00DB7C5D" w:rsidRPr="00ED22D1">
        <w:rPr>
          <w:lang w:val="fr-CA"/>
        </w:rPr>
        <w:t>intérêts</w:t>
      </w:r>
      <w:r w:rsidR="0085675A" w:rsidRPr="00ED22D1">
        <w:rPr>
          <w:lang w:val="fr-CA"/>
        </w:rPr>
        <w:t xml:space="preserve"> </w:t>
      </w:r>
      <w:r w:rsidR="00DB7C5D" w:rsidRPr="00ED22D1">
        <w:rPr>
          <w:lang w:val="fr-CA"/>
        </w:rPr>
        <w:t xml:space="preserve">courus sur </w:t>
      </w:r>
      <w:r w:rsidR="00393F6B" w:rsidRPr="00ED22D1">
        <w:rPr>
          <w:lang w:val="fr-CA"/>
        </w:rPr>
        <w:t>le financement</w:t>
      </w:r>
      <w:r w:rsidR="0085675A" w:rsidRPr="00ED22D1">
        <w:rPr>
          <w:lang w:val="fr-CA"/>
        </w:rPr>
        <w:t xml:space="preserve"> </w:t>
      </w:r>
      <w:r w:rsidR="00AA6E77" w:rsidRPr="00ED22D1">
        <w:rPr>
          <w:lang w:val="fr-CA"/>
        </w:rPr>
        <w:t>approuvé</w:t>
      </w:r>
      <w:r w:rsidR="0085675A" w:rsidRPr="00ED22D1">
        <w:rPr>
          <w:lang w:val="fr-CA"/>
        </w:rPr>
        <w:t xml:space="preserve"> </w:t>
      </w:r>
      <w:r w:rsidR="00DB7C5D" w:rsidRPr="00ED22D1">
        <w:rPr>
          <w:lang w:val="fr-CA"/>
        </w:rPr>
        <w:t>pour les plans sectoriels d</w:t>
      </w:r>
      <w:r w:rsidR="001F19C1" w:rsidRPr="00ED22D1">
        <w:rPr>
          <w:lang w:val="fr-CA"/>
        </w:rPr>
        <w:t>u</w:t>
      </w:r>
      <w:r w:rsidR="009F5E40" w:rsidRPr="00ED22D1">
        <w:rPr>
          <w:lang w:val="fr-CA"/>
        </w:rPr>
        <w:t xml:space="preserve"> </w:t>
      </w:r>
      <w:r w:rsidR="001F19C1" w:rsidRPr="00ED22D1">
        <w:rPr>
          <w:lang w:val="fr-CA"/>
        </w:rPr>
        <w:t>PGEH</w:t>
      </w:r>
      <w:r w:rsidR="0085675A" w:rsidRPr="00ED22D1">
        <w:rPr>
          <w:lang w:val="fr-CA"/>
        </w:rPr>
        <w:t xml:space="preserve"> </w:t>
      </w:r>
      <w:r w:rsidR="001B31BF" w:rsidRPr="00ED22D1">
        <w:rPr>
          <w:lang w:val="fr-CA"/>
        </w:rPr>
        <w:t>de la Chine</w:t>
      </w:r>
      <w:r w:rsidR="00903152" w:rsidRPr="00ED22D1">
        <w:rPr>
          <w:lang w:val="fr-CA"/>
        </w:rPr>
        <w:t xml:space="preserve"> est</w:t>
      </w:r>
      <w:r w:rsidR="00DB7C5D" w:rsidRPr="00ED22D1">
        <w:rPr>
          <w:lang w:val="fr-CA"/>
        </w:rPr>
        <w:t xml:space="preserve"> fournie à chaque dernière réunion de l’année qui suit une demande de vérification financière</w:t>
      </w:r>
      <w:r w:rsidR="0031390F" w:rsidRPr="00ED22D1">
        <w:rPr>
          <w:lang w:val="fr-CA"/>
        </w:rPr>
        <w:t>. Le</w:t>
      </w:r>
      <w:r w:rsidR="00DB7C5D" w:rsidRPr="00ED22D1">
        <w:rPr>
          <w:lang w:val="fr-CA"/>
        </w:rPr>
        <w:t xml:space="preserve">s informations sur les intérêts courus en </w:t>
      </w:r>
      <w:r w:rsidR="0052712E" w:rsidRPr="00ED22D1">
        <w:rPr>
          <w:lang w:val="fr-CA"/>
        </w:rPr>
        <w:t>20</w:t>
      </w:r>
      <w:r w:rsidR="0085675A" w:rsidRPr="00ED22D1">
        <w:rPr>
          <w:lang w:val="fr-CA"/>
        </w:rPr>
        <w:t xml:space="preserve">18 </w:t>
      </w:r>
      <w:r w:rsidR="00DB7C5D" w:rsidRPr="00ED22D1">
        <w:rPr>
          <w:lang w:val="fr-CA"/>
        </w:rPr>
        <w:t>seront présenté</w:t>
      </w:r>
      <w:r w:rsidR="00616B46" w:rsidRPr="00ED22D1">
        <w:rPr>
          <w:lang w:val="fr-CA"/>
        </w:rPr>
        <w:t>e</w:t>
      </w:r>
      <w:r w:rsidR="00DB7C5D" w:rsidRPr="00ED22D1">
        <w:rPr>
          <w:lang w:val="fr-CA"/>
        </w:rPr>
        <w:t>s à la 8</w:t>
      </w:r>
      <w:r w:rsidR="0085675A" w:rsidRPr="00ED22D1">
        <w:rPr>
          <w:lang w:val="fr-CA"/>
        </w:rPr>
        <w:t>4</w:t>
      </w:r>
      <w:r w:rsidR="00DB7C5D" w:rsidRPr="00ED22D1">
        <w:rPr>
          <w:vertAlign w:val="superscript"/>
          <w:lang w:val="fr-CA"/>
        </w:rPr>
        <w:t>e</w:t>
      </w:r>
      <w:r w:rsidR="00DB7C5D" w:rsidRPr="00ED22D1">
        <w:rPr>
          <w:lang w:val="fr-CA"/>
        </w:rPr>
        <w:t xml:space="preserve"> </w:t>
      </w:r>
      <w:r w:rsidR="00DD185D" w:rsidRPr="00ED22D1">
        <w:rPr>
          <w:lang w:val="fr-CA"/>
        </w:rPr>
        <w:t>réunion</w:t>
      </w:r>
      <w:r w:rsidR="0085675A" w:rsidRPr="00ED22D1">
        <w:rPr>
          <w:lang w:val="fr-CA"/>
        </w:rPr>
        <w:t>.</w:t>
      </w:r>
    </w:p>
    <w:p w:rsidR="0085675A" w:rsidRPr="00ED22D1" w:rsidRDefault="00B84F94" w:rsidP="0085675A">
      <w:pPr>
        <w:keepNext/>
        <w:keepLines/>
        <w:rPr>
          <w:u w:val="single"/>
          <w:lang w:val="fr-CA"/>
        </w:rPr>
      </w:pPr>
      <w:r w:rsidRPr="00ED22D1">
        <w:rPr>
          <w:u w:val="single"/>
          <w:lang w:val="fr-CA"/>
        </w:rPr>
        <w:t>Durabilité</w:t>
      </w:r>
      <w:r w:rsidR="0085675A" w:rsidRPr="00ED22D1">
        <w:rPr>
          <w:u w:val="single"/>
          <w:lang w:val="fr-CA"/>
        </w:rPr>
        <w:t xml:space="preserve"> </w:t>
      </w:r>
      <w:r w:rsidR="00DB7C5D" w:rsidRPr="00ED22D1">
        <w:rPr>
          <w:u w:val="single"/>
          <w:lang w:val="fr-CA"/>
        </w:rPr>
        <w:t xml:space="preserve">de l’élimination des </w:t>
      </w:r>
      <w:r w:rsidR="0085675A" w:rsidRPr="00ED22D1">
        <w:rPr>
          <w:u w:val="single"/>
          <w:lang w:val="fr-CA"/>
        </w:rPr>
        <w:t xml:space="preserve">HCFC </w:t>
      </w:r>
    </w:p>
    <w:p w:rsidR="0085675A" w:rsidRPr="00ED22D1" w:rsidRDefault="0085675A" w:rsidP="0085675A">
      <w:pPr>
        <w:keepNext/>
        <w:keepLines/>
        <w:rPr>
          <w:u w:val="single"/>
          <w:lang w:val="fr-CA"/>
        </w:rPr>
      </w:pPr>
    </w:p>
    <w:p w:rsidR="0085675A" w:rsidRPr="00ED22D1" w:rsidRDefault="002D2C0B" w:rsidP="002D2C0B">
      <w:pPr>
        <w:pStyle w:val="Heading1"/>
        <w:numPr>
          <w:ilvl w:val="0"/>
          <w:numId w:val="0"/>
        </w:numPr>
        <w:rPr>
          <w:lang w:val="fr-CA"/>
        </w:rPr>
      </w:pPr>
      <w:r w:rsidRPr="00ED22D1">
        <w:rPr>
          <w:lang w:val="fr-CA"/>
        </w:rPr>
        <w:t>73.</w:t>
      </w:r>
      <w:r w:rsidRPr="00ED22D1">
        <w:rPr>
          <w:lang w:val="fr-CA"/>
        </w:rPr>
        <w:tab/>
      </w:r>
      <w:r w:rsidR="00DB7C5D" w:rsidRPr="00ED22D1">
        <w:rPr>
          <w:lang w:val="fr-CA"/>
        </w:rPr>
        <w:t>En expliquant comment le cadre stratégique et la mise à exécution seront renforcés afin de</w:t>
      </w:r>
      <w:r w:rsidR="00614F6B" w:rsidRPr="00ED22D1">
        <w:rPr>
          <w:lang w:val="fr-CA"/>
        </w:rPr>
        <w:t> </w:t>
      </w:r>
      <w:r w:rsidR="00DB7C5D" w:rsidRPr="00ED22D1">
        <w:rPr>
          <w:lang w:val="fr-CA"/>
        </w:rPr>
        <w:t xml:space="preserve">s’assurer de l’élimination durable des </w:t>
      </w:r>
      <w:r w:rsidR="0085675A" w:rsidRPr="00ED22D1">
        <w:rPr>
          <w:lang w:val="fr-CA"/>
        </w:rPr>
        <w:t>HCFC</w:t>
      </w:r>
      <w:r w:rsidR="00DB7C5D" w:rsidRPr="00ED22D1">
        <w:rPr>
          <w:lang w:val="fr-CA"/>
        </w:rPr>
        <w:t xml:space="preserve"> dans le secteur des </w:t>
      </w:r>
      <w:r w:rsidR="001279D7" w:rsidRPr="00ED22D1">
        <w:rPr>
          <w:lang w:val="fr-CA"/>
        </w:rPr>
        <w:t xml:space="preserve">mousses extrudées </w:t>
      </w:r>
      <w:r w:rsidR="00921BDE" w:rsidRPr="00ED22D1">
        <w:rPr>
          <w:lang w:val="fr-CA"/>
        </w:rPr>
        <w:t>(XPS)</w:t>
      </w:r>
      <w:r w:rsidR="00733306" w:rsidRPr="00ED22D1">
        <w:rPr>
          <w:lang w:val="fr-CA"/>
        </w:rPr>
        <w:t>,</w:t>
      </w:r>
      <w:r w:rsidR="001F19C1" w:rsidRPr="00ED22D1">
        <w:rPr>
          <w:lang w:val="fr-CA"/>
        </w:rPr>
        <w:t xml:space="preserve"> l’ONUDI</w:t>
      </w:r>
      <w:r w:rsidR="0085675A" w:rsidRPr="00ED22D1">
        <w:rPr>
          <w:lang w:val="fr-CA"/>
        </w:rPr>
        <w:t xml:space="preserve"> </w:t>
      </w:r>
      <w:r w:rsidR="00DB7C5D" w:rsidRPr="00ED22D1">
        <w:rPr>
          <w:lang w:val="fr-CA"/>
        </w:rPr>
        <w:t>a</w:t>
      </w:r>
      <w:r w:rsidR="00614F6B" w:rsidRPr="00ED22D1">
        <w:rPr>
          <w:lang w:val="fr-CA"/>
        </w:rPr>
        <w:t> </w:t>
      </w:r>
      <w:r w:rsidR="00DB7C5D" w:rsidRPr="00ED22D1">
        <w:rPr>
          <w:lang w:val="fr-CA"/>
        </w:rPr>
        <w:t xml:space="preserve">indiqué que </w:t>
      </w:r>
      <w:r w:rsidR="00921BDE" w:rsidRPr="00ED22D1">
        <w:rPr>
          <w:lang w:val="fr-CA"/>
        </w:rPr>
        <w:t>le gouvernement</w:t>
      </w:r>
      <w:r w:rsidR="001F19C1" w:rsidRPr="00ED22D1">
        <w:rPr>
          <w:lang w:val="fr-CA"/>
        </w:rPr>
        <w:t xml:space="preserve"> </w:t>
      </w:r>
      <w:r w:rsidR="00181884" w:rsidRPr="00ED22D1">
        <w:rPr>
          <w:lang w:val="fr-CA"/>
        </w:rPr>
        <w:t>de la Chine</w:t>
      </w:r>
      <w:r w:rsidR="0085675A" w:rsidRPr="00ED22D1">
        <w:rPr>
          <w:lang w:val="fr-CA"/>
        </w:rPr>
        <w:t xml:space="preserve"> </w:t>
      </w:r>
      <w:r w:rsidR="00DB7C5D" w:rsidRPr="00ED22D1">
        <w:rPr>
          <w:lang w:val="fr-CA"/>
        </w:rPr>
        <w:t xml:space="preserve">décréterait l’interdiction d’utiliser des </w:t>
      </w:r>
      <w:r w:rsidR="00181884" w:rsidRPr="00ED22D1">
        <w:rPr>
          <w:lang w:val="fr-CA"/>
        </w:rPr>
        <w:t>HCFC</w:t>
      </w:r>
      <w:r w:rsidR="0085675A" w:rsidRPr="00ED22D1">
        <w:rPr>
          <w:lang w:val="fr-CA"/>
        </w:rPr>
        <w:t xml:space="preserve"> </w:t>
      </w:r>
      <w:r w:rsidR="0090348E">
        <w:rPr>
          <w:lang w:val="fr-CA"/>
        </w:rPr>
        <w:t xml:space="preserve">comme agent de </w:t>
      </w:r>
      <w:r w:rsidR="00DB7C5D" w:rsidRPr="00ED22D1">
        <w:rPr>
          <w:lang w:val="fr-CA"/>
        </w:rPr>
        <w:t>gonflage avant</w:t>
      </w:r>
      <w:r w:rsidR="0085675A" w:rsidRPr="00ED22D1">
        <w:rPr>
          <w:lang w:val="fr-CA"/>
        </w:rPr>
        <w:t xml:space="preserve"> </w:t>
      </w:r>
      <w:r w:rsidR="00733306" w:rsidRPr="00ED22D1">
        <w:rPr>
          <w:lang w:val="fr-CA"/>
        </w:rPr>
        <w:t>l’élimination totale</w:t>
      </w:r>
      <w:r w:rsidR="0085675A" w:rsidRPr="00ED22D1">
        <w:rPr>
          <w:lang w:val="fr-CA"/>
        </w:rPr>
        <w:t xml:space="preserve"> </w:t>
      </w:r>
      <w:r w:rsidR="00DB7C5D" w:rsidRPr="00ED22D1">
        <w:rPr>
          <w:lang w:val="fr-CA"/>
        </w:rPr>
        <w:t>des</w:t>
      </w:r>
      <w:r w:rsidR="0085675A" w:rsidRPr="00ED22D1">
        <w:rPr>
          <w:lang w:val="fr-CA"/>
        </w:rPr>
        <w:t xml:space="preserve"> </w:t>
      </w:r>
      <w:r w:rsidR="00181884" w:rsidRPr="00ED22D1">
        <w:rPr>
          <w:lang w:val="fr-CA"/>
        </w:rPr>
        <w:t>HCFC</w:t>
      </w:r>
      <w:r w:rsidR="0085675A" w:rsidRPr="00ED22D1">
        <w:rPr>
          <w:lang w:val="fr-CA"/>
        </w:rPr>
        <w:t xml:space="preserve">. </w:t>
      </w:r>
      <w:r w:rsidR="00DB7C5D" w:rsidRPr="00ED22D1">
        <w:rPr>
          <w:lang w:val="fr-CA"/>
        </w:rPr>
        <w:t xml:space="preserve">En outre, conformément à la </w:t>
      </w:r>
      <w:r w:rsidR="00AA6E77" w:rsidRPr="00ED22D1">
        <w:rPr>
          <w:lang w:val="fr-CA"/>
        </w:rPr>
        <w:t>décision</w:t>
      </w:r>
      <w:r w:rsidR="0085675A" w:rsidRPr="00ED22D1">
        <w:rPr>
          <w:lang w:val="fr-CA"/>
        </w:rPr>
        <w:t> 82/6</w:t>
      </w:r>
      <w:r w:rsidR="004A6828" w:rsidRPr="00ED22D1">
        <w:rPr>
          <w:lang w:val="fr-CA"/>
        </w:rPr>
        <w:t>5</w:t>
      </w:r>
      <w:r w:rsidR="00DB7C5D" w:rsidRPr="00ED22D1">
        <w:rPr>
          <w:lang w:val="fr-CA"/>
        </w:rPr>
        <w:t>,</w:t>
      </w:r>
      <w:r w:rsidR="004A6828" w:rsidRPr="00ED22D1">
        <w:rPr>
          <w:lang w:val="fr-CA"/>
        </w:rPr>
        <w:t> </w:t>
      </w:r>
      <w:r w:rsidR="00921BDE" w:rsidRPr="00ED22D1">
        <w:rPr>
          <w:lang w:val="fr-CA"/>
        </w:rPr>
        <w:t>le</w:t>
      </w:r>
      <w:r w:rsidR="0090348E">
        <w:rPr>
          <w:lang w:val="fr-CA"/>
        </w:rPr>
        <w:t xml:space="preserve"> </w:t>
      </w:r>
      <w:r w:rsidR="00921BDE" w:rsidRPr="00ED22D1">
        <w:rPr>
          <w:lang w:val="fr-CA"/>
        </w:rPr>
        <w:t>gouvernement</w:t>
      </w:r>
      <w:r w:rsidR="001F19C1" w:rsidRPr="00ED22D1">
        <w:rPr>
          <w:lang w:val="fr-CA"/>
        </w:rPr>
        <w:t xml:space="preserve"> </w:t>
      </w:r>
      <w:r w:rsidR="00181884" w:rsidRPr="00ED22D1">
        <w:rPr>
          <w:lang w:val="fr-CA"/>
        </w:rPr>
        <w:t>de la Chine</w:t>
      </w:r>
      <w:r w:rsidR="00DB7C5D" w:rsidRPr="00ED22D1">
        <w:rPr>
          <w:lang w:val="fr-CA"/>
        </w:rPr>
        <w:t xml:space="preserve"> </w:t>
      </w:r>
      <w:r w:rsidR="0085675A" w:rsidRPr="00ED22D1">
        <w:rPr>
          <w:lang w:val="fr-CA"/>
        </w:rPr>
        <w:t xml:space="preserve">a </w:t>
      </w:r>
      <w:r w:rsidR="00FB1DC4" w:rsidRPr="00ED22D1">
        <w:rPr>
          <w:lang w:val="fr-CA"/>
        </w:rPr>
        <w:t>présenté</w:t>
      </w:r>
      <w:r w:rsidR="0085675A" w:rsidRPr="00ED22D1">
        <w:rPr>
          <w:lang w:val="fr-CA"/>
        </w:rPr>
        <w:t xml:space="preserve"> </w:t>
      </w:r>
      <w:r w:rsidR="00DB7C5D" w:rsidRPr="00ED22D1">
        <w:rPr>
          <w:lang w:val="fr-CA"/>
        </w:rPr>
        <w:t>à la présente réunion la revue des systèmes actuels de suivi, de</w:t>
      </w:r>
      <w:r w:rsidR="00614F6B" w:rsidRPr="00ED22D1">
        <w:rPr>
          <w:lang w:val="fr-CA"/>
        </w:rPr>
        <w:t> </w:t>
      </w:r>
      <w:r w:rsidR="00DB7C5D" w:rsidRPr="00ED22D1">
        <w:rPr>
          <w:lang w:val="fr-CA"/>
        </w:rPr>
        <w:t xml:space="preserve">présentation de rapports, de </w:t>
      </w:r>
      <w:r w:rsidR="00921BDE" w:rsidRPr="00ED22D1">
        <w:rPr>
          <w:lang w:val="fr-CA"/>
        </w:rPr>
        <w:t>vérification</w:t>
      </w:r>
      <w:r w:rsidR="004A6828" w:rsidRPr="00ED22D1">
        <w:rPr>
          <w:lang w:val="fr-CA"/>
        </w:rPr>
        <w:t xml:space="preserve"> et </w:t>
      </w:r>
      <w:r w:rsidR="00DB7C5D" w:rsidRPr="00ED22D1">
        <w:rPr>
          <w:lang w:val="fr-CA"/>
        </w:rPr>
        <w:t xml:space="preserve">de mise à exécution dans le cadre des plans de gestion de </w:t>
      </w:r>
      <w:r w:rsidR="00DB7C5D" w:rsidRPr="00ED22D1">
        <w:rPr>
          <w:lang w:val="fr-CA"/>
        </w:rPr>
        <w:lastRenderedPageBreak/>
        <w:t xml:space="preserve">l’élimination de la production et de </w:t>
      </w:r>
      <w:r w:rsidR="00AD0203" w:rsidRPr="00ED22D1">
        <w:rPr>
          <w:lang w:val="fr-CA"/>
        </w:rPr>
        <w:t>la consommation</w:t>
      </w:r>
      <w:r w:rsidR="00921BDE" w:rsidRPr="00ED22D1">
        <w:rPr>
          <w:lang w:val="fr-CA"/>
        </w:rPr>
        <w:t xml:space="preserve"> de HCFC</w:t>
      </w:r>
      <w:r w:rsidR="0085675A" w:rsidRPr="00ED22D1">
        <w:rPr>
          <w:lang w:val="fr-CA"/>
        </w:rPr>
        <w:t xml:space="preserve"> (</w:t>
      </w:r>
      <w:r w:rsidR="00DD185D" w:rsidRPr="00ED22D1">
        <w:rPr>
          <w:lang w:val="fr-CA"/>
        </w:rPr>
        <w:t>PGEH</w:t>
      </w:r>
      <w:r w:rsidR="004A6828" w:rsidRPr="00ED22D1">
        <w:rPr>
          <w:lang w:val="fr-CA"/>
        </w:rPr>
        <w:t xml:space="preserve"> et </w:t>
      </w:r>
      <w:r w:rsidR="00EB64A9" w:rsidRPr="00ED22D1">
        <w:rPr>
          <w:lang w:val="fr-CA"/>
        </w:rPr>
        <w:t>PGEPH</w:t>
      </w:r>
      <w:r w:rsidR="0085675A" w:rsidRPr="00ED22D1">
        <w:rPr>
          <w:lang w:val="fr-CA"/>
        </w:rPr>
        <w:t>),</w:t>
      </w:r>
      <w:r w:rsidR="0085675A" w:rsidRPr="00ED22D1">
        <w:rPr>
          <w:rStyle w:val="FootnoteReference"/>
          <w:lang w:val="fr-CA"/>
        </w:rPr>
        <w:footnoteReference w:id="11"/>
      </w:r>
      <w:r w:rsidR="0085675A" w:rsidRPr="00ED22D1">
        <w:rPr>
          <w:lang w:val="fr-CA"/>
        </w:rPr>
        <w:t xml:space="preserve"> </w:t>
      </w:r>
      <w:r w:rsidR="004B666A" w:rsidRPr="00ED22D1">
        <w:rPr>
          <w:lang w:val="fr-CA"/>
        </w:rPr>
        <w:t>y compris</w:t>
      </w:r>
      <w:r w:rsidR="0085675A" w:rsidRPr="00ED22D1">
        <w:rPr>
          <w:lang w:val="fr-CA"/>
        </w:rPr>
        <w:t xml:space="preserve"> </w:t>
      </w:r>
      <w:r w:rsidR="00DB7C5D" w:rsidRPr="00ED22D1">
        <w:rPr>
          <w:lang w:val="fr-CA"/>
        </w:rPr>
        <w:t xml:space="preserve">le plan </w:t>
      </w:r>
      <w:r w:rsidR="005417A8" w:rsidRPr="00ED22D1">
        <w:rPr>
          <w:lang w:val="fr-CA"/>
        </w:rPr>
        <w:t>d’</w:t>
      </w:r>
      <w:r w:rsidR="00DB7C5D" w:rsidRPr="00ED22D1">
        <w:rPr>
          <w:lang w:val="fr-CA"/>
        </w:rPr>
        <w:t>action visant à renforcer les lois et leur mise en oeuvre</w:t>
      </w:r>
      <w:r w:rsidR="0085675A" w:rsidRPr="00ED22D1">
        <w:rPr>
          <w:lang w:val="fr-CA"/>
        </w:rPr>
        <w:t>.</w:t>
      </w:r>
    </w:p>
    <w:p w:rsidR="0085675A" w:rsidRPr="00ED22D1" w:rsidRDefault="0085675A" w:rsidP="0085675A">
      <w:pPr>
        <w:keepNext/>
        <w:keepLines/>
        <w:rPr>
          <w:lang w:val="fr-CA"/>
        </w:rPr>
      </w:pPr>
      <w:r w:rsidRPr="00ED22D1">
        <w:rPr>
          <w:u w:val="single"/>
          <w:lang w:val="fr-CA"/>
        </w:rPr>
        <w:t>Conclusion</w:t>
      </w:r>
      <w:r w:rsidRPr="00ED22D1">
        <w:rPr>
          <w:lang w:val="fr-CA"/>
        </w:rPr>
        <w:t xml:space="preserve"> </w:t>
      </w:r>
    </w:p>
    <w:p w:rsidR="0085675A" w:rsidRPr="00ED22D1" w:rsidRDefault="0085675A" w:rsidP="0085675A">
      <w:pPr>
        <w:keepNext/>
        <w:keepLines/>
        <w:rPr>
          <w:u w:val="single"/>
          <w:lang w:val="fr-CA"/>
        </w:rPr>
      </w:pPr>
    </w:p>
    <w:p w:rsidR="0085675A" w:rsidRPr="00ED22D1" w:rsidRDefault="002D2C0B" w:rsidP="002D2C0B">
      <w:pPr>
        <w:pStyle w:val="Heading1"/>
        <w:numPr>
          <w:ilvl w:val="0"/>
          <w:numId w:val="0"/>
        </w:numPr>
        <w:rPr>
          <w:lang w:val="fr-CA"/>
        </w:rPr>
      </w:pPr>
      <w:r w:rsidRPr="00ED22D1">
        <w:rPr>
          <w:lang w:val="fr-CA"/>
        </w:rPr>
        <w:t>74.</w:t>
      </w:r>
      <w:r w:rsidRPr="00ED22D1">
        <w:rPr>
          <w:lang w:val="fr-CA"/>
        </w:rPr>
        <w:tab/>
      </w:r>
      <w:r w:rsidR="00E71388" w:rsidRPr="00ED22D1">
        <w:rPr>
          <w:lang w:val="fr-CA"/>
        </w:rPr>
        <w:t>Le Secré</w:t>
      </w:r>
      <w:r w:rsidR="00DD185D" w:rsidRPr="00ED22D1">
        <w:rPr>
          <w:lang w:val="fr-CA"/>
        </w:rPr>
        <w:t>tariat</w:t>
      </w:r>
      <w:r w:rsidR="0085675A" w:rsidRPr="00ED22D1">
        <w:rPr>
          <w:lang w:val="fr-CA"/>
        </w:rPr>
        <w:t xml:space="preserve"> </w:t>
      </w:r>
      <w:r w:rsidR="00DB7C5D" w:rsidRPr="00ED22D1">
        <w:rPr>
          <w:lang w:val="fr-CA"/>
        </w:rPr>
        <w:t xml:space="preserve">souligne que la </w:t>
      </w:r>
      <w:r w:rsidR="00D26EF9" w:rsidRPr="00ED22D1">
        <w:rPr>
          <w:lang w:val="fr-CA"/>
        </w:rPr>
        <w:t>Chine</w:t>
      </w:r>
      <w:r w:rsidR="0085675A" w:rsidRPr="00ED22D1">
        <w:rPr>
          <w:lang w:val="fr-CA"/>
        </w:rPr>
        <w:t xml:space="preserve"> </w:t>
      </w:r>
      <w:r w:rsidR="00DB7C5D" w:rsidRPr="00ED22D1">
        <w:rPr>
          <w:lang w:val="fr-CA"/>
        </w:rPr>
        <w:t xml:space="preserve">demeure en </w:t>
      </w:r>
      <w:r w:rsidR="00CE7FEC" w:rsidRPr="00ED22D1">
        <w:rPr>
          <w:lang w:val="fr-CA"/>
        </w:rPr>
        <w:t>conformité</w:t>
      </w:r>
      <w:r w:rsidR="001B45EC" w:rsidRPr="00ED22D1">
        <w:rPr>
          <w:lang w:val="fr-CA"/>
        </w:rPr>
        <w:t xml:space="preserve"> </w:t>
      </w:r>
      <w:r w:rsidR="00B84F94" w:rsidRPr="00ED22D1">
        <w:rPr>
          <w:lang w:val="fr-CA"/>
        </w:rPr>
        <w:t xml:space="preserve">avec </w:t>
      </w:r>
      <w:r w:rsidR="00D52FCE" w:rsidRPr="00ED22D1">
        <w:rPr>
          <w:lang w:val="fr-CA"/>
        </w:rPr>
        <w:t xml:space="preserve">le Protocole de Montréal et son </w:t>
      </w:r>
      <w:r w:rsidR="001B45EC" w:rsidRPr="00ED22D1">
        <w:rPr>
          <w:lang w:val="fr-CA"/>
        </w:rPr>
        <w:t>accord</w:t>
      </w:r>
      <w:r w:rsidR="0085675A" w:rsidRPr="00ED22D1">
        <w:rPr>
          <w:lang w:val="fr-CA"/>
        </w:rPr>
        <w:t xml:space="preserve"> </w:t>
      </w:r>
      <w:r w:rsidR="00B84F94" w:rsidRPr="00ED22D1">
        <w:rPr>
          <w:lang w:val="fr-CA"/>
        </w:rPr>
        <w:t xml:space="preserve">avec </w:t>
      </w:r>
      <w:r w:rsidR="00DD185D" w:rsidRPr="00ED22D1">
        <w:rPr>
          <w:lang w:val="fr-CA"/>
        </w:rPr>
        <w:t>le Comité exécutif</w:t>
      </w:r>
      <w:r w:rsidR="0085675A" w:rsidRPr="00ED22D1">
        <w:rPr>
          <w:lang w:val="fr-CA"/>
        </w:rPr>
        <w:t xml:space="preserve"> </w:t>
      </w:r>
      <w:r w:rsidR="00D52FCE" w:rsidRPr="00ED22D1">
        <w:rPr>
          <w:lang w:val="fr-CA"/>
        </w:rPr>
        <w:t xml:space="preserve">en ce qui a trait au plan du secteur des </w:t>
      </w:r>
      <w:r w:rsidR="001279D7" w:rsidRPr="00ED22D1">
        <w:rPr>
          <w:lang w:val="fr-CA"/>
        </w:rPr>
        <w:t xml:space="preserve">mousses extrudées </w:t>
      </w:r>
      <w:r w:rsidR="00921BDE" w:rsidRPr="00ED22D1">
        <w:rPr>
          <w:lang w:val="fr-CA"/>
        </w:rPr>
        <w:t>(XPS)</w:t>
      </w:r>
      <w:r w:rsidR="0085675A" w:rsidRPr="00ED22D1">
        <w:rPr>
          <w:lang w:val="fr-CA"/>
        </w:rPr>
        <w:t xml:space="preserve">. </w:t>
      </w:r>
      <w:r w:rsidR="00D52FCE" w:rsidRPr="00ED22D1">
        <w:rPr>
          <w:lang w:val="fr-CA"/>
        </w:rPr>
        <w:t xml:space="preserve">On note un progrès important dans </w:t>
      </w:r>
      <w:r w:rsidR="00921BDE" w:rsidRPr="00ED22D1">
        <w:rPr>
          <w:lang w:val="fr-CA"/>
        </w:rPr>
        <w:t xml:space="preserve">la mise en oeuvre </w:t>
      </w:r>
      <w:r w:rsidR="00D52FCE" w:rsidRPr="00ED22D1">
        <w:rPr>
          <w:lang w:val="fr-CA"/>
        </w:rPr>
        <w:t>des</w:t>
      </w:r>
      <w:r w:rsidR="0085675A" w:rsidRPr="00ED22D1">
        <w:rPr>
          <w:lang w:val="fr-CA"/>
        </w:rPr>
        <w:t xml:space="preserve"> </w:t>
      </w:r>
      <w:r w:rsidR="001B45EC" w:rsidRPr="00ED22D1">
        <w:rPr>
          <w:lang w:val="fr-CA"/>
        </w:rPr>
        <w:t>deux premières</w:t>
      </w:r>
      <w:r w:rsidR="0085675A" w:rsidRPr="00ED22D1">
        <w:rPr>
          <w:lang w:val="fr-CA"/>
        </w:rPr>
        <w:t xml:space="preserve"> tranches </w:t>
      </w:r>
      <w:r w:rsidR="00921BDE" w:rsidRPr="00ED22D1">
        <w:rPr>
          <w:lang w:val="fr-CA"/>
        </w:rPr>
        <w:t>de la phase</w:t>
      </w:r>
      <w:r w:rsidR="004A6828" w:rsidRPr="00ED22D1">
        <w:rPr>
          <w:lang w:val="fr-CA"/>
        </w:rPr>
        <w:t xml:space="preserve"> </w:t>
      </w:r>
      <w:r w:rsidR="0085675A" w:rsidRPr="00ED22D1">
        <w:rPr>
          <w:lang w:val="fr-CA"/>
        </w:rPr>
        <w:t xml:space="preserve">II, </w:t>
      </w:r>
      <w:r w:rsidR="004B666A" w:rsidRPr="00ED22D1">
        <w:rPr>
          <w:lang w:val="fr-CA"/>
        </w:rPr>
        <w:t>y compris</w:t>
      </w:r>
      <w:r w:rsidR="0085675A" w:rsidRPr="00ED22D1">
        <w:rPr>
          <w:lang w:val="fr-CA"/>
        </w:rPr>
        <w:t xml:space="preserve"> </w:t>
      </w:r>
      <w:r w:rsidR="00D52FCE" w:rsidRPr="00ED22D1">
        <w:rPr>
          <w:lang w:val="fr-CA"/>
        </w:rPr>
        <w:t>l’</w:t>
      </w:r>
      <w:r w:rsidR="0085675A" w:rsidRPr="00ED22D1">
        <w:rPr>
          <w:lang w:val="fr-CA"/>
        </w:rPr>
        <w:t xml:space="preserve">initiation </w:t>
      </w:r>
      <w:r w:rsidR="00D52FCE" w:rsidRPr="00ED22D1">
        <w:rPr>
          <w:lang w:val="fr-CA"/>
        </w:rPr>
        <w:t>de</w:t>
      </w:r>
      <w:r w:rsidR="00921BDE" w:rsidRPr="00ED22D1">
        <w:rPr>
          <w:lang w:val="fr-CA"/>
        </w:rPr>
        <w:t xml:space="preserve"> dix </w:t>
      </w:r>
      <w:r w:rsidR="001B45EC" w:rsidRPr="00ED22D1">
        <w:rPr>
          <w:lang w:val="fr-CA"/>
        </w:rPr>
        <w:t>projets de reconversion</w:t>
      </w:r>
      <w:r w:rsidR="004A6828" w:rsidRPr="00ED22D1">
        <w:rPr>
          <w:lang w:val="fr-CA"/>
        </w:rPr>
        <w:t xml:space="preserve"> et </w:t>
      </w:r>
      <w:r w:rsidR="00D52FCE" w:rsidRPr="00ED22D1">
        <w:rPr>
          <w:lang w:val="fr-CA"/>
        </w:rPr>
        <w:t>de plusieurs activités d’</w:t>
      </w:r>
      <w:r w:rsidR="00872A2F" w:rsidRPr="00ED22D1">
        <w:rPr>
          <w:lang w:val="fr-CA"/>
        </w:rPr>
        <w:t>assistance technique</w:t>
      </w:r>
      <w:r w:rsidR="0031390F" w:rsidRPr="00ED22D1">
        <w:rPr>
          <w:lang w:val="fr-CA"/>
        </w:rPr>
        <w:t>. Le</w:t>
      </w:r>
      <w:r w:rsidR="00D52FCE" w:rsidRPr="00ED22D1">
        <w:rPr>
          <w:lang w:val="fr-CA"/>
        </w:rPr>
        <w:t xml:space="preserve"> niveau de</w:t>
      </w:r>
      <w:r w:rsidR="00614F6B" w:rsidRPr="00ED22D1">
        <w:rPr>
          <w:lang w:val="fr-CA"/>
        </w:rPr>
        <w:t> </w:t>
      </w:r>
      <w:r w:rsidR="00181884" w:rsidRPr="00ED22D1">
        <w:rPr>
          <w:lang w:val="fr-CA"/>
        </w:rPr>
        <w:t>décaissement</w:t>
      </w:r>
      <w:r w:rsidR="0085675A" w:rsidRPr="00ED22D1">
        <w:rPr>
          <w:lang w:val="fr-CA"/>
        </w:rPr>
        <w:t xml:space="preserve"> </w:t>
      </w:r>
      <w:r w:rsidR="00F5455E" w:rsidRPr="00ED22D1">
        <w:rPr>
          <w:lang w:val="fr-CA"/>
        </w:rPr>
        <w:t xml:space="preserve">aux </w:t>
      </w:r>
      <w:r w:rsidR="001C69F9" w:rsidRPr="00ED22D1">
        <w:rPr>
          <w:lang w:val="fr-CA"/>
        </w:rPr>
        <w:t>entreprises bénéficiaires</w:t>
      </w:r>
      <w:r w:rsidR="00903152" w:rsidRPr="00ED22D1">
        <w:rPr>
          <w:lang w:val="fr-CA"/>
        </w:rPr>
        <w:t xml:space="preserve"> est </w:t>
      </w:r>
      <w:r w:rsidR="00D52FCE" w:rsidRPr="00ED22D1">
        <w:rPr>
          <w:lang w:val="fr-CA"/>
        </w:rPr>
        <w:t xml:space="preserve">supérieur à </w:t>
      </w:r>
      <w:r w:rsidR="0085675A" w:rsidRPr="00ED22D1">
        <w:rPr>
          <w:lang w:val="fr-CA"/>
        </w:rPr>
        <w:t>20 </w:t>
      </w:r>
      <w:r w:rsidR="001B31BF" w:rsidRPr="00ED22D1">
        <w:rPr>
          <w:lang w:val="fr-CA"/>
        </w:rPr>
        <w:t>pour cent</w:t>
      </w:r>
      <w:r w:rsidR="0085675A" w:rsidRPr="00ED22D1">
        <w:rPr>
          <w:lang w:val="fr-CA"/>
        </w:rPr>
        <w:t xml:space="preserve"> </w:t>
      </w:r>
      <w:r w:rsidR="00D52FCE" w:rsidRPr="00ED22D1">
        <w:rPr>
          <w:lang w:val="fr-CA"/>
        </w:rPr>
        <w:t>du</w:t>
      </w:r>
      <w:r w:rsidR="00393F6B" w:rsidRPr="00ED22D1">
        <w:rPr>
          <w:lang w:val="fr-CA"/>
        </w:rPr>
        <w:t xml:space="preserve"> financement</w:t>
      </w:r>
      <w:r w:rsidR="0085675A" w:rsidRPr="00ED22D1">
        <w:rPr>
          <w:lang w:val="fr-CA"/>
        </w:rPr>
        <w:t xml:space="preserve"> </w:t>
      </w:r>
      <w:r w:rsidR="00AA6E77" w:rsidRPr="00ED22D1">
        <w:rPr>
          <w:lang w:val="fr-CA"/>
        </w:rPr>
        <w:t>approuvé</w:t>
      </w:r>
      <w:r w:rsidR="0085675A" w:rsidRPr="00ED22D1">
        <w:rPr>
          <w:lang w:val="fr-CA"/>
        </w:rPr>
        <w:t xml:space="preserve"> </w:t>
      </w:r>
      <w:r w:rsidR="00D52FCE" w:rsidRPr="00ED22D1">
        <w:rPr>
          <w:lang w:val="fr-CA"/>
        </w:rPr>
        <w:t xml:space="preserve">dans la </w:t>
      </w:r>
      <w:r w:rsidR="00921BDE" w:rsidRPr="00ED22D1">
        <w:rPr>
          <w:lang w:val="fr-CA"/>
        </w:rPr>
        <w:t>deuxième</w:t>
      </w:r>
      <w:r w:rsidR="0085675A" w:rsidRPr="00ED22D1">
        <w:rPr>
          <w:lang w:val="fr-CA"/>
        </w:rPr>
        <w:t xml:space="preserve"> tranche. </w:t>
      </w:r>
      <w:r w:rsidR="00D52FCE" w:rsidRPr="00ED22D1">
        <w:rPr>
          <w:lang w:val="fr-CA"/>
        </w:rPr>
        <w:t>Étant donné les réductions imminentes de</w:t>
      </w:r>
      <w:r w:rsidR="0085675A" w:rsidRPr="00ED22D1">
        <w:rPr>
          <w:lang w:val="fr-CA"/>
        </w:rPr>
        <w:t xml:space="preserve"> HCFC</w:t>
      </w:r>
      <w:r w:rsidR="00D52FCE" w:rsidRPr="00ED22D1">
        <w:rPr>
          <w:lang w:val="fr-CA"/>
        </w:rPr>
        <w:t xml:space="preserve"> dans</w:t>
      </w:r>
      <w:r w:rsidR="00802F71" w:rsidRPr="00ED22D1">
        <w:rPr>
          <w:lang w:val="fr-CA"/>
        </w:rPr>
        <w:t xml:space="preserve"> </w:t>
      </w:r>
      <w:r w:rsidR="00CE7FEC" w:rsidRPr="00ED22D1">
        <w:rPr>
          <w:lang w:val="fr-CA"/>
        </w:rPr>
        <w:t>l’accord</w:t>
      </w:r>
      <w:r w:rsidR="0085675A" w:rsidRPr="00ED22D1">
        <w:rPr>
          <w:lang w:val="fr-CA"/>
        </w:rPr>
        <w:t xml:space="preserve"> </w:t>
      </w:r>
      <w:r w:rsidR="002D6976" w:rsidRPr="00ED22D1">
        <w:rPr>
          <w:lang w:val="fr-CA"/>
        </w:rPr>
        <w:t>d’ici 20</w:t>
      </w:r>
      <w:r w:rsidR="0085675A" w:rsidRPr="00ED22D1">
        <w:rPr>
          <w:lang w:val="fr-CA"/>
        </w:rPr>
        <w:t>2</w:t>
      </w:r>
      <w:r w:rsidR="004A6828" w:rsidRPr="00ED22D1">
        <w:rPr>
          <w:lang w:val="fr-CA"/>
        </w:rPr>
        <w:t>0</w:t>
      </w:r>
      <w:r w:rsidR="00D52FCE" w:rsidRPr="00ED22D1">
        <w:rPr>
          <w:lang w:val="fr-CA"/>
        </w:rPr>
        <w:t>,</w:t>
      </w:r>
      <w:r w:rsidR="00837B0C">
        <w:rPr>
          <w:lang w:val="fr-CA"/>
        </w:rPr>
        <w:t xml:space="preserve"> </w:t>
      </w:r>
      <w:r w:rsidR="00393F6B" w:rsidRPr="00ED22D1">
        <w:rPr>
          <w:lang w:val="fr-CA"/>
        </w:rPr>
        <w:t>le</w:t>
      </w:r>
      <w:r w:rsidR="00614F6B" w:rsidRPr="00ED22D1">
        <w:rPr>
          <w:lang w:val="fr-CA"/>
        </w:rPr>
        <w:t> </w:t>
      </w:r>
      <w:r w:rsidR="00393F6B" w:rsidRPr="00ED22D1">
        <w:rPr>
          <w:lang w:val="fr-CA"/>
        </w:rPr>
        <w:t>financement</w:t>
      </w:r>
      <w:r w:rsidR="0085675A" w:rsidRPr="00ED22D1">
        <w:rPr>
          <w:lang w:val="fr-CA"/>
        </w:rPr>
        <w:t xml:space="preserve"> </w:t>
      </w:r>
      <w:r w:rsidR="00D52FCE" w:rsidRPr="00ED22D1">
        <w:rPr>
          <w:lang w:val="fr-CA"/>
        </w:rPr>
        <w:t xml:space="preserve">de </w:t>
      </w:r>
      <w:r w:rsidR="00874624" w:rsidRPr="00ED22D1">
        <w:rPr>
          <w:lang w:val="fr-CA"/>
        </w:rPr>
        <w:t>la troisième</w:t>
      </w:r>
      <w:r w:rsidR="0085675A" w:rsidRPr="00ED22D1">
        <w:rPr>
          <w:lang w:val="fr-CA"/>
        </w:rPr>
        <w:t xml:space="preserve"> tranche</w:t>
      </w:r>
      <w:r w:rsidR="00903152" w:rsidRPr="00ED22D1">
        <w:rPr>
          <w:lang w:val="fr-CA"/>
        </w:rPr>
        <w:t xml:space="preserve"> est </w:t>
      </w:r>
      <w:r w:rsidR="00D52FCE" w:rsidRPr="00ED22D1">
        <w:rPr>
          <w:lang w:val="fr-CA"/>
        </w:rPr>
        <w:t xml:space="preserve">requis pour continuer à mettre en oeuvre des </w:t>
      </w:r>
      <w:r w:rsidR="001B45EC" w:rsidRPr="00ED22D1">
        <w:rPr>
          <w:lang w:val="fr-CA"/>
        </w:rPr>
        <w:t>projets d’investissement</w:t>
      </w:r>
      <w:r w:rsidR="0085675A" w:rsidRPr="00ED22D1">
        <w:rPr>
          <w:lang w:val="fr-CA"/>
        </w:rPr>
        <w:t>,</w:t>
      </w:r>
      <w:r w:rsidR="004B666A" w:rsidRPr="00ED22D1">
        <w:rPr>
          <w:lang w:val="fr-CA"/>
        </w:rPr>
        <w:t xml:space="preserve"> </w:t>
      </w:r>
      <w:r w:rsidR="00D52FCE" w:rsidRPr="00ED22D1">
        <w:rPr>
          <w:lang w:val="fr-CA"/>
        </w:rPr>
        <w:t xml:space="preserve">des </w:t>
      </w:r>
      <w:r w:rsidR="004B666A" w:rsidRPr="00ED22D1">
        <w:rPr>
          <w:lang w:val="fr-CA"/>
        </w:rPr>
        <w:t xml:space="preserve">activités d’assistance technique </w:t>
      </w:r>
      <w:r w:rsidR="004A6828" w:rsidRPr="00ED22D1">
        <w:rPr>
          <w:lang w:val="fr-CA"/>
        </w:rPr>
        <w:t xml:space="preserve">et </w:t>
      </w:r>
      <w:r w:rsidR="00D52FCE" w:rsidRPr="00ED22D1">
        <w:rPr>
          <w:lang w:val="fr-CA"/>
        </w:rPr>
        <w:t>des mesures de politique et de réglementation</w:t>
      </w:r>
      <w:r w:rsidR="0085675A" w:rsidRPr="00ED22D1">
        <w:rPr>
          <w:lang w:val="fr-CA"/>
        </w:rPr>
        <w:t>,</w:t>
      </w:r>
      <w:r w:rsidR="00D52FCE" w:rsidRPr="00ED22D1">
        <w:rPr>
          <w:lang w:val="fr-CA"/>
        </w:rPr>
        <w:t xml:space="preserve"> afin de s’assurer que la </w:t>
      </w:r>
      <w:r w:rsidR="00921BDE" w:rsidRPr="00ED22D1">
        <w:rPr>
          <w:lang w:val="fr-CA"/>
        </w:rPr>
        <w:t>consommation de HCFC</w:t>
      </w:r>
      <w:r w:rsidR="0085675A" w:rsidRPr="00ED22D1">
        <w:rPr>
          <w:lang w:val="fr-CA"/>
        </w:rPr>
        <w:t xml:space="preserve"> </w:t>
      </w:r>
      <w:r w:rsidR="00D52FCE" w:rsidRPr="00ED22D1">
        <w:rPr>
          <w:lang w:val="fr-CA"/>
        </w:rPr>
        <w:t xml:space="preserve">dans le </w:t>
      </w:r>
      <w:r w:rsidR="00733306" w:rsidRPr="00ED22D1">
        <w:rPr>
          <w:lang w:val="fr-CA"/>
        </w:rPr>
        <w:t>secteur</w:t>
      </w:r>
      <w:r w:rsidR="00903152" w:rsidRPr="00ED22D1">
        <w:rPr>
          <w:lang w:val="fr-CA"/>
        </w:rPr>
        <w:t xml:space="preserve"> est </w:t>
      </w:r>
      <w:r w:rsidR="00733306" w:rsidRPr="00ED22D1">
        <w:rPr>
          <w:lang w:val="fr-CA"/>
        </w:rPr>
        <w:t>réduit</w:t>
      </w:r>
      <w:r w:rsidR="00D52FCE" w:rsidRPr="00ED22D1">
        <w:rPr>
          <w:lang w:val="fr-CA"/>
        </w:rPr>
        <w:t>e</w:t>
      </w:r>
      <w:r w:rsidR="004A6828" w:rsidRPr="00ED22D1">
        <w:rPr>
          <w:lang w:val="fr-CA"/>
        </w:rPr>
        <w:t xml:space="preserve"> et </w:t>
      </w:r>
      <w:r w:rsidR="00D52FCE" w:rsidRPr="00ED22D1">
        <w:rPr>
          <w:lang w:val="fr-CA"/>
        </w:rPr>
        <w:t xml:space="preserve">maintenue sous </w:t>
      </w:r>
      <w:r w:rsidR="00AD0203" w:rsidRPr="00ED22D1">
        <w:rPr>
          <w:lang w:val="fr-CA"/>
        </w:rPr>
        <w:t>la consommation</w:t>
      </w:r>
      <w:r w:rsidR="001B45EC" w:rsidRPr="00ED22D1">
        <w:rPr>
          <w:lang w:val="fr-CA"/>
        </w:rPr>
        <w:t xml:space="preserve"> maximale admissible</w:t>
      </w:r>
      <w:r w:rsidR="0085675A" w:rsidRPr="00ED22D1">
        <w:rPr>
          <w:lang w:val="fr-CA"/>
        </w:rPr>
        <w:t xml:space="preserve"> </w:t>
      </w:r>
      <w:r w:rsidR="00D52FCE" w:rsidRPr="00ED22D1">
        <w:rPr>
          <w:lang w:val="fr-CA"/>
        </w:rPr>
        <w:t>dans</w:t>
      </w:r>
      <w:r w:rsidR="0085675A" w:rsidRPr="00ED22D1">
        <w:rPr>
          <w:lang w:val="fr-CA"/>
        </w:rPr>
        <w:t xml:space="preserve"> </w:t>
      </w:r>
      <w:r w:rsidR="00CE7FEC" w:rsidRPr="00ED22D1">
        <w:rPr>
          <w:lang w:val="fr-CA"/>
        </w:rPr>
        <w:t>l’accord</w:t>
      </w:r>
      <w:r w:rsidR="0085675A" w:rsidRPr="00ED22D1">
        <w:rPr>
          <w:lang w:val="fr-CA"/>
        </w:rPr>
        <w:t xml:space="preserve">. </w:t>
      </w:r>
    </w:p>
    <w:p w:rsidR="0085675A" w:rsidRPr="00ED22D1" w:rsidRDefault="001B45EC" w:rsidP="0085675A">
      <w:pPr>
        <w:keepNext/>
        <w:keepLines/>
        <w:rPr>
          <w:b/>
          <w:lang w:val="fr-CA"/>
        </w:rPr>
      </w:pPr>
      <w:r w:rsidRPr="00ED22D1">
        <w:rPr>
          <w:b/>
          <w:lang w:val="fr-CA"/>
        </w:rPr>
        <w:t>RECOMMANDATION</w:t>
      </w:r>
    </w:p>
    <w:p w:rsidR="0085675A" w:rsidRPr="00ED22D1" w:rsidRDefault="0085675A" w:rsidP="0085675A">
      <w:pPr>
        <w:keepNext/>
        <w:keepLines/>
        <w:rPr>
          <w:lang w:val="fr-CA"/>
        </w:rPr>
      </w:pPr>
    </w:p>
    <w:p w:rsidR="0085675A" w:rsidRPr="00ED22D1" w:rsidRDefault="0026316C" w:rsidP="0026316C">
      <w:pPr>
        <w:pStyle w:val="Heading1"/>
        <w:keepNext/>
        <w:keepLines/>
        <w:numPr>
          <w:ilvl w:val="0"/>
          <w:numId w:val="0"/>
        </w:numPr>
        <w:rPr>
          <w:lang w:val="fr-CA"/>
        </w:rPr>
      </w:pPr>
      <w:r w:rsidRPr="00ED22D1">
        <w:rPr>
          <w:lang w:val="fr-CA"/>
        </w:rPr>
        <w:t>75.</w:t>
      </w:r>
      <w:r w:rsidRPr="00ED22D1">
        <w:rPr>
          <w:lang w:val="fr-CA"/>
        </w:rPr>
        <w:tab/>
      </w:r>
      <w:r w:rsidR="001B45EC" w:rsidRPr="00ED22D1">
        <w:rPr>
          <w:lang w:val="fr-CA"/>
        </w:rPr>
        <w:t>Le Comité exécutif peut envisager</w:t>
      </w:r>
      <w:r w:rsidR="00791BF7" w:rsidRPr="00ED22D1">
        <w:rPr>
          <w:lang w:val="fr-CA"/>
        </w:rPr>
        <w:t> :</w:t>
      </w:r>
    </w:p>
    <w:p w:rsidR="0085675A" w:rsidRPr="00ED22D1" w:rsidRDefault="001D31F4" w:rsidP="00457823">
      <w:pPr>
        <w:pStyle w:val="Heading2"/>
        <w:numPr>
          <w:ilvl w:val="0"/>
          <w:numId w:val="0"/>
        </w:numPr>
        <w:ind w:left="1440" w:hanging="720"/>
        <w:rPr>
          <w:lang w:val="fr-CA"/>
        </w:rPr>
      </w:pPr>
      <w:r w:rsidRPr="00ED22D1">
        <w:rPr>
          <w:lang w:val="fr-CA"/>
        </w:rPr>
        <w:t>(a)</w:t>
      </w:r>
      <w:r w:rsidRPr="00ED22D1">
        <w:rPr>
          <w:lang w:val="fr-CA"/>
        </w:rPr>
        <w:tab/>
      </w:r>
      <w:r w:rsidR="00D52FCE" w:rsidRPr="00ED22D1">
        <w:rPr>
          <w:lang w:val="fr-CA"/>
        </w:rPr>
        <w:t>De prendre note du rapport périodique sur la mise en oeuvre de la deuxième tranche</w:t>
      </w:r>
      <w:r w:rsidR="0085675A" w:rsidRPr="00ED22D1">
        <w:rPr>
          <w:lang w:val="fr-CA"/>
        </w:rPr>
        <w:t xml:space="preserve"> </w:t>
      </w:r>
      <w:r w:rsidR="00D52FCE" w:rsidRPr="00ED22D1">
        <w:rPr>
          <w:lang w:val="fr-CA"/>
        </w:rPr>
        <w:t xml:space="preserve">du plan du secteur des mousses de </w:t>
      </w:r>
      <w:r w:rsidR="0085675A" w:rsidRPr="00ED22D1">
        <w:rPr>
          <w:lang w:val="fr-CA"/>
        </w:rPr>
        <w:t>polystyr</w:t>
      </w:r>
      <w:r w:rsidR="00D52FCE" w:rsidRPr="00ED22D1">
        <w:rPr>
          <w:lang w:val="fr-CA"/>
        </w:rPr>
        <w:t>è</w:t>
      </w:r>
      <w:r w:rsidR="0085675A" w:rsidRPr="00ED22D1">
        <w:rPr>
          <w:lang w:val="fr-CA"/>
        </w:rPr>
        <w:t>ne</w:t>
      </w:r>
      <w:r w:rsidR="00D52FCE" w:rsidRPr="00ED22D1">
        <w:rPr>
          <w:lang w:val="fr-CA"/>
        </w:rPr>
        <w:t xml:space="preserve"> extrudées</w:t>
      </w:r>
      <w:r w:rsidR="0085675A" w:rsidRPr="00ED22D1">
        <w:rPr>
          <w:lang w:val="fr-CA"/>
        </w:rPr>
        <w:t xml:space="preserve"> (XPS) </w:t>
      </w:r>
      <w:r w:rsidR="00921BDE" w:rsidRPr="00ED22D1">
        <w:rPr>
          <w:lang w:val="fr-CA"/>
        </w:rPr>
        <w:t>de la phase</w:t>
      </w:r>
      <w:r w:rsidR="004A6828" w:rsidRPr="00ED22D1">
        <w:rPr>
          <w:lang w:val="fr-CA"/>
        </w:rPr>
        <w:t xml:space="preserve"> </w:t>
      </w:r>
      <w:r w:rsidR="0085675A" w:rsidRPr="00ED22D1">
        <w:rPr>
          <w:lang w:val="fr-CA"/>
        </w:rPr>
        <w:t xml:space="preserve">II </w:t>
      </w:r>
      <w:r w:rsidR="00921BDE" w:rsidRPr="00ED22D1">
        <w:rPr>
          <w:lang w:val="fr-CA"/>
        </w:rPr>
        <w:t>du plan d’élimination</w:t>
      </w:r>
      <w:r w:rsidR="004A6828" w:rsidRPr="00ED22D1">
        <w:rPr>
          <w:lang w:val="fr-CA"/>
        </w:rPr>
        <w:t xml:space="preserve"> des HCFC</w:t>
      </w:r>
      <w:r w:rsidR="0085675A" w:rsidRPr="00ED22D1">
        <w:rPr>
          <w:lang w:val="fr-CA"/>
        </w:rPr>
        <w:t xml:space="preserve"> (</w:t>
      </w:r>
      <w:r w:rsidR="00DD185D" w:rsidRPr="00ED22D1">
        <w:rPr>
          <w:lang w:val="fr-CA"/>
        </w:rPr>
        <w:t>PGEH</w:t>
      </w:r>
      <w:r w:rsidR="0085675A" w:rsidRPr="00ED22D1">
        <w:rPr>
          <w:lang w:val="fr-CA"/>
        </w:rPr>
        <w:t xml:space="preserve">) </w:t>
      </w:r>
      <w:r w:rsidR="001B31BF" w:rsidRPr="00ED22D1">
        <w:rPr>
          <w:lang w:val="fr-CA"/>
        </w:rPr>
        <w:t>de la Chine</w:t>
      </w:r>
      <w:r w:rsidR="0085675A" w:rsidRPr="00ED22D1">
        <w:rPr>
          <w:lang w:val="fr-CA"/>
        </w:rPr>
        <w:t>;</w:t>
      </w:r>
      <w:r w:rsidR="004A6828" w:rsidRPr="00ED22D1">
        <w:rPr>
          <w:lang w:val="fr-CA"/>
        </w:rPr>
        <w:t xml:space="preserve"> et </w:t>
      </w:r>
    </w:p>
    <w:p w:rsidR="0085675A" w:rsidRPr="00ED22D1" w:rsidRDefault="001D31F4" w:rsidP="0039028A">
      <w:pPr>
        <w:pStyle w:val="Heading2"/>
        <w:keepNext/>
        <w:keepLines/>
        <w:numPr>
          <w:ilvl w:val="0"/>
          <w:numId w:val="0"/>
        </w:numPr>
        <w:ind w:left="1440" w:hanging="720"/>
        <w:rPr>
          <w:lang w:val="fr-CA"/>
        </w:rPr>
      </w:pPr>
      <w:r w:rsidRPr="00ED22D1">
        <w:rPr>
          <w:lang w:val="fr-CA"/>
        </w:rPr>
        <w:t>(b)</w:t>
      </w:r>
      <w:r w:rsidRPr="00ED22D1">
        <w:rPr>
          <w:lang w:val="fr-CA"/>
        </w:rPr>
        <w:tab/>
      </w:r>
      <w:r w:rsidR="00614F6B" w:rsidRPr="00ED22D1">
        <w:rPr>
          <w:lang w:val="fr-CA"/>
        </w:rPr>
        <w:t>D’a</w:t>
      </w:r>
      <w:r w:rsidR="0085675A" w:rsidRPr="00ED22D1">
        <w:rPr>
          <w:lang w:val="fr-CA"/>
        </w:rPr>
        <w:t>ppro</w:t>
      </w:r>
      <w:r w:rsidR="00D52FCE" w:rsidRPr="00ED22D1">
        <w:rPr>
          <w:lang w:val="fr-CA"/>
        </w:rPr>
        <w:t xml:space="preserve">uver </w:t>
      </w:r>
      <w:r w:rsidR="00874624" w:rsidRPr="00ED22D1">
        <w:rPr>
          <w:lang w:val="fr-CA"/>
        </w:rPr>
        <w:t>la troisième</w:t>
      </w:r>
      <w:r w:rsidR="0085675A" w:rsidRPr="00ED22D1">
        <w:rPr>
          <w:lang w:val="fr-CA"/>
        </w:rPr>
        <w:t xml:space="preserve"> tranche</w:t>
      </w:r>
      <w:r w:rsidR="00D52FCE" w:rsidRPr="00ED22D1">
        <w:rPr>
          <w:lang w:val="fr-CA"/>
        </w:rPr>
        <w:t xml:space="preserve"> du plan du secteur des</w:t>
      </w:r>
      <w:r w:rsidR="001279D7" w:rsidRPr="00ED22D1">
        <w:rPr>
          <w:lang w:val="fr-CA"/>
        </w:rPr>
        <w:t xml:space="preserve"> mousses extrudées </w:t>
      </w:r>
      <w:r w:rsidR="00921BDE" w:rsidRPr="00ED22D1">
        <w:rPr>
          <w:lang w:val="fr-CA"/>
        </w:rPr>
        <w:t>(XPS)</w:t>
      </w:r>
      <w:r w:rsidR="0085675A" w:rsidRPr="00ED22D1">
        <w:rPr>
          <w:lang w:val="fr-CA"/>
        </w:rPr>
        <w:t xml:space="preserve"> </w:t>
      </w:r>
      <w:r w:rsidR="00921BDE" w:rsidRPr="00ED22D1">
        <w:rPr>
          <w:lang w:val="fr-CA"/>
        </w:rPr>
        <w:t>de la phase</w:t>
      </w:r>
      <w:r w:rsidR="004A6828" w:rsidRPr="00ED22D1">
        <w:rPr>
          <w:lang w:val="fr-CA"/>
        </w:rPr>
        <w:t xml:space="preserve"> </w:t>
      </w:r>
      <w:r w:rsidR="0085675A" w:rsidRPr="00ED22D1">
        <w:rPr>
          <w:lang w:val="fr-CA"/>
        </w:rPr>
        <w:t xml:space="preserve">II </w:t>
      </w:r>
      <w:r w:rsidR="001F19C1" w:rsidRPr="00ED22D1">
        <w:rPr>
          <w:lang w:val="fr-CA"/>
        </w:rPr>
        <w:t>du PGEH</w:t>
      </w:r>
      <w:r w:rsidR="0085675A" w:rsidRPr="00ED22D1">
        <w:rPr>
          <w:lang w:val="fr-CA"/>
        </w:rPr>
        <w:t xml:space="preserve"> </w:t>
      </w:r>
      <w:r w:rsidR="001B31BF" w:rsidRPr="00ED22D1">
        <w:rPr>
          <w:lang w:val="fr-CA"/>
        </w:rPr>
        <w:t>de la Chine</w:t>
      </w:r>
      <w:r w:rsidR="0085675A" w:rsidRPr="00ED22D1">
        <w:rPr>
          <w:lang w:val="fr-CA"/>
        </w:rPr>
        <w:t>,</w:t>
      </w:r>
      <w:r w:rsidR="004A6828" w:rsidRPr="00ED22D1">
        <w:rPr>
          <w:lang w:val="fr-CA"/>
        </w:rPr>
        <w:t xml:space="preserve"> et </w:t>
      </w:r>
      <w:r w:rsidR="00D52FCE" w:rsidRPr="00ED22D1">
        <w:rPr>
          <w:lang w:val="fr-CA"/>
        </w:rPr>
        <w:t xml:space="preserve">le plan correspondant de mise en oeuvre de la tranche </w:t>
      </w:r>
      <w:r w:rsidR="0085675A" w:rsidRPr="00ED22D1">
        <w:rPr>
          <w:lang w:val="fr-CA"/>
        </w:rPr>
        <w:t xml:space="preserve">2019-2020, </w:t>
      </w:r>
      <w:r w:rsidR="00D52FCE" w:rsidRPr="00ED22D1">
        <w:rPr>
          <w:lang w:val="fr-CA"/>
        </w:rPr>
        <w:t>au</w:t>
      </w:r>
      <w:r w:rsidR="00AC27D1" w:rsidRPr="00ED22D1">
        <w:rPr>
          <w:lang w:val="fr-CA"/>
        </w:rPr>
        <w:t xml:space="preserve"> montant de </w:t>
      </w:r>
      <w:r w:rsidR="004A6828" w:rsidRPr="00ED22D1">
        <w:rPr>
          <w:lang w:val="fr-CA"/>
        </w:rPr>
        <w:t>8 </w:t>
      </w:r>
      <w:r w:rsidR="0085675A" w:rsidRPr="00ED22D1">
        <w:rPr>
          <w:lang w:val="fr-CA"/>
        </w:rPr>
        <w:t>00</w:t>
      </w:r>
      <w:r w:rsidR="004A6828" w:rsidRPr="00ED22D1">
        <w:rPr>
          <w:lang w:val="fr-CA"/>
        </w:rPr>
        <w:t>0</w:t>
      </w:r>
      <w:r w:rsidR="00BA42C0" w:rsidRPr="00ED22D1">
        <w:rPr>
          <w:lang w:val="fr-CA"/>
        </w:rPr>
        <w:t> 000 $US</w:t>
      </w:r>
      <w:r w:rsidR="004A6828" w:rsidRPr="00ED22D1">
        <w:rPr>
          <w:lang w:val="fr-CA"/>
        </w:rPr>
        <w:t> </w:t>
      </w:r>
      <w:r w:rsidR="001B31BF" w:rsidRPr="00ED22D1">
        <w:rPr>
          <w:lang w:val="fr-CA"/>
        </w:rPr>
        <w:t>plus des coûts</w:t>
      </w:r>
      <w:r w:rsidR="00DD185D" w:rsidRPr="00ED22D1">
        <w:rPr>
          <w:lang w:val="fr-CA"/>
        </w:rPr>
        <w:t xml:space="preserve"> d’appui d’</w:t>
      </w:r>
      <w:r w:rsidR="001B31BF" w:rsidRPr="00ED22D1">
        <w:rPr>
          <w:lang w:val="fr-CA"/>
        </w:rPr>
        <w:t>agence de</w:t>
      </w:r>
      <w:r w:rsidR="00457823">
        <w:rPr>
          <w:lang w:val="fr-CA"/>
        </w:rPr>
        <w:t xml:space="preserve">  </w:t>
      </w:r>
      <w:r w:rsidR="0085675A" w:rsidRPr="00ED22D1">
        <w:rPr>
          <w:lang w:val="fr-CA"/>
        </w:rPr>
        <w:t>56</w:t>
      </w:r>
      <w:r w:rsidR="004A6828" w:rsidRPr="00ED22D1">
        <w:rPr>
          <w:lang w:val="fr-CA"/>
        </w:rPr>
        <w:t>0</w:t>
      </w:r>
      <w:r w:rsidR="00BA42C0" w:rsidRPr="00ED22D1">
        <w:rPr>
          <w:lang w:val="fr-CA"/>
        </w:rPr>
        <w:t> 000 $US</w:t>
      </w:r>
      <w:r w:rsidR="0085675A" w:rsidRPr="00ED22D1">
        <w:rPr>
          <w:lang w:val="fr-CA"/>
        </w:rPr>
        <w:t xml:space="preserve"> </w:t>
      </w:r>
      <w:r w:rsidR="00921BDE" w:rsidRPr="00ED22D1">
        <w:rPr>
          <w:lang w:val="fr-CA"/>
        </w:rPr>
        <w:t>pour l’</w:t>
      </w:r>
      <w:r w:rsidR="001F19C1" w:rsidRPr="00ED22D1">
        <w:rPr>
          <w:lang w:val="fr-CA"/>
        </w:rPr>
        <w:t>ONUDI</w:t>
      </w:r>
      <w:r w:rsidR="0085675A" w:rsidRPr="00ED22D1">
        <w:rPr>
          <w:lang w:val="fr-CA"/>
        </w:rPr>
        <w:t>.</w:t>
      </w:r>
    </w:p>
    <w:p w:rsidR="0085675A" w:rsidRPr="00ED22D1" w:rsidRDefault="0085675A" w:rsidP="0085675A">
      <w:pPr>
        <w:rPr>
          <w:lang w:val="fr-CA"/>
        </w:rPr>
      </w:pPr>
    </w:p>
    <w:p w:rsidR="0085675A" w:rsidRPr="00ED22D1" w:rsidRDefault="0039028A" w:rsidP="0085675A">
      <w:pPr>
        <w:rPr>
          <w:lang w:val="fr-CA"/>
        </w:rPr>
      </w:pPr>
      <w:r>
        <w:rPr>
          <w:lang w:val="fr-CA"/>
        </w:rPr>
        <w:br w:type="page"/>
      </w:r>
    </w:p>
    <w:p w:rsidR="00C1026B" w:rsidRPr="00ED22D1" w:rsidRDefault="002D6976" w:rsidP="00C1026B">
      <w:pPr>
        <w:jc w:val="center"/>
        <w:rPr>
          <w:b/>
          <w:sz w:val="24"/>
          <w:lang w:val="fr-CA"/>
        </w:rPr>
      </w:pPr>
      <w:r w:rsidRPr="00ED22D1">
        <w:rPr>
          <w:b/>
          <w:bCs/>
          <w:lang w:val="fr-CA"/>
        </w:rPr>
        <w:lastRenderedPageBreak/>
        <w:t>FICHE D’ÉVALUATION DE PROJET - PROJETS PLURIANNUELS</w:t>
      </w:r>
    </w:p>
    <w:p w:rsidR="00C1026B" w:rsidRPr="00ED22D1" w:rsidRDefault="00C1026B" w:rsidP="00C1026B">
      <w:pPr>
        <w:jc w:val="center"/>
        <w:rPr>
          <w:b/>
          <w:sz w:val="24"/>
          <w:lang w:val="fr-CA"/>
        </w:rPr>
      </w:pPr>
    </w:p>
    <w:p w:rsidR="00C1026B" w:rsidRPr="00ED22D1" w:rsidRDefault="00D26EF9" w:rsidP="00C1026B">
      <w:pPr>
        <w:jc w:val="center"/>
        <w:rPr>
          <w:b/>
          <w:sz w:val="24"/>
          <w:lang w:val="fr-CA"/>
        </w:rPr>
      </w:pPr>
      <w:r w:rsidRPr="00ED22D1">
        <w:rPr>
          <w:b/>
          <w:sz w:val="24"/>
          <w:lang w:val="fr-CA"/>
        </w:rPr>
        <w:t>Chine</w:t>
      </w:r>
      <w:r w:rsidR="00C1026B" w:rsidRPr="00ED22D1">
        <w:rPr>
          <w:b/>
          <w:sz w:val="24"/>
          <w:lang w:val="fr-CA"/>
        </w:rPr>
        <w:t xml:space="preserve"> </w:t>
      </w:r>
    </w:p>
    <w:p w:rsidR="00C1026B" w:rsidRPr="00ED22D1" w:rsidRDefault="00C1026B" w:rsidP="00C1026B">
      <w:pPr>
        <w:jc w:val="center"/>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28"/>
        <w:gridCol w:w="1470"/>
        <w:gridCol w:w="2501"/>
        <w:gridCol w:w="2501"/>
      </w:tblGrid>
      <w:tr w:rsidR="002D6976" w:rsidRPr="00ED22D1" w:rsidTr="00D26EF9">
        <w:trPr>
          <w:trHeight w:val="240"/>
        </w:trPr>
        <w:tc>
          <w:tcPr>
            <w:tcW w:w="3528" w:type="dxa"/>
            <w:shd w:val="clear" w:color="auto" w:fill="auto"/>
          </w:tcPr>
          <w:p w:rsidR="002D6976" w:rsidRPr="00ED22D1" w:rsidRDefault="002D6976" w:rsidP="002D6976">
            <w:pPr>
              <w:spacing w:after="80"/>
              <w:jc w:val="left"/>
              <w:rPr>
                <w:b/>
                <w:sz w:val="18"/>
                <w:szCs w:val="18"/>
                <w:lang w:val="fr-CA"/>
              </w:rPr>
            </w:pPr>
            <w:r w:rsidRPr="00ED22D1">
              <w:rPr>
                <w:b/>
                <w:sz w:val="18"/>
                <w:szCs w:val="18"/>
                <w:lang w:val="fr-CA"/>
              </w:rPr>
              <w:t>(I) TITRE DU PROJET</w:t>
            </w:r>
          </w:p>
        </w:tc>
        <w:tc>
          <w:tcPr>
            <w:tcW w:w="1470" w:type="dxa"/>
            <w:shd w:val="clear" w:color="auto" w:fill="auto"/>
          </w:tcPr>
          <w:p w:rsidR="002D6976" w:rsidRPr="00ED22D1" w:rsidRDefault="002D6976" w:rsidP="002D6976">
            <w:pPr>
              <w:spacing w:after="80"/>
              <w:jc w:val="center"/>
              <w:rPr>
                <w:b/>
                <w:sz w:val="18"/>
                <w:szCs w:val="18"/>
                <w:lang w:val="fr-CA"/>
              </w:rPr>
            </w:pPr>
            <w:r w:rsidRPr="00ED22D1">
              <w:rPr>
                <w:b/>
                <w:sz w:val="18"/>
                <w:szCs w:val="18"/>
                <w:lang w:val="fr-CA"/>
              </w:rPr>
              <w:t>AGENCE</w:t>
            </w:r>
          </w:p>
        </w:tc>
        <w:tc>
          <w:tcPr>
            <w:tcW w:w="2501" w:type="dxa"/>
            <w:shd w:val="clear" w:color="auto" w:fill="auto"/>
          </w:tcPr>
          <w:p w:rsidR="002D6976" w:rsidRPr="00ED22D1" w:rsidRDefault="002D6976" w:rsidP="002D6976">
            <w:pPr>
              <w:spacing w:after="80"/>
              <w:jc w:val="center"/>
              <w:rPr>
                <w:b/>
                <w:sz w:val="18"/>
                <w:szCs w:val="18"/>
                <w:lang w:val="fr-CA"/>
              </w:rPr>
            </w:pPr>
            <w:r w:rsidRPr="00ED22D1">
              <w:rPr>
                <w:b/>
                <w:sz w:val="18"/>
                <w:szCs w:val="18"/>
                <w:lang w:val="fr-CA"/>
              </w:rPr>
              <w:t>DATE      D’APPROBATION</w:t>
            </w:r>
          </w:p>
        </w:tc>
        <w:tc>
          <w:tcPr>
            <w:tcW w:w="2501" w:type="dxa"/>
            <w:shd w:val="clear" w:color="auto" w:fill="auto"/>
          </w:tcPr>
          <w:p w:rsidR="002D6976" w:rsidRPr="00ED22D1" w:rsidRDefault="002D6976" w:rsidP="002D6976">
            <w:pPr>
              <w:spacing w:after="80"/>
              <w:jc w:val="center"/>
              <w:rPr>
                <w:b/>
                <w:sz w:val="18"/>
                <w:szCs w:val="18"/>
                <w:lang w:val="fr-CA"/>
              </w:rPr>
            </w:pPr>
            <w:r w:rsidRPr="00ED22D1">
              <w:rPr>
                <w:b/>
                <w:sz w:val="18"/>
                <w:szCs w:val="18"/>
                <w:lang w:val="fr-CA"/>
              </w:rPr>
              <w:t>MESURE DE RÉGLEMENTATION</w:t>
            </w:r>
          </w:p>
        </w:tc>
      </w:tr>
      <w:tr w:rsidR="00C1026B" w:rsidRPr="00ED22D1" w:rsidTr="00D26EF9">
        <w:trPr>
          <w:trHeight w:val="240"/>
        </w:trPr>
        <w:tc>
          <w:tcPr>
            <w:tcW w:w="3528" w:type="dxa"/>
            <w:shd w:val="clear" w:color="auto" w:fill="auto"/>
          </w:tcPr>
          <w:p w:rsidR="00C1026B" w:rsidRPr="00ED22D1" w:rsidRDefault="002D6976" w:rsidP="00905638">
            <w:pPr>
              <w:spacing w:after="80"/>
              <w:jc w:val="center"/>
              <w:rPr>
                <w:sz w:val="18"/>
                <w:szCs w:val="18"/>
                <w:lang w:val="fr-CA"/>
              </w:rPr>
            </w:pPr>
            <w:r w:rsidRPr="00ED22D1">
              <w:rPr>
                <w:sz w:val="18"/>
                <w:szCs w:val="18"/>
                <w:lang w:val="fr-CA"/>
              </w:rPr>
              <w:t xml:space="preserve">Plan d’élimination des HCFC </w:t>
            </w:r>
            <w:r w:rsidR="004A6828" w:rsidRPr="00ED22D1">
              <w:rPr>
                <w:sz w:val="18"/>
                <w:szCs w:val="18"/>
                <w:lang w:val="fr-CA"/>
              </w:rPr>
              <w:t>(phase</w:t>
            </w:r>
            <w:r w:rsidR="00C1026B" w:rsidRPr="00ED22D1">
              <w:rPr>
                <w:sz w:val="18"/>
                <w:szCs w:val="18"/>
                <w:lang w:val="fr-CA"/>
              </w:rPr>
              <w:t xml:space="preserve"> II) </w:t>
            </w:r>
            <w:r w:rsidR="00905638" w:rsidRPr="00ED22D1">
              <w:rPr>
                <w:sz w:val="18"/>
                <w:szCs w:val="18"/>
                <w:lang w:val="fr-CA"/>
              </w:rPr>
              <w:t>Climatisation et réfrigération industrielle      et commerciale</w:t>
            </w:r>
          </w:p>
        </w:tc>
        <w:tc>
          <w:tcPr>
            <w:tcW w:w="1470" w:type="dxa"/>
            <w:shd w:val="clear" w:color="auto" w:fill="auto"/>
          </w:tcPr>
          <w:p w:rsidR="00C1026B" w:rsidRPr="00ED22D1" w:rsidRDefault="001C722B" w:rsidP="00D26EF9">
            <w:pPr>
              <w:spacing w:after="80"/>
              <w:jc w:val="center"/>
              <w:rPr>
                <w:sz w:val="18"/>
                <w:lang w:val="fr-CA"/>
              </w:rPr>
            </w:pPr>
            <w:r w:rsidRPr="00ED22D1">
              <w:rPr>
                <w:sz w:val="18"/>
                <w:lang w:val="fr-CA"/>
              </w:rPr>
              <w:t>PNUD</w:t>
            </w:r>
          </w:p>
        </w:tc>
        <w:tc>
          <w:tcPr>
            <w:tcW w:w="2501" w:type="dxa"/>
            <w:shd w:val="clear" w:color="auto" w:fill="auto"/>
          </w:tcPr>
          <w:p w:rsidR="00C1026B" w:rsidRPr="00ED22D1" w:rsidRDefault="002D6976" w:rsidP="002D6976">
            <w:pPr>
              <w:spacing w:after="80"/>
              <w:jc w:val="center"/>
              <w:rPr>
                <w:sz w:val="18"/>
                <w:lang w:val="fr-CA"/>
              </w:rPr>
            </w:pPr>
            <w:r w:rsidRPr="00ED22D1">
              <w:rPr>
                <w:sz w:val="18"/>
                <w:lang w:val="fr-CA"/>
              </w:rPr>
              <w:t>7</w:t>
            </w:r>
            <w:r w:rsidR="00C1026B" w:rsidRPr="00ED22D1">
              <w:rPr>
                <w:sz w:val="18"/>
                <w:lang w:val="fr-CA"/>
              </w:rPr>
              <w:t>7</w:t>
            </w:r>
            <w:r w:rsidRPr="00ED22D1">
              <w:rPr>
                <w:sz w:val="18"/>
                <w:vertAlign w:val="superscript"/>
                <w:lang w:val="fr-CA"/>
              </w:rPr>
              <w:t>e</w:t>
            </w:r>
            <w:r w:rsidRPr="00ED22D1">
              <w:rPr>
                <w:sz w:val="18"/>
                <w:lang w:val="fr-CA"/>
              </w:rPr>
              <w:t xml:space="preserve"> </w:t>
            </w:r>
          </w:p>
        </w:tc>
        <w:tc>
          <w:tcPr>
            <w:tcW w:w="2501" w:type="dxa"/>
            <w:shd w:val="clear" w:color="auto" w:fill="auto"/>
          </w:tcPr>
          <w:p w:rsidR="00C1026B" w:rsidRPr="00ED22D1" w:rsidRDefault="00C1026B" w:rsidP="00D26EF9">
            <w:pPr>
              <w:spacing w:after="80"/>
              <w:jc w:val="center"/>
              <w:rPr>
                <w:sz w:val="18"/>
                <w:lang w:val="fr-CA"/>
              </w:rPr>
            </w:pPr>
            <w:r w:rsidRPr="00ED22D1">
              <w:rPr>
                <w:sz w:val="18"/>
                <w:lang w:val="fr-CA"/>
              </w:rPr>
              <w:t>33</w:t>
            </w:r>
            <w:r w:rsidR="002D6976" w:rsidRPr="00ED22D1">
              <w:rPr>
                <w:sz w:val="18"/>
                <w:lang w:val="fr-CA"/>
              </w:rPr>
              <w:t> %</w:t>
            </w:r>
            <w:r w:rsidRPr="00ED22D1">
              <w:rPr>
                <w:sz w:val="18"/>
                <w:lang w:val="fr-CA"/>
              </w:rPr>
              <w:t xml:space="preserve"> </w:t>
            </w:r>
            <w:r w:rsidR="002D6976" w:rsidRPr="00ED22D1">
              <w:rPr>
                <w:sz w:val="18"/>
                <w:lang w:val="fr-CA"/>
              </w:rPr>
              <w:t>d’ici 20</w:t>
            </w:r>
            <w:r w:rsidRPr="00ED22D1">
              <w:rPr>
                <w:sz w:val="18"/>
                <w:lang w:val="fr-CA"/>
              </w:rPr>
              <w:t>20</w:t>
            </w:r>
          </w:p>
        </w:tc>
      </w:tr>
    </w:tbl>
    <w:p w:rsidR="002B5C0B" w:rsidRDefault="002B5C0B" w:rsidP="00C1026B">
      <w:pPr>
        <w:spacing w:after="60"/>
        <w:jc w:val="center"/>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D10825" w:rsidRPr="00157991" w:rsidTr="009A1B93">
        <w:trPr>
          <w:trHeight w:val="240"/>
        </w:trPr>
        <w:tc>
          <w:tcPr>
            <w:tcW w:w="5200" w:type="dxa"/>
            <w:shd w:val="clear" w:color="auto" w:fill="auto"/>
          </w:tcPr>
          <w:p w:rsidR="00D10825" w:rsidRPr="00ED22D1" w:rsidRDefault="00D10825" w:rsidP="00D10825">
            <w:pPr>
              <w:spacing w:after="60"/>
              <w:jc w:val="left"/>
              <w:rPr>
                <w:b/>
                <w:sz w:val="18"/>
                <w:szCs w:val="18"/>
                <w:lang w:val="fr-CA"/>
              </w:rPr>
            </w:pPr>
            <w:r w:rsidRPr="00ED22D1">
              <w:rPr>
                <w:b/>
                <w:sz w:val="18"/>
                <w:szCs w:val="18"/>
                <w:lang w:val="fr-CA"/>
              </w:rPr>
              <w:t>(II) DERNIÈRES DONNÉES DE L’ARTICLE 7 (Annexe C Groupe l)</w:t>
            </w:r>
          </w:p>
        </w:tc>
        <w:tc>
          <w:tcPr>
            <w:tcW w:w="2400" w:type="dxa"/>
            <w:shd w:val="clear" w:color="auto" w:fill="auto"/>
          </w:tcPr>
          <w:p w:rsidR="00D10825" w:rsidRPr="00ED22D1" w:rsidRDefault="00D10825" w:rsidP="00D10825">
            <w:pPr>
              <w:spacing w:after="60"/>
              <w:jc w:val="right"/>
              <w:rPr>
                <w:b/>
                <w:sz w:val="18"/>
                <w:lang w:val="fr-CA"/>
              </w:rPr>
            </w:pPr>
            <w:r w:rsidRPr="00ED22D1">
              <w:rPr>
                <w:b/>
                <w:sz w:val="18"/>
                <w:lang w:val="fr-CA"/>
              </w:rPr>
              <w:t>Année : 2017</w:t>
            </w:r>
          </w:p>
        </w:tc>
        <w:tc>
          <w:tcPr>
            <w:tcW w:w="2400" w:type="dxa"/>
            <w:shd w:val="clear" w:color="auto" w:fill="auto"/>
          </w:tcPr>
          <w:p w:rsidR="00D10825" w:rsidRPr="00157991" w:rsidRDefault="00D10825" w:rsidP="00D10825">
            <w:pPr>
              <w:spacing w:after="60"/>
              <w:jc w:val="right"/>
              <w:rPr>
                <w:sz w:val="18"/>
                <w:lang w:val="en-CA"/>
              </w:rPr>
            </w:pPr>
            <w:r w:rsidRPr="00157991">
              <w:rPr>
                <w:sz w:val="18"/>
                <w:lang w:val="en-CA"/>
              </w:rPr>
              <w:t>14,604.66 ( tonnes</w:t>
            </w:r>
            <w:r>
              <w:rPr>
                <w:sz w:val="18"/>
                <w:lang w:val="en-CA"/>
              </w:rPr>
              <w:t xml:space="preserve"> PAO</w:t>
            </w:r>
            <w:r w:rsidRPr="00157991">
              <w:rPr>
                <w:sz w:val="18"/>
                <w:lang w:val="en-CA"/>
              </w:rPr>
              <w:t>)</w:t>
            </w:r>
          </w:p>
        </w:tc>
      </w:tr>
    </w:tbl>
    <w:p w:rsidR="00D10825" w:rsidRDefault="00D10825" w:rsidP="00C1026B">
      <w:pPr>
        <w:spacing w:after="60"/>
        <w:jc w:val="center"/>
        <w:rPr>
          <w:lang w:val="fr-CA"/>
        </w:rPr>
      </w:pPr>
    </w:p>
    <w:tbl>
      <w:tblPr>
        <w:tblStyle w:val="TableGrid30"/>
        <w:tblW w:w="5255" w:type="pct"/>
        <w:tblInd w:w="-34" w:type="dxa"/>
        <w:tblLayout w:type="fixed"/>
        <w:tblLook w:val="04A0" w:firstRow="1" w:lastRow="0" w:firstColumn="1" w:lastColumn="0" w:noHBand="0" w:noVBand="1"/>
      </w:tblPr>
      <w:tblGrid>
        <w:gridCol w:w="7331"/>
        <w:gridCol w:w="2733"/>
      </w:tblGrid>
      <w:tr w:rsidR="00D10825" w:rsidRPr="00ED22D1" w:rsidTr="00D10825">
        <w:trPr>
          <w:trHeight w:val="240"/>
        </w:trPr>
        <w:tc>
          <w:tcPr>
            <w:tcW w:w="3642" w:type="pct"/>
            <w:shd w:val="clear" w:color="auto" w:fill="auto"/>
          </w:tcPr>
          <w:p w:rsidR="00D10825" w:rsidRPr="00ED22D1" w:rsidRDefault="00D10825" w:rsidP="009A1B93">
            <w:pPr>
              <w:spacing w:after="60"/>
              <w:jc w:val="left"/>
              <w:rPr>
                <w:b/>
                <w:sz w:val="18"/>
                <w:szCs w:val="20"/>
                <w:lang w:val="fr-CA"/>
              </w:rPr>
            </w:pPr>
            <w:r w:rsidRPr="00ED22D1">
              <w:rPr>
                <w:b/>
                <w:sz w:val="18"/>
                <w:szCs w:val="20"/>
                <w:lang w:val="fr-CA"/>
              </w:rPr>
              <w:t xml:space="preserve">(III) </w:t>
            </w:r>
            <w:r w:rsidRPr="00ED22D1">
              <w:rPr>
                <w:b/>
                <w:sz w:val="20"/>
                <w:szCs w:val="24"/>
                <w:lang w:val="fr-CA"/>
              </w:rPr>
              <w:t xml:space="preserve">DERNIÈRES DONNÉES SECTORIELLES DU PROGRAMME DE PAYS </w:t>
            </w:r>
            <w:r w:rsidRPr="00ED22D1">
              <w:rPr>
                <w:b/>
                <w:sz w:val="18"/>
                <w:szCs w:val="20"/>
                <w:lang w:val="fr-CA"/>
              </w:rPr>
              <w:t>(tonnes PAO)</w:t>
            </w:r>
          </w:p>
        </w:tc>
        <w:tc>
          <w:tcPr>
            <w:tcW w:w="1358" w:type="pct"/>
            <w:shd w:val="clear" w:color="auto" w:fill="auto"/>
          </w:tcPr>
          <w:p w:rsidR="00D10825" w:rsidRPr="00ED22D1" w:rsidRDefault="00D10825" w:rsidP="009A1B93">
            <w:pPr>
              <w:spacing w:after="60"/>
              <w:jc w:val="right"/>
              <w:rPr>
                <w:b/>
                <w:sz w:val="18"/>
                <w:szCs w:val="20"/>
                <w:lang w:val="fr-CA"/>
              </w:rPr>
            </w:pPr>
            <w:r w:rsidRPr="00ED22D1">
              <w:rPr>
                <w:b/>
                <w:sz w:val="18"/>
                <w:szCs w:val="20"/>
                <w:lang w:val="fr-CA"/>
              </w:rPr>
              <w:t>Année : 2017</w:t>
            </w:r>
          </w:p>
        </w:tc>
      </w:tr>
    </w:tbl>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64"/>
        <w:gridCol w:w="786"/>
        <w:gridCol w:w="846"/>
        <w:gridCol w:w="936"/>
        <w:gridCol w:w="1036"/>
        <w:gridCol w:w="876"/>
        <w:gridCol w:w="767"/>
        <w:gridCol w:w="1276"/>
        <w:gridCol w:w="996"/>
        <w:gridCol w:w="1317"/>
      </w:tblGrid>
      <w:tr w:rsidR="00D15079" w:rsidRPr="00ED22D1" w:rsidTr="00D26EF9">
        <w:trPr>
          <w:trHeight w:val="240"/>
        </w:trPr>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Produit chimique</w:t>
            </w:r>
          </w:p>
        </w:tc>
        <w:tc>
          <w:tcPr>
            <w:tcW w:w="0" w:type="auto"/>
            <w:shd w:val="clear" w:color="auto" w:fill="auto"/>
          </w:tcPr>
          <w:p w:rsidR="00C1026B" w:rsidRPr="00ED22D1" w:rsidRDefault="00C1026B" w:rsidP="00D15079">
            <w:pPr>
              <w:spacing w:after="60"/>
              <w:jc w:val="center"/>
              <w:rPr>
                <w:sz w:val="18"/>
                <w:lang w:val="fr-CA"/>
              </w:rPr>
            </w:pPr>
            <w:r w:rsidRPr="00ED22D1">
              <w:rPr>
                <w:sz w:val="18"/>
                <w:lang w:val="fr-CA"/>
              </w:rPr>
              <w:t>A</w:t>
            </w:r>
            <w:r w:rsidR="00D15079" w:rsidRPr="00ED22D1">
              <w:rPr>
                <w:sz w:val="18"/>
                <w:lang w:val="fr-CA"/>
              </w:rPr>
              <w:t>é</w:t>
            </w:r>
            <w:r w:rsidRPr="00ED22D1">
              <w:rPr>
                <w:sz w:val="18"/>
                <w:lang w:val="fr-CA"/>
              </w:rPr>
              <w:t>rosol</w:t>
            </w:r>
          </w:p>
        </w:tc>
        <w:tc>
          <w:tcPr>
            <w:tcW w:w="0" w:type="auto"/>
            <w:shd w:val="clear" w:color="auto" w:fill="auto"/>
          </w:tcPr>
          <w:p w:rsidR="00C1026B" w:rsidRPr="00ED22D1" w:rsidRDefault="00D15079" w:rsidP="00D26EF9">
            <w:pPr>
              <w:spacing w:after="60"/>
              <w:jc w:val="center"/>
              <w:rPr>
                <w:sz w:val="18"/>
                <w:lang w:val="fr-CA"/>
              </w:rPr>
            </w:pPr>
            <w:r w:rsidRPr="00ED22D1">
              <w:rPr>
                <w:sz w:val="18"/>
                <w:lang w:val="fr-CA"/>
              </w:rPr>
              <w:t>Mousse</w:t>
            </w:r>
          </w:p>
        </w:tc>
        <w:tc>
          <w:tcPr>
            <w:tcW w:w="0" w:type="auto"/>
            <w:shd w:val="clear" w:color="auto" w:fill="auto"/>
          </w:tcPr>
          <w:p w:rsidR="00C1026B" w:rsidRPr="00ED22D1" w:rsidRDefault="00D15079" w:rsidP="00D26EF9">
            <w:pPr>
              <w:spacing w:after="60"/>
              <w:jc w:val="center"/>
              <w:rPr>
                <w:sz w:val="18"/>
                <w:lang w:val="fr-CA"/>
              </w:rPr>
            </w:pPr>
            <w:r w:rsidRPr="00ED22D1">
              <w:rPr>
                <w:sz w:val="18"/>
                <w:lang w:val="fr-CA"/>
              </w:rPr>
              <w:t>Lutte contre l’incendie</w:t>
            </w:r>
          </w:p>
        </w:tc>
        <w:tc>
          <w:tcPr>
            <w:tcW w:w="0" w:type="auto"/>
            <w:gridSpan w:val="2"/>
            <w:shd w:val="clear" w:color="auto" w:fill="auto"/>
          </w:tcPr>
          <w:p w:rsidR="00C1026B" w:rsidRPr="00ED22D1" w:rsidRDefault="0052712E" w:rsidP="00D26EF9">
            <w:pPr>
              <w:spacing w:after="60"/>
              <w:jc w:val="center"/>
              <w:rPr>
                <w:sz w:val="18"/>
                <w:lang w:val="fr-CA"/>
              </w:rPr>
            </w:pPr>
            <w:r w:rsidRPr="00ED22D1">
              <w:rPr>
                <w:sz w:val="18"/>
                <w:lang w:val="fr-CA"/>
              </w:rPr>
              <w:t>Réfrigération</w:t>
            </w:r>
          </w:p>
        </w:tc>
        <w:tc>
          <w:tcPr>
            <w:tcW w:w="0" w:type="auto"/>
            <w:shd w:val="clear" w:color="auto" w:fill="auto"/>
          </w:tcPr>
          <w:p w:rsidR="00C1026B" w:rsidRPr="00ED22D1" w:rsidRDefault="0052712E" w:rsidP="00D26EF9">
            <w:pPr>
              <w:spacing w:after="60"/>
              <w:jc w:val="center"/>
              <w:rPr>
                <w:sz w:val="18"/>
                <w:lang w:val="fr-CA"/>
              </w:rPr>
            </w:pPr>
            <w:r w:rsidRPr="00ED22D1">
              <w:rPr>
                <w:sz w:val="18"/>
                <w:lang w:val="fr-CA"/>
              </w:rPr>
              <w:t>Solvant</w:t>
            </w:r>
          </w:p>
        </w:tc>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Agent           de transformation</w:t>
            </w:r>
          </w:p>
        </w:tc>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Utilisation en laboratoire</w:t>
            </w:r>
          </w:p>
        </w:tc>
        <w:tc>
          <w:tcPr>
            <w:tcW w:w="0" w:type="auto"/>
            <w:shd w:val="clear" w:color="auto" w:fill="auto"/>
          </w:tcPr>
          <w:p w:rsidR="00C1026B" w:rsidRPr="00ED22D1" w:rsidRDefault="0052712E" w:rsidP="00D26EF9">
            <w:pPr>
              <w:spacing w:after="60"/>
              <w:jc w:val="center"/>
              <w:rPr>
                <w:sz w:val="18"/>
                <w:lang w:val="fr-CA"/>
              </w:rPr>
            </w:pPr>
            <w:r w:rsidRPr="00ED22D1">
              <w:rPr>
                <w:sz w:val="18"/>
                <w:lang w:val="fr-CA"/>
              </w:rPr>
              <w:t xml:space="preserve">Consommation </w:t>
            </w:r>
            <w:r w:rsidR="00D15079" w:rsidRPr="00ED22D1">
              <w:rPr>
                <w:sz w:val="18"/>
                <w:lang w:val="fr-CA"/>
              </w:rPr>
              <w:t xml:space="preserve">  </w:t>
            </w:r>
            <w:r w:rsidRPr="00ED22D1">
              <w:rPr>
                <w:sz w:val="18"/>
                <w:lang w:val="fr-CA"/>
              </w:rPr>
              <w:t>totale par secteur</w:t>
            </w:r>
          </w:p>
        </w:tc>
      </w:tr>
      <w:tr w:rsidR="00D15079" w:rsidRPr="00ED22D1" w:rsidTr="00D26EF9">
        <w:trPr>
          <w:trHeight w:val="240"/>
        </w:trPr>
        <w:tc>
          <w:tcPr>
            <w:tcW w:w="0" w:type="auto"/>
            <w:gridSpan w:val="4"/>
            <w:shd w:val="clear" w:color="auto" w:fill="auto"/>
          </w:tcPr>
          <w:p w:rsidR="00C1026B" w:rsidRPr="00ED22D1" w:rsidRDefault="00C1026B" w:rsidP="00D26EF9">
            <w:pPr>
              <w:spacing w:after="60"/>
              <w:jc w:val="center"/>
              <w:rPr>
                <w:sz w:val="18"/>
                <w:lang w:val="fr-CA"/>
              </w:rPr>
            </w:pPr>
            <w:r w:rsidRPr="00ED22D1">
              <w:rPr>
                <w:sz w:val="18"/>
                <w:lang w:val="fr-CA"/>
              </w:rPr>
              <w:t xml:space="preserve"> </w:t>
            </w:r>
          </w:p>
        </w:tc>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Fabrication</w:t>
            </w:r>
          </w:p>
        </w:tc>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Entretien</w:t>
            </w:r>
          </w:p>
        </w:tc>
        <w:tc>
          <w:tcPr>
            <w:tcW w:w="0" w:type="auto"/>
            <w:gridSpan w:val="4"/>
            <w:shd w:val="clear" w:color="auto" w:fill="auto"/>
          </w:tcPr>
          <w:p w:rsidR="00C1026B" w:rsidRPr="00ED22D1" w:rsidRDefault="00C1026B" w:rsidP="00D26EF9">
            <w:pPr>
              <w:spacing w:after="60"/>
              <w:jc w:val="center"/>
              <w:rPr>
                <w:sz w:val="18"/>
                <w:lang w:val="fr-CA"/>
              </w:rPr>
            </w:pPr>
          </w:p>
        </w:tc>
      </w:tr>
      <w:tr w:rsidR="00D15079" w:rsidRPr="00ED22D1" w:rsidTr="002B5C0B">
        <w:trPr>
          <w:trHeight w:val="240"/>
        </w:trPr>
        <w:tc>
          <w:tcPr>
            <w:tcW w:w="1164" w:type="dxa"/>
            <w:shd w:val="clear" w:color="auto" w:fill="auto"/>
          </w:tcPr>
          <w:p w:rsidR="00C1026B" w:rsidRPr="00ED22D1" w:rsidRDefault="00C1026B" w:rsidP="00D26EF9">
            <w:pPr>
              <w:spacing w:after="60"/>
              <w:jc w:val="left"/>
              <w:rPr>
                <w:sz w:val="16"/>
                <w:szCs w:val="16"/>
                <w:lang w:val="fr-CA"/>
              </w:rPr>
            </w:pPr>
            <w:r w:rsidRPr="00ED22D1">
              <w:rPr>
                <w:sz w:val="16"/>
                <w:szCs w:val="16"/>
                <w:lang w:val="fr-CA"/>
              </w:rPr>
              <w:t>HCFC-22</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1 </w:t>
            </w:r>
            <w:r w:rsidR="00C1026B" w:rsidRPr="00ED22D1">
              <w:rPr>
                <w:sz w:val="18"/>
                <w:lang w:val="fr-CA"/>
              </w:rPr>
              <w:t>59</w:t>
            </w:r>
            <w:r w:rsidRPr="00ED22D1">
              <w:rPr>
                <w:sz w:val="18"/>
                <w:lang w:val="fr-CA"/>
              </w:rPr>
              <w:t>5,</w:t>
            </w:r>
            <w:r w:rsidR="00C1026B" w:rsidRPr="00ED22D1">
              <w:rPr>
                <w:sz w:val="18"/>
                <w:lang w:val="fr-CA"/>
              </w:rPr>
              <w:t>00</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5 </w:t>
            </w:r>
            <w:r w:rsidR="00C1026B" w:rsidRPr="00ED22D1">
              <w:rPr>
                <w:sz w:val="18"/>
                <w:lang w:val="fr-CA"/>
              </w:rPr>
              <w:t>80</w:t>
            </w:r>
            <w:r w:rsidRPr="00ED22D1">
              <w:rPr>
                <w:sz w:val="18"/>
                <w:lang w:val="fr-CA"/>
              </w:rPr>
              <w:t>7,</w:t>
            </w:r>
            <w:r w:rsidR="00C1026B" w:rsidRPr="00ED22D1">
              <w:rPr>
                <w:sz w:val="18"/>
                <w:lang w:val="fr-CA"/>
              </w:rPr>
              <w:t>50</w:t>
            </w: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2 </w:t>
            </w:r>
            <w:r w:rsidR="00C1026B" w:rsidRPr="00ED22D1">
              <w:rPr>
                <w:sz w:val="18"/>
                <w:lang w:val="fr-CA"/>
              </w:rPr>
              <w:t>83</w:t>
            </w:r>
            <w:r w:rsidRPr="00ED22D1">
              <w:rPr>
                <w:sz w:val="18"/>
                <w:lang w:val="fr-CA"/>
              </w:rPr>
              <w:t>1,</w:t>
            </w:r>
            <w:r w:rsidR="00C1026B" w:rsidRPr="00ED22D1">
              <w:rPr>
                <w:sz w:val="18"/>
                <w:lang w:val="fr-CA"/>
              </w:rPr>
              <w:t>55</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tcBorders>
              <w:right w:val="single" w:sz="4" w:space="0" w:color="8064A2" w:themeColor="accent4"/>
            </w:tcBorders>
            <w:shd w:val="clear" w:color="auto" w:fill="auto"/>
          </w:tcPr>
          <w:p w:rsidR="00C1026B" w:rsidRPr="00ED22D1" w:rsidRDefault="00C1026B" w:rsidP="00D26EF9">
            <w:pPr>
              <w:spacing w:after="60"/>
              <w:jc w:val="right"/>
              <w:rPr>
                <w:sz w:val="18"/>
                <w:lang w:val="fr-CA"/>
              </w:rPr>
            </w:pPr>
          </w:p>
        </w:tc>
        <w:tc>
          <w:tcPr>
            <w:tcW w:w="0" w:type="auto"/>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rsidR="00C1026B" w:rsidRPr="00ED22D1" w:rsidRDefault="004A6828" w:rsidP="00D26EF9">
            <w:pPr>
              <w:spacing w:after="60"/>
              <w:jc w:val="right"/>
              <w:rPr>
                <w:sz w:val="18"/>
                <w:szCs w:val="18"/>
                <w:lang w:val="fr-CA"/>
              </w:rPr>
            </w:pPr>
            <w:r w:rsidRPr="00ED22D1">
              <w:rPr>
                <w:color w:val="000000"/>
                <w:sz w:val="18"/>
                <w:szCs w:val="18"/>
                <w:lang w:val="fr-CA"/>
              </w:rPr>
              <w:t>9 </w:t>
            </w:r>
            <w:r w:rsidR="00C1026B" w:rsidRPr="00ED22D1">
              <w:rPr>
                <w:color w:val="000000"/>
                <w:sz w:val="18"/>
                <w:szCs w:val="18"/>
                <w:lang w:val="fr-CA"/>
              </w:rPr>
              <w:t>51</w:t>
            </w:r>
            <w:r w:rsidRPr="00ED22D1">
              <w:rPr>
                <w:color w:val="000000"/>
                <w:sz w:val="18"/>
                <w:szCs w:val="18"/>
                <w:lang w:val="fr-CA"/>
              </w:rPr>
              <w:t>4,</w:t>
            </w:r>
            <w:r w:rsidR="00C1026B" w:rsidRPr="00ED22D1">
              <w:rPr>
                <w:color w:val="000000"/>
                <w:sz w:val="18"/>
                <w:szCs w:val="18"/>
                <w:lang w:val="fr-CA"/>
              </w:rPr>
              <w:t>05</w:t>
            </w:r>
          </w:p>
        </w:tc>
      </w:tr>
      <w:tr w:rsidR="00D15079" w:rsidRPr="00ED22D1" w:rsidTr="002B5C0B">
        <w:trPr>
          <w:trHeight w:val="240"/>
        </w:trPr>
        <w:tc>
          <w:tcPr>
            <w:tcW w:w="1164" w:type="dxa"/>
            <w:shd w:val="clear" w:color="auto" w:fill="auto"/>
          </w:tcPr>
          <w:p w:rsidR="00C1026B" w:rsidRPr="00ED22D1" w:rsidRDefault="00C1026B" w:rsidP="00D26EF9">
            <w:pPr>
              <w:spacing w:after="60"/>
              <w:jc w:val="left"/>
              <w:rPr>
                <w:sz w:val="16"/>
                <w:szCs w:val="16"/>
                <w:lang w:val="fr-CA"/>
              </w:rPr>
            </w:pPr>
            <w:r w:rsidRPr="00ED22D1">
              <w:rPr>
                <w:sz w:val="16"/>
                <w:szCs w:val="16"/>
                <w:lang w:val="fr-CA"/>
              </w:rPr>
              <w:t>HCFC-123</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2,</w:t>
            </w:r>
            <w:r w:rsidRPr="00ED22D1">
              <w:rPr>
                <w:sz w:val="18"/>
                <w:lang w:val="fr-CA"/>
              </w:rPr>
              <w:t>88</w:t>
            </w: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6,</w:t>
            </w:r>
            <w:r w:rsidR="00C1026B" w:rsidRPr="00ED22D1">
              <w:rPr>
                <w:sz w:val="18"/>
                <w:lang w:val="fr-CA"/>
              </w:rPr>
              <w:t>95</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tcBorders>
              <w:right w:val="single" w:sz="4" w:space="0" w:color="8064A2" w:themeColor="accent4"/>
            </w:tcBorders>
            <w:shd w:val="clear" w:color="auto" w:fill="auto"/>
          </w:tcPr>
          <w:p w:rsidR="00C1026B" w:rsidRPr="00ED22D1" w:rsidRDefault="00C1026B" w:rsidP="00D26EF9">
            <w:pPr>
              <w:spacing w:after="60"/>
              <w:jc w:val="right"/>
              <w:rPr>
                <w:sz w:val="18"/>
                <w:lang w:val="fr-CA"/>
              </w:rPr>
            </w:pPr>
          </w:p>
        </w:tc>
        <w:tc>
          <w:tcPr>
            <w:tcW w:w="0" w:type="auto"/>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rsidR="00C1026B" w:rsidRPr="00ED22D1" w:rsidRDefault="00C1026B" w:rsidP="00D26EF9">
            <w:pPr>
              <w:spacing w:after="60"/>
              <w:jc w:val="right"/>
              <w:rPr>
                <w:sz w:val="18"/>
                <w:szCs w:val="18"/>
                <w:lang w:val="fr-CA"/>
              </w:rPr>
            </w:pPr>
            <w:r w:rsidRPr="00ED22D1">
              <w:rPr>
                <w:color w:val="000000"/>
                <w:sz w:val="18"/>
                <w:szCs w:val="18"/>
                <w:lang w:val="fr-CA"/>
              </w:rPr>
              <w:t>1</w:t>
            </w:r>
            <w:r w:rsidR="004A6828" w:rsidRPr="00ED22D1">
              <w:rPr>
                <w:color w:val="000000"/>
                <w:sz w:val="18"/>
                <w:szCs w:val="18"/>
                <w:lang w:val="fr-CA"/>
              </w:rPr>
              <w:t>9,</w:t>
            </w:r>
            <w:r w:rsidRPr="00ED22D1">
              <w:rPr>
                <w:color w:val="000000"/>
                <w:sz w:val="18"/>
                <w:szCs w:val="18"/>
                <w:lang w:val="fr-CA"/>
              </w:rPr>
              <w:t>83</w:t>
            </w:r>
          </w:p>
        </w:tc>
      </w:tr>
      <w:tr w:rsidR="00D15079" w:rsidRPr="00ED22D1" w:rsidTr="002B5C0B">
        <w:trPr>
          <w:trHeight w:val="240"/>
        </w:trPr>
        <w:tc>
          <w:tcPr>
            <w:tcW w:w="1164" w:type="dxa"/>
            <w:shd w:val="clear" w:color="auto" w:fill="auto"/>
          </w:tcPr>
          <w:p w:rsidR="00C1026B" w:rsidRPr="00ED22D1" w:rsidRDefault="00C1026B" w:rsidP="00D26EF9">
            <w:pPr>
              <w:spacing w:after="60"/>
              <w:jc w:val="left"/>
              <w:rPr>
                <w:sz w:val="16"/>
                <w:szCs w:val="16"/>
                <w:lang w:val="fr-CA"/>
              </w:rPr>
            </w:pPr>
            <w:r w:rsidRPr="00ED22D1">
              <w:rPr>
                <w:sz w:val="16"/>
                <w:szCs w:val="16"/>
                <w:lang w:val="fr-CA"/>
              </w:rPr>
              <w:t>HCFC-124</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w:t>
            </w:r>
            <w:r w:rsidR="004A6828" w:rsidRPr="00ED22D1">
              <w:rPr>
                <w:sz w:val="18"/>
                <w:lang w:val="fr-CA"/>
              </w:rPr>
              <w:t>0,</w:t>
            </w:r>
            <w:r w:rsidRPr="00ED22D1">
              <w:rPr>
                <w:sz w:val="18"/>
                <w:lang w:val="fr-CA"/>
              </w:rPr>
              <w:t>13</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tcBorders>
              <w:right w:val="single" w:sz="4" w:space="0" w:color="8064A2" w:themeColor="accent4"/>
            </w:tcBorders>
            <w:shd w:val="clear" w:color="auto" w:fill="auto"/>
          </w:tcPr>
          <w:p w:rsidR="00C1026B" w:rsidRPr="00ED22D1" w:rsidRDefault="00C1026B" w:rsidP="00D26EF9">
            <w:pPr>
              <w:spacing w:after="60"/>
              <w:jc w:val="right"/>
              <w:rPr>
                <w:sz w:val="18"/>
                <w:lang w:val="fr-CA"/>
              </w:rPr>
            </w:pPr>
          </w:p>
        </w:tc>
        <w:tc>
          <w:tcPr>
            <w:tcW w:w="0" w:type="auto"/>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rsidR="00C1026B" w:rsidRPr="00ED22D1" w:rsidRDefault="00C1026B" w:rsidP="00D26EF9">
            <w:pPr>
              <w:spacing w:after="60"/>
              <w:jc w:val="right"/>
              <w:rPr>
                <w:sz w:val="18"/>
                <w:szCs w:val="18"/>
                <w:lang w:val="fr-CA"/>
              </w:rPr>
            </w:pPr>
            <w:r w:rsidRPr="00ED22D1">
              <w:rPr>
                <w:color w:val="000000"/>
                <w:sz w:val="18"/>
                <w:szCs w:val="18"/>
                <w:lang w:val="fr-CA"/>
              </w:rPr>
              <w:t>-</w:t>
            </w:r>
            <w:r w:rsidR="004A6828" w:rsidRPr="00ED22D1">
              <w:rPr>
                <w:color w:val="000000"/>
                <w:sz w:val="18"/>
                <w:szCs w:val="18"/>
                <w:lang w:val="fr-CA"/>
              </w:rPr>
              <w:t>0,</w:t>
            </w:r>
            <w:r w:rsidRPr="00ED22D1">
              <w:rPr>
                <w:color w:val="000000"/>
                <w:sz w:val="18"/>
                <w:szCs w:val="18"/>
                <w:lang w:val="fr-CA"/>
              </w:rPr>
              <w:t>13</w:t>
            </w:r>
          </w:p>
        </w:tc>
      </w:tr>
      <w:tr w:rsidR="00D15079" w:rsidRPr="00ED22D1" w:rsidTr="002B5C0B">
        <w:trPr>
          <w:trHeight w:val="240"/>
        </w:trPr>
        <w:tc>
          <w:tcPr>
            <w:tcW w:w="1164" w:type="dxa"/>
            <w:shd w:val="clear" w:color="auto" w:fill="auto"/>
          </w:tcPr>
          <w:p w:rsidR="00C1026B" w:rsidRPr="00ED22D1" w:rsidRDefault="00C1026B" w:rsidP="00D26EF9">
            <w:pPr>
              <w:spacing w:after="60"/>
              <w:jc w:val="left"/>
              <w:rPr>
                <w:sz w:val="16"/>
                <w:szCs w:val="16"/>
                <w:lang w:val="fr-CA"/>
              </w:rPr>
            </w:pPr>
            <w:r w:rsidRPr="00ED22D1">
              <w:rPr>
                <w:sz w:val="16"/>
                <w:szCs w:val="16"/>
                <w:lang w:val="fr-CA"/>
              </w:rPr>
              <w:t>HCFC-141b</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4A6828" w:rsidP="00616B46">
            <w:pPr>
              <w:spacing w:after="60"/>
              <w:jc w:val="right"/>
              <w:rPr>
                <w:sz w:val="18"/>
                <w:lang w:val="fr-CA"/>
              </w:rPr>
            </w:pPr>
            <w:r w:rsidRPr="00ED22D1">
              <w:rPr>
                <w:sz w:val="18"/>
                <w:lang w:val="fr-CA"/>
              </w:rPr>
              <w:t>4</w:t>
            </w:r>
            <w:r w:rsidR="00616B46" w:rsidRPr="00ED22D1">
              <w:rPr>
                <w:sz w:val="18"/>
                <w:lang w:val="fr-CA"/>
              </w:rPr>
              <w:t> </w:t>
            </w:r>
            <w:r w:rsidR="00C1026B" w:rsidRPr="00ED22D1">
              <w:rPr>
                <w:sz w:val="18"/>
                <w:lang w:val="fr-CA"/>
              </w:rPr>
              <w:t>00</w:t>
            </w:r>
            <w:r w:rsidRPr="00ED22D1">
              <w:rPr>
                <w:sz w:val="18"/>
                <w:lang w:val="fr-CA"/>
              </w:rPr>
              <w:t>8,</w:t>
            </w:r>
            <w:r w:rsidR="00C1026B" w:rsidRPr="00ED22D1">
              <w:rPr>
                <w:sz w:val="18"/>
                <w:lang w:val="fr-CA"/>
              </w:rPr>
              <w:t>26</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39</w:t>
            </w:r>
            <w:r w:rsidR="004A6828" w:rsidRPr="00ED22D1">
              <w:rPr>
                <w:sz w:val="18"/>
                <w:lang w:val="fr-CA"/>
              </w:rPr>
              <w:t>6,</w:t>
            </w:r>
            <w:r w:rsidRPr="00ED22D1">
              <w:rPr>
                <w:sz w:val="18"/>
                <w:lang w:val="fr-CA"/>
              </w:rPr>
              <w:t>00</w:t>
            </w:r>
          </w:p>
        </w:tc>
        <w:tc>
          <w:tcPr>
            <w:tcW w:w="0" w:type="auto"/>
            <w:shd w:val="clear" w:color="auto" w:fill="auto"/>
          </w:tcPr>
          <w:p w:rsidR="00C1026B" w:rsidRPr="00ED22D1" w:rsidRDefault="00C1026B" w:rsidP="00D26EF9">
            <w:pPr>
              <w:spacing w:after="60"/>
              <w:jc w:val="right"/>
              <w:rPr>
                <w:sz w:val="18"/>
                <w:lang w:val="fr-CA"/>
              </w:rPr>
            </w:pPr>
          </w:p>
        </w:tc>
        <w:tc>
          <w:tcPr>
            <w:tcW w:w="0" w:type="auto"/>
            <w:tcBorders>
              <w:right w:val="single" w:sz="4" w:space="0" w:color="8064A2" w:themeColor="accent4"/>
            </w:tcBorders>
            <w:shd w:val="clear" w:color="auto" w:fill="auto"/>
          </w:tcPr>
          <w:p w:rsidR="00C1026B" w:rsidRPr="00ED22D1" w:rsidRDefault="00C1026B" w:rsidP="00D26EF9">
            <w:pPr>
              <w:spacing w:after="60"/>
              <w:jc w:val="right"/>
              <w:rPr>
                <w:sz w:val="18"/>
                <w:lang w:val="fr-CA"/>
              </w:rPr>
            </w:pPr>
          </w:p>
        </w:tc>
        <w:tc>
          <w:tcPr>
            <w:tcW w:w="0" w:type="auto"/>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rsidR="00C1026B" w:rsidRPr="00ED22D1" w:rsidRDefault="004A6828" w:rsidP="00D26EF9">
            <w:pPr>
              <w:spacing w:after="60"/>
              <w:jc w:val="right"/>
              <w:rPr>
                <w:sz w:val="18"/>
                <w:szCs w:val="18"/>
                <w:lang w:val="fr-CA"/>
              </w:rPr>
            </w:pPr>
            <w:r w:rsidRPr="00ED22D1">
              <w:rPr>
                <w:color w:val="000000"/>
                <w:sz w:val="18"/>
                <w:szCs w:val="18"/>
                <w:lang w:val="fr-CA"/>
              </w:rPr>
              <w:t>4 </w:t>
            </w:r>
            <w:r w:rsidR="00C1026B" w:rsidRPr="00ED22D1">
              <w:rPr>
                <w:color w:val="000000"/>
                <w:sz w:val="18"/>
                <w:szCs w:val="18"/>
                <w:lang w:val="fr-CA"/>
              </w:rPr>
              <w:t>40</w:t>
            </w:r>
            <w:r w:rsidRPr="00ED22D1">
              <w:rPr>
                <w:color w:val="000000"/>
                <w:sz w:val="18"/>
                <w:szCs w:val="18"/>
                <w:lang w:val="fr-CA"/>
              </w:rPr>
              <w:t>4,</w:t>
            </w:r>
            <w:r w:rsidR="00C1026B" w:rsidRPr="00ED22D1">
              <w:rPr>
                <w:color w:val="000000"/>
                <w:sz w:val="18"/>
                <w:szCs w:val="18"/>
                <w:lang w:val="fr-CA"/>
              </w:rPr>
              <w:t>26</w:t>
            </w:r>
          </w:p>
        </w:tc>
      </w:tr>
      <w:tr w:rsidR="00D15079" w:rsidRPr="00ED22D1" w:rsidTr="002B5C0B">
        <w:trPr>
          <w:trHeight w:val="240"/>
        </w:trPr>
        <w:tc>
          <w:tcPr>
            <w:tcW w:w="1164" w:type="dxa"/>
            <w:shd w:val="clear" w:color="auto" w:fill="auto"/>
          </w:tcPr>
          <w:p w:rsidR="00C1026B" w:rsidRPr="00ED22D1" w:rsidRDefault="00C1026B" w:rsidP="00D26EF9">
            <w:pPr>
              <w:spacing w:after="60"/>
              <w:jc w:val="left"/>
              <w:rPr>
                <w:sz w:val="16"/>
                <w:szCs w:val="16"/>
                <w:lang w:val="fr-CA"/>
              </w:rPr>
            </w:pPr>
            <w:r w:rsidRPr="00ED22D1">
              <w:rPr>
                <w:sz w:val="16"/>
                <w:szCs w:val="16"/>
                <w:lang w:val="fr-CA"/>
              </w:rPr>
              <w:t>HCFC-142b</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61</w:t>
            </w:r>
            <w:r w:rsidR="004A6828" w:rsidRPr="00ED22D1">
              <w:rPr>
                <w:sz w:val="18"/>
                <w:lang w:val="fr-CA"/>
              </w:rPr>
              <w:t>7,</w:t>
            </w:r>
            <w:r w:rsidRPr="00ED22D1">
              <w:rPr>
                <w:sz w:val="18"/>
                <w:lang w:val="fr-CA"/>
              </w:rPr>
              <w:t>50</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5,</w:t>
            </w:r>
            <w:r w:rsidR="00C1026B" w:rsidRPr="00ED22D1">
              <w:rPr>
                <w:sz w:val="18"/>
                <w:lang w:val="fr-CA"/>
              </w:rPr>
              <w:t>85</w:t>
            </w: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4</w:t>
            </w:r>
            <w:r w:rsidR="004A6828" w:rsidRPr="00ED22D1">
              <w:rPr>
                <w:sz w:val="18"/>
                <w:lang w:val="fr-CA"/>
              </w:rPr>
              <w:t>3,</w:t>
            </w:r>
            <w:r w:rsidRPr="00ED22D1">
              <w:rPr>
                <w:sz w:val="18"/>
                <w:lang w:val="fr-CA"/>
              </w:rPr>
              <w:t>06</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tcBorders>
              <w:right w:val="single" w:sz="4" w:space="0" w:color="8064A2" w:themeColor="accent4"/>
            </w:tcBorders>
            <w:shd w:val="clear" w:color="auto" w:fill="auto"/>
          </w:tcPr>
          <w:p w:rsidR="00C1026B" w:rsidRPr="00ED22D1" w:rsidRDefault="00C1026B" w:rsidP="00D26EF9">
            <w:pPr>
              <w:spacing w:after="60"/>
              <w:jc w:val="right"/>
              <w:rPr>
                <w:sz w:val="18"/>
                <w:lang w:val="fr-CA"/>
              </w:rPr>
            </w:pPr>
          </w:p>
        </w:tc>
        <w:tc>
          <w:tcPr>
            <w:tcW w:w="0" w:type="auto"/>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rsidR="00C1026B" w:rsidRPr="00ED22D1" w:rsidRDefault="00C1026B" w:rsidP="00D26EF9">
            <w:pPr>
              <w:spacing w:after="60"/>
              <w:jc w:val="right"/>
              <w:rPr>
                <w:sz w:val="18"/>
                <w:szCs w:val="18"/>
                <w:lang w:val="fr-CA"/>
              </w:rPr>
            </w:pPr>
            <w:r w:rsidRPr="00ED22D1">
              <w:rPr>
                <w:color w:val="000000"/>
                <w:sz w:val="18"/>
                <w:szCs w:val="18"/>
                <w:lang w:val="fr-CA"/>
              </w:rPr>
              <w:t>66</w:t>
            </w:r>
            <w:r w:rsidR="004A6828" w:rsidRPr="00ED22D1">
              <w:rPr>
                <w:color w:val="000000"/>
                <w:sz w:val="18"/>
                <w:szCs w:val="18"/>
                <w:lang w:val="fr-CA"/>
              </w:rPr>
              <w:t>6,</w:t>
            </w:r>
            <w:r w:rsidRPr="00ED22D1">
              <w:rPr>
                <w:color w:val="000000"/>
                <w:sz w:val="18"/>
                <w:szCs w:val="18"/>
                <w:lang w:val="fr-CA"/>
              </w:rPr>
              <w:t>41</w:t>
            </w:r>
          </w:p>
        </w:tc>
      </w:tr>
      <w:tr w:rsidR="00D15079" w:rsidRPr="00ED22D1" w:rsidTr="002B5C0B">
        <w:trPr>
          <w:trHeight w:val="240"/>
        </w:trPr>
        <w:tc>
          <w:tcPr>
            <w:tcW w:w="1164" w:type="dxa"/>
            <w:shd w:val="clear" w:color="auto" w:fill="auto"/>
          </w:tcPr>
          <w:p w:rsidR="00C1026B" w:rsidRPr="00ED22D1" w:rsidRDefault="00C1026B" w:rsidP="00D26EF9">
            <w:pPr>
              <w:spacing w:after="60"/>
              <w:jc w:val="left"/>
              <w:rPr>
                <w:sz w:val="16"/>
                <w:szCs w:val="16"/>
                <w:lang w:val="fr-CA"/>
              </w:rPr>
            </w:pPr>
            <w:r w:rsidRPr="00ED22D1">
              <w:rPr>
                <w:sz w:val="16"/>
                <w:szCs w:val="16"/>
                <w:lang w:val="fr-CA"/>
              </w:rPr>
              <w:t>HCFC-225ca</w:t>
            </w: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C1026B" w:rsidP="00D26EF9">
            <w:pPr>
              <w:spacing w:after="60"/>
              <w:jc w:val="right"/>
              <w:rPr>
                <w:sz w:val="18"/>
                <w:lang w:val="fr-CA"/>
              </w:rPr>
            </w:pP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0,</w:t>
            </w:r>
            <w:r w:rsidR="00C1026B" w:rsidRPr="00ED22D1">
              <w:rPr>
                <w:sz w:val="18"/>
                <w:lang w:val="fr-CA"/>
              </w:rPr>
              <w:t>96</w:t>
            </w:r>
          </w:p>
        </w:tc>
        <w:tc>
          <w:tcPr>
            <w:tcW w:w="0" w:type="auto"/>
            <w:shd w:val="clear" w:color="auto" w:fill="auto"/>
          </w:tcPr>
          <w:p w:rsidR="00C1026B" w:rsidRPr="00ED22D1" w:rsidRDefault="00C1026B" w:rsidP="00D26EF9">
            <w:pPr>
              <w:spacing w:after="60"/>
              <w:jc w:val="right"/>
              <w:rPr>
                <w:sz w:val="18"/>
                <w:lang w:val="fr-CA"/>
              </w:rPr>
            </w:pPr>
          </w:p>
        </w:tc>
        <w:tc>
          <w:tcPr>
            <w:tcW w:w="0" w:type="auto"/>
            <w:tcBorders>
              <w:right w:val="single" w:sz="4" w:space="0" w:color="8064A2" w:themeColor="accent4"/>
            </w:tcBorders>
            <w:shd w:val="clear" w:color="auto" w:fill="auto"/>
          </w:tcPr>
          <w:p w:rsidR="00C1026B" w:rsidRPr="00ED22D1" w:rsidRDefault="00C1026B" w:rsidP="00D26EF9">
            <w:pPr>
              <w:spacing w:after="60"/>
              <w:jc w:val="right"/>
              <w:rPr>
                <w:sz w:val="18"/>
                <w:lang w:val="fr-CA"/>
              </w:rPr>
            </w:pPr>
          </w:p>
        </w:tc>
        <w:tc>
          <w:tcPr>
            <w:tcW w:w="0" w:type="auto"/>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rsidR="00C1026B" w:rsidRPr="00ED22D1" w:rsidRDefault="004A6828" w:rsidP="00D26EF9">
            <w:pPr>
              <w:spacing w:after="60"/>
              <w:jc w:val="right"/>
              <w:rPr>
                <w:sz w:val="18"/>
                <w:szCs w:val="18"/>
                <w:lang w:val="fr-CA"/>
              </w:rPr>
            </w:pPr>
            <w:r w:rsidRPr="00ED22D1">
              <w:rPr>
                <w:color w:val="000000"/>
                <w:sz w:val="18"/>
                <w:szCs w:val="18"/>
                <w:lang w:val="fr-CA"/>
              </w:rPr>
              <w:t>0,</w:t>
            </w:r>
            <w:r w:rsidR="00C1026B" w:rsidRPr="00ED22D1">
              <w:rPr>
                <w:color w:val="000000"/>
                <w:sz w:val="18"/>
                <w:szCs w:val="18"/>
                <w:lang w:val="fr-CA"/>
              </w:rPr>
              <w:t>96</w:t>
            </w:r>
          </w:p>
        </w:tc>
      </w:tr>
    </w:tbl>
    <w:p w:rsidR="00C1026B" w:rsidRPr="00ED22D1" w:rsidRDefault="00C1026B" w:rsidP="00C1026B">
      <w:pPr>
        <w:spacing w:after="60"/>
        <w:jc w:val="center"/>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00"/>
        <w:gridCol w:w="1225"/>
        <w:gridCol w:w="4950"/>
        <w:gridCol w:w="1225"/>
      </w:tblGrid>
      <w:tr w:rsidR="00C1026B" w:rsidRPr="00C80221" w:rsidTr="00D26EF9">
        <w:trPr>
          <w:trHeight w:val="240"/>
        </w:trPr>
        <w:tc>
          <w:tcPr>
            <w:tcW w:w="0" w:type="auto"/>
            <w:gridSpan w:val="4"/>
            <w:shd w:val="clear" w:color="auto" w:fill="auto"/>
          </w:tcPr>
          <w:p w:rsidR="00C1026B" w:rsidRPr="00ED22D1" w:rsidRDefault="00C1026B" w:rsidP="00D15079">
            <w:pPr>
              <w:spacing w:after="60"/>
              <w:jc w:val="left"/>
              <w:rPr>
                <w:b/>
                <w:sz w:val="18"/>
                <w:lang w:val="fr-CA"/>
              </w:rPr>
            </w:pPr>
            <w:r w:rsidRPr="00ED22D1">
              <w:rPr>
                <w:b/>
                <w:sz w:val="18"/>
                <w:lang w:val="fr-CA"/>
              </w:rPr>
              <w:t xml:space="preserve">(IV) </w:t>
            </w:r>
            <w:r w:rsidR="00D15079" w:rsidRPr="00ED22D1">
              <w:rPr>
                <w:b/>
                <w:sz w:val="18"/>
                <w:lang w:val="fr-CA"/>
              </w:rPr>
              <w:t>DONNÉES SUR LA CONSOMMATION</w:t>
            </w:r>
            <w:r w:rsidRPr="00ED22D1">
              <w:rPr>
                <w:b/>
                <w:sz w:val="18"/>
                <w:lang w:val="fr-CA"/>
              </w:rPr>
              <w:t xml:space="preserve"> </w:t>
            </w:r>
            <w:r w:rsidR="0052712E" w:rsidRPr="00ED22D1">
              <w:rPr>
                <w:b/>
                <w:sz w:val="18"/>
                <w:lang w:val="fr-CA"/>
              </w:rPr>
              <w:t>(tonnes PAO)</w:t>
            </w:r>
          </w:p>
        </w:tc>
      </w:tr>
      <w:tr w:rsidR="00D15079" w:rsidRPr="00ED22D1" w:rsidTr="00D26EF9">
        <w:trPr>
          <w:trHeight w:val="240"/>
        </w:trPr>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 xml:space="preserve">Référence </w:t>
            </w:r>
            <w:r w:rsidR="00C1026B" w:rsidRPr="00ED22D1">
              <w:rPr>
                <w:sz w:val="18"/>
                <w:lang w:val="fr-CA"/>
              </w:rPr>
              <w:t xml:space="preserve">2009 </w:t>
            </w:r>
            <w:r w:rsidRPr="00ED22D1">
              <w:rPr>
                <w:sz w:val="18"/>
                <w:lang w:val="fr-CA"/>
              </w:rPr>
              <w:t>–</w:t>
            </w:r>
            <w:r w:rsidR="00C1026B" w:rsidRPr="00ED22D1">
              <w:rPr>
                <w:sz w:val="18"/>
                <w:lang w:val="fr-CA"/>
              </w:rPr>
              <w:t xml:space="preserve"> 2010</w:t>
            </w:r>
            <w:r w:rsidR="00791BF7" w:rsidRPr="00ED22D1">
              <w:rPr>
                <w:sz w:val="18"/>
                <w:lang w:val="fr-CA"/>
              </w:rPr>
              <w:t> :</w:t>
            </w: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9 </w:t>
            </w:r>
            <w:r w:rsidRPr="00ED22D1">
              <w:rPr>
                <w:sz w:val="18"/>
                <w:lang w:val="fr-CA"/>
              </w:rPr>
              <w:t>26</w:t>
            </w:r>
            <w:r w:rsidR="004A6828" w:rsidRPr="00ED22D1">
              <w:rPr>
                <w:sz w:val="18"/>
                <w:lang w:val="fr-CA"/>
              </w:rPr>
              <w:t>9,</w:t>
            </w:r>
            <w:r w:rsidRPr="00ED22D1">
              <w:rPr>
                <w:sz w:val="18"/>
                <w:lang w:val="fr-CA"/>
              </w:rPr>
              <w:t>0</w:t>
            </w:r>
          </w:p>
        </w:tc>
        <w:tc>
          <w:tcPr>
            <w:tcW w:w="0" w:type="auto"/>
            <w:shd w:val="clear" w:color="auto" w:fill="auto"/>
          </w:tcPr>
          <w:p w:rsidR="00C1026B" w:rsidRPr="00ED22D1" w:rsidRDefault="00D15079" w:rsidP="00D15079">
            <w:pPr>
              <w:spacing w:after="60"/>
              <w:jc w:val="center"/>
              <w:rPr>
                <w:sz w:val="18"/>
                <w:lang w:val="fr-CA"/>
              </w:rPr>
            </w:pPr>
            <w:r w:rsidRPr="00ED22D1">
              <w:rPr>
                <w:sz w:val="18"/>
                <w:lang w:val="fr-CA"/>
              </w:rPr>
              <w:t>Point de départ des réductions globales durables</w:t>
            </w:r>
            <w:r w:rsidR="00791BF7" w:rsidRPr="00ED22D1">
              <w:rPr>
                <w:sz w:val="18"/>
                <w:lang w:val="fr-CA"/>
              </w:rPr>
              <w:t> :</w:t>
            </w: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8 </w:t>
            </w:r>
            <w:r w:rsidRPr="00ED22D1">
              <w:rPr>
                <w:sz w:val="18"/>
                <w:lang w:val="fr-CA"/>
              </w:rPr>
              <w:t>86</w:t>
            </w:r>
            <w:r w:rsidR="004A6828" w:rsidRPr="00ED22D1">
              <w:rPr>
                <w:sz w:val="18"/>
                <w:lang w:val="fr-CA"/>
              </w:rPr>
              <w:t>5,</w:t>
            </w:r>
            <w:r w:rsidRPr="00ED22D1">
              <w:rPr>
                <w:sz w:val="18"/>
                <w:lang w:val="fr-CA"/>
              </w:rPr>
              <w:t>44</w:t>
            </w:r>
          </w:p>
        </w:tc>
      </w:tr>
      <w:tr w:rsidR="00C1026B" w:rsidRPr="00C80221" w:rsidTr="00D26EF9">
        <w:trPr>
          <w:trHeight w:val="240"/>
        </w:trPr>
        <w:tc>
          <w:tcPr>
            <w:tcW w:w="0" w:type="auto"/>
            <w:gridSpan w:val="4"/>
            <w:shd w:val="clear" w:color="auto" w:fill="auto"/>
          </w:tcPr>
          <w:p w:rsidR="00C1026B" w:rsidRPr="00ED22D1" w:rsidRDefault="00D15079" w:rsidP="00D15079">
            <w:pPr>
              <w:spacing w:after="60"/>
              <w:jc w:val="center"/>
              <w:rPr>
                <w:b/>
                <w:sz w:val="18"/>
                <w:lang w:val="fr-CA"/>
              </w:rPr>
            </w:pPr>
            <w:r w:rsidRPr="00ED22D1">
              <w:rPr>
                <w:b/>
                <w:sz w:val="18"/>
                <w:lang w:val="fr-CA"/>
              </w:rPr>
              <w:t>CONSOMMATION ADMISSIBLE AU FINANCEMENT</w:t>
            </w:r>
            <w:r w:rsidR="00C1026B" w:rsidRPr="00ED22D1">
              <w:rPr>
                <w:b/>
                <w:sz w:val="18"/>
                <w:lang w:val="fr-CA"/>
              </w:rPr>
              <w:t xml:space="preserve"> </w:t>
            </w:r>
            <w:r w:rsidR="0052712E" w:rsidRPr="00ED22D1">
              <w:rPr>
                <w:b/>
                <w:sz w:val="18"/>
                <w:lang w:val="fr-CA"/>
              </w:rPr>
              <w:t>(tonnes PAO)</w:t>
            </w:r>
          </w:p>
        </w:tc>
      </w:tr>
      <w:tr w:rsidR="00D15079" w:rsidRPr="00ED22D1" w:rsidTr="00D26EF9">
        <w:trPr>
          <w:trHeight w:val="240"/>
        </w:trPr>
        <w:tc>
          <w:tcPr>
            <w:tcW w:w="0" w:type="auto"/>
            <w:shd w:val="clear" w:color="auto" w:fill="auto"/>
          </w:tcPr>
          <w:p w:rsidR="00C1026B" w:rsidRPr="00ED22D1" w:rsidRDefault="00921BDE" w:rsidP="00D26EF9">
            <w:pPr>
              <w:spacing w:after="60"/>
              <w:jc w:val="center"/>
              <w:rPr>
                <w:sz w:val="18"/>
                <w:lang w:val="fr-CA"/>
              </w:rPr>
            </w:pPr>
            <w:r w:rsidRPr="00ED22D1">
              <w:rPr>
                <w:sz w:val="18"/>
                <w:lang w:val="fr-CA"/>
              </w:rPr>
              <w:t>Déjà</w:t>
            </w:r>
            <w:r w:rsidR="00C1026B" w:rsidRPr="00ED22D1">
              <w:rPr>
                <w:sz w:val="18"/>
                <w:lang w:val="fr-CA"/>
              </w:rPr>
              <w:t xml:space="preserve"> </w:t>
            </w:r>
            <w:r w:rsidR="00AA6E77" w:rsidRPr="00ED22D1">
              <w:rPr>
                <w:sz w:val="18"/>
                <w:lang w:val="fr-CA"/>
              </w:rPr>
              <w:t>approuvé</w:t>
            </w:r>
            <w:r w:rsidR="00D15079" w:rsidRPr="00ED22D1">
              <w:rPr>
                <w:sz w:val="18"/>
                <w:lang w:val="fr-CA"/>
              </w:rPr>
              <w:t>e</w:t>
            </w:r>
            <w:r w:rsidR="00791BF7" w:rsidRPr="00ED22D1">
              <w:rPr>
                <w:sz w:val="18"/>
                <w:lang w:val="fr-CA"/>
              </w:rPr>
              <w:t> :</w:t>
            </w:r>
          </w:p>
        </w:tc>
        <w:tc>
          <w:tcPr>
            <w:tcW w:w="0" w:type="auto"/>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2 </w:t>
            </w:r>
            <w:r w:rsidRPr="00ED22D1">
              <w:rPr>
                <w:sz w:val="18"/>
                <w:lang w:val="fr-CA"/>
              </w:rPr>
              <w:t>16</w:t>
            </w:r>
            <w:r w:rsidR="004A6828" w:rsidRPr="00ED22D1">
              <w:rPr>
                <w:sz w:val="18"/>
                <w:lang w:val="fr-CA"/>
              </w:rPr>
              <w:t>1,</w:t>
            </w:r>
            <w:r w:rsidRPr="00ED22D1">
              <w:rPr>
                <w:sz w:val="18"/>
                <w:lang w:val="fr-CA"/>
              </w:rPr>
              <w:t>02</w:t>
            </w:r>
          </w:p>
        </w:tc>
        <w:tc>
          <w:tcPr>
            <w:tcW w:w="0" w:type="auto"/>
            <w:shd w:val="clear" w:color="auto" w:fill="auto"/>
          </w:tcPr>
          <w:p w:rsidR="00C1026B" w:rsidRPr="00ED22D1" w:rsidRDefault="00C1026B" w:rsidP="00D15079">
            <w:pPr>
              <w:spacing w:after="60"/>
              <w:jc w:val="center"/>
              <w:rPr>
                <w:sz w:val="18"/>
                <w:lang w:val="fr-CA"/>
              </w:rPr>
            </w:pPr>
            <w:r w:rsidRPr="00ED22D1">
              <w:rPr>
                <w:sz w:val="18"/>
                <w:lang w:val="fr-CA"/>
              </w:rPr>
              <w:t>Re</w:t>
            </w:r>
            <w:r w:rsidR="00D15079" w:rsidRPr="00ED22D1">
              <w:rPr>
                <w:sz w:val="18"/>
                <w:lang w:val="fr-CA"/>
              </w:rPr>
              <w:t>stante</w:t>
            </w:r>
            <w:r w:rsidR="00791BF7" w:rsidRPr="00ED22D1">
              <w:rPr>
                <w:sz w:val="18"/>
                <w:lang w:val="fr-CA"/>
              </w:rPr>
              <w:t> :</w:t>
            </w:r>
          </w:p>
        </w:tc>
        <w:tc>
          <w:tcPr>
            <w:tcW w:w="0" w:type="auto"/>
            <w:shd w:val="clear" w:color="auto" w:fill="auto"/>
          </w:tcPr>
          <w:p w:rsidR="00C1026B" w:rsidRPr="00ED22D1" w:rsidRDefault="004A6828" w:rsidP="00D26EF9">
            <w:pPr>
              <w:spacing w:after="60"/>
              <w:jc w:val="right"/>
              <w:rPr>
                <w:sz w:val="18"/>
                <w:lang w:val="fr-CA"/>
              </w:rPr>
            </w:pPr>
            <w:r w:rsidRPr="00ED22D1">
              <w:rPr>
                <w:sz w:val="18"/>
                <w:lang w:val="fr-CA"/>
              </w:rPr>
              <w:t>6 </w:t>
            </w:r>
            <w:r w:rsidR="00C1026B" w:rsidRPr="00ED22D1">
              <w:rPr>
                <w:sz w:val="18"/>
                <w:lang w:val="fr-CA"/>
              </w:rPr>
              <w:t>70</w:t>
            </w:r>
            <w:r w:rsidRPr="00ED22D1">
              <w:rPr>
                <w:sz w:val="18"/>
                <w:lang w:val="fr-CA"/>
              </w:rPr>
              <w:t>4,</w:t>
            </w:r>
            <w:r w:rsidR="00C1026B" w:rsidRPr="00ED22D1">
              <w:rPr>
                <w:sz w:val="18"/>
                <w:lang w:val="fr-CA"/>
              </w:rPr>
              <w:t>42</w:t>
            </w:r>
          </w:p>
        </w:tc>
      </w:tr>
    </w:tbl>
    <w:p w:rsidR="00C1026B" w:rsidRPr="00ED22D1" w:rsidRDefault="00C1026B" w:rsidP="00C1026B">
      <w:pPr>
        <w:spacing w:after="60"/>
        <w:jc w:val="center"/>
        <w:rPr>
          <w:lang w:val="fr-CA"/>
        </w:rPr>
      </w:pPr>
    </w:p>
    <w:tbl>
      <w:tblPr>
        <w:tblStyle w:val="TableGrid"/>
        <w:tblW w:w="100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9"/>
        <w:gridCol w:w="3082"/>
        <w:gridCol w:w="1234"/>
        <w:gridCol w:w="1234"/>
        <w:gridCol w:w="1234"/>
        <w:gridCol w:w="1234"/>
        <w:gridCol w:w="1234"/>
      </w:tblGrid>
      <w:tr w:rsidR="00C1026B" w:rsidRPr="00ED22D1" w:rsidTr="00D26EF9">
        <w:trPr>
          <w:trHeight w:val="240"/>
        </w:trPr>
        <w:tc>
          <w:tcPr>
            <w:tcW w:w="0" w:type="auto"/>
            <w:gridSpan w:val="2"/>
            <w:tcBorders>
              <w:bottom w:val="single" w:sz="6" w:space="0" w:color="666699"/>
            </w:tcBorders>
            <w:shd w:val="clear" w:color="auto" w:fill="auto"/>
          </w:tcPr>
          <w:p w:rsidR="00C1026B" w:rsidRPr="00ED22D1" w:rsidRDefault="00C1026B" w:rsidP="00D15079">
            <w:pPr>
              <w:spacing w:after="60"/>
              <w:jc w:val="left"/>
              <w:rPr>
                <w:b/>
                <w:sz w:val="18"/>
                <w:lang w:val="fr-CA"/>
              </w:rPr>
            </w:pPr>
            <w:r w:rsidRPr="00ED22D1">
              <w:rPr>
                <w:b/>
                <w:sz w:val="18"/>
                <w:lang w:val="fr-CA"/>
              </w:rPr>
              <w:t xml:space="preserve">(V) </w:t>
            </w:r>
            <w:r w:rsidR="00D15079" w:rsidRPr="00ED22D1">
              <w:rPr>
                <w:b/>
                <w:sz w:val="18"/>
                <w:lang w:val="fr-CA"/>
              </w:rPr>
              <w:t>PLAN D’ACTIVITÉS</w:t>
            </w:r>
          </w:p>
        </w:tc>
        <w:tc>
          <w:tcPr>
            <w:tcW w:w="1234" w:type="dxa"/>
            <w:tcBorders>
              <w:bottom w:val="single" w:sz="6" w:space="0" w:color="666699"/>
            </w:tcBorders>
            <w:shd w:val="clear" w:color="auto" w:fill="auto"/>
          </w:tcPr>
          <w:p w:rsidR="00C1026B" w:rsidRPr="00ED22D1" w:rsidRDefault="00C1026B" w:rsidP="00D26EF9">
            <w:pPr>
              <w:spacing w:after="60"/>
              <w:jc w:val="center"/>
              <w:rPr>
                <w:b/>
                <w:sz w:val="18"/>
                <w:lang w:val="fr-CA"/>
              </w:rPr>
            </w:pPr>
            <w:r w:rsidRPr="00ED22D1">
              <w:rPr>
                <w:b/>
                <w:sz w:val="18"/>
                <w:lang w:val="fr-CA"/>
              </w:rPr>
              <w:t>2019</w:t>
            </w:r>
          </w:p>
        </w:tc>
        <w:tc>
          <w:tcPr>
            <w:tcW w:w="1234" w:type="dxa"/>
            <w:tcBorders>
              <w:bottom w:val="single" w:sz="6" w:space="0" w:color="666699"/>
            </w:tcBorders>
            <w:shd w:val="clear" w:color="auto" w:fill="auto"/>
          </w:tcPr>
          <w:p w:rsidR="00C1026B" w:rsidRPr="00ED22D1" w:rsidRDefault="00C1026B" w:rsidP="00D26EF9">
            <w:pPr>
              <w:spacing w:after="60"/>
              <w:jc w:val="center"/>
              <w:rPr>
                <w:b/>
                <w:sz w:val="18"/>
                <w:lang w:val="fr-CA"/>
              </w:rPr>
            </w:pPr>
            <w:r w:rsidRPr="00ED22D1">
              <w:rPr>
                <w:b/>
                <w:sz w:val="18"/>
                <w:lang w:val="fr-CA"/>
              </w:rPr>
              <w:t>2020</w:t>
            </w:r>
          </w:p>
        </w:tc>
        <w:tc>
          <w:tcPr>
            <w:tcW w:w="1234" w:type="dxa"/>
            <w:tcBorders>
              <w:bottom w:val="single" w:sz="6" w:space="0" w:color="666699"/>
            </w:tcBorders>
            <w:shd w:val="clear" w:color="auto" w:fill="auto"/>
          </w:tcPr>
          <w:p w:rsidR="00C1026B" w:rsidRPr="00ED22D1" w:rsidRDefault="00C1026B" w:rsidP="00D26EF9">
            <w:pPr>
              <w:spacing w:after="60"/>
              <w:jc w:val="center"/>
              <w:rPr>
                <w:b/>
                <w:sz w:val="18"/>
                <w:lang w:val="fr-CA"/>
              </w:rPr>
            </w:pPr>
            <w:r w:rsidRPr="00ED22D1">
              <w:rPr>
                <w:b/>
                <w:sz w:val="18"/>
                <w:lang w:val="fr-CA"/>
              </w:rPr>
              <w:t>2021</w:t>
            </w:r>
          </w:p>
        </w:tc>
        <w:tc>
          <w:tcPr>
            <w:tcW w:w="1234" w:type="dxa"/>
            <w:tcBorders>
              <w:bottom w:val="single" w:sz="6" w:space="0" w:color="666699"/>
            </w:tcBorders>
          </w:tcPr>
          <w:p w:rsidR="00C1026B" w:rsidRPr="00ED22D1" w:rsidRDefault="00C1026B" w:rsidP="00D15079">
            <w:pPr>
              <w:spacing w:after="60"/>
              <w:jc w:val="center"/>
              <w:rPr>
                <w:b/>
                <w:sz w:val="18"/>
                <w:lang w:val="fr-CA"/>
              </w:rPr>
            </w:pPr>
            <w:r w:rsidRPr="00ED22D1">
              <w:rPr>
                <w:b/>
                <w:sz w:val="18"/>
                <w:lang w:val="fr-CA"/>
              </w:rPr>
              <w:t>A</w:t>
            </w:r>
            <w:r w:rsidR="00D15079" w:rsidRPr="00ED22D1">
              <w:rPr>
                <w:b/>
                <w:sz w:val="18"/>
                <w:lang w:val="fr-CA"/>
              </w:rPr>
              <w:t>près</w:t>
            </w:r>
            <w:r w:rsidRPr="00ED22D1">
              <w:rPr>
                <w:b/>
                <w:sz w:val="18"/>
                <w:lang w:val="fr-CA"/>
              </w:rPr>
              <w:t xml:space="preserve"> 2021</w:t>
            </w:r>
          </w:p>
        </w:tc>
        <w:tc>
          <w:tcPr>
            <w:tcW w:w="1234" w:type="dxa"/>
            <w:tcBorders>
              <w:bottom w:val="single" w:sz="6" w:space="0" w:color="666699"/>
            </w:tcBorders>
            <w:shd w:val="clear" w:color="auto" w:fill="auto"/>
          </w:tcPr>
          <w:p w:rsidR="00C1026B" w:rsidRPr="00ED22D1" w:rsidRDefault="00C1026B" w:rsidP="00D26EF9">
            <w:pPr>
              <w:spacing w:after="60"/>
              <w:jc w:val="center"/>
              <w:rPr>
                <w:b/>
                <w:sz w:val="18"/>
                <w:lang w:val="fr-CA"/>
              </w:rPr>
            </w:pPr>
            <w:r w:rsidRPr="00ED22D1">
              <w:rPr>
                <w:b/>
                <w:sz w:val="18"/>
                <w:lang w:val="fr-CA"/>
              </w:rPr>
              <w:t>Total</w:t>
            </w:r>
          </w:p>
        </w:tc>
      </w:tr>
      <w:tr w:rsidR="00C1026B" w:rsidRPr="00ED22D1" w:rsidTr="00D26EF9">
        <w:trPr>
          <w:trHeight w:val="240"/>
        </w:trPr>
        <w:tc>
          <w:tcPr>
            <w:tcW w:w="0" w:type="auto"/>
            <w:vMerge w:val="restart"/>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1C722B" w:rsidP="00D26EF9">
            <w:pPr>
              <w:spacing w:after="60"/>
              <w:jc w:val="center"/>
              <w:rPr>
                <w:sz w:val="18"/>
                <w:lang w:val="fr-CA"/>
              </w:rPr>
            </w:pPr>
            <w:r w:rsidRPr="00ED22D1">
              <w:rPr>
                <w:sz w:val="18"/>
                <w:lang w:val="fr-CA"/>
              </w:rPr>
              <w:t>PNUD</w:t>
            </w:r>
          </w:p>
        </w:tc>
        <w:tc>
          <w:tcPr>
            <w:tcW w:w="0" w:type="auto"/>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D15079" w:rsidP="00D15079">
            <w:pPr>
              <w:spacing w:after="60"/>
              <w:jc w:val="left"/>
              <w:rPr>
                <w:sz w:val="18"/>
                <w:lang w:val="fr-CA"/>
              </w:rPr>
            </w:pPr>
            <w:r w:rsidRPr="00ED22D1">
              <w:rPr>
                <w:sz w:val="18"/>
                <w:lang w:val="fr-CA"/>
              </w:rPr>
              <w:t>É</w:t>
            </w:r>
            <w:r w:rsidR="004A6828" w:rsidRPr="00ED22D1">
              <w:rPr>
                <w:sz w:val="18"/>
                <w:lang w:val="fr-CA"/>
              </w:rPr>
              <w:t>limination</w:t>
            </w:r>
            <w:r w:rsidR="00C1026B" w:rsidRPr="00ED22D1">
              <w:rPr>
                <w:sz w:val="18"/>
                <w:lang w:val="fr-CA"/>
              </w:rPr>
              <w:t xml:space="preserve"> </w:t>
            </w:r>
            <w:r w:rsidRPr="00ED22D1">
              <w:rPr>
                <w:sz w:val="18"/>
                <w:lang w:val="fr-CA"/>
              </w:rPr>
              <w:t xml:space="preserve">des SAO </w:t>
            </w:r>
            <w:r w:rsidR="0052712E" w:rsidRPr="00ED22D1">
              <w:rPr>
                <w:sz w:val="18"/>
                <w:lang w:val="fr-CA"/>
              </w:rPr>
              <w:t>(tonnes PAO)</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right"/>
              <w:rPr>
                <w:sz w:val="18"/>
                <w:lang w:val="fr-CA"/>
              </w:rPr>
            </w:pPr>
            <w:r w:rsidRPr="00ED22D1">
              <w:rPr>
                <w:sz w:val="18"/>
                <w:lang w:val="fr-CA"/>
              </w:rPr>
              <w:t>6</w:t>
            </w:r>
            <w:r w:rsidR="004A6828" w:rsidRPr="00ED22D1">
              <w:rPr>
                <w:sz w:val="18"/>
                <w:lang w:val="fr-CA"/>
              </w:rPr>
              <w:t>4,</w:t>
            </w:r>
            <w:r w:rsidRPr="00ED22D1">
              <w:rPr>
                <w:sz w:val="18"/>
                <w:lang w:val="fr-CA"/>
              </w:rPr>
              <w:t>68</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right"/>
              <w:rPr>
                <w:sz w:val="18"/>
                <w:lang w:val="fr-CA"/>
              </w:rPr>
            </w:pPr>
            <w:r w:rsidRPr="00ED22D1">
              <w:rPr>
                <w:sz w:val="18"/>
                <w:lang w:val="fr-CA"/>
              </w:rPr>
              <w:t>8</w:t>
            </w:r>
            <w:r w:rsidR="004A6828" w:rsidRPr="00ED22D1">
              <w:rPr>
                <w:sz w:val="18"/>
                <w:lang w:val="fr-CA"/>
              </w:rPr>
              <w:t>6,</w:t>
            </w:r>
            <w:r w:rsidRPr="00ED22D1">
              <w:rPr>
                <w:sz w:val="18"/>
                <w:lang w:val="fr-CA"/>
              </w:rPr>
              <w:t>24</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right"/>
              <w:rPr>
                <w:sz w:val="18"/>
                <w:lang w:val="fr-CA"/>
              </w:rPr>
            </w:pPr>
            <w:r w:rsidRPr="00ED22D1">
              <w:rPr>
                <w:sz w:val="18"/>
                <w:lang w:val="fr-CA"/>
              </w:rPr>
              <w:t>8</w:t>
            </w:r>
            <w:r w:rsidR="004A6828" w:rsidRPr="00ED22D1">
              <w:rPr>
                <w:sz w:val="18"/>
                <w:lang w:val="fr-CA"/>
              </w:rPr>
              <w:t>6,</w:t>
            </w:r>
            <w:r w:rsidRPr="00ED22D1">
              <w:rPr>
                <w:sz w:val="18"/>
                <w:lang w:val="fr-CA"/>
              </w:rPr>
              <w:t>24</w:t>
            </w:r>
          </w:p>
        </w:tc>
        <w:tc>
          <w:tcPr>
            <w:tcW w:w="1234" w:type="dxa"/>
            <w:tcBorders>
              <w:top w:val="single" w:sz="6" w:space="0" w:color="666699"/>
              <w:left w:val="single" w:sz="6" w:space="0" w:color="666699"/>
              <w:bottom w:val="single" w:sz="6" w:space="0" w:color="666699"/>
              <w:right w:val="single" w:sz="6" w:space="0" w:color="666699"/>
            </w:tcBorders>
          </w:tcPr>
          <w:p w:rsidR="00C1026B" w:rsidRPr="00ED22D1" w:rsidRDefault="00C1026B" w:rsidP="00D26EF9">
            <w:pPr>
              <w:spacing w:after="60"/>
              <w:jc w:val="right"/>
              <w:rPr>
                <w:sz w:val="18"/>
                <w:lang w:val="fr-CA"/>
              </w:rPr>
            </w:pPr>
            <w:r w:rsidRPr="00ED22D1">
              <w:rPr>
                <w:sz w:val="18"/>
                <w:lang w:val="fr-CA"/>
              </w:rPr>
              <w:t>6</w:t>
            </w:r>
            <w:r w:rsidR="004A6828" w:rsidRPr="00ED22D1">
              <w:rPr>
                <w:sz w:val="18"/>
                <w:lang w:val="fr-CA"/>
              </w:rPr>
              <w:t>3,</w:t>
            </w:r>
            <w:r w:rsidRPr="00ED22D1">
              <w:rPr>
                <w:sz w:val="18"/>
                <w:lang w:val="fr-CA"/>
              </w:rPr>
              <w:t>47</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D535F6" w:rsidP="00D26EF9">
            <w:pPr>
              <w:spacing w:after="60"/>
              <w:jc w:val="right"/>
              <w:rPr>
                <w:sz w:val="18"/>
                <w:lang w:val="fr-CA"/>
              </w:rPr>
            </w:pPr>
            <w:r w:rsidRPr="00ED22D1">
              <w:rPr>
                <w:sz w:val="18"/>
                <w:lang w:val="fr-CA"/>
              </w:rPr>
              <w:fldChar w:fldCharType="begin"/>
            </w:r>
            <w:r w:rsidR="00C1026B" w:rsidRPr="00ED22D1">
              <w:rPr>
                <w:sz w:val="18"/>
                <w:lang w:val="fr-CA"/>
              </w:rPr>
              <w:instrText xml:space="preserve"> =SUM(LEFT) </w:instrText>
            </w:r>
            <w:r w:rsidRPr="00ED22D1">
              <w:rPr>
                <w:sz w:val="18"/>
                <w:lang w:val="fr-CA"/>
              </w:rPr>
              <w:fldChar w:fldCharType="separate"/>
            </w:r>
            <w:r w:rsidR="00C1026B" w:rsidRPr="00ED22D1">
              <w:rPr>
                <w:noProof/>
                <w:sz w:val="18"/>
                <w:lang w:val="fr-CA"/>
              </w:rPr>
              <w:t>30</w:t>
            </w:r>
            <w:r w:rsidR="004A6828" w:rsidRPr="00ED22D1">
              <w:rPr>
                <w:noProof/>
                <w:sz w:val="18"/>
                <w:lang w:val="fr-CA"/>
              </w:rPr>
              <w:t>0,</w:t>
            </w:r>
            <w:r w:rsidR="00C1026B" w:rsidRPr="00ED22D1">
              <w:rPr>
                <w:noProof/>
                <w:sz w:val="18"/>
                <w:lang w:val="fr-CA"/>
              </w:rPr>
              <w:t>63</w:t>
            </w:r>
            <w:r w:rsidRPr="00ED22D1">
              <w:rPr>
                <w:sz w:val="18"/>
                <w:lang w:val="fr-CA"/>
              </w:rPr>
              <w:fldChar w:fldCharType="end"/>
            </w:r>
          </w:p>
        </w:tc>
      </w:tr>
      <w:tr w:rsidR="00C1026B" w:rsidRPr="00ED22D1" w:rsidTr="00D26EF9">
        <w:trPr>
          <w:trHeight w:val="240"/>
        </w:trPr>
        <w:tc>
          <w:tcPr>
            <w:tcW w:w="0" w:type="auto"/>
            <w:vMerge/>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center"/>
              <w:rPr>
                <w:sz w:val="18"/>
                <w:lang w:val="fr-CA"/>
              </w:rPr>
            </w:pPr>
          </w:p>
        </w:tc>
        <w:tc>
          <w:tcPr>
            <w:tcW w:w="0" w:type="auto"/>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D15079" w:rsidP="00D26EF9">
            <w:pPr>
              <w:spacing w:after="60"/>
              <w:jc w:val="left"/>
              <w:rPr>
                <w:sz w:val="18"/>
                <w:lang w:val="fr-CA"/>
              </w:rPr>
            </w:pPr>
            <w:r w:rsidRPr="00ED22D1">
              <w:rPr>
                <w:sz w:val="18"/>
                <w:lang w:val="fr-CA"/>
              </w:rPr>
              <w:t>Financement</w:t>
            </w:r>
            <w:r w:rsidR="00C1026B" w:rsidRPr="00ED22D1">
              <w:rPr>
                <w:sz w:val="18"/>
                <w:lang w:val="fr-CA"/>
              </w:rPr>
              <w:t xml:space="preserve"> </w:t>
            </w:r>
            <w:r w:rsidR="00874624" w:rsidRPr="00ED22D1">
              <w:rPr>
                <w:sz w:val="18"/>
                <w:lang w:val="fr-CA"/>
              </w:rPr>
              <w:t>($US)</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2 </w:t>
            </w:r>
            <w:r w:rsidRPr="00ED22D1">
              <w:rPr>
                <w:sz w:val="18"/>
                <w:lang w:val="fr-CA"/>
              </w:rPr>
              <w:t>84</w:t>
            </w:r>
            <w:r w:rsidR="004A6828" w:rsidRPr="00ED22D1">
              <w:rPr>
                <w:sz w:val="18"/>
                <w:lang w:val="fr-CA"/>
              </w:rPr>
              <w:t>0 </w:t>
            </w:r>
            <w:r w:rsidRPr="00ED22D1">
              <w:rPr>
                <w:sz w:val="18"/>
                <w:lang w:val="fr-CA"/>
              </w:rPr>
              <w:t>000</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7 </w:t>
            </w:r>
            <w:r w:rsidRPr="00ED22D1">
              <w:rPr>
                <w:sz w:val="18"/>
                <w:lang w:val="fr-CA"/>
              </w:rPr>
              <w:t>12</w:t>
            </w:r>
            <w:r w:rsidR="004A6828" w:rsidRPr="00ED22D1">
              <w:rPr>
                <w:sz w:val="18"/>
                <w:lang w:val="fr-CA"/>
              </w:rPr>
              <w:t>0 </w:t>
            </w:r>
            <w:r w:rsidRPr="00ED22D1">
              <w:rPr>
                <w:sz w:val="18"/>
                <w:lang w:val="fr-CA"/>
              </w:rPr>
              <w:t>000</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7 </w:t>
            </w:r>
            <w:r w:rsidRPr="00ED22D1">
              <w:rPr>
                <w:sz w:val="18"/>
                <w:lang w:val="fr-CA"/>
              </w:rPr>
              <w:t>12</w:t>
            </w:r>
            <w:r w:rsidR="004A6828" w:rsidRPr="00ED22D1">
              <w:rPr>
                <w:sz w:val="18"/>
                <w:lang w:val="fr-CA"/>
              </w:rPr>
              <w:t>0 </w:t>
            </w:r>
            <w:r w:rsidRPr="00ED22D1">
              <w:rPr>
                <w:sz w:val="18"/>
                <w:lang w:val="fr-CA"/>
              </w:rPr>
              <w:t>000</w:t>
            </w:r>
          </w:p>
        </w:tc>
        <w:tc>
          <w:tcPr>
            <w:tcW w:w="1234" w:type="dxa"/>
            <w:tcBorders>
              <w:top w:val="single" w:sz="6" w:space="0" w:color="666699"/>
              <w:left w:val="single" w:sz="6" w:space="0" w:color="666699"/>
              <w:bottom w:val="single" w:sz="6" w:space="0" w:color="666699"/>
              <w:right w:val="single" w:sz="6" w:space="0" w:color="666699"/>
            </w:tcBorders>
          </w:tcPr>
          <w:p w:rsidR="00C1026B" w:rsidRPr="00ED22D1" w:rsidRDefault="00C1026B" w:rsidP="00D26EF9">
            <w:pPr>
              <w:spacing w:after="60"/>
              <w:jc w:val="right"/>
              <w:rPr>
                <w:sz w:val="18"/>
                <w:lang w:val="fr-CA"/>
              </w:rPr>
            </w:pPr>
            <w:r w:rsidRPr="00ED22D1">
              <w:rPr>
                <w:sz w:val="18"/>
                <w:lang w:val="fr-CA"/>
              </w:rPr>
              <w:t>1</w:t>
            </w:r>
            <w:r w:rsidR="004A6828" w:rsidRPr="00ED22D1">
              <w:rPr>
                <w:sz w:val="18"/>
                <w:lang w:val="fr-CA"/>
              </w:rPr>
              <w:t>2 </w:t>
            </w:r>
            <w:r w:rsidRPr="00ED22D1">
              <w:rPr>
                <w:sz w:val="18"/>
                <w:lang w:val="fr-CA"/>
              </w:rPr>
              <w:t>60</w:t>
            </w:r>
            <w:r w:rsidR="004A6828" w:rsidRPr="00ED22D1">
              <w:rPr>
                <w:sz w:val="18"/>
                <w:lang w:val="fr-CA"/>
              </w:rPr>
              <w:t>0 </w:t>
            </w:r>
            <w:r w:rsidRPr="00ED22D1">
              <w:rPr>
                <w:sz w:val="18"/>
                <w:lang w:val="fr-CA"/>
              </w:rPr>
              <w:t>364</w:t>
            </w:r>
          </w:p>
        </w:tc>
        <w:tc>
          <w:tcPr>
            <w:tcW w:w="1234" w:type="dxa"/>
            <w:tcBorders>
              <w:top w:val="single" w:sz="6" w:space="0" w:color="666699"/>
              <w:left w:val="single" w:sz="6" w:space="0" w:color="666699"/>
              <w:bottom w:val="single" w:sz="6" w:space="0" w:color="666699"/>
              <w:right w:val="single" w:sz="6" w:space="0" w:color="666699"/>
            </w:tcBorders>
            <w:shd w:val="clear" w:color="auto" w:fill="auto"/>
          </w:tcPr>
          <w:p w:rsidR="00C1026B" w:rsidRPr="00ED22D1" w:rsidRDefault="00D535F6" w:rsidP="00D26EF9">
            <w:pPr>
              <w:spacing w:after="60"/>
              <w:jc w:val="right"/>
              <w:rPr>
                <w:sz w:val="18"/>
                <w:lang w:val="fr-CA"/>
              </w:rPr>
            </w:pPr>
            <w:r w:rsidRPr="00ED22D1">
              <w:rPr>
                <w:sz w:val="18"/>
                <w:lang w:val="fr-CA"/>
              </w:rPr>
              <w:fldChar w:fldCharType="begin"/>
            </w:r>
            <w:r w:rsidR="00C1026B" w:rsidRPr="00ED22D1">
              <w:rPr>
                <w:sz w:val="18"/>
                <w:lang w:val="fr-CA"/>
              </w:rPr>
              <w:instrText xml:space="preserve"> =SUM(left) </w:instrText>
            </w:r>
            <w:r w:rsidRPr="00ED22D1">
              <w:rPr>
                <w:sz w:val="18"/>
                <w:lang w:val="fr-CA"/>
              </w:rPr>
              <w:fldChar w:fldCharType="separate"/>
            </w:r>
            <w:r w:rsidR="00C1026B" w:rsidRPr="00ED22D1">
              <w:rPr>
                <w:noProof/>
                <w:sz w:val="18"/>
                <w:lang w:val="fr-CA"/>
              </w:rPr>
              <w:t>5</w:t>
            </w:r>
            <w:r w:rsidR="004A6828" w:rsidRPr="00ED22D1">
              <w:rPr>
                <w:noProof/>
                <w:sz w:val="18"/>
                <w:lang w:val="fr-CA"/>
              </w:rPr>
              <w:t>9 </w:t>
            </w:r>
            <w:r w:rsidR="00C1026B" w:rsidRPr="00ED22D1">
              <w:rPr>
                <w:noProof/>
                <w:sz w:val="18"/>
                <w:lang w:val="fr-CA"/>
              </w:rPr>
              <w:t>68</w:t>
            </w:r>
            <w:r w:rsidR="004A6828" w:rsidRPr="00ED22D1">
              <w:rPr>
                <w:noProof/>
                <w:sz w:val="18"/>
                <w:lang w:val="fr-CA"/>
              </w:rPr>
              <w:t>0 </w:t>
            </w:r>
            <w:r w:rsidR="00C1026B" w:rsidRPr="00ED22D1">
              <w:rPr>
                <w:noProof/>
                <w:sz w:val="18"/>
                <w:lang w:val="fr-CA"/>
              </w:rPr>
              <w:t>364</w:t>
            </w:r>
            <w:r w:rsidRPr="00ED22D1">
              <w:rPr>
                <w:sz w:val="18"/>
                <w:lang w:val="fr-CA"/>
              </w:rPr>
              <w:fldChar w:fldCharType="end"/>
            </w:r>
          </w:p>
        </w:tc>
      </w:tr>
    </w:tbl>
    <w:p w:rsidR="00C1026B" w:rsidRPr="00ED22D1" w:rsidRDefault="00C1026B" w:rsidP="00C1026B">
      <w:pPr>
        <w:spacing w:after="60"/>
        <w:jc w:val="center"/>
        <w:rPr>
          <w:lang w:val="fr-CA"/>
        </w:rPr>
      </w:pPr>
    </w:p>
    <w:p w:rsidR="00C1026B" w:rsidRPr="00ED22D1" w:rsidRDefault="00C1026B" w:rsidP="00C1026B">
      <w:pPr>
        <w:spacing w:after="60"/>
        <w:jc w:val="center"/>
        <w:rPr>
          <w:lang w:val="fr-CA"/>
        </w:rPr>
      </w:pPr>
    </w:p>
    <w:p w:rsidR="00C1026B" w:rsidRPr="00ED22D1" w:rsidRDefault="00C1026B" w:rsidP="00C1026B">
      <w:pPr>
        <w:spacing w:after="60"/>
        <w:jc w:val="center"/>
        <w:rPr>
          <w:lang w:val="fr-CA"/>
        </w:rPr>
      </w:pPr>
    </w:p>
    <w:p w:rsidR="00C1026B" w:rsidRPr="00ED22D1" w:rsidRDefault="00C1026B" w:rsidP="00C1026B">
      <w:pPr>
        <w:spacing w:after="60"/>
        <w:jc w:val="center"/>
        <w:rPr>
          <w:lang w:val="fr-CA"/>
        </w:rPr>
      </w:pPr>
    </w:p>
    <w:p w:rsidR="00C1026B" w:rsidRPr="00ED22D1" w:rsidRDefault="00C1026B" w:rsidP="00C1026B">
      <w:pPr>
        <w:jc w:val="left"/>
        <w:rPr>
          <w:lang w:val="fr-CA"/>
        </w:rPr>
        <w:sectPr w:rsidR="00C1026B" w:rsidRPr="00ED22D1" w:rsidSect="00D26EF9">
          <w:headerReference w:type="even" r:id="rId21"/>
          <w:headerReference w:type="default" r:id="rId22"/>
          <w:footerReference w:type="even" r:id="rId23"/>
          <w:footerReference w:type="default" r:id="rId24"/>
          <w:headerReference w:type="first" r:id="rId25"/>
          <w:footerReference w:type="first" r:id="rId26"/>
          <w:pgSz w:w="12240" w:h="15840" w:code="1"/>
          <w:pgMar w:top="600" w:right="1440" w:bottom="600" w:left="1440" w:header="720" w:footer="475" w:gutter="0"/>
          <w:cols w:space="720"/>
          <w:docGrid w:linePitch="299"/>
        </w:sectPr>
      </w:pPr>
    </w:p>
    <w:p w:rsidR="00C1026B" w:rsidRPr="00ED22D1" w:rsidRDefault="00C1026B" w:rsidP="002B5C0B">
      <w:pPr>
        <w:spacing w:after="60"/>
        <w:rPr>
          <w:lang w:val="fr-CA"/>
        </w:rPr>
      </w:pPr>
    </w:p>
    <w:tbl>
      <w:tblPr>
        <w:tblStyle w:val="TableGrid"/>
        <w:tblW w:w="132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47"/>
        <w:gridCol w:w="757"/>
        <w:gridCol w:w="849"/>
        <w:gridCol w:w="936"/>
        <w:gridCol w:w="936"/>
        <w:gridCol w:w="936"/>
        <w:gridCol w:w="1096"/>
        <w:gridCol w:w="936"/>
        <w:gridCol w:w="936"/>
        <w:gridCol w:w="776"/>
        <w:gridCol w:w="776"/>
        <w:gridCol w:w="776"/>
        <w:gridCol w:w="704"/>
        <w:gridCol w:w="703"/>
        <w:gridCol w:w="1026"/>
      </w:tblGrid>
      <w:tr w:rsidR="00C1026B" w:rsidRPr="00ED22D1" w:rsidTr="00905638">
        <w:tc>
          <w:tcPr>
            <w:tcW w:w="2753" w:type="dxa"/>
            <w:gridSpan w:val="3"/>
            <w:shd w:val="clear" w:color="auto" w:fill="auto"/>
          </w:tcPr>
          <w:p w:rsidR="00C1026B" w:rsidRPr="00ED22D1" w:rsidRDefault="00C1026B" w:rsidP="00905638">
            <w:pPr>
              <w:spacing w:after="60"/>
              <w:jc w:val="left"/>
              <w:rPr>
                <w:b/>
                <w:sz w:val="18"/>
                <w:lang w:val="fr-CA"/>
              </w:rPr>
            </w:pPr>
            <w:r w:rsidRPr="00ED22D1">
              <w:rPr>
                <w:b/>
                <w:sz w:val="18"/>
                <w:lang w:val="fr-CA"/>
              </w:rPr>
              <w:t xml:space="preserve">(VI) </w:t>
            </w:r>
            <w:r w:rsidR="00905638" w:rsidRPr="00ED22D1">
              <w:rPr>
                <w:b/>
                <w:sz w:val="18"/>
                <w:lang w:val="fr-CA"/>
              </w:rPr>
              <w:t xml:space="preserve">DONNÉES DU </w:t>
            </w:r>
            <w:r w:rsidR="001B45EC" w:rsidRPr="00ED22D1">
              <w:rPr>
                <w:b/>
                <w:sz w:val="18"/>
                <w:lang w:val="fr-CA"/>
              </w:rPr>
              <w:t>PROJET</w:t>
            </w:r>
            <w:r w:rsidRPr="00ED22D1">
              <w:rPr>
                <w:b/>
                <w:sz w:val="18"/>
                <w:lang w:val="fr-CA"/>
              </w:rPr>
              <w:t xml:space="preserve"> </w:t>
            </w:r>
          </w:p>
        </w:tc>
        <w:tc>
          <w:tcPr>
            <w:tcW w:w="936" w:type="dxa"/>
            <w:shd w:val="clear" w:color="auto" w:fill="auto"/>
          </w:tcPr>
          <w:p w:rsidR="00C1026B" w:rsidRPr="00ED22D1" w:rsidRDefault="00C1026B" w:rsidP="00D26EF9">
            <w:pPr>
              <w:jc w:val="center"/>
              <w:rPr>
                <w:b/>
                <w:bCs/>
                <w:sz w:val="18"/>
                <w:szCs w:val="18"/>
                <w:lang w:val="fr-CA"/>
              </w:rPr>
            </w:pPr>
            <w:r w:rsidRPr="00ED22D1">
              <w:rPr>
                <w:b/>
                <w:bCs/>
                <w:sz w:val="18"/>
                <w:szCs w:val="18"/>
                <w:lang w:val="fr-CA"/>
              </w:rPr>
              <w:t>2016</w:t>
            </w:r>
          </w:p>
        </w:tc>
        <w:tc>
          <w:tcPr>
            <w:tcW w:w="936" w:type="dxa"/>
            <w:shd w:val="clear" w:color="auto" w:fill="auto"/>
          </w:tcPr>
          <w:p w:rsidR="00C1026B" w:rsidRPr="00ED22D1" w:rsidRDefault="00C1026B" w:rsidP="00D26EF9">
            <w:pPr>
              <w:jc w:val="center"/>
              <w:rPr>
                <w:b/>
                <w:bCs/>
                <w:sz w:val="18"/>
                <w:szCs w:val="18"/>
                <w:lang w:val="fr-CA"/>
              </w:rPr>
            </w:pPr>
            <w:r w:rsidRPr="00ED22D1">
              <w:rPr>
                <w:b/>
                <w:bCs/>
                <w:sz w:val="18"/>
                <w:szCs w:val="18"/>
                <w:lang w:val="fr-CA"/>
              </w:rPr>
              <w:t>2017</w:t>
            </w:r>
          </w:p>
        </w:tc>
        <w:tc>
          <w:tcPr>
            <w:tcW w:w="936" w:type="dxa"/>
            <w:shd w:val="clear" w:color="auto" w:fill="auto"/>
          </w:tcPr>
          <w:p w:rsidR="00C1026B" w:rsidRPr="00ED22D1" w:rsidRDefault="00C1026B" w:rsidP="00D26EF9">
            <w:pPr>
              <w:jc w:val="center"/>
              <w:rPr>
                <w:b/>
                <w:bCs/>
                <w:sz w:val="18"/>
                <w:szCs w:val="18"/>
                <w:lang w:val="fr-CA"/>
              </w:rPr>
            </w:pPr>
            <w:r w:rsidRPr="00ED22D1">
              <w:rPr>
                <w:b/>
                <w:bCs/>
                <w:sz w:val="18"/>
                <w:szCs w:val="18"/>
                <w:lang w:val="fr-CA"/>
              </w:rPr>
              <w:t>2018</w:t>
            </w:r>
          </w:p>
        </w:tc>
        <w:tc>
          <w:tcPr>
            <w:tcW w:w="1096" w:type="dxa"/>
            <w:shd w:val="clear" w:color="auto" w:fill="auto"/>
          </w:tcPr>
          <w:p w:rsidR="00C1026B" w:rsidRPr="00ED22D1" w:rsidRDefault="00C1026B" w:rsidP="00D26EF9">
            <w:pPr>
              <w:jc w:val="center"/>
              <w:rPr>
                <w:b/>
                <w:bCs/>
                <w:sz w:val="18"/>
                <w:szCs w:val="18"/>
                <w:lang w:val="fr-CA"/>
              </w:rPr>
            </w:pPr>
            <w:r w:rsidRPr="00ED22D1">
              <w:rPr>
                <w:b/>
                <w:bCs/>
                <w:sz w:val="18"/>
                <w:szCs w:val="18"/>
                <w:lang w:val="fr-CA"/>
              </w:rPr>
              <w:t>2019</w:t>
            </w:r>
          </w:p>
        </w:tc>
        <w:tc>
          <w:tcPr>
            <w:tcW w:w="936" w:type="dxa"/>
            <w:shd w:val="clear" w:color="auto" w:fill="auto"/>
          </w:tcPr>
          <w:p w:rsidR="00C1026B" w:rsidRPr="00ED22D1" w:rsidRDefault="00C1026B" w:rsidP="00D26EF9">
            <w:pPr>
              <w:jc w:val="center"/>
              <w:rPr>
                <w:b/>
                <w:bCs/>
                <w:sz w:val="18"/>
                <w:szCs w:val="18"/>
                <w:lang w:val="fr-CA"/>
              </w:rPr>
            </w:pPr>
            <w:r w:rsidRPr="00ED22D1">
              <w:rPr>
                <w:b/>
                <w:bCs/>
                <w:sz w:val="18"/>
                <w:szCs w:val="18"/>
                <w:lang w:val="fr-CA"/>
              </w:rPr>
              <w:t>2020</w:t>
            </w:r>
          </w:p>
        </w:tc>
        <w:tc>
          <w:tcPr>
            <w:tcW w:w="936" w:type="dxa"/>
            <w:shd w:val="clear" w:color="auto" w:fill="auto"/>
          </w:tcPr>
          <w:p w:rsidR="00C1026B" w:rsidRPr="00ED22D1" w:rsidRDefault="00C1026B" w:rsidP="00D26EF9">
            <w:pPr>
              <w:jc w:val="center"/>
              <w:rPr>
                <w:b/>
                <w:bCs/>
                <w:sz w:val="18"/>
                <w:szCs w:val="18"/>
                <w:lang w:val="fr-CA"/>
              </w:rPr>
            </w:pPr>
            <w:r w:rsidRPr="00ED22D1">
              <w:rPr>
                <w:b/>
                <w:bCs/>
                <w:sz w:val="18"/>
                <w:szCs w:val="18"/>
                <w:lang w:val="fr-CA"/>
              </w:rPr>
              <w:t>2021</w:t>
            </w:r>
          </w:p>
        </w:tc>
        <w:tc>
          <w:tcPr>
            <w:tcW w:w="776" w:type="dxa"/>
          </w:tcPr>
          <w:p w:rsidR="00C1026B" w:rsidRPr="00ED22D1" w:rsidRDefault="00C1026B" w:rsidP="00D26EF9">
            <w:pPr>
              <w:spacing w:after="60"/>
              <w:jc w:val="center"/>
              <w:rPr>
                <w:b/>
                <w:sz w:val="18"/>
                <w:lang w:val="fr-CA"/>
              </w:rPr>
            </w:pPr>
            <w:r w:rsidRPr="00ED22D1">
              <w:rPr>
                <w:b/>
                <w:sz w:val="18"/>
                <w:lang w:val="fr-CA"/>
              </w:rPr>
              <w:t>2022</w:t>
            </w:r>
          </w:p>
        </w:tc>
        <w:tc>
          <w:tcPr>
            <w:tcW w:w="776" w:type="dxa"/>
          </w:tcPr>
          <w:p w:rsidR="00C1026B" w:rsidRPr="00ED22D1" w:rsidRDefault="00C1026B" w:rsidP="00D26EF9">
            <w:pPr>
              <w:spacing w:after="60"/>
              <w:jc w:val="center"/>
              <w:rPr>
                <w:b/>
                <w:sz w:val="18"/>
                <w:lang w:val="fr-CA"/>
              </w:rPr>
            </w:pPr>
            <w:r w:rsidRPr="00ED22D1">
              <w:rPr>
                <w:b/>
                <w:sz w:val="18"/>
                <w:lang w:val="fr-CA"/>
              </w:rPr>
              <w:t>2023</w:t>
            </w:r>
          </w:p>
        </w:tc>
        <w:tc>
          <w:tcPr>
            <w:tcW w:w="776" w:type="dxa"/>
          </w:tcPr>
          <w:p w:rsidR="00C1026B" w:rsidRPr="00ED22D1" w:rsidRDefault="00C1026B" w:rsidP="00D26EF9">
            <w:pPr>
              <w:spacing w:after="60"/>
              <w:jc w:val="center"/>
              <w:rPr>
                <w:b/>
                <w:sz w:val="18"/>
                <w:lang w:val="fr-CA"/>
              </w:rPr>
            </w:pPr>
            <w:r w:rsidRPr="00ED22D1">
              <w:rPr>
                <w:b/>
                <w:sz w:val="18"/>
                <w:lang w:val="fr-CA"/>
              </w:rPr>
              <w:t>2024</w:t>
            </w:r>
          </w:p>
        </w:tc>
        <w:tc>
          <w:tcPr>
            <w:tcW w:w="704" w:type="dxa"/>
          </w:tcPr>
          <w:p w:rsidR="00C1026B" w:rsidRPr="00ED22D1" w:rsidRDefault="00C1026B" w:rsidP="00D26EF9">
            <w:pPr>
              <w:spacing w:after="60"/>
              <w:jc w:val="center"/>
              <w:rPr>
                <w:b/>
                <w:sz w:val="18"/>
                <w:lang w:val="fr-CA"/>
              </w:rPr>
            </w:pPr>
            <w:r w:rsidRPr="00ED22D1">
              <w:rPr>
                <w:b/>
                <w:sz w:val="18"/>
                <w:lang w:val="fr-CA"/>
              </w:rPr>
              <w:t>2025</w:t>
            </w:r>
          </w:p>
        </w:tc>
        <w:tc>
          <w:tcPr>
            <w:tcW w:w="703" w:type="dxa"/>
          </w:tcPr>
          <w:p w:rsidR="00C1026B" w:rsidRPr="00ED22D1" w:rsidRDefault="00C1026B" w:rsidP="00D26EF9">
            <w:pPr>
              <w:spacing w:after="60"/>
              <w:jc w:val="center"/>
              <w:rPr>
                <w:b/>
                <w:sz w:val="18"/>
                <w:lang w:val="fr-CA"/>
              </w:rPr>
            </w:pPr>
            <w:r w:rsidRPr="00ED22D1">
              <w:rPr>
                <w:b/>
                <w:sz w:val="18"/>
                <w:lang w:val="fr-CA"/>
              </w:rPr>
              <w:t>2026</w:t>
            </w:r>
          </w:p>
        </w:tc>
        <w:tc>
          <w:tcPr>
            <w:tcW w:w="1026" w:type="dxa"/>
            <w:shd w:val="clear" w:color="auto" w:fill="auto"/>
          </w:tcPr>
          <w:p w:rsidR="00C1026B" w:rsidRPr="00ED22D1" w:rsidRDefault="00C1026B" w:rsidP="00D26EF9">
            <w:pPr>
              <w:spacing w:after="60"/>
              <w:jc w:val="center"/>
              <w:rPr>
                <w:b/>
                <w:sz w:val="18"/>
                <w:lang w:val="fr-CA"/>
              </w:rPr>
            </w:pPr>
            <w:r w:rsidRPr="00ED22D1">
              <w:rPr>
                <w:b/>
                <w:sz w:val="18"/>
                <w:lang w:val="fr-CA"/>
              </w:rPr>
              <w:t>Total</w:t>
            </w:r>
          </w:p>
        </w:tc>
      </w:tr>
      <w:tr w:rsidR="00905638" w:rsidRPr="00ED22D1" w:rsidTr="00905638">
        <w:tc>
          <w:tcPr>
            <w:tcW w:w="2753" w:type="dxa"/>
            <w:gridSpan w:val="3"/>
            <w:shd w:val="clear" w:color="auto" w:fill="auto"/>
          </w:tcPr>
          <w:p w:rsidR="00905638" w:rsidRPr="00ED22D1" w:rsidRDefault="00905638" w:rsidP="00181884">
            <w:pPr>
              <w:autoSpaceDE w:val="0"/>
              <w:autoSpaceDN w:val="0"/>
              <w:adjustRightInd w:val="0"/>
              <w:jc w:val="left"/>
              <w:rPr>
                <w:sz w:val="18"/>
                <w:szCs w:val="18"/>
                <w:lang w:val="fr-CA"/>
              </w:rPr>
            </w:pPr>
            <w:r w:rsidRPr="00ED22D1">
              <w:rPr>
                <w:sz w:val="18"/>
                <w:szCs w:val="18"/>
                <w:lang w:val="fr-CA"/>
              </w:rPr>
              <w:t>Limites de consommation du Protocole de Montréal</w:t>
            </w:r>
          </w:p>
        </w:tc>
        <w:tc>
          <w:tcPr>
            <w:tcW w:w="936" w:type="dxa"/>
            <w:shd w:val="clear" w:color="auto" w:fill="auto"/>
          </w:tcPr>
          <w:p w:rsidR="00905638" w:rsidRPr="00ED22D1" w:rsidRDefault="00905638" w:rsidP="00D26EF9">
            <w:pPr>
              <w:jc w:val="right"/>
              <w:rPr>
                <w:color w:val="000000"/>
                <w:sz w:val="16"/>
                <w:szCs w:val="16"/>
                <w:lang w:val="fr-CA"/>
              </w:rPr>
            </w:pPr>
            <w:r w:rsidRPr="00ED22D1">
              <w:rPr>
                <w:color w:val="000000"/>
                <w:sz w:val="16"/>
                <w:szCs w:val="16"/>
                <w:lang w:val="fr-CA"/>
              </w:rPr>
              <w:t xml:space="preserve">17 342,1 </w:t>
            </w:r>
          </w:p>
        </w:tc>
        <w:tc>
          <w:tcPr>
            <w:tcW w:w="936" w:type="dxa"/>
            <w:shd w:val="clear" w:color="auto" w:fill="auto"/>
          </w:tcPr>
          <w:p w:rsidR="00905638" w:rsidRPr="00ED22D1" w:rsidRDefault="00905638" w:rsidP="00D26EF9">
            <w:pPr>
              <w:jc w:val="right"/>
              <w:rPr>
                <w:color w:val="000000"/>
                <w:sz w:val="16"/>
                <w:szCs w:val="16"/>
                <w:lang w:val="fr-CA"/>
              </w:rPr>
            </w:pPr>
            <w:r w:rsidRPr="00ED22D1">
              <w:rPr>
                <w:color w:val="000000"/>
                <w:sz w:val="16"/>
                <w:szCs w:val="16"/>
                <w:lang w:val="fr-CA"/>
              </w:rPr>
              <w:t xml:space="preserve">17 342,1 </w:t>
            </w:r>
          </w:p>
        </w:tc>
        <w:tc>
          <w:tcPr>
            <w:tcW w:w="936" w:type="dxa"/>
            <w:shd w:val="clear" w:color="auto" w:fill="auto"/>
          </w:tcPr>
          <w:p w:rsidR="00905638" w:rsidRPr="00ED22D1" w:rsidRDefault="00905638" w:rsidP="00D26EF9">
            <w:pPr>
              <w:jc w:val="right"/>
              <w:rPr>
                <w:color w:val="000000"/>
                <w:sz w:val="16"/>
                <w:szCs w:val="16"/>
                <w:lang w:val="fr-CA"/>
              </w:rPr>
            </w:pPr>
            <w:r w:rsidRPr="00ED22D1">
              <w:rPr>
                <w:color w:val="000000"/>
                <w:sz w:val="16"/>
                <w:szCs w:val="16"/>
                <w:lang w:val="fr-CA"/>
              </w:rPr>
              <w:t xml:space="preserve">17 342,1 </w:t>
            </w:r>
          </w:p>
        </w:tc>
        <w:tc>
          <w:tcPr>
            <w:tcW w:w="1096" w:type="dxa"/>
            <w:shd w:val="clear" w:color="auto" w:fill="auto"/>
          </w:tcPr>
          <w:p w:rsidR="00905638" w:rsidRPr="00ED22D1" w:rsidRDefault="00905638" w:rsidP="00D26EF9">
            <w:pPr>
              <w:jc w:val="right"/>
              <w:rPr>
                <w:color w:val="000000"/>
                <w:sz w:val="16"/>
                <w:szCs w:val="16"/>
                <w:lang w:val="fr-CA"/>
              </w:rPr>
            </w:pPr>
            <w:r w:rsidRPr="00ED22D1">
              <w:rPr>
                <w:color w:val="000000"/>
                <w:sz w:val="16"/>
                <w:szCs w:val="16"/>
                <w:lang w:val="fr-CA"/>
              </w:rPr>
              <w:t xml:space="preserve">17 342,1 </w:t>
            </w:r>
          </w:p>
        </w:tc>
        <w:tc>
          <w:tcPr>
            <w:tcW w:w="936" w:type="dxa"/>
            <w:shd w:val="clear" w:color="auto" w:fill="auto"/>
          </w:tcPr>
          <w:p w:rsidR="00905638" w:rsidRPr="00ED22D1" w:rsidRDefault="00905638" w:rsidP="00D26EF9">
            <w:pPr>
              <w:jc w:val="right"/>
              <w:rPr>
                <w:color w:val="000000"/>
                <w:sz w:val="16"/>
                <w:szCs w:val="16"/>
                <w:lang w:val="fr-CA"/>
              </w:rPr>
            </w:pPr>
            <w:r w:rsidRPr="00ED22D1">
              <w:rPr>
                <w:color w:val="000000"/>
                <w:sz w:val="16"/>
                <w:szCs w:val="16"/>
                <w:lang w:val="fr-CA"/>
              </w:rPr>
              <w:t xml:space="preserve">12 524,9 </w:t>
            </w:r>
          </w:p>
        </w:tc>
        <w:tc>
          <w:tcPr>
            <w:tcW w:w="936" w:type="dxa"/>
            <w:shd w:val="clear" w:color="auto" w:fill="auto"/>
          </w:tcPr>
          <w:p w:rsidR="00905638" w:rsidRPr="00ED22D1" w:rsidRDefault="00905638" w:rsidP="00D26EF9">
            <w:pPr>
              <w:jc w:val="right"/>
              <w:rPr>
                <w:color w:val="000000"/>
                <w:sz w:val="16"/>
                <w:szCs w:val="16"/>
                <w:lang w:val="fr-CA"/>
              </w:rPr>
            </w:pPr>
            <w:r w:rsidRPr="00ED22D1">
              <w:rPr>
                <w:color w:val="000000"/>
                <w:sz w:val="16"/>
                <w:szCs w:val="16"/>
                <w:lang w:val="fr-CA"/>
              </w:rPr>
              <w:t xml:space="preserve">12 524,9 </w:t>
            </w:r>
          </w:p>
        </w:tc>
        <w:tc>
          <w:tcPr>
            <w:tcW w:w="776" w:type="dxa"/>
          </w:tcPr>
          <w:p w:rsidR="00905638" w:rsidRPr="00ED22D1" w:rsidRDefault="00905638" w:rsidP="00D26EF9">
            <w:pPr>
              <w:jc w:val="right"/>
              <w:rPr>
                <w:color w:val="000000"/>
                <w:sz w:val="16"/>
                <w:szCs w:val="16"/>
                <w:lang w:val="fr-CA"/>
              </w:rPr>
            </w:pPr>
            <w:r w:rsidRPr="00ED22D1">
              <w:rPr>
                <w:color w:val="000000"/>
                <w:sz w:val="16"/>
                <w:szCs w:val="16"/>
                <w:lang w:val="fr-CA"/>
              </w:rPr>
              <w:t xml:space="preserve">12 524,9 </w:t>
            </w:r>
          </w:p>
        </w:tc>
        <w:tc>
          <w:tcPr>
            <w:tcW w:w="776" w:type="dxa"/>
          </w:tcPr>
          <w:p w:rsidR="00905638" w:rsidRPr="00ED22D1" w:rsidRDefault="00905638" w:rsidP="00D26EF9">
            <w:pPr>
              <w:jc w:val="right"/>
              <w:rPr>
                <w:color w:val="000000"/>
                <w:sz w:val="16"/>
                <w:szCs w:val="16"/>
                <w:lang w:val="fr-CA"/>
              </w:rPr>
            </w:pPr>
            <w:r w:rsidRPr="00ED22D1">
              <w:rPr>
                <w:color w:val="000000"/>
                <w:sz w:val="16"/>
                <w:szCs w:val="16"/>
                <w:lang w:val="fr-CA"/>
              </w:rPr>
              <w:t xml:space="preserve">12 524,9 </w:t>
            </w:r>
          </w:p>
        </w:tc>
        <w:tc>
          <w:tcPr>
            <w:tcW w:w="776" w:type="dxa"/>
          </w:tcPr>
          <w:p w:rsidR="00905638" w:rsidRPr="00ED22D1" w:rsidRDefault="00905638" w:rsidP="00D26EF9">
            <w:pPr>
              <w:jc w:val="right"/>
              <w:rPr>
                <w:color w:val="000000"/>
                <w:sz w:val="16"/>
                <w:szCs w:val="16"/>
                <w:lang w:val="fr-CA"/>
              </w:rPr>
            </w:pPr>
            <w:r w:rsidRPr="00ED22D1">
              <w:rPr>
                <w:color w:val="000000"/>
                <w:sz w:val="16"/>
                <w:szCs w:val="16"/>
                <w:lang w:val="fr-CA"/>
              </w:rPr>
              <w:t xml:space="preserve">12 524,9 </w:t>
            </w:r>
          </w:p>
        </w:tc>
        <w:tc>
          <w:tcPr>
            <w:tcW w:w="704" w:type="dxa"/>
          </w:tcPr>
          <w:p w:rsidR="00905638" w:rsidRPr="00ED22D1" w:rsidRDefault="00905638" w:rsidP="00D26EF9">
            <w:pPr>
              <w:jc w:val="right"/>
              <w:rPr>
                <w:color w:val="000000"/>
                <w:sz w:val="16"/>
                <w:szCs w:val="16"/>
                <w:lang w:val="fr-CA"/>
              </w:rPr>
            </w:pPr>
            <w:r w:rsidRPr="00ED22D1">
              <w:rPr>
                <w:color w:val="000000"/>
                <w:sz w:val="16"/>
                <w:szCs w:val="16"/>
                <w:lang w:val="fr-CA"/>
              </w:rPr>
              <w:t xml:space="preserve">6 262,4 </w:t>
            </w:r>
          </w:p>
        </w:tc>
        <w:tc>
          <w:tcPr>
            <w:tcW w:w="703" w:type="dxa"/>
          </w:tcPr>
          <w:p w:rsidR="00905638" w:rsidRPr="00ED22D1" w:rsidRDefault="00905638" w:rsidP="00D26EF9">
            <w:pPr>
              <w:jc w:val="right"/>
              <w:rPr>
                <w:color w:val="000000"/>
                <w:sz w:val="16"/>
                <w:szCs w:val="16"/>
                <w:lang w:val="fr-CA"/>
              </w:rPr>
            </w:pPr>
            <w:r w:rsidRPr="00ED22D1">
              <w:rPr>
                <w:color w:val="000000"/>
                <w:sz w:val="16"/>
                <w:szCs w:val="16"/>
                <w:lang w:val="fr-CA"/>
              </w:rPr>
              <w:t xml:space="preserve">6 262,4 </w:t>
            </w:r>
          </w:p>
        </w:tc>
        <w:tc>
          <w:tcPr>
            <w:tcW w:w="1026" w:type="dxa"/>
            <w:shd w:val="clear" w:color="auto" w:fill="auto"/>
          </w:tcPr>
          <w:p w:rsidR="00905638" w:rsidRPr="00ED22D1" w:rsidRDefault="00905638" w:rsidP="00D26EF9">
            <w:pPr>
              <w:spacing w:after="60"/>
              <w:jc w:val="right"/>
              <w:rPr>
                <w:sz w:val="16"/>
                <w:szCs w:val="16"/>
                <w:lang w:val="fr-CA"/>
              </w:rPr>
            </w:pPr>
            <w:r w:rsidRPr="00ED22D1">
              <w:rPr>
                <w:sz w:val="16"/>
                <w:szCs w:val="16"/>
                <w:lang w:val="fr-CA"/>
              </w:rPr>
              <w:t>s.o.</w:t>
            </w:r>
          </w:p>
        </w:tc>
      </w:tr>
      <w:tr w:rsidR="00905638" w:rsidRPr="00ED22D1" w:rsidTr="00905638">
        <w:tc>
          <w:tcPr>
            <w:tcW w:w="2753" w:type="dxa"/>
            <w:gridSpan w:val="3"/>
            <w:shd w:val="clear" w:color="auto" w:fill="auto"/>
          </w:tcPr>
          <w:p w:rsidR="00905638" w:rsidRPr="00ED22D1" w:rsidRDefault="00905638" w:rsidP="00181884">
            <w:pPr>
              <w:autoSpaceDE w:val="0"/>
              <w:autoSpaceDN w:val="0"/>
              <w:adjustRightInd w:val="0"/>
              <w:jc w:val="left"/>
              <w:rPr>
                <w:sz w:val="18"/>
                <w:szCs w:val="18"/>
                <w:lang w:val="fr-CA"/>
              </w:rPr>
            </w:pPr>
            <w:r w:rsidRPr="00ED22D1">
              <w:rPr>
                <w:sz w:val="18"/>
                <w:szCs w:val="18"/>
                <w:lang w:val="fr-CA"/>
              </w:rPr>
              <w:t>Consommation maximale admissible (tonnes PAO)</w:t>
            </w:r>
          </w:p>
        </w:tc>
        <w:tc>
          <w:tcPr>
            <w:tcW w:w="936" w:type="dxa"/>
            <w:shd w:val="clear" w:color="auto" w:fill="auto"/>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2 162,5 </w:t>
            </w:r>
          </w:p>
        </w:tc>
        <w:tc>
          <w:tcPr>
            <w:tcW w:w="936" w:type="dxa"/>
            <w:shd w:val="clear" w:color="auto" w:fill="auto"/>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2 162,5 </w:t>
            </w:r>
          </w:p>
        </w:tc>
        <w:tc>
          <w:tcPr>
            <w:tcW w:w="936" w:type="dxa"/>
            <w:shd w:val="clear" w:color="auto" w:fill="auto"/>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2 042,4 </w:t>
            </w:r>
          </w:p>
        </w:tc>
        <w:tc>
          <w:tcPr>
            <w:tcW w:w="1096" w:type="dxa"/>
            <w:shd w:val="clear" w:color="auto" w:fill="auto"/>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2 042,4 </w:t>
            </w:r>
          </w:p>
        </w:tc>
        <w:tc>
          <w:tcPr>
            <w:tcW w:w="936" w:type="dxa"/>
            <w:shd w:val="clear" w:color="auto" w:fill="auto"/>
          </w:tcPr>
          <w:p w:rsidR="00905638" w:rsidRPr="00ED22D1" w:rsidRDefault="00905638" w:rsidP="00D26EF9">
            <w:pPr>
              <w:spacing w:after="60"/>
              <w:jc w:val="right"/>
              <w:rPr>
                <w:sz w:val="18"/>
                <w:highlight w:val="cyan"/>
                <w:lang w:val="fr-CA"/>
              </w:rPr>
            </w:pPr>
            <w:r w:rsidRPr="00ED22D1">
              <w:rPr>
                <w:color w:val="000000"/>
                <w:sz w:val="16"/>
                <w:szCs w:val="16"/>
                <w:lang w:val="fr-CA"/>
              </w:rPr>
              <w:t>1 609,9</w:t>
            </w:r>
          </w:p>
        </w:tc>
        <w:tc>
          <w:tcPr>
            <w:tcW w:w="936" w:type="dxa"/>
            <w:shd w:val="clear" w:color="auto" w:fill="auto"/>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1 609,9 </w:t>
            </w:r>
          </w:p>
        </w:tc>
        <w:tc>
          <w:tcPr>
            <w:tcW w:w="776" w:type="dxa"/>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 * </w:t>
            </w:r>
          </w:p>
        </w:tc>
        <w:tc>
          <w:tcPr>
            <w:tcW w:w="776" w:type="dxa"/>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 </w:t>
            </w:r>
          </w:p>
        </w:tc>
        <w:tc>
          <w:tcPr>
            <w:tcW w:w="776" w:type="dxa"/>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 </w:t>
            </w:r>
          </w:p>
        </w:tc>
        <w:tc>
          <w:tcPr>
            <w:tcW w:w="704" w:type="dxa"/>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 </w:t>
            </w:r>
          </w:p>
        </w:tc>
        <w:tc>
          <w:tcPr>
            <w:tcW w:w="703" w:type="dxa"/>
          </w:tcPr>
          <w:p w:rsidR="00905638" w:rsidRPr="00ED22D1" w:rsidRDefault="00905638" w:rsidP="00D26EF9">
            <w:pPr>
              <w:spacing w:after="60"/>
              <w:jc w:val="right"/>
              <w:rPr>
                <w:sz w:val="18"/>
                <w:highlight w:val="cyan"/>
                <w:lang w:val="fr-CA"/>
              </w:rPr>
            </w:pPr>
            <w:r w:rsidRPr="00ED22D1">
              <w:rPr>
                <w:color w:val="000000"/>
                <w:sz w:val="16"/>
                <w:szCs w:val="16"/>
                <w:lang w:val="fr-CA"/>
              </w:rPr>
              <w:t xml:space="preserve">* </w:t>
            </w:r>
          </w:p>
        </w:tc>
        <w:tc>
          <w:tcPr>
            <w:tcW w:w="1026" w:type="dxa"/>
            <w:shd w:val="clear" w:color="auto" w:fill="auto"/>
          </w:tcPr>
          <w:p w:rsidR="00905638" w:rsidRPr="00ED22D1" w:rsidRDefault="00905638" w:rsidP="00D26EF9">
            <w:pPr>
              <w:spacing w:after="60"/>
              <w:jc w:val="right"/>
              <w:rPr>
                <w:sz w:val="16"/>
                <w:szCs w:val="16"/>
                <w:lang w:val="fr-CA"/>
              </w:rPr>
            </w:pPr>
            <w:r w:rsidRPr="00ED22D1">
              <w:rPr>
                <w:color w:val="000000"/>
                <w:sz w:val="16"/>
                <w:szCs w:val="16"/>
                <w:lang w:val="fr-CA"/>
              </w:rPr>
              <w:t>s.o.</w:t>
            </w:r>
          </w:p>
        </w:tc>
      </w:tr>
      <w:tr w:rsidR="00905638" w:rsidRPr="00ED22D1" w:rsidTr="00905638">
        <w:tc>
          <w:tcPr>
            <w:tcW w:w="1147" w:type="dxa"/>
            <w:vMerge w:val="restart"/>
            <w:shd w:val="clear" w:color="auto" w:fill="auto"/>
          </w:tcPr>
          <w:p w:rsidR="00905638" w:rsidRPr="00ED22D1" w:rsidRDefault="00905638" w:rsidP="00905638">
            <w:pPr>
              <w:spacing w:after="60"/>
              <w:jc w:val="left"/>
              <w:rPr>
                <w:sz w:val="18"/>
                <w:lang w:val="fr-CA"/>
              </w:rPr>
            </w:pPr>
            <w:r w:rsidRPr="00ED22D1">
              <w:rPr>
                <w:sz w:val="18"/>
                <w:lang w:val="fr-CA"/>
              </w:rPr>
              <w:t xml:space="preserve">Financement convenu </w:t>
            </w:r>
            <w:r w:rsidR="00874624" w:rsidRPr="00ED22D1">
              <w:rPr>
                <w:sz w:val="18"/>
                <w:lang w:val="fr-CA"/>
              </w:rPr>
              <w:t>($US)</w:t>
            </w:r>
          </w:p>
        </w:tc>
        <w:tc>
          <w:tcPr>
            <w:tcW w:w="757" w:type="dxa"/>
            <w:vMerge w:val="restart"/>
            <w:shd w:val="clear" w:color="auto" w:fill="auto"/>
          </w:tcPr>
          <w:p w:rsidR="00905638" w:rsidRPr="00ED22D1" w:rsidRDefault="00905638" w:rsidP="00D26EF9">
            <w:pPr>
              <w:spacing w:after="60"/>
              <w:jc w:val="center"/>
              <w:rPr>
                <w:sz w:val="18"/>
                <w:lang w:val="fr-CA"/>
              </w:rPr>
            </w:pPr>
            <w:r w:rsidRPr="00ED22D1">
              <w:rPr>
                <w:sz w:val="18"/>
                <w:lang w:val="fr-CA"/>
              </w:rPr>
              <w:t>PNUD</w:t>
            </w:r>
          </w:p>
        </w:tc>
        <w:tc>
          <w:tcPr>
            <w:tcW w:w="849" w:type="dxa"/>
            <w:shd w:val="clear" w:color="auto" w:fill="auto"/>
          </w:tcPr>
          <w:p w:rsidR="00905638" w:rsidRPr="00ED22D1" w:rsidRDefault="00905638" w:rsidP="00181884">
            <w:pPr>
              <w:spacing w:after="60"/>
              <w:jc w:val="left"/>
              <w:rPr>
                <w:sz w:val="16"/>
                <w:szCs w:val="16"/>
                <w:lang w:val="fr-CA"/>
              </w:rPr>
            </w:pPr>
            <w:r w:rsidRPr="00ED22D1">
              <w:rPr>
                <w:sz w:val="16"/>
                <w:szCs w:val="16"/>
                <w:lang w:val="fr-CA"/>
              </w:rPr>
              <w:t>Coûts du projet</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13 368 756</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20 000 000</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12 000 000</w:t>
            </w:r>
          </w:p>
        </w:tc>
        <w:tc>
          <w:tcPr>
            <w:tcW w:w="109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16 000 000</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16 000 000</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11 776 041</w:t>
            </w:r>
          </w:p>
        </w:tc>
        <w:tc>
          <w:tcPr>
            <w:tcW w:w="776"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76"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76"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04"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03"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102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89 144 797</w:t>
            </w:r>
          </w:p>
        </w:tc>
      </w:tr>
      <w:tr w:rsidR="00905638" w:rsidRPr="00ED22D1" w:rsidTr="00905638">
        <w:tc>
          <w:tcPr>
            <w:tcW w:w="1147" w:type="dxa"/>
            <w:vMerge/>
            <w:shd w:val="clear" w:color="auto" w:fill="auto"/>
          </w:tcPr>
          <w:p w:rsidR="00905638" w:rsidRPr="00ED22D1" w:rsidRDefault="00905638" w:rsidP="00D26EF9">
            <w:pPr>
              <w:spacing w:after="60"/>
              <w:jc w:val="center"/>
              <w:rPr>
                <w:sz w:val="18"/>
                <w:lang w:val="fr-CA"/>
              </w:rPr>
            </w:pPr>
          </w:p>
        </w:tc>
        <w:tc>
          <w:tcPr>
            <w:tcW w:w="757" w:type="dxa"/>
            <w:vMerge/>
            <w:shd w:val="clear" w:color="auto" w:fill="auto"/>
          </w:tcPr>
          <w:p w:rsidR="00905638" w:rsidRPr="00ED22D1" w:rsidRDefault="00905638" w:rsidP="00D26EF9">
            <w:pPr>
              <w:spacing w:after="60"/>
              <w:jc w:val="center"/>
              <w:rPr>
                <w:sz w:val="18"/>
                <w:lang w:val="fr-CA"/>
              </w:rPr>
            </w:pPr>
          </w:p>
        </w:tc>
        <w:tc>
          <w:tcPr>
            <w:tcW w:w="849" w:type="dxa"/>
            <w:shd w:val="clear" w:color="auto" w:fill="auto"/>
          </w:tcPr>
          <w:p w:rsidR="00905638" w:rsidRPr="00ED22D1" w:rsidRDefault="00905638" w:rsidP="00181884">
            <w:pPr>
              <w:spacing w:after="60"/>
              <w:jc w:val="left"/>
              <w:rPr>
                <w:sz w:val="16"/>
                <w:szCs w:val="16"/>
                <w:lang w:val="fr-CA"/>
              </w:rPr>
            </w:pPr>
            <w:r w:rsidRPr="00ED22D1">
              <w:rPr>
                <w:sz w:val="16"/>
                <w:szCs w:val="16"/>
                <w:lang w:val="fr-CA"/>
              </w:rPr>
              <w:t>Coûts d’appui</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935 813</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1 400 000</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840 000</w:t>
            </w:r>
          </w:p>
        </w:tc>
        <w:tc>
          <w:tcPr>
            <w:tcW w:w="109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1 120 000</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1 120 000</w:t>
            </w: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824 323</w:t>
            </w:r>
          </w:p>
        </w:tc>
        <w:tc>
          <w:tcPr>
            <w:tcW w:w="776"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76"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76"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04"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703" w:type="dxa"/>
          </w:tcPr>
          <w:p w:rsidR="00905638" w:rsidRPr="00ED22D1" w:rsidRDefault="00905638" w:rsidP="00D26EF9">
            <w:pPr>
              <w:spacing w:after="60"/>
              <w:jc w:val="right"/>
              <w:rPr>
                <w:sz w:val="18"/>
                <w:lang w:val="fr-CA"/>
              </w:rPr>
            </w:pPr>
            <w:r w:rsidRPr="00ED22D1">
              <w:rPr>
                <w:color w:val="000000"/>
                <w:sz w:val="16"/>
                <w:szCs w:val="16"/>
                <w:lang w:val="fr-CA"/>
              </w:rPr>
              <w:t>-</w:t>
            </w:r>
          </w:p>
        </w:tc>
        <w:tc>
          <w:tcPr>
            <w:tcW w:w="1026" w:type="dxa"/>
            <w:shd w:val="clear" w:color="auto" w:fill="auto"/>
          </w:tcPr>
          <w:p w:rsidR="00905638" w:rsidRPr="00ED22D1" w:rsidRDefault="00905638" w:rsidP="00D26EF9">
            <w:pPr>
              <w:jc w:val="right"/>
              <w:rPr>
                <w:sz w:val="18"/>
                <w:lang w:val="fr-CA"/>
              </w:rPr>
            </w:pPr>
            <w:r w:rsidRPr="00ED22D1">
              <w:rPr>
                <w:color w:val="000000"/>
                <w:sz w:val="16"/>
                <w:szCs w:val="16"/>
                <w:lang w:val="fr-CA"/>
              </w:rPr>
              <w:t>6 240 136</w:t>
            </w:r>
          </w:p>
        </w:tc>
      </w:tr>
      <w:tr w:rsidR="00905638" w:rsidRPr="00ED22D1" w:rsidTr="00905638">
        <w:tc>
          <w:tcPr>
            <w:tcW w:w="1904" w:type="dxa"/>
            <w:gridSpan w:val="2"/>
            <w:vMerge w:val="restart"/>
            <w:shd w:val="clear" w:color="auto" w:fill="auto"/>
          </w:tcPr>
          <w:p w:rsidR="00905638" w:rsidRPr="00ED22D1" w:rsidRDefault="00905638" w:rsidP="00905638">
            <w:pPr>
              <w:spacing w:after="60"/>
              <w:jc w:val="left"/>
              <w:rPr>
                <w:sz w:val="18"/>
                <w:lang w:val="fr-CA"/>
              </w:rPr>
            </w:pPr>
            <w:r w:rsidRPr="00ED22D1">
              <w:rPr>
                <w:sz w:val="18"/>
                <w:lang w:val="fr-CA"/>
              </w:rPr>
              <w:t xml:space="preserve">Financement approuvé par ExCom </w:t>
            </w:r>
            <w:r w:rsidR="00874624" w:rsidRPr="00ED22D1">
              <w:rPr>
                <w:sz w:val="18"/>
                <w:lang w:val="fr-CA"/>
              </w:rPr>
              <w:t>($US)</w:t>
            </w:r>
          </w:p>
        </w:tc>
        <w:tc>
          <w:tcPr>
            <w:tcW w:w="849" w:type="dxa"/>
            <w:shd w:val="clear" w:color="auto" w:fill="auto"/>
          </w:tcPr>
          <w:p w:rsidR="00905638" w:rsidRPr="00ED22D1" w:rsidRDefault="00905638" w:rsidP="00181884">
            <w:pPr>
              <w:spacing w:after="60"/>
              <w:jc w:val="left"/>
              <w:rPr>
                <w:sz w:val="16"/>
                <w:szCs w:val="16"/>
                <w:lang w:val="fr-CA"/>
              </w:rPr>
            </w:pPr>
            <w:r w:rsidRPr="00ED22D1">
              <w:rPr>
                <w:sz w:val="16"/>
                <w:szCs w:val="16"/>
                <w:lang w:val="fr-CA"/>
              </w:rPr>
              <w:t>Coûts du projet</w:t>
            </w:r>
          </w:p>
        </w:tc>
        <w:tc>
          <w:tcPr>
            <w:tcW w:w="936" w:type="dxa"/>
            <w:shd w:val="clear" w:color="auto" w:fill="auto"/>
          </w:tcPr>
          <w:p w:rsidR="00905638" w:rsidRPr="00ED22D1" w:rsidRDefault="00905638" w:rsidP="00181884">
            <w:pPr>
              <w:spacing w:after="60"/>
              <w:jc w:val="left"/>
              <w:rPr>
                <w:sz w:val="16"/>
                <w:szCs w:val="16"/>
                <w:lang w:val="fr-CA"/>
              </w:rPr>
            </w:pPr>
          </w:p>
        </w:tc>
        <w:tc>
          <w:tcPr>
            <w:tcW w:w="936" w:type="dxa"/>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20 000 000</w:t>
            </w:r>
          </w:p>
        </w:tc>
        <w:tc>
          <w:tcPr>
            <w:tcW w:w="936" w:type="dxa"/>
            <w:shd w:val="clear" w:color="auto" w:fill="auto"/>
          </w:tcPr>
          <w:p w:rsidR="00905638" w:rsidRPr="00ED22D1" w:rsidRDefault="00905638" w:rsidP="00D26EF9">
            <w:pPr>
              <w:spacing w:after="60"/>
              <w:jc w:val="right"/>
              <w:rPr>
                <w:sz w:val="18"/>
                <w:lang w:val="fr-CA"/>
              </w:rPr>
            </w:pPr>
          </w:p>
        </w:tc>
        <w:tc>
          <w:tcPr>
            <w:tcW w:w="1096" w:type="dxa"/>
            <w:shd w:val="clear" w:color="auto" w:fill="auto"/>
          </w:tcPr>
          <w:p w:rsidR="00905638" w:rsidRPr="00ED22D1" w:rsidRDefault="00905638" w:rsidP="00D26EF9">
            <w:pPr>
              <w:spacing w:after="60"/>
              <w:jc w:val="right"/>
              <w:rPr>
                <w:sz w:val="18"/>
                <w:lang w:val="fr-CA"/>
              </w:rPr>
            </w:pPr>
          </w:p>
        </w:tc>
        <w:tc>
          <w:tcPr>
            <w:tcW w:w="936" w:type="dxa"/>
            <w:shd w:val="clear" w:color="auto" w:fill="auto"/>
          </w:tcPr>
          <w:p w:rsidR="00905638" w:rsidRPr="00ED22D1" w:rsidRDefault="00905638" w:rsidP="00D26EF9">
            <w:pPr>
              <w:spacing w:after="60"/>
              <w:jc w:val="right"/>
              <w:rPr>
                <w:sz w:val="18"/>
                <w:lang w:val="fr-CA"/>
              </w:rPr>
            </w:pPr>
          </w:p>
        </w:tc>
        <w:tc>
          <w:tcPr>
            <w:tcW w:w="936" w:type="dxa"/>
            <w:shd w:val="clear" w:color="auto" w:fill="auto"/>
          </w:tcPr>
          <w:p w:rsidR="00905638" w:rsidRPr="00ED22D1" w:rsidRDefault="00905638" w:rsidP="00D26EF9">
            <w:pPr>
              <w:spacing w:after="60"/>
              <w:jc w:val="right"/>
              <w:rPr>
                <w:sz w:val="18"/>
                <w:lang w:val="fr-CA"/>
              </w:rPr>
            </w:pPr>
          </w:p>
        </w:tc>
        <w:tc>
          <w:tcPr>
            <w:tcW w:w="776" w:type="dxa"/>
          </w:tcPr>
          <w:p w:rsidR="00905638" w:rsidRPr="00ED22D1" w:rsidRDefault="00905638" w:rsidP="00D26EF9">
            <w:pPr>
              <w:spacing w:after="60"/>
              <w:jc w:val="right"/>
              <w:rPr>
                <w:sz w:val="18"/>
                <w:lang w:val="fr-CA"/>
              </w:rPr>
            </w:pPr>
          </w:p>
        </w:tc>
        <w:tc>
          <w:tcPr>
            <w:tcW w:w="776" w:type="dxa"/>
          </w:tcPr>
          <w:p w:rsidR="00905638" w:rsidRPr="00ED22D1" w:rsidRDefault="00905638" w:rsidP="00D26EF9">
            <w:pPr>
              <w:spacing w:after="60"/>
              <w:jc w:val="right"/>
              <w:rPr>
                <w:sz w:val="18"/>
                <w:lang w:val="fr-CA"/>
              </w:rPr>
            </w:pPr>
          </w:p>
        </w:tc>
        <w:tc>
          <w:tcPr>
            <w:tcW w:w="776" w:type="dxa"/>
          </w:tcPr>
          <w:p w:rsidR="00905638" w:rsidRPr="00ED22D1" w:rsidRDefault="00905638" w:rsidP="00D26EF9">
            <w:pPr>
              <w:spacing w:after="60"/>
              <w:jc w:val="right"/>
              <w:rPr>
                <w:sz w:val="18"/>
                <w:lang w:val="fr-CA"/>
              </w:rPr>
            </w:pPr>
          </w:p>
        </w:tc>
        <w:tc>
          <w:tcPr>
            <w:tcW w:w="704" w:type="dxa"/>
          </w:tcPr>
          <w:p w:rsidR="00905638" w:rsidRPr="00ED22D1" w:rsidRDefault="00905638" w:rsidP="00D26EF9">
            <w:pPr>
              <w:spacing w:after="60"/>
              <w:jc w:val="right"/>
              <w:rPr>
                <w:sz w:val="18"/>
                <w:lang w:val="fr-CA"/>
              </w:rPr>
            </w:pPr>
          </w:p>
        </w:tc>
        <w:tc>
          <w:tcPr>
            <w:tcW w:w="703" w:type="dxa"/>
          </w:tcPr>
          <w:p w:rsidR="00905638" w:rsidRPr="00ED22D1" w:rsidRDefault="00905638" w:rsidP="00D26EF9">
            <w:pPr>
              <w:spacing w:after="60"/>
              <w:jc w:val="right"/>
              <w:rPr>
                <w:sz w:val="18"/>
                <w:lang w:val="fr-CA"/>
              </w:rPr>
            </w:pPr>
          </w:p>
        </w:tc>
        <w:tc>
          <w:tcPr>
            <w:tcW w:w="1026" w:type="dxa"/>
            <w:shd w:val="clear" w:color="auto" w:fill="auto"/>
          </w:tcPr>
          <w:p w:rsidR="00905638" w:rsidRPr="00ED22D1" w:rsidRDefault="00D535F6" w:rsidP="00D26EF9">
            <w:pPr>
              <w:spacing w:after="60"/>
              <w:jc w:val="right"/>
              <w:rPr>
                <w:sz w:val="18"/>
                <w:lang w:val="fr-CA"/>
              </w:rPr>
            </w:pPr>
            <w:r w:rsidRPr="00ED22D1">
              <w:rPr>
                <w:sz w:val="18"/>
                <w:lang w:val="fr-CA"/>
              </w:rPr>
              <w:fldChar w:fldCharType="begin"/>
            </w:r>
            <w:r w:rsidR="00905638" w:rsidRPr="00ED22D1">
              <w:rPr>
                <w:sz w:val="18"/>
                <w:lang w:val="fr-CA"/>
              </w:rPr>
              <w:instrText xml:space="preserve"> =SUM(left) </w:instrText>
            </w:r>
            <w:r w:rsidRPr="00ED22D1">
              <w:rPr>
                <w:sz w:val="18"/>
                <w:lang w:val="fr-CA"/>
              </w:rPr>
              <w:fldChar w:fldCharType="separate"/>
            </w:r>
            <w:r w:rsidR="00905638" w:rsidRPr="00ED22D1">
              <w:rPr>
                <w:noProof/>
                <w:sz w:val="18"/>
                <w:lang w:val="fr-CA"/>
              </w:rPr>
              <w:t>33 368 756</w:t>
            </w:r>
            <w:r w:rsidRPr="00ED22D1">
              <w:rPr>
                <w:sz w:val="18"/>
                <w:lang w:val="fr-CA"/>
              </w:rPr>
              <w:fldChar w:fldCharType="end"/>
            </w:r>
          </w:p>
        </w:tc>
      </w:tr>
      <w:tr w:rsidR="00905638" w:rsidRPr="00ED22D1" w:rsidTr="00905638">
        <w:tc>
          <w:tcPr>
            <w:tcW w:w="1904" w:type="dxa"/>
            <w:gridSpan w:val="2"/>
            <w:vMerge/>
            <w:tcBorders>
              <w:bottom w:val="single" w:sz="6" w:space="0" w:color="666699"/>
            </w:tcBorders>
            <w:shd w:val="clear" w:color="auto" w:fill="auto"/>
          </w:tcPr>
          <w:p w:rsidR="00905638" w:rsidRPr="00ED22D1" w:rsidRDefault="00905638" w:rsidP="00D26EF9">
            <w:pPr>
              <w:spacing w:after="60"/>
              <w:jc w:val="center"/>
              <w:rPr>
                <w:sz w:val="18"/>
                <w:lang w:val="fr-CA"/>
              </w:rPr>
            </w:pPr>
          </w:p>
        </w:tc>
        <w:tc>
          <w:tcPr>
            <w:tcW w:w="849" w:type="dxa"/>
            <w:tcBorders>
              <w:bottom w:val="single" w:sz="6" w:space="0" w:color="666699"/>
            </w:tcBorders>
            <w:shd w:val="clear" w:color="auto" w:fill="auto"/>
          </w:tcPr>
          <w:p w:rsidR="00905638" w:rsidRPr="00ED22D1" w:rsidRDefault="00905638" w:rsidP="00181884">
            <w:pPr>
              <w:spacing w:after="60"/>
              <w:jc w:val="left"/>
              <w:rPr>
                <w:sz w:val="16"/>
                <w:szCs w:val="16"/>
                <w:lang w:val="fr-CA"/>
              </w:rPr>
            </w:pPr>
            <w:r w:rsidRPr="00ED22D1">
              <w:rPr>
                <w:sz w:val="16"/>
                <w:szCs w:val="16"/>
                <w:lang w:val="fr-CA"/>
              </w:rPr>
              <w:t>Coûts d’appui</w:t>
            </w:r>
          </w:p>
        </w:tc>
        <w:tc>
          <w:tcPr>
            <w:tcW w:w="936" w:type="dxa"/>
            <w:tcBorders>
              <w:bottom w:val="single" w:sz="6" w:space="0" w:color="666699"/>
            </w:tcBorders>
            <w:shd w:val="clear" w:color="auto" w:fill="auto"/>
          </w:tcPr>
          <w:p w:rsidR="00905638" w:rsidRPr="00ED22D1" w:rsidRDefault="00905638" w:rsidP="00181884">
            <w:pPr>
              <w:spacing w:after="60"/>
              <w:jc w:val="left"/>
              <w:rPr>
                <w:sz w:val="16"/>
                <w:szCs w:val="16"/>
                <w:lang w:val="fr-CA"/>
              </w:rPr>
            </w:pPr>
          </w:p>
        </w:tc>
        <w:tc>
          <w:tcPr>
            <w:tcW w:w="936" w:type="dxa"/>
            <w:tcBorders>
              <w:bottom w:val="single" w:sz="6" w:space="0" w:color="666699"/>
            </w:tcBorders>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1 400 000</w:t>
            </w:r>
          </w:p>
        </w:tc>
        <w:tc>
          <w:tcPr>
            <w:tcW w:w="936" w:type="dxa"/>
            <w:tcBorders>
              <w:bottom w:val="single" w:sz="6" w:space="0" w:color="666699"/>
            </w:tcBorders>
            <w:shd w:val="clear" w:color="auto" w:fill="auto"/>
          </w:tcPr>
          <w:p w:rsidR="00905638" w:rsidRPr="00ED22D1" w:rsidRDefault="00905638" w:rsidP="00D26EF9">
            <w:pPr>
              <w:spacing w:after="60"/>
              <w:jc w:val="right"/>
              <w:rPr>
                <w:sz w:val="18"/>
                <w:lang w:val="fr-CA"/>
              </w:rPr>
            </w:pPr>
          </w:p>
        </w:tc>
        <w:tc>
          <w:tcPr>
            <w:tcW w:w="1096" w:type="dxa"/>
            <w:tcBorders>
              <w:bottom w:val="single" w:sz="6" w:space="0" w:color="666699"/>
            </w:tcBorders>
            <w:shd w:val="clear" w:color="auto" w:fill="auto"/>
          </w:tcPr>
          <w:p w:rsidR="00905638" w:rsidRPr="00ED22D1" w:rsidRDefault="00905638" w:rsidP="00D26EF9">
            <w:pPr>
              <w:spacing w:after="60"/>
              <w:jc w:val="right"/>
              <w:rPr>
                <w:sz w:val="18"/>
                <w:lang w:val="fr-CA"/>
              </w:rPr>
            </w:pPr>
          </w:p>
        </w:tc>
        <w:tc>
          <w:tcPr>
            <w:tcW w:w="936" w:type="dxa"/>
            <w:tcBorders>
              <w:bottom w:val="single" w:sz="6" w:space="0" w:color="666699"/>
            </w:tcBorders>
            <w:shd w:val="clear" w:color="auto" w:fill="auto"/>
          </w:tcPr>
          <w:p w:rsidR="00905638" w:rsidRPr="00ED22D1" w:rsidRDefault="00905638" w:rsidP="00D26EF9">
            <w:pPr>
              <w:spacing w:after="60"/>
              <w:jc w:val="right"/>
              <w:rPr>
                <w:sz w:val="18"/>
                <w:lang w:val="fr-CA"/>
              </w:rPr>
            </w:pPr>
          </w:p>
        </w:tc>
        <w:tc>
          <w:tcPr>
            <w:tcW w:w="936" w:type="dxa"/>
            <w:tcBorders>
              <w:bottom w:val="single" w:sz="6" w:space="0" w:color="666699"/>
            </w:tcBorders>
            <w:shd w:val="clear" w:color="auto" w:fill="auto"/>
          </w:tcPr>
          <w:p w:rsidR="00905638" w:rsidRPr="00ED22D1" w:rsidRDefault="00905638" w:rsidP="00D26EF9">
            <w:pPr>
              <w:spacing w:after="60"/>
              <w:jc w:val="right"/>
              <w:rPr>
                <w:sz w:val="18"/>
                <w:lang w:val="fr-CA"/>
              </w:rPr>
            </w:pPr>
          </w:p>
        </w:tc>
        <w:tc>
          <w:tcPr>
            <w:tcW w:w="776" w:type="dxa"/>
            <w:tcBorders>
              <w:bottom w:val="single" w:sz="6" w:space="0" w:color="666699"/>
            </w:tcBorders>
          </w:tcPr>
          <w:p w:rsidR="00905638" w:rsidRPr="00ED22D1" w:rsidRDefault="00905638" w:rsidP="00D26EF9">
            <w:pPr>
              <w:spacing w:after="60"/>
              <w:jc w:val="right"/>
              <w:rPr>
                <w:sz w:val="18"/>
                <w:lang w:val="fr-CA"/>
              </w:rPr>
            </w:pPr>
          </w:p>
        </w:tc>
        <w:tc>
          <w:tcPr>
            <w:tcW w:w="776" w:type="dxa"/>
            <w:tcBorders>
              <w:bottom w:val="single" w:sz="6" w:space="0" w:color="666699"/>
            </w:tcBorders>
          </w:tcPr>
          <w:p w:rsidR="00905638" w:rsidRPr="00ED22D1" w:rsidRDefault="00905638" w:rsidP="00D26EF9">
            <w:pPr>
              <w:spacing w:after="60"/>
              <w:jc w:val="right"/>
              <w:rPr>
                <w:sz w:val="18"/>
                <w:lang w:val="fr-CA"/>
              </w:rPr>
            </w:pPr>
          </w:p>
        </w:tc>
        <w:tc>
          <w:tcPr>
            <w:tcW w:w="776" w:type="dxa"/>
            <w:tcBorders>
              <w:bottom w:val="single" w:sz="6" w:space="0" w:color="666699"/>
            </w:tcBorders>
          </w:tcPr>
          <w:p w:rsidR="00905638" w:rsidRPr="00ED22D1" w:rsidRDefault="00905638" w:rsidP="00D26EF9">
            <w:pPr>
              <w:spacing w:after="60"/>
              <w:jc w:val="right"/>
              <w:rPr>
                <w:sz w:val="18"/>
                <w:lang w:val="fr-CA"/>
              </w:rPr>
            </w:pPr>
          </w:p>
        </w:tc>
        <w:tc>
          <w:tcPr>
            <w:tcW w:w="704" w:type="dxa"/>
            <w:tcBorders>
              <w:bottom w:val="single" w:sz="6" w:space="0" w:color="666699"/>
            </w:tcBorders>
          </w:tcPr>
          <w:p w:rsidR="00905638" w:rsidRPr="00ED22D1" w:rsidRDefault="00905638" w:rsidP="00D26EF9">
            <w:pPr>
              <w:spacing w:after="60"/>
              <w:jc w:val="right"/>
              <w:rPr>
                <w:sz w:val="18"/>
                <w:lang w:val="fr-CA"/>
              </w:rPr>
            </w:pPr>
          </w:p>
        </w:tc>
        <w:tc>
          <w:tcPr>
            <w:tcW w:w="703" w:type="dxa"/>
            <w:tcBorders>
              <w:bottom w:val="single" w:sz="6" w:space="0" w:color="666699"/>
            </w:tcBorders>
          </w:tcPr>
          <w:p w:rsidR="00905638" w:rsidRPr="00ED22D1" w:rsidRDefault="00905638" w:rsidP="00D26EF9">
            <w:pPr>
              <w:spacing w:after="60"/>
              <w:jc w:val="right"/>
              <w:rPr>
                <w:sz w:val="18"/>
                <w:lang w:val="fr-CA"/>
              </w:rPr>
            </w:pPr>
          </w:p>
        </w:tc>
        <w:tc>
          <w:tcPr>
            <w:tcW w:w="1026" w:type="dxa"/>
            <w:tcBorders>
              <w:bottom w:val="single" w:sz="6" w:space="0" w:color="666699"/>
            </w:tcBorders>
            <w:shd w:val="clear" w:color="auto" w:fill="auto"/>
          </w:tcPr>
          <w:p w:rsidR="00905638" w:rsidRPr="00ED22D1" w:rsidRDefault="00D535F6" w:rsidP="00D26EF9">
            <w:pPr>
              <w:spacing w:after="60"/>
              <w:jc w:val="right"/>
              <w:rPr>
                <w:sz w:val="18"/>
                <w:lang w:val="fr-CA"/>
              </w:rPr>
            </w:pPr>
            <w:r w:rsidRPr="00ED22D1">
              <w:rPr>
                <w:sz w:val="18"/>
                <w:lang w:val="fr-CA"/>
              </w:rPr>
              <w:fldChar w:fldCharType="begin"/>
            </w:r>
            <w:r w:rsidR="00905638" w:rsidRPr="00ED22D1">
              <w:rPr>
                <w:sz w:val="18"/>
                <w:lang w:val="fr-CA"/>
              </w:rPr>
              <w:instrText xml:space="preserve"> =SUM(left) </w:instrText>
            </w:r>
            <w:r w:rsidRPr="00ED22D1">
              <w:rPr>
                <w:sz w:val="18"/>
                <w:lang w:val="fr-CA"/>
              </w:rPr>
              <w:fldChar w:fldCharType="separate"/>
            </w:r>
            <w:r w:rsidR="00905638" w:rsidRPr="00ED22D1">
              <w:rPr>
                <w:noProof/>
                <w:sz w:val="18"/>
                <w:lang w:val="fr-CA"/>
              </w:rPr>
              <w:t>2 335 813</w:t>
            </w:r>
            <w:r w:rsidRPr="00ED22D1">
              <w:rPr>
                <w:sz w:val="18"/>
                <w:lang w:val="fr-CA"/>
              </w:rPr>
              <w:fldChar w:fldCharType="end"/>
            </w:r>
          </w:p>
        </w:tc>
      </w:tr>
      <w:tr w:rsidR="00905638" w:rsidRPr="00ED22D1" w:rsidTr="00905638">
        <w:tc>
          <w:tcPr>
            <w:tcW w:w="1904" w:type="dxa"/>
            <w:gridSpan w:val="2"/>
            <w:vMerge w:val="restart"/>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905638">
            <w:pPr>
              <w:spacing w:after="60"/>
              <w:jc w:val="left"/>
              <w:rPr>
                <w:sz w:val="18"/>
                <w:lang w:val="fr-CA"/>
              </w:rPr>
            </w:pPr>
            <w:r w:rsidRPr="00ED22D1">
              <w:rPr>
                <w:sz w:val="18"/>
                <w:lang w:val="fr-CA"/>
              </w:rPr>
              <w:t xml:space="preserve">Total du financement demandé pour approbation à la présente réunion </w:t>
            </w:r>
            <w:r w:rsidR="00874624" w:rsidRPr="00ED22D1">
              <w:rPr>
                <w:sz w:val="18"/>
                <w:lang w:val="fr-CA"/>
              </w:rPr>
              <w:t>($US)</w:t>
            </w:r>
          </w:p>
        </w:tc>
        <w:tc>
          <w:tcPr>
            <w:tcW w:w="849"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181884">
            <w:pPr>
              <w:spacing w:after="60"/>
              <w:jc w:val="left"/>
              <w:rPr>
                <w:sz w:val="16"/>
                <w:szCs w:val="16"/>
                <w:lang w:val="fr-CA"/>
              </w:rPr>
            </w:pPr>
            <w:r w:rsidRPr="00ED22D1">
              <w:rPr>
                <w:sz w:val="16"/>
                <w:szCs w:val="16"/>
                <w:lang w:val="fr-CA"/>
              </w:rPr>
              <w:t>Coûts du projet</w:t>
            </w: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181884">
            <w:pPr>
              <w:spacing w:after="60"/>
              <w:jc w:val="left"/>
              <w:rPr>
                <w:sz w:val="16"/>
                <w:szCs w:val="16"/>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109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12 000 000**</w:t>
            </w: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04"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03"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102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12 000 000</w:t>
            </w:r>
          </w:p>
        </w:tc>
      </w:tr>
      <w:tr w:rsidR="00905638" w:rsidRPr="00ED22D1" w:rsidTr="00905638">
        <w:tc>
          <w:tcPr>
            <w:tcW w:w="1904" w:type="dxa"/>
            <w:gridSpan w:val="2"/>
            <w:vMerge/>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center"/>
              <w:rPr>
                <w:sz w:val="18"/>
                <w:lang w:val="fr-CA"/>
              </w:rPr>
            </w:pPr>
          </w:p>
        </w:tc>
        <w:tc>
          <w:tcPr>
            <w:tcW w:w="849"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181884">
            <w:pPr>
              <w:spacing w:after="60"/>
              <w:jc w:val="left"/>
              <w:rPr>
                <w:sz w:val="16"/>
                <w:szCs w:val="16"/>
                <w:lang w:val="fr-CA"/>
              </w:rPr>
            </w:pPr>
            <w:r w:rsidRPr="00ED22D1">
              <w:rPr>
                <w:sz w:val="16"/>
                <w:szCs w:val="16"/>
                <w:lang w:val="fr-CA"/>
              </w:rPr>
              <w:t>Coûts d’appui</w:t>
            </w: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181884">
            <w:pPr>
              <w:spacing w:after="60"/>
              <w:jc w:val="left"/>
              <w:rPr>
                <w:sz w:val="16"/>
                <w:szCs w:val="16"/>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109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840 000</w:t>
            </w: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04"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703" w:type="dxa"/>
            <w:tcBorders>
              <w:top w:val="single" w:sz="6" w:space="0" w:color="666699"/>
              <w:left w:val="single" w:sz="6" w:space="0" w:color="666699"/>
              <w:bottom w:val="single" w:sz="6" w:space="0" w:color="666699"/>
              <w:right w:val="single" w:sz="6" w:space="0" w:color="666699"/>
            </w:tcBorders>
          </w:tcPr>
          <w:p w:rsidR="00905638" w:rsidRPr="00ED22D1" w:rsidRDefault="00905638" w:rsidP="00D26EF9">
            <w:pPr>
              <w:spacing w:after="60"/>
              <w:jc w:val="right"/>
              <w:rPr>
                <w:sz w:val="18"/>
                <w:lang w:val="fr-CA"/>
              </w:rPr>
            </w:pPr>
          </w:p>
        </w:tc>
        <w:tc>
          <w:tcPr>
            <w:tcW w:w="1026" w:type="dxa"/>
            <w:tcBorders>
              <w:top w:val="single" w:sz="6" w:space="0" w:color="666699"/>
              <w:left w:val="single" w:sz="6" w:space="0" w:color="666699"/>
              <w:bottom w:val="single" w:sz="6" w:space="0" w:color="666699"/>
              <w:right w:val="single" w:sz="6" w:space="0" w:color="666699"/>
            </w:tcBorders>
            <w:shd w:val="clear" w:color="auto" w:fill="auto"/>
          </w:tcPr>
          <w:p w:rsidR="00905638" w:rsidRPr="00ED22D1" w:rsidRDefault="00905638" w:rsidP="00D26EF9">
            <w:pPr>
              <w:spacing w:after="60"/>
              <w:jc w:val="right"/>
              <w:rPr>
                <w:sz w:val="18"/>
                <w:lang w:val="fr-CA"/>
              </w:rPr>
            </w:pPr>
            <w:r w:rsidRPr="00ED22D1">
              <w:rPr>
                <w:color w:val="000000"/>
                <w:sz w:val="16"/>
                <w:szCs w:val="16"/>
                <w:lang w:val="fr-CA"/>
              </w:rPr>
              <w:t>840 000</w:t>
            </w:r>
          </w:p>
        </w:tc>
      </w:tr>
      <w:tr w:rsidR="00C1026B" w:rsidRPr="00C80221" w:rsidTr="00D26EF9">
        <w:tc>
          <w:tcPr>
            <w:tcW w:w="13290" w:type="dxa"/>
            <w:gridSpan w:val="15"/>
            <w:tcBorders>
              <w:top w:val="single" w:sz="6" w:space="0" w:color="666699"/>
              <w:left w:val="nil"/>
              <w:bottom w:val="nil"/>
              <w:right w:val="nil"/>
            </w:tcBorders>
            <w:shd w:val="clear" w:color="auto" w:fill="auto"/>
          </w:tcPr>
          <w:p w:rsidR="00C1026B" w:rsidRPr="00ED22D1" w:rsidRDefault="00C1026B" w:rsidP="00D26EF9">
            <w:pPr>
              <w:spacing w:after="60"/>
              <w:jc w:val="left"/>
              <w:rPr>
                <w:sz w:val="16"/>
                <w:szCs w:val="16"/>
                <w:lang w:val="fr-CA"/>
              </w:rPr>
            </w:pPr>
            <w:r w:rsidRPr="00ED22D1">
              <w:rPr>
                <w:sz w:val="16"/>
                <w:szCs w:val="16"/>
                <w:lang w:val="fr-CA"/>
              </w:rPr>
              <w:t xml:space="preserve">* </w:t>
            </w:r>
            <w:r w:rsidR="00572798" w:rsidRPr="00ED22D1">
              <w:rPr>
                <w:sz w:val="16"/>
                <w:szCs w:val="16"/>
                <w:lang w:val="fr-CA"/>
              </w:rPr>
              <w:t>La c</w:t>
            </w:r>
            <w:r w:rsidR="00905638" w:rsidRPr="00ED22D1">
              <w:rPr>
                <w:sz w:val="16"/>
                <w:szCs w:val="16"/>
                <w:lang w:val="fr-CA"/>
              </w:rPr>
              <w:t>onsommation maximale a</w:t>
            </w:r>
            <w:r w:rsidR="00D40CEA" w:rsidRPr="00ED22D1">
              <w:rPr>
                <w:sz w:val="16"/>
                <w:szCs w:val="16"/>
                <w:lang w:val="fr-CA"/>
              </w:rPr>
              <w:t>d</w:t>
            </w:r>
            <w:r w:rsidR="00905638" w:rsidRPr="00ED22D1">
              <w:rPr>
                <w:sz w:val="16"/>
                <w:szCs w:val="16"/>
                <w:lang w:val="fr-CA"/>
              </w:rPr>
              <w:t>missible totale</w:t>
            </w:r>
            <w:r w:rsidR="00614F6B" w:rsidRPr="00ED22D1">
              <w:rPr>
                <w:sz w:val="16"/>
                <w:szCs w:val="16"/>
                <w:lang w:val="fr-CA"/>
              </w:rPr>
              <w:t xml:space="preserve"> des</w:t>
            </w:r>
            <w:r w:rsidR="00905638" w:rsidRPr="00ED22D1">
              <w:rPr>
                <w:sz w:val="16"/>
                <w:szCs w:val="16"/>
                <w:lang w:val="fr-CA"/>
              </w:rPr>
              <w:t xml:space="preserve"> substances de l’Annexe</w:t>
            </w:r>
            <w:r w:rsidRPr="00ED22D1">
              <w:rPr>
                <w:sz w:val="16"/>
                <w:szCs w:val="16"/>
                <w:lang w:val="fr-CA"/>
              </w:rPr>
              <w:t> C, Group</w:t>
            </w:r>
            <w:r w:rsidR="00905638" w:rsidRPr="00ED22D1">
              <w:rPr>
                <w:sz w:val="16"/>
                <w:szCs w:val="16"/>
                <w:lang w:val="fr-CA"/>
              </w:rPr>
              <w:t>e</w:t>
            </w:r>
            <w:r w:rsidRPr="00ED22D1">
              <w:rPr>
                <w:sz w:val="16"/>
                <w:szCs w:val="16"/>
                <w:lang w:val="fr-CA"/>
              </w:rPr>
              <w:t> I</w:t>
            </w:r>
            <w:r w:rsidR="00D40CEA" w:rsidRPr="00ED22D1">
              <w:rPr>
                <w:sz w:val="16"/>
                <w:szCs w:val="16"/>
                <w:lang w:val="fr-CA"/>
              </w:rPr>
              <w:t>,</w:t>
            </w:r>
            <w:r w:rsidRPr="00ED22D1">
              <w:rPr>
                <w:sz w:val="16"/>
                <w:szCs w:val="16"/>
                <w:lang w:val="fr-CA"/>
              </w:rPr>
              <w:t xml:space="preserve"> </w:t>
            </w:r>
            <w:r w:rsidR="00D40CEA" w:rsidRPr="00ED22D1">
              <w:rPr>
                <w:sz w:val="16"/>
                <w:szCs w:val="16"/>
                <w:lang w:val="fr-CA"/>
              </w:rPr>
              <w:t xml:space="preserve">dans le secteur de la </w:t>
            </w:r>
            <w:r w:rsidR="00905638" w:rsidRPr="00ED22D1">
              <w:rPr>
                <w:sz w:val="16"/>
                <w:szCs w:val="16"/>
                <w:lang w:val="fr-CA"/>
              </w:rPr>
              <w:t xml:space="preserve">climatisation et </w:t>
            </w:r>
            <w:r w:rsidR="00D40CEA" w:rsidRPr="00ED22D1">
              <w:rPr>
                <w:sz w:val="16"/>
                <w:szCs w:val="16"/>
                <w:lang w:val="fr-CA"/>
              </w:rPr>
              <w:t>de la</w:t>
            </w:r>
            <w:r w:rsidR="00905638" w:rsidRPr="00ED22D1">
              <w:rPr>
                <w:sz w:val="16"/>
                <w:szCs w:val="16"/>
                <w:lang w:val="fr-CA"/>
              </w:rPr>
              <w:t xml:space="preserve"> réfrigération industrielle et commerciale</w:t>
            </w:r>
            <w:r w:rsidRPr="00ED22D1">
              <w:rPr>
                <w:sz w:val="16"/>
                <w:szCs w:val="16"/>
                <w:lang w:val="fr-CA"/>
              </w:rPr>
              <w:t xml:space="preserve"> </w:t>
            </w:r>
            <w:r w:rsidR="00921BDE" w:rsidRPr="00ED22D1">
              <w:rPr>
                <w:sz w:val="16"/>
                <w:szCs w:val="16"/>
                <w:lang w:val="fr-CA"/>
              </w:rPr>
              <w:t>pour la</w:t>
            </w:r>
            <w:r w:rsidR="001F19C1" w:rsidRPr="00ED22D1">
              <w:rPr>
                <w:sz w:val="16"/>
                <w:szCs w:val="16"/>
                <w:lang w:val="fr-CA"/>
              </w:rPr>
              <w:t xml:space="preserve"> période </w:t>
            </w:r>
            <w:r w:rsidR="00D40CEA" w:rsidRPr="00ED22D1">
              <w:rPr>
                <w:sz w:val="16"/>
                <w:szCs w:val="16"/>
                <w:lang w:val="fr-CA"/>
              </w:rPr>
              <w:t xml:space="preserve">de </w:t>
            </w:r>
            <w:r w:rsidRPr="00ED22D1">
              <w:rPr>
                <w:sz w:val="16"/>
                <w:szCs w:val="16"/>
                <w:lang w:val="fr-CA"/>
              </w:rPr>
              <w:t xml:space="preserve">2021 </w:t>
            </w:r>
            <w:r w:rsidR="00387A9A" w:rsidRPr="00ED22D1">
              <w:rPr>
                <w:sz w:val="16"/>
                <w:szCs w:val="16"/>
                <w:lang w:val="fr-CA"/>
              </w:rPr>
              <w:t>à 20</w:t>
            </w:r>
            <w:r w:rsidRPr="00ED22D1">
              <w:rPr>
                <w:sz w:val="16"/>
                <w:szCs w:val="16"/>
                <w:lang w:val="fr-CA"/>
              </w:rPr>
              <w:t xml:space="preserve">26 </w:t>
            </w:r>
            <w:r w:rsidR="00D40CEA" w:rsidRPr="00ED22D1">
              <w:rPr>
                <w:sz w:val="16"/>
                <w:szCs w:val="16"/>
                <w:lang w:val="fr-CA"/>
              </w:rPr>
              <w:t>sera déterminée plus tard</w:t>
            </w:r>
            <w:r w:rsidRPr="00ED22D1">
              <w:rPr>
                <w:sz w:val="16"/>
                <w:szCs w:val="16"/>
                <w:lang w:val="fr-CA"/>
              </w:rPr>
              <w:t xml:space="preserve">, </w:t>
            </w:r>
            <w:r w:rsidR="00D40CEA" w:rsidRPr="00ED22D1">
              <w:rPr>
                <w:sz w:val="16"/>
                <w:szCs w:val="16"/>
                <w:lang w:val="fr-CA"/>
              </w:rPr>
              <w:t xml:space="preserve">mais ne sera en aucun cas supérieure à </w:t>
            </w:r>
            <w:r w:rsidR="004A6828" w:rsidRPr="00ED22D1">
              <w:rPr>
                <w:sz w:val="16"/>
                <w:szCs w:val="16"/>
                <w:lang w:val="fr-CA"/>
              </w:rPr>
              <w:t>1 </w:t>
            </w:r>
            <w:r w:rsidRPr="00ED22D1">
              <w:rPr>
                <w:sz w:val="16"/>
                <w:szCs w:val="16"/>
                <w:lang w:val="fr-CA"/>
              </w:rPr>
              <w:t>60</w:t>
            </w:r>
            <w:r w:rsidR="004A6828" w:rsidRPr="00ED22D1">
              <w:rPr>
                <w:sz w:val="16"/>
                <w:szCs w:val="16"/>
                <w:lang w:val="fr-CA"/>
              </w:rPr>
              <w:t>9,</w:t>
            </w:r>
            <w:r w:rsidRPr="00ED22D1">
              <w:rPr>
                <w:sz w:val="16"/>
                <w:szCs w:val="16"/>
                <w:lang w:val="fr-CA"/>
              </w:rPr>
              <w:t>9</w:t>
            </w:r>
            <w:r w:rsidR="00F96C70" w:rsidRPr="00ED22D1">
              <w:rPr>
                <w:sz w:val="16"/>
                <w:szCs w:val="16"/>
                <w:lang w:val="fr-CA"/>
              </w:rPr>
              <w:t xml:space="preserve"> tonnes PAO</w:t>
            </w:r>
            <w:r w:rsidRPr="00ED22D1">
              <w:rPr>
                <w:sz w:val="16"/>
                <w:szCs w:val="16"/>
                <w:lang w:val="fr-CA"/>
              </w:rPr>
              <w:t xml:space="preserve"> </w:t>
            </w:r>
            <w:r w:rsidR="00D40CEA" w:rsidRPr="00ED22D1">
              <w:rPr>
                <w:sz w:val="16"/>
                <w:szCs w:val="16"/>
                <w:lang w:val="fr-CA"/>
              </w:rPr>
              <w:t xml:space="preserve">avant </w:t>
            </w:r>
            <w:r w:rsidR="00387A9A" w:rsidRPr="00ED22D1">
              <w:rPr>
                <w:sz w:val="16"/>
                <w:szCs w:val="16"/>
                <w:lang w:val="fr-CA"/>
              </w:rPr>
              <w:t>20</w:t>
            </w:r>
            <w:r w:rsidRPr="00ED22D1">
              <w:rPr>
                <w:sz w:val="16"/>
                <w:szCs w:val="16"/>
                <w:lang w:val="fr-CA"/>
              </w:rPr>
              <w:t>2</w:t>
            </w:r>
            <w:r w:rsidR="004A6828" w:rsidRPr="00ED22D1">
              <w:rPr>
                <w:sz w:val="16"/>
                <w:szCs w:val="16"/>
                <w:lang w:val="fr-CA"/>
              </w:rPr>
              <w:t>5</w:t>
            </w:r>
            <w:r w:rsidR="00614F6B" w:rsidRPr="00ED22D1">
              <w:rPr>
                <w:sz w:val="16"/>
                <w:szCs w:val="16"/>
                <w:lang w:val="fr-CA"/>
              </w:rPr>
              <w:t>,</w:t>
            </w:r>
            <w:r w:rsidR="004A6828" w:rsidRPr="00ED22D1">
              <w:rPr>
                <w:sz w:val="16"/>
                <w:szCs w:val="16"/>
                <w:lang w:val="fr-CA"/>
              </w:rPr>
              <w:t> </w:t>
            </w:r>
            <w:r w:rsidR="00614F6B" w:rsidRPr="00ED22D1">
              <w:rPr>
                <w:sz w:val="16"/>
                <w:szCs w:val="16"/>
                <w:lang w:val="fr-CA"/>
              </w:rPr>
              <w:t>ni</w:t>
            </w:r>
            <w:r w:rsidR="004A6828" w:rsidRPr="00ED22D1">
              <w:rPr>
                <w:sz w:val="16"/>
                <w:szCs w:val="16"/>
                <w:lang w:val="fr-CA"/>
              </w:rPr>
              <w:t xml:space="preserve"> </w:t>
            </w:r>
            <w:r w:rsidR="00D40CEA" w:rsidRPr="00ED22D1">
              <w:rPr>
                <w:sz w:val="16"/>
                <w:szCs w:val="16"/>
                <w:lang w:val="fr-CA"/>
              </w:rPr>
              <w:t xml:space="preserve">en aucun cas supérieure à </w:t>
            </w:r>
            <w:r w:rsidRPr="00ED22D1">
              <w:rPr>
                <w:sz w:val="16"/>
                <w:szCs w:val="16"/>
                <w:lang w:val="fr-CA"/>
              </w:rPr>
              <w:t>781</w:t>
            </w:r>
            <w:r w:rsidR="00F96C70" w:rsidRPr="00ED22D1">
              <w:rPr>
                <w:sz w:val="16"/>
                <w:szCs w:val="16"/>
                <w:lang w:val="fr-CA"/>
              </w:rPr>
              <w:t xml:space="preserve"> tonnes PAO</w:t>
            </w:r>
            <w:r w:rsidRPr="00ED22D1">
              <w:rPr>
                <w:sz w:val="16"/>
                <w:szCs w:val="16"/>
                <w:lang w:val="fr-CA"/>
              </w:rPr>
              <w:t xml:space="preserve"> </w:t>
            </w:r>
            <w:r w:rsidR="00F96C70" w:rsidRPr="00ED22D1">
              <w:rPr>
                <w:sz w:val="16"/>
                <w:szCs w:val="16"/>
                <w:lang w:val="fr-CA"/>
              </w:rPr>
              <w:t>par la suite</w:t>
            </w:r>
            <w:r w:rsidRPr="00ED22D1">
              <w:rPr>
                <w:sz w:val="16"/>
                <w:szCs w:val="16"/>
                <w:lang w:val="fr-CA"/>
              </w:rPr>
              <w:t>.</w:t>
            </w:r>
          </w:p>
          <w:p w:rsidR="00C1026B" w:rsidRPr="00ED22D1" w:rsidRDefault="00C1026B" w:rsidP="00D40CEA">
            <w:pPr>
              <w:spacing w:after="60"/>
              <w:jc w:val="left"/>
              <w:rPr>
                <w:sz w:val="18"/>
                <w:lang w:val="fr-CA"/>
              </w:rPr>
            </w:pPr>
            <w:r w:rsidRPr="00ED22D1">
              <w:rPr>
                <w:sz w:val="16"/>
                <w:szCs w:val="16"/>
                <w:lang w:val="fr-CA"/>
              </w:rPr>
              <w:t xml:space="preserve">** </w:t>
            </w:r>
            <w:r w:rsidR="00874624" w:rsidRPr="00ED22D1">
              <w:rPr>
                <w:sz w:val="16"/>
                <w:szCs w:val="16"/>
                <w:lang w:val="fr-CA"/>
              </w:rPr>
              <w:t>La troisième</w:t>
            </w:r>
            <w:r w:rsidRPr="00ED22D1">
              <w:rPr>
                <w:sz w:val="16"/>
                <w:szCs w:val="16"/>
                <w:lang w:val="fr-CA"/>
              </w:rPr>
              <w:t xml:space="preserve"> (2018) tranche </w:t>
            </w:r>
            <w:r w:rsidR="00D40CEA" w:rsidRPr="00ED22D1">
              <w:rPr>
                <w:sz w:val="16"/>
                <w:szCs w:val="16"/>
                <w:lang w:val="fr-CA"/>
              </w:rPr>
              <w:t xml:space="preserve">a été </w:t>
            </w:r>
            <w:r w:rsidR="00FB1DC4" w:rsidRPr="00ED22D1">
              <w:rPr>
                <w:sz w:val="16"/>
                <w:szCs w:val="16"/>
                <w:lang w:val="fr-CA"/>
              </w:rPr>
              <w:t>présenté</w:t>
            </w:r>
            <w:r w:rsidR="00D40CEA" w:rsidRPr="00ED22D1">
              <w:rPr>
                <w:sz w:val="16"/>
                <w:szCs w:val="16"/>
                <w:lang w:val="fr-CA"/>
              </w:rPr>
              <w:t>e à la 8</w:t>
            </w:r>
            <w:r w:rsidRPr="00ED22D1">
              <w:rPr>
                <w:sz w:val="16"/>
                <w:szCs w:val="16"/>
                <w:lang w:val="fr-CA"/>
              </w:rPr>
              <w:t>2</w:t>
            </w:r>
            <w:r w:rsidR="00D40CEA" w:rsidRPr="00ED22D1">
              <w:rPr>
                <w:sz w:val="16"/>
                <w:szCs w:val="16"/>
                <w:vertAlign w:val="superscript"/>
                <w:lang w:val="fr-CA"/>
              </w:rPr>
              <w:t>e</w:t>
            </w:r>
            <w:r w:rsidR="00D40CEA" w:rsidRPr="00ED22D1">
              <w:rPr>
                <w:sz w:val="16"/>
                <w:szCs w:val="16"/>
                <w:lang w:val="fr-CA"/>
              </w:rPr>
              <w:t xml:space="preserve"> </w:t>
            </w:r>
            <w:r w:rsidR="00DD185D" w:rsidRPr="00ED22D1">
              <w:rPr>
                <w:sz w:val="16"/>
                <w:szCs w:val="16"/>
                <w:lang w:val="fr-CA"/>
              </w:rPr>
              <w:t>réunion</w:t>
            </w:r>
            <w:r w:rsidR="004A6828" w:rsidRPr="00ED22D1">
              <w:rPr>
                <w:sz w:val="16"/>
                <w:szCs w:val="16"/>
                <w:lang w:val="fr-CA"/>
              </w:rPr>
              <w:t xml:space="preserve"> et </w:t>
            </w:r>
            <w:r w:rsidR="00D40CEA" w:rsidRPr="00ED22D1">
              <w:rPr>
                <w:sz w:val="16"/>
                <w:szCs w:val="16"/>
                <w:lang w:val="fr-CA"/>
              </w:rPr>
              <w:t>reportée pour examen à la 8</w:t>
            </w:r>
            <w:r w:rsidRPr="00ED22D1">
              <w:rPr>
                <w:sz w:val="16"/>
                <w:szCs w:val="16"/>
                <w:lang w:val="fr-CA"/>
              </w:rPr>
              <w:t>3</w:t>
            </w:r>
            <w:r w:rsidR="00D40CEA" w:rsidRPr="00ED22D1">
              <w:rPr>
                <w:sz w:val="16"/>
                <w:szCs w:val="16"/>
                <w:vertAlign w:val="superscript"/>
                <w:lang w:val="fr-CA"/>
              </w:rPr>
              <w:t>e</w:t>
            </w:r>
            <w:r w:rsidR="00D40CEA"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AA6E77" w:rsidRPr="00ED22D1">
              <w:rPr>
                <w:sz w:val="16"/>
                <w:szCs w:val="16"/>
                <w:lang w:val="fr-CA"/>
              </w:rPr>
              <w:t>décision</w:t>
            </w:r>
            <w:r w:rsidRPr="00ED22D1">
              <w:rPr>
                <w:sz w:val="16"/>
                <w:szCs w:val="16"/>
                <w:lang w:val="fr-CA"/>
              </w:rPr>
              <w:t> 82/71</w:t>
            </w:r>
            <w:r w:rsidR="00D40CEA" w:rsidRPr="00ED22D1">
              <w:rPr>
                <w:sz w:val="16"/>
                <w:szCs w:val="16"/>
                <w:lang w:val="fr-CA"/>
              </w:rPr>
              <w:t> </w:t>
            </w:r>
            <w:r w:rsidRPr="00ED22D1">
              <w:rPr>
                <w:sz w:val="16"/>
                <w:szCs w:val="16"/>
                <w:lang w:val="fr-CA"/>
              </w:rPr>
              <w:t>b)).</w:t>
            </w:r>
          </w:p>
        </w:tc>
      </w:tr>
    </w:tbl>
    <w:p w:rsidR="00C1026B" w:rsidRPr="00ED22D1" w:rsidRDefault="00C1026B" w:rsidP="00C1026B">
      <w:pPr>
        <w:spacing w:after="60"/>
        <w:jc w:val="center"/>
        <w:rPr>
          <w:lang w:val="fr-CA"/>
        </w:rPr>
      </w:pPr>
    </w:p>
    <w:tbl>
      <w:tblPr>
        <w:tblStyle w:val="TableGrid"/>
        <w:tblW w:w="13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10315"/>
      </w:tblGrid>
      <w:tr w:rsidR="00C1026B" w:rsidRPr="00ED22D1" w:rsidTr="00D26EF9">
        <w:trPr>
          <w:trHeight w:val="240"/>
        </w:trPr>
        <w:tc>
          <w:tcPr>
            <w:tcW w:w="3000" w:type="dxa"/>
            <w:shd w:val="clear" w:color="auto" w:fill="auto"/>
          </w:tcPr>
          <w:p w:rsidR="00C1026B" w:rsidRPr="00ED22D1" w:rsidRDefault="00D40CEA" w:rsidP="00D40CEA">
            <w:pPr>
              <w:spacing w:after="60"/>
              <w:jc w:val="left"/>
              <w:rPr>
                <w:b/>
                <w:sz w:val="18"/>
                <w:lang w:val="fr-CA"/>
              </w:rPr>
            </w:pPr>
            <w:r w:rsidRPr="00ED22D1">
              <w:rPr>
                <w:b/>
                <w:sz w:val="18"/>
                <w:lang w:val="fr-CA"/>
              </w:rPr>
              <w:t>Recommandation</w:t>
            </w:r>
            <w:r w:rsidR="00802F71" w:rsidRPr="00ED22D1">
              <w:rPr>
                <w:b/>
                <w:sz w:val="18"/>
                <w:lang w:val="fr-CA"/>
              </w:rPr>
              <w:t xml:space="preserve"> </w:t>
            </w:r>
            <w:r w:rsidRPr="00ED22D1">
              <w:rPr>
                <w:b/>
                <w:sz w:val="18"/>
                <w:lang w:val="fr-CA"/>
              </w:rPr>
              <w:t xml:space="preserve">du </w:t>
            </w:r>
            <w:r w:rsidR="00DD185D" w:rsidRPr="00ED22D1">
              <w:rPr>
                <w:b/>
                <w:sz w:val="18"/>
                <w:lang w:val="fr-CA"/>
              </w:rPr>
              <w:t>Secrétariat</w:t>
            </w:r>
            <w:r w:rsidR="00791BF7" w:rsidRPr="00ED22D1">
              <w:rPr>
                <w:b/>
                <w:sz w:val="18"/>
                <w:lang w:val="fr-CA"/>
              </w:rPr>
              <w:t> :</w:t>
            </w:r>
          </w:p>
        </w:tc>
        <w:tc>
          <w:tcPr>
            <w:tcW w:w="10315" w:type="dxa"/>
            <w:shd w:val="clear" w:color="auto" w:fill="auto"/>
          </w:tcPr>
          <w:p w:rsidR="00C1026B" w:rsidRPr="00ED22D1" w:rsidRDefault="00D40CEA" w:rsidP="00D40CEA">
            <w:pPr>
              <w:spacing w:after="60"/>
              <w:jc w:val="center"/>
              <w:rPr>
                <w:sz w:val="18"/>
                <w:lang w:val="fr-CA"/>
              </w:rPr>
            </w:pPr>
            <w:r w:rsidRPr="00ED22D1">
              <w:rPr>
                <w:sz w:val="18"/>
                <w:lang w:val="fr-CA"/>
              </w:rPr>
              <w:t>Pour examen individuel</w:t>
            </w:r>
          </w:p>
        </w:tc>
      </w:tr>
    </w:tbl>
    <w:p w:rsidR="00C1026B" w:rsidRPr="00ED22D1" w:rsidRDefault="00C1026B" w:rsidP="00C1026B">
      <w:pPr>
        <w:spacing w:after="60"/>
        <w:jc w:val="center"/>
        <w:rPr>
          <w:lang w:val="fr-CA"/>
        </w:rPr>
      </w:pPr>
    </w:p>
    <w:p w:rsidR="00C1026B" w:rsidRPr="00ED22D1" w:rsidRDefault="00C1026B" w:rsidP="00C1026B">
      <w:pPr>
        <w:jc w:val="left"/>
        <w:rPr>
          <w:lang w:val="fr-CA"/>
        </w:rPr>
        <w:sectPr w:rsidR="00C1026B" w:rsidRPr="00ED22D1" w:rsidSect="00D26EF9">
          <w:headerReference w:type="even" r:id="rId27"/>
          <w:headerReference w:type="default" r:id="rId28"/>
          <w:footerReference w:type="even" r:id="rId29"/>
          <w:footerReference w:type="default" r:id="rId30"/>
          <w:footerReference w:type="first" r:id="rId31"/>
          <w:pgSz w:w="15840" w:h="12240" w:orient="landscape" w:code="1"/>
          <w:pgMar w:top="1440" w:right="864" w:bottom="1440" w:left="720" w:header="720" w:footer="475" w:gutter="0"/>
          <w:cols w:space="720"/>
          <w:docGrid w:linePitch="299"/>
        </w:sectPr>
      </w:pPr>
    </w:p>
    <w:p w:rsidR="00C1026B" w:rsidRPr="00ED22D1" w:rsidRDefault="00C1026B" w:rsidP="00C1026B">
      <w:pPr>
        <w:jc w:val="left"/>
        <w:rPr>
          <w:lang w:val="fr-CA"/>
        </w:rPr>
      </w:pPr>
    </w:p>
    <w:p w:rsidR="00C1026B" w:rsidRPr="00ED22D1" w:rsidRDefault="00C1026B" w:rsidP="00C1026B">
      <w:pPr>
        <w:jc w:val="center"/>
        <w:rPr>
          <w:b/>
          <w:lang w:val="fr-CA"/>
        </w:rPr>
      </w:pPr>
      <w:r w:rsidRPr="00ED22D1">
        <w:rPr>
          <w:b/>
          <w:lang w:val="fr-CA"/>
        </w:rPr>
        <w:t>DESCRIPTION</w:t>
      </w:r>
      <w:r w:rsidR="0080736A" w:rsidRPr="00ED22D1">
        <w:rPr>
          <w:b/>
          <w:lang w:val="fr-CA"/>
        </w:rPr>
        <w:t xml:space="preserve"> DU PROJET</w:t>
      </w:r>
    </w:p>
    <w:p w:rsidR="00D002F4" w:rsidRPr="00ED22D1" w:rsidRDefault="00D002F4" w:rsidP="00D002F4">
      <w:pPr>
        <w:rPr>
          <w:lang w:val="fr-CA"/>
        </w:rPr>
      </w:pPr>
    </w:p>
    <w:p w:rsidR="00D002F4" w:rsidRPr="00ED22D1" w:rsidRDefault="0026316C" w:rsidP="0026316C">
      <w:pPr>
        <w:pStyle w:val="Heading1"/>
        <w:numPr>
          <w:ilvl w:val="0"/>
          <w:numId w:val="0"/>
        </w:numPr>
        <w:rPr>
          <w:lang w:val="fr-CA"/>
        </w:rPr>
      </w:pPr>
      <w:r w:rsidRPr="00ED22D1">
        <w:rPr>
          <w:lang w:val="fr-CA"/>
        </w:rPr>
        <w:t>76.</w:t>
      </w:r>
      <w:r w:rsidRPr="00ED22D1">
        <w:rPr>
          <w:lang w:val="fr-CA"/>
        </w:rPr>
        <w:tab/>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1F19C1" w:rsidRPr="00ED22D1">
        <w:rPr>
          <w:lang w:val="fr-CA"/>
        </w:rPr>
        <w:t>, le PNUD</w:t>
      </w:r>
      <w:r w:rsidR="00D002F4" w:rsidRPr="00ED22D1">
        <w:rPr>
          <w:lang w:val="fr-CA"/>
        </w:rPr>
        <w:t xml:space="preserve">, </w:t>
      </w:r>
      <w:r w:rsidR="00325FA0" w:rsidRPr="00ED22D1">
        <w:rPr>
          <w:lang w:val="fr-CA"/>
        </w:rPr>
        <w:t>à titre d’agence d’exécution désignée</w:t>
      </w:r>
      <w:r w:rsidR="00D002F4" w:rsidRPr="00ED22D1">
        <w:rPr>
          <w:lang w:val="fr-CA"/>
        </w:rPr>
        <w:t xml:space="preserve">, </w:t>
      </w:r>
      <w:r w:rsidR="00325FA0" w:rsidRPr="00ED22D1">
        <w:rPr>
          <w:lang w:val="fr-CA"/>
        </w:rPr>
        <w:t>a</w:t>
      </w:r>
      <w:r w:rsidR="0080736A" w:rsidRPr="00ED22D1">
        <w:rPr>
          <w:lang w:val="fr-CA"/>
        </w:rPr>
        <w:t> </w:t>
      </w:r>
      <w:r w:rsidR="00325FA0" w:rsidRPr="00ED22D1">
        <w:rPr>
          <w:lang w:val="fr-CA"/>
        </w:rPr>
        <w:t>présenté de nouveau</w:t>
      </w:r>
      <w:r w:rsidR="00D002F4" w:rsidRPr="00ED22D1">
        <w:rPr>
          <w:rStyle w:val="FootnoteReference"/>
          <w:lang w:val="fr-CA"/>
        </w:rPr>
        <w:footnoteReference w:id="12"/>
      </w:r>
      <w:r w:rsidR="00D002F4" w:rsidRPr="00ED22D1">
        <w:rPr>
          <w:lang w:val="fr-CA"/>
        </w:rPr>
        <w:t xml:space="preserve"> </w:t>
      </w:r>
      <w:r w:rsidR="00325FA0" w:rsidRPr="00ED22D1">
        <w:rPr>
          <w:lang w:val="fr-CA"/>
        </w:rPr>
        <w:t xml:space="preserve">une demande de </w:t>
      </w:r>
      <w:r w:rsidR="00D15079" w:rsidRPr="00ED22D1">
        <w:rPr>
          <w:lang w:val="fr-CA"/>
        </w:rPr>
        <w:t>financement</w:t>
      </w:r>
      <w:r w:rsidR="00D002F4" w:rsidRPr="00ED22D1">
        <w:rPr>
          <w:lang w:val="fr-CA"/>
        </w:rPr>
        <w:t xml:space="preserve"> </w:t>
      </w:r>
      <w:r w:rsidR="00325FA0" w:rsidRPr="00ED22D1">
        <w:rPr>
          <w:lang w:val="fr-CA"/>
        </w:rPr>
        <w:t xml:space="preserve">pour </w:t>
      </w:r>
      <w:r w:rsidR="00874624" w:rsidRPr="00ED22D1">
        <w:rPr>
          <w:lang w:val="fr-CA"/>
        </w:rPr>
        <w:t>la troisième</w:t>
      </w:r>
      <w:r w:rsidR="00D002F4" w:rsidRPr="00ED22D1">
        <w:rPr>
          <w:lang w:val="fr-CA"/>
        </w:rPr>
        <w:t xml:space="preserve"> tranche </w:t>
      </w:r>
      <w:r w:rsidR="00325FA0" w:rsidRPr="00ED22D1">
        <w:rPr>
          <w:lang w:val="fr-CA"/>
        </w:rPr>
        <w:t>du plan du secteur de</w:t>
      </w:r>
      <w:r w:rsidR="00ED22D1" w:rsidRPr="00ED22D1">
        <w:rPr>
          <w:lang w:val="fr-CA"/>
        </w:rPr>
        <w:t> </w:t>
      </w:r>
      <w:r w:rsidR="00325FA0" w:rsidRPr="00ED22D1">
        <w:rPr>
          <w:lang w:val="fr-CA"/>
        </w:rPr>
        <w:t>la</w:t>
      </w:r>
      <w:r w:rsidR="0080736A" w:rsidRPr="00ED22D1">
        <w:rPr>
          <w:lang w:val="fr-CA"/>
        </w:rPr>
        <w:t> </w:t>
      </w:r>
      <w:r w:rsidR="00325FA0" w:rsidRPr="00ED22D1">
        <w:rPr>
          <w:lang w:val="fr-CA"/>
        </w:rPr>
        <w:t xml:space="preserve">climatisation et de la réfrigération commerciale et </w:t>
      </w:r>
      <w:r w:rsidR="00802F71" w:rsidRPr="00ED22D1">
        <w:rPr>
          <w:lang w:val="fr-CA"/>
        </w:rPr>
        <w:t>industrielle</w:t>
      </w:r>
      <w:r w:rsidR="00325FA0" w:rsidRPr="00ED22D1">
        <w:rPr>
          <w:lang w:val="fr-CA"/>
        </w:rPr>
        <w:t xml:space="preserve"> </w:t>
      </w:r>
      <w:r w:rsidR="00D002F4" w:rsidRPr="00ED22D1">
        <w:rPr>
          <w:lang w:val="fr-CA"/>
        </w:rPr>
        <w:t xml:space="preserve">(ICR) </w:t>
      </w:r>
      <w:r w:rsidR="00921BDE" w:rsidRPr="00ED22D1">
        <w:rPr>
          <w:lang w:val="fr-CA"/>
        </w:rPr>
        <w:t>de la phase</w:t>
      </w:r>
      <w:r w:rsidR="004A6828" w:rsidRPr="00ED22D1">
        <w:rPr>
          <w:lang w:val="fr-CA"/>
        </w:rPr>
        <w:t xml:space="preserve"> </w:t>
      </w:r>
      <w:r w:rsidR="00D002F4" w:rsidRPr="00ED22D1">
        <w:rPr>
          <w:lang w:val="fr-CA"/>
        </w:rPr>
        <w:t xml:space="preserve">II </w:t>
      </w:r>
      <w:r w:rsidR="00921BDE" w:rsidRPr="00ED22D1">
        <w:rPr>
          <w:lang w:val="fr-CA"/>
        </w:rPr>
        <w:t>du plan d’élimination</w:t>
      </w:r>
      <w:r w:rsidR="004A6828" w:rsidRPr="00ED22D1">
        <w:rPr>
          <w:lang w:val="fr-CA"/>
        </w:rPr>
        <w:t xml:space="preserve"> des HCFC</w:t>
      </w:r>
      <w:r w:rsidR="00D002F4" w:rsidRPr="00ED22D1">
        <w:rPr>
          <w:lang w:val="fr-CA"/>
        </w:rPr>
        <w:t xml:space="preserve"> (</w:t>
      </w:r>
      <w:r w:rsidR="00DD185D" w:rsidRPr="00ED22D1">
        <w:rPr>
          <w:lang w:val="fr-CA"/>
        </w:rPr>
        <w:t>PGEH</w:t>
      </w:r>
      <w:r w:rsidR="00D002F4" w:rsidRPr="00ED22D1">
        <w:rPr>
          <w:lang w:val="fr-CA"/>
        </w:rPr>
        <w:t xml:space="preserve">), </w:t>
      </w:r>
      <w:r w:rsidR="00AC27D1" w:rsidRPr="00ED22D1">
        <w:rPr>
          <w:lang w:val="fr-CA"/>
        </w:rPr>
        <w:t xml:space="preserve">pour un montant de </w:t>
      </w:r>
      <w:r w:rsidR="00D002F4" w:rsidRPr="00ED22D1">
        <w:rPr>
          <w:lang w:val="fr-CA"/>
        </w:rPr>
        <w:t>1</w:t>
      </w:r>
      <w:r w:rsidR="004A6828" w:rsidRPr="00ED22D1">
        <w:rPr>
          <w:lang w:val="fr-CA"/>
        </w:rPr>
        <w:t>2 </w:t>
      </w:r>
      <w:r w:rsidR="00D002F4" w:rsidRPr="00ED22D1">
        <w:rPr>
          <w:lang w:val="fr-CA"/>
        </w:rPr>
        <w:t>00</w:t>
      </w:r>
      <w:r w:rsidR="004A6828" w:rsidRPr="00ED22D1">
        <w:rPr>
          <w:lang w:val="fr-CA"/>
        </w:rPr>
        <w:t>0</w:t>
      </w:r>
      <w:r w:rsidR="00BA42C0" w:rsidRPr="00ED22D1">
        <w:rPr>
          <w:lang w:val="fr-CA"/>
        </w:rPr>
        <w:t> 000 $US</w:t>
      </w:r>
      <w:r w:rsidR="00325FA0" w:rsidRPr="00ED22D1">
        <w:rPr>
          <w:lang w:val="fr-CA"/>
        </w:rPr>
        <w:t>,</w:t>
      </w:r>
      <w:r w:rsidR="004A6828" w:rsidRPr="00ED22D1">
        <w:rPr>
          <w:lang w:val="fr-CA"/>
        </w:rPr>
        <w:t> </w:t>
      </w:r>
      <w:r w:rsidR="001B31BF" w:rsidRPr="00ED22D1">
        <w:rPr>
          <w:lang w:val="fr-CA"/>
        </w:rPr>
        <w:t>plus des coûts</w:t>
      </w:r>
      <w:r w:rsidR="00DD185D" w:rsidRPr="00ED22D1">
        <w:rPr>
          <w:lang w:val="fr-CA"/>
        </w:rPr>
        <w:t xml:space="preserve"> d’appui d’</w:t>
      </w:r>
      <w:r w:rsidR="001B31BF" w:rsidRPr="00ED22D1">
        <w:rPr>
          <w:lang w:val="fr-CA"/>
        </w:rPr>
        <w:t>agence de</w:t>
      </w:r>
      <w:r w:rsidR="00D002F4" w:rsidRPr="00ED22D1">
        <w:rPr>
          <w:lang w:val="fr-CA"/>
        </w:rPr>
        <w:t xml:space="preserve"> 84</w:t>
      </w:r>
      <w:r w:rsidR="004A6828" w:rsidRPr="00ED22D1">
        <w:rPr>
          <w:lang w:val="fr-CA"/>
        </w:rPr>
        <w:t>0</w:t>
      </w:r>
      <w:r w:rsidR="00BA42C0" w:rsidRPr="00ED22D1">
        <w:rPr>
          <w:lang w:val="fr-CA"/>
        </w:rPr>
        <w:t> 000 $US</w:t>
      </w:r>
      <w:r w:rsidR="00D002F4" w:rsidRPr="00ED22D1">
        <w:rPr>
          <w:rStyle w:val="FootnoteReference"/>
          <w:lang w:val="fr-CA"/>
        </w:rPr>
        <w:footnoteReference w:id="13"/>
      </w:r>
      <w:r w:rsidR="00D002F4" w:rsidRPr="00ED22D1">
        <w:rPr>
          <w:lang w:val="fr-CA"/>
        </w:rPr>
        <w:t xml:space="preserve">.  </w:t>
      </w:r>
      <w:r w:rsidR="00325FA0" w:rsidRPr="00ED22D1">
        <w:rPr>
          <w:lang w:val="fr-CA"/>
        </w:rPr>
        <w:t xml:space="preserve">La présentation comprend un rapport périodique sur la mise en oeuvre de la deuxième tranche, </w:t>
      </w:r>
      <w:r w:rsidR="004A6828" w:rsidRPr="00ED22D1">
        <w:rPr>
          <w:lang w:val="fr-CA"/>
        </w:rPr>
        <w:t xml:space="preserve">et </w:t>
      </w:r>
      <w:r w:rsidR="00E6199D">
        <w:rPr>
          <w:lang w:val="fr-CA"/>
        </w:rPr>
        <w:t xml:space="preserve">le </w:t>
      </w:r>
      <w:r w:rsidR="00502C24" w:rsidRPr="00ED22D1">
        <w:rPr>
          <w:lang w:val="fr-CA"/>
        </w:rPr>
        <w:t xml:space="preserve">plan </w:t>
      </w:r>
      <w:r w:rsidR="001B31BF" w:rsidRPr="00ED22D1">
        <w:rPr>
          <w:lang w:val="fr-CA"/>
        </w:rPr>
        <w:t>de mise en oeuvre de la tranche</w:t>
      </w:r>
      <w:r w:rsidR="00D002F4" w:rsidRPr="00ED22D1">
        <w:rPr>
          <w:lang w:val="fr-CA"/>
        </w:rPr>
        <w:t xml:space="preserve"> </w:t>
      </w:r>
      <w:r w:rsidR="00325FA0" w:rsidRPr="00ED22D1">
        <w:rPr>
          <w:lang w:val="fr-CA"/>
        </w:rPr>
        <w:t>de</w:t>
      </w:r>
      <w:r w:rsidR="00D002F4" w:rsidRPr="00ED22D1">
        <w:rPr>
          <w:lang w:val="fr-CA"/>
        </w:rPr>
        <w:t xml:space="preserve"> 201</w:t>
      </w:r>
      <w:r w:rsidR="004A6828" w:rsidRPr="00ED22D1">
        <w:rPr>
          <w:lang w:val="fr-CA"/>
        </w:rPr>
        <w:t>9</w:t>
      </w:r>
      <w:r w:rsidR="00325FA0" w:rsidRPr="00ED22D1">
        <w:rPr>
          <w:lang w:val="fr-CA"/>
        </w:rPr>
        <w:t>.</w:t>
      </w:r>
    </w:p>
    <w:p w:rsidR="00D002F4" w:rsidRPr="00ED22D1" w:rsidRDefault="004A6828" w:rsidP="00D002F4">
      <w:pPr>
        <w:rPr>
          <w:u w:val="single"/>
          <w:lang w:val="fr-CA"/>
        </w:rPr>
      </w:pPr>
      <w:r w:rsidRPr="00ED22D1">
        <w:rPr>
          <w:u w:val="single"/>
          <w:lang w:val="fr-CA"/>
        </w:rPr>
        <w:t>Rapport périodique</w:t>
      </w:r>
      <w:r w:rsidR="00D002F4" w:rsidRPr="00ED22D1">
        <w:rPr>
          <w:u w:val="single"/>
          <w:lang w:val="fr-CA"/>
        </w:rPr>
        <w:t xml:space="preserve"> </w:t>
      </w:r>
      <w:r w:rsidR="00921BDE" w:rsidRPr="00ED22D1">
        <w:rPr>
          <w:u w:val="single"/>
          <w:lang w:val="fr-CA"/>
        </w:rPr>
        <w:t>sur la mise en oeuvre de la deuxième</w:t>
      </w:r>
      <w:r w:rsidR="00D002F4" w:rsidRPr="00ED22D1">
        <w:rPr>
          <w:u w:val="single"/>
          <w:lang w:val="fr-CA"/>
        </w:rPr>
        <w:t xml:space="preserve"> tranche</w:t>
      </w:r>
    </w:p>
    <w:p w:rsidR="00D002F4" w:rsidRPr="00ED22D1" w:rsidRDefault="00D002F4" w:rsidP="00D002F4">
      <w:pPr>
        <w:rPr>
          <w:i/>
          <w:lang w:val="fr-CA"/>
        </w:rPr>
      </w:pPr>
    </w:p>
    <w:p w:rsidR="00D002F4" w:rsidRPr="00ED22D1" w:rsidRDefault="00325FA0" w:rsidP="00D002F4">
      <w:pPr>
        <w:rPr>
          <w:lang w:val="fr-CA"/>
        </w:rPr>
      </w:pPr>
      <w:r w:rsidRPr="00ED22D1">
        <w:rPr>
          <w:i/>
          <w:lang w:val="fr-CA"/>
        </w:rPr>
        <w:t>Activités de l’e</w:t>
      </w:r>
      <w:r w:rsidR="00921BDE" w:rsidRPr="00ED22D1">
        <w:rPr>
          <w:i/>
          <w:lang w:val="fr-CA"/>
        </w:rPr>
        <w:t>ntreprise</w:t>
      </w:r>
    </w:p>
    <w:p w:rsidR="00D002F4" w:rsidRPr="00ED22D1" w:rsidRDefault="00D002F4" w:rsidP="00D002F4">
      <w:pPr>
        <w:rPr>
          <w:i/>
          <w:lang w:val="fr-CA"/>
        </w:rPr>
      </w:pPr>
    </w:p>
    <w:p w:rsidR="00D002F4" w:rsidRPr="00ED22D1" w:rsidRDefault="0026316C" w:rsidP="0026316C">
      <w:pPr>
        <w:pStyle w:val="Heading1"/>
        <w:numPr>
          <w:ilvl w:val="0"/>
          <w:numId w:val="0"/>
        </w:numPr>
        <w:rPr>
          <w:lang w:val="fr-CA"/>
        </w:rPr>
      </w:pPr>
      <w:r w:rsidRPr="00ED22D1">
        <w:rPr>
          <w:lang w:val="fr-CA"/>
        </w:rPr>
        <w:t>77.</w:t>
      </w:r>
      <w:r w:rsidRPr="00ED22D1">
        <w:rPr>
          <w:lang w:val="fr-CA"/>
        </w:rPr>
        <w:tab/>
      </w:r>
      <w:r w:rsidR="00325FA0" w:rsidRPr="00ED22D1">
        <w:rPr>
          <w:lang w:val="fr-CA"/>
        </w:rPr>
        <w:t>Des c</w:t>
      </w:r>
      <w:r w:rsidR="00921BDE" w:rsidRPr="00ED22D1">
        <w:rPr>
          <w:lang w:val="fr-CA"/>
        </w:rPr>
        <w:t>ontrats</w:t>
      </w:r>
      <w:r w:rsidR="00D002F4" w:rsidRPr="00ED22D1">
        <w:rPr>
          <w:lang w:val="fr-CA"/>
        </w:rPr>
        <w:t xml:space="preserve"> </w:t>
      </w:r>
      <w:r w:rsidR="00325FA0" w:rsidRPr="00ED22D1">
        <w:rPr>
          <w:lang w:val="fr-CA"/>
        </w:rPr>
        <w:t xml:space="preserve">ont été signés </w:t>
      </w:r>
      <w:r w:rsidR="00B84F94" w:rsidRPr="00ED22D1">
        <w:rPr>
          <w:lang w:val="fr-CA"/>
        </w:rPr>
        <w:t xml:space="preserve">avec </w:t>
      </w:r>
      <w:r w:rsidR="00D002F4" w:rsidRPr="00ED22D1">
        <w:rPr>
          <w:lang w:val="fr-CA"/>
        </w:rPr>
        <w:t xml:space="preserve">12 </w:t>
      </w:r>
      <w:r w:rsidR="00921BDE" w:rsidRPr="00ED22D1">
        <w:rPr>
          <w:lang w:val="fr-CA"/>
        </w:rPr>
        <w:t>entreprise</w:t>
      </w:r>
      <w:r w:rsidR="00D002F4" w:rsidRPr="00ED22D1">
        <w:rPr>
          <w:lang w:val="fr-CA"/>
        </w:rPr>
        <w:t xml:space="preserve">s </w:t>
      </w:r>
      <w:r w:rsidR="00325FA0" w:rsidRPr="00ED22D1">
        <w:rPr>
          <w:lang w:val="fr-CA"/>
        </w:rPr>
        <w:t xml:space="preserve">pour la </w:t>
      </w:r>
      <w:r w:rsidR="00FB1DC4" w:rsidRPr="00ED22D1">
        <w:rPr>
          <w:lang w:val="fr-CA"/>
        </w:rPr>
        <w:t>reconversion</w:t>
      </w:r>
      <w:r w:rsidR="00D002F4" w:rsidRPr="00ED22D1">
        <w:rPr>
          <w:lang w:val="fr-CA"/>
        </w:rPr>
        <w:t xml:space="preserve"> </w:t>
      </w:r>
      <w:r w:rsidR="00325FA0" w:rsidRPr="00ED22D1">
        <w:rPr>
          <w:lang w:val="fr-CA"/>
        </w:rPr>
        <w:t>de</w:t>
      </w:r>
      <w:r w:rsidR="00D002F4" w:rsidRPr="00ED22D1">
        <w:rPr>
          <w:lang w:val="fr-CA"/>
        </w:rPr>
        <w:t xml:space="preserve"> 18 </w:t>
      </w:r>
      <w:r w:rsidR="00325FA0" w:rsidRPr="00ED22D1">
        <w:rPr>
          <w:lang w:val="fr-CA"/>
        </w:rPr>
        <w:t>circuits de fabrication</w:t>
      </w:r>
      <w:r w:rsidR="00D002F4" w:rsidRPr="00ED22D1">
        <w:rPr>
          <w:lang w:val="fr-CA"/>
        </w:rPr>
        <w:t xml:space="preserve"> </w:t>
      </w:r>
      <w:r w:rsidR="00325FA0" w:rsidRPr="00ED22D1">
        <w:rPr>
          <w:lang w:val="fr-CA"/>
        </w:rPr>
        <w:t>afin d’éliminer</w:t>
      </w:r>
      <w:r w:rsidR="00D002F4" w:rsidRPr="00ED22D1">
        <w:rPr>
          <w:lang w:val="fr-CA"/>
        </w:rPr>
        <w:t xml:space="preserve"> </w:t>
      </w:r>
      <w:r w:rsidR="004A6828" w:rsidRPr="00ED22D1">
        <w:rPr>
          <w:lang w:val="fr-CA"/>
        </w:rPr>
        <w:t>2 </w:t>
      </w:r>
      <w:r w:rsidR="00D002F4" w:rsidRPr="00ED22D1">
        <w:rPr>
          <w:lang w:val="fr-CA"/>
        </w:rPr>
        <w:t>55</w:t>
      </w:r>
      <w:r w:rsidR="004A6828" w:rsidRPr="00ED22D1">
        <w:rPr>
          <w:lang w:val="fr-CA"/>
        </w:rPr>
        <w:t>8,</w:t>
      </w:r>
      <w:r w:rsidR="00D002F4" w:rsidRPr="00ED22D1">
        <w:rPr>
          <w:lang w:val="fr-CA"/>
        </w:rPr>
        <w:t>18 </w:t>
      </w:r>
      <w:r w:rsidR="00181884" w:rsidRPr="00ED22D1">
        <w:rPr>
          <w:lang w:val="fr-CA"/>
        </w:rPr>
        <w:t>tonnes métriques</w:t>
      </w:r>
      <w:r w:rsidR="00D002F4" w:rsidRPr="00ED22D1">
        <w:rPr>
          <w:lang w:val="fr-CA"/>
        </w:rPr>
        <w:t xml:space="preserve"> (</w:t>
      </w:r>
      <w:r w:rsidR="001279D7" w:rsidRPr="00ED22D1">
        <w:rPr>
          <w:lang w:val="fr-CA"/>
        </w:rPr>
        <w:t>tm</w:t>
      </w:r>
      <w:r w:rsidR="00D002F4" w:rsidRPr="00ED22D1">
        <w:rPr>
          <w:lang w:val="fr-CA"/>
        </w:rPr>
        <w:t xml:space="preserve">) </w:t>
      </w:r>
      <w:r w:rsidR="00DB7C5D" w:rsidRPr="00ED22D1">
        <w:rPr>
          <w:lang w:val="fr-CA"/>
        </w:rPr>
        <w:t>de HCFC</w:t>
      </w:r>
      <w:r w:rsidR="00D002F4" w:rsidRPr="00ED22D1">
        <w:rPr>
          <w:lang w:val="fr-CA"/>
        </w:rPr>
        <w:t xml:space="preserve">-22 </w:t>
      </w:r>
      <w:r w:rsidR="00325FA0" w:rsidRPr="00ED22D1">
        <w:rPr>
          <w:lang w:val="fr-CA"/>
        </w:rPr>
        <w:t>après</w:t>
      </w:r>
      <w:r w:rsidR="00D002F4" w:rsidRPr="00ED22D1">
        <w:rPr>
          <w:lang w:val="fr-CA"/>
        </w:rPr>
        <w:t xml:space="preserve"> </w:t>
      </w:r>
      <w:r w:rsidR="00921BDE" w:rsidRPr="00ED22D1">
        <w:rPr>
          <w:lang w:val="fr-CA"/>
        </w:rPr>
        <w:t>vérification</w:t>
      </w:r>
      <w:r w:rsidR="00D002F4" w:rsidRPr="00ED22D1">
        <w:rPr>
          <w:lang w:val="fr-CA"/>
        </w:rPr>
        <w:t xml:space="preserve"> </w:t>
      </w:r>
      <w:r w:rsidR="00325FA0" w:rsidRPr="00ED22D1">
        <w:rPr>
          <w:lang w:val="fr-CA"/>
        </w:rPr>
        <w:t>de la consommation de</w:t>
      </w:r>
      <w:r w:rsidR="00ED22D1" w:rsidRPr="00ED22D1">
        <w:rPr>
          <w:lang w:val="fr-CA"/>
        </w:rPr>
        <w:t> </w:t>
      </w:r>
      <w:r w:rsidR="00CD72DB" w:rsidRPr="00ED22D1">
        <w:rPr>
          <w:lang w:val="fr-CA"/>
        </w:rPr>
        <w:t>référence</w:t>
      </w:r>
      <w:r w:rsidR="00D002F4" w:rsidRPr="00ED22D1">
        <w:rPr>
          <w:lang w:val="fr-CA"/>
        </w:rPr>
        <w:t xml:space="preserve"> </w:t>
      </w:r>
      <w:r w:rsidR="00325FA0" w:rsidRPr="00ED22D1">
        <w:rPr>
          <w:lang w:val="fr-CA"/>
        </w:rPr>
        <w:t>et de la capacité de ces circuits</w:t>
      </w:r>
      <w:r w:rsidR="00D002F4" w:rsidRPr="00ED22D1">
        <w:rPr>
          <w:lang w:val="fr-CA"/>
        </w:rPr>
        <w:t xml:space="preserve">. </w:t>
      </w:r>
      <w:r w:rsidR="00921BDE" w:rsidRPr="00ED22D1">
        <w:rPr>
          <w:lang w:val="fr-CA"/>
        </w:rPr>
        <w:t xml:space="preserve">La mise en oeuvre </w:t>
      </w:r>
      <w:r w:rsidR="00E71388" w:rsidRPr="00ED22D1">
        <w:rPr>
          <w:lang w:val="fr-CA"/>
        </w:rPr>
        <w:t>d</w:t>
      </w:r>
      <w:r w:rsidR="00325FA0" w:rsidRPr="00ED22D1">
        <w:rPr>
          <w:lang w:val="fr-CA"/>
        </w:rPr>
        <w:t>es</w:t>
      </w:r>
      <w:r w:rsidR="00E71388" w:rsidRPr="00ED22D1">
        <w:rPr>
          <w:lang w:val="fr-CA"/>
        </w:rPr>
        <w:t xml:space="preserve"> projet</w:t>
      </w:r>
      <w:r w:rsidR="001B45EC" w:rsidRPr="00ED22D1">
        <w:rPr>
          <w:lang w:val="fr-CA"/>
        </w:rPr>
        <w:t>s de reconversion</w:t>
      </w:r>
      <w:r w:rsidR="00903152" w:rsidRPr="00ED22D1">
        <w:rPr>
          <w:lang w:val="fr-CA"/>
        </w:rPr>
        <w:t xml:space="preserve"> </w:t>
      </w:r>
      <w:r w:rsidR="00325FA0" w:rsidRPr="00ED22D1">
        <w:rPr>
          <w:lang w:val="fr-CA"/>
        </w:rPr>
        <w:t>avance</w:t>
      </w:r>
      <w:r w:rsidR="004A6828" w:rsidRPr="00ED22D1">
        <w:rPr>
          <w:lang w:val="fr-CA"/>
        </w:rPr>
        <w:t xml:space="preserve"> et</w:t>
      </w:r>
      <w:r w:rsidR="00903152" w:rsidRPr="00ED22D1">
        <w:rPr>
          <w:lang w:val="fr-CA"/>
        </w:rPr>
        <w:t xml:space="preserve"> </w:t>
      </w:r>
      <w:r w:rsidR="00325FA0" w:rsidRPr="00ED22D1">
        <w:rPr>
          <w:lang w:val="fr-CA"/>
        </w:rPr>
        <w:t>elle</w:t>
      </w:r>
      <w:r w:rsidR="00ED22D1" w:rsidRPr="00ED22D1">
        <w:rPr>
          <w:lang w:val="fr-CA"/>
        </w:rPr>
        <w:t> </w:t>
      </w:r>
      <w:r w:rsidR="00325FA0" w:rsidRPr="00ED22D1">
        <w:rPr>
          <w:lang w:val="fr-CA"/>
        </w:rPr>
        <w:t>est étroitement suivie conformément aux jalons déterminés</w:t>
      </w:r>
      <w:r w:rsidR="00D002F4" w:rsidRPr="00ED22D1">
        <w:rPr>
          <w:lang w:val="fr-CA"/>
        </w:rPr>
        <w:t>.</w:t>
      </w:r>
      <w:r w:rsidR="00D002F4" w:rsidRPr="00ED22D1">
        <w:rPr>
          <w:rStyle w:val="FootnoteReference"/>
          <w:lang w:val="fr-CA"/>
        </w:rPr>
        <w:footnoteReference w:id="14"/>
      </w:r>
      <w:r w:rsidR="00D002F4" w:rsidRPr="00ED22D1">
        <w:rPr>
          <w:lang w:val="fr-CA"/>
        </w:rPr>
        <w:t xml:space="preserve"> </w:t>
      </w:r>
      <w:r w:rsidR="00921BDE" w:rsidRPr="00ED22D1">
        <w:rPr>
          <w:lang w:val="fr-CA"/>
        </w:rPr>
        <w:t xml:space="preserve"> </w:t>
      </w:r>
      <w:r w:rsidR="00325FA0" w:rsidRPr="00ED22D1">
        <w:rPr>
          <w:lang w:val="fr-CA"/>
        </w:rPr>
        <w:t>D</w:t>
      </w:r>
      <w:r w:rsidR="00921BDE" w:rsidRPr="00ED22D1">
        <w:rPr>
          <w:lang w:val="fr-CA"/>
        </w:rPr>
        <w:t>ix</w:t>
      </w:r>
      <w:r w:rsidR="00325FA0" w:rsidRPr="00ED22D1">
        <w:rPr>
          <w:lang w:val="fr-CA"/>
        </w:rPr>
        <w:t xml:space="preserve"> circuits </w:t>
      </w:r>
      <w:r w:rsidR="00903152" w:rsidRPr="00ED22D1">
        <w:rPr>
          <w:lang w:val="fr-CA"/>
        </w:rPr>
        <w:t xml:space="preserve">ont </w:t>
      </w:r>
      <w:r w:rsidR="002F6D48" w:rsidRPr="00ED22D1">
        <w:rPr>
          <w:lang w:val="fr-CA"/>
        </w:rPr>
        <w:t>achevé</w:t>
      </w:r>
      <w:r w:rsidR="00D002F4" w:rsidRPr="00ED22D1">
        <w:rPr>
          <w:lang w:val="fr-CA"/>
        </w:rPr>
        <w:t xml:space="preserve"> </w:t>
      </w:r>
      <w:r w:rsidR="00325FA0" w:rsidRPr="00ED22D1">
        <w:rPr>
          <w:lang w:val="fr-CA"/>
        </w:rPr>
        <w:t>l</w:t>
      </w:r>
      <w:r w:rsidR="00D21823">
        <w:rPr>
          <w:lang w:val="fr-CA"/>
        </w:rPr>
        <w:t>’élaboration du</w:t>
      </w:r>
      <w:r w:rsidR="00325FA0" w:rsidRPr="00ED22D1">
        <w:rPr>
          <w:lang w:val="fr-CA"/>
        </w:rPr>
        <w:t xml:space="preserve"> prototype</w:t>
      </w:r>
      <w:r w:rsidR="00D002F4" w:rsidRPr="00ED22D1">
        <w:rPr>
          <w:lang w:val="fr-CA"/>
        </w:rPr>
        <w:t>,</w:t>
      </w:r>
      <w:r w:rsidR="00FB1DC4" w:rsidRPr="00ED22D1">
        <w:rPr>
          <w:lang w:val="fr-CA"/>
        </w:rPr>
        <w:t xml:space="preserve"> </w:t>
      </w:r>
      <w:r w:rsidR="00325FA0" w:rsidRPr="00ED22D1">
        <w:rPr>
          <w:lang w:val="fr-CA"/>
        </w:rPr>
        <w:t xml:space="preserve">ainsi que les essais de </w:t>
      </w:r>
      <w:r w:rsidR="00FB1DC4" w:rsidRPr="00ED22D1">
        <w:rPr>
          <w:lang w:val="fr-CA"/>
        </w:rPr>
        <w:t>reconversion</w:t>
      </w:r>
      <w:r w:rsidR="004A6828" w:rsidRPr="00ED22D1">
        <w:rPr>
          <w:lang w:val="fr-CA"/>
        </w:rPr>
        <w:t xml:space="preserve"> et </w:t>
      </w:r>
      <w:r w:rsidR="00325FA0" w:rsidRPr="00ED22D1">
        <w:rPr>
          <w:lang w:val="fr-CA"/>
        </w:rPr>
        <w:t>de rendement. Un circuit a terminé la conception et le contrat d’approvisionnement. Six circuits ont terminé la conception. Un circuit vient de signer le contrat de</w:t>
      </w:r>
      <w:r w:rsidR="00ED22D1" w:rsidRPr="00ED22D1">
        <w:rPr>
          <w:lang w:val="fr-CA"/>
        </w:rPr>
        <w:t> </w:t>
      </w:r>
      <w:r w:rsidR="00FB1DC4" w:rsidRPr="00ED22D1">
        <w:rPr>
          <w:lang w:val="fr-CA"/>
        </w:rPr>
        <w:t>reconversion</w:t>
      </w:r>
      <w:r w:rsidR="00D002F4" w:rsidRPr="00ED22D1">
        <w:rPr>
          <w:lang w:val="fr-CA"/>
        </w:rPr>
        <w:t xml:space="preserve"> </w:t>
      </w:r>
      <w:r w:rsidR="004A6828" w:rsidRPr="00ED22D1">
        <w:rPr>
          <w:lang w:val="fr-CA"/>
        </w:rPr>
        <w:t>et</w:t>
      </w:r>
      <w:r w:rsidR="00903152" w:rsidRPr="00ED22D1">
        <w:rPr>
          <w:lang w:val="fr-CA"/>
        </w:rPr>
        <w:t xml:space="preserve"> </w:t>
      </w:r>
      <w:r w:rsidR="00325FA0" w:rsidRPr="00ED22D1">
        <w:rPr>
          <w:lang w:val="fr-CA"/>
        </w:rPr>
        <w:t>a commencé le processus de conception</w:t>
      </w:r>
      <w:r w:rsidR="0031390F" w:rsidRPr="00ED22D1">
        <w:rPr>
          <w:lang w:val="fr-CA"/>
        </w:rPr>
        <w:t>. Le</w:t>
      </w:r>
      <w:r w:rsidR="00CE7FEC" w:rsidRPr="00ED22D1">
        <w:rPr>
          <w:lang w:val="fr-CA"/>
        </w:rPr>
        <w:t xml:space="preserve"> tableau </w:t>
      </w:r>
      <w:r w:rsidR="00D002F4" w:rsidRPr="00ED22D1">
        <w:rPr>
          <w:lang w:val="fr-CA"/>
        </w:rPr>
        <w:t xml:space="preserve">1 </w:t>
      </w:r>
      <w:r w:rsidR="00325FA0" w:rsidRPr="00ED22D1">
        <w:rPr>
          <w:lang w:val="fr-CA"/>
        </w:rPr>
        <w:t xml:space="preserve">montre les progrès réalisés jusqu’à maintenant dans la </w:t>
      </w:r>
      <w:r w:rsidR="00FB1DC4" w:rsidRPr="00ED22D1">
        <w:rPr>
          <w:lang w:val="fr-CA"/>
        </w:rPr>
        <w:t>reconversion</w:t>
      </w:r>
      <w:r w:rsidR="00D002F4" w:rsidRPr="00ED22D1">
        <w:rPr>
          <w:lang w:val="fr-CA"/>
        </w:rPr>
        <w:t xml:space="preserve"> </w:t>
      </w:r>
      <w:r w:rsidR="00325FA0" w:rsidRPr="00ED22D1">
        <w:rPr>
          <w:lang w:val="fr-CA"/>
        </w:rPr>
        <w:t>des</w:t>
      </w:r>
      <w:r w:rsidR="00D002F4" w:rsidRPr="00ED22D1">
        <w:rPr>
          <w:lang w:val="fr-CA"/>
        </w:rPr>
        <w:t xml:space="preserve"> </w:t>
      </w:r>
      <w:r w:rsidR="00325FA0" w:rsidRPr="00ED22D1">
        <w:rPr>
          <w:lang w:val="fr-CA"/>
        </w:rPr>
        <w:t>circuits de fabrication</w:t>
      </w:r>
      <w:r w:rsidR="00D002F4" w:rsidRPr="00ED22D1">
        <w:rPr>
          <w:lang w:val="fr-CA"/>
        </w:rPr>
        <w:t>.</w:t>
      </w:r>
    </w:p>
    <w:p w:rsidR="00D002F4" w:rsidRPr="00ED22D1" w:rsidRDefault="00CE7FEC" w:rsidP="00D002F4">
      <w:pPr>
        <w:rPr>
          <w:b/>
          <w:lang w:val="fr-CA"/>
        </w:rPr>
      </w:pPr>
      <w:r w:rsidRPr="00ED22D1">
        <w:rPr>
          <w:b/>
          <w:lang w:val="fr-CA"/>
        </w:rPr>
        <w:t xml:space="preserve">Tableau </w:t>
      </w:r>
      <w:r w:rsidR="004A6828" w:rsidRPr="00ED22D1">
        <w:rPr>
          <w:b/>
          <w:lang w:val="fr-CA"/>
        </w:rPr>
        <w:t>1</w:t>
      </w:r>
      <w:r w:rsidR="00D05BD1" w:rsidRPr="00ED22D1">
        <w:rPr>
          <w:b/>
          <w:lang w:val="fr-CA"/>
        </w:rPr>
        <w:t>.</w:t>
      </w:r>
      <w:r w:rsidR="00D002F4" w:rsidRPr="00ED22D1">
        <w:rPr>
          <w:b/>
          <w:lang w:val="fr-CA"/>
        </w:rPr>
        <w:t xml:space="preserve"> </w:t>
      </w:r>
      <w:r w:rsidR="00BD6EAB" w:rsidRPr="00ED22D1">
        <w:rPr>
          <w:b/>
          <w:lang w:val="fr-CA"/>
        </w:rPr>
        <w:t xml:space="preserve">Progrès dans la </w:t>
      </w:r>
      <w:r w:rsidR="00FB1DC4" w:rsidRPr="00ED22D1">
        <w:rPr>
          <w:b/>
          <w:lang w:val="fr-CA"/>
        </w:rPr>
        <w:t>reconversion</w:t>
      </w:r>
      <w:r w:rsidR="00D002F4" w:rsidRPr="00ED22D1">
        <w:rPr>
          <w:b/>
          <w:lang w:val="fr-CA"/>
        </w:rPr>
        <w:t xml:space="preserve"> </w:t>
      </w:r>
      <w:r w:rsidR="00BD6EAB" w:rsidRPr="00ED22D1">
        <w:rPr>
          <w:b/>
          <w:lang w:val="fr-CA"/>
        </w:rPr>
        <w:t>des</w:t>
      </w:r>
      <w:r w:rsidR="00D002F4" w:rsidRPr="00ED22D1">
        <w:rPr>
          <w:b/>
          <w:lang w:val="fr-CA"/>
        </w:rPr>
        <w:t xml:space="preserve"> </w:t>
      </w:r>
      <w:r w:rsidR="00325FA0" w:rsidRPr="00ED22D1">
        <w:rPr>
          <w:b/>
          <w:lang w:val="fr-CA"/>
        </w:rPr>
        <w:t>circuits de fabrication</w:t>
      </w:r>
      <w:r w:rsidR="00D002F4" w:rsidRPr="00ED22D1">
        <w:rPr>
          <w:b/>
          <w:lang w:val="fr-CA"/>
        </w:rPr>
        <w:t xml:space="preserve"> </w:t>
      </w:r>
      <w:r w:rsidR="00B67AA6" w:rsidRPr="00ED22D1">
        <w:rPr>
          <w:b/>
          <w:lang w:val="fr-CA"/>
        </w:rPr>
        <w:t>des</w:t>
      </w:r>
      <w:r w:rsidR="00D002F4" w:rsidRPr="00ED22D1">
        <w:rPr>
          <w:b/>
          <w:lang w:val="fr-CA"/>
        </w:rPr>
        <w:t xml:space="preserve"> tranches I, II</w:t>
      </w:r>
      <w:r w:rsidR="004A6828" w:rsidRPr="00ED22D1">
        <w:rPr>
          <w:b/>
          <w:lang w:val="fr-CA"/>
        </w:rPr>
        <w:t xml:space="preserve"> et </w:t>
      </w:r>
      <w:r w:rsidR="00D002F4" w:rsidRPr="00ED22D1">
        <w:rPr>
          <w:b/>
          <w:lang w:val="fr-CA"/>
        </w:rPr>
        <w:t>III</w:t>
      </w:r>
    </w:p>
    <w:tbl>
      <w:tblPr>
        <w:tblW w:w="5329" w:type="pct"/>
        <w:tblInd w:w="108" w:type="dxa"/>
        <w:tblLayout w:type="fixed"/>
        <w:tblLook w:val="04A0" w:firstRow="1" w:lastRow="0" w:firstColumn="1" w:lastColumn="0" w:noHBand="0" w:noVBand="1"/>
      </w:tblPr>
      <w:tblGrid>
        <w:gridCol w:w="548"/>
        <w:gridCol w:w="1310"/>
        <w:gridCol w:w="1131"/>
        <w:gridCol w:w="853"/>
        <w:gridCol w:w="1398"/>
        <w:gridCol w:w="1290"/>
        <w:gridCol w:w="1135"/>
        <w:gridCol w:w="2541"/>
      </w:tblGrid>
      <w:tr w:rsidR="00B67AA6" w:rsidRPr="00ED22D1" w:rsidTr="001354A8">
        <w:trPr>
          <w:trHeight w:val="224"/>
          <w:tblHeader/>
        </w:trPr>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D002F4" w:rsidRPr="00ED22D1" w:rsidRDefault="00D002F4" w:rsidP="00D87C7D">
            <w:pPr>
              <w:jc w:val="center"/>
              <w:rPr>
                <w:b/>
                <w:bCs/>
                <w:sz w:val="18"/>
                <w:szCs w:val="18"/>
                <w:lang w:val="fr-CA" w:eastAsia="zh-CN"/>
              </w:rPr>
            </w:pPr>
            <w:r w:rsidRPr="00ED22D1">
              <w:rPr>
                <w:b/>
                <w:bCs/>
                <w:sz w:val="18"/>
                <w:szCs w:val="18"/>
                <w:lang w:val="fr-CA" w:eastAsia="zh-CN"/>
              </w:rPr>
              <w:t>N</w:t>
            </w:r>
            <w:r w:rsidRPr="00ED22D1">
              <w:rPr>
                <w:b/>
                <w:bCs/>
                <w:sz w:val="18"/>
                <w:szCs w:val="18"/>
                <w:vertAlign w:val="superscript"/>
                <w:lang w:val="fr-CA" w:eastAsia="zh-CN"/>
              </w:rPr>
              <w:t>o</w:t>
            </w:r>
            <w:r w:rsidRPr="00ED22D1">
              <w:rPr>
                <w:b/>
                <w:bCs/>
                <w:sz w:val="18"/>
                <w:szCs w:val="18"/>
                <w:lang w:val="fr-CA" w:eastAsia="zh-CN"/>
              </w:rPr>
              <w:t>.</w:t>
            </w:r>
          </w:p>
        </w:tc>
        <w:tc>
          <w:tcPr>
            <w:tcW w:w="642" w:type="pct"/>
            <w:tcBorders>
              <w:top w:val="single" w:sz="4" w:space="0" w:color="auto"/>
              <w:left w:val="nil"/>
              <w:bottom w:val="single" w:sz="4" w:space="0" w:color="auto"/>
              <w:right w:val="single" w:sz="4" w:space="0" w:color="auto"/>
            </w:tcBorders>
            <w:shd w:val="clear" w:color="auto" w:fill="auto"/>
            <w:hideMark/>
          </w:tcPr>
          <w:p w:rsidR="00D002F4" w:rsidRPr="00ED22D1" w:rsidRDefault="00D002F4" w:rsidP="00B67AA6">
            <w:pPr>
              <w:jc w:val="center"/>
              <w:rPr>
                <w:b/>
                <w:bCs/>
                <w:sz w:val="18"/>
                <w:szCs w:val="18"/>
                <w:lang w:val="fr-CA" w:eastAsia="zh-CN"/>
              </w:rPr>
            </w:pPr>
            <w:r w:rsidRPr="00ED22D1">
              <w:rPr>
                <w:b/>
                <w:bCs/>
                <w:sz w:val="18"/>
                <w:szCs w:val="18"/>
                <w:lang w:val="fr-CA" w:eastAsia="zh-CN"/>
              </w:rPr>
              <w:t>N</w:t>
            </w:r>
            <w:r w:rsidR="00B67AA6" w:rsidRPr="00ED22D1">
              <w:rPr>
                <w:b/>
                <w:bCs/>
                <w:sz w:val="18"/>
                <w:szCs w:val="18"/>
                <w:lang w:val="fr-CA" w:eastAsia="zh-CN"/>
              </w:rPr>
              <w:t>om</w:t>
            </w:r>
            <w:r w:rsidRPr="00ED22D1">
              <w:rPr>
                <w:b/>
                <w:bCs/>
                <w:sz w:val="18"/>
                <w:szCs w:val="18"/>
                <w:lang w:val="fr-CA" w:eastAsia="zh-CN"/>
              </w:rPr>
              <w:t xml:space="preserve"> </w:t>
            </w:r>
            <w:r w:rsidR="00B67AA6" w:rsidRPr="00ED22D1">
              <w:rPr>
                <w:b/>
                <w:bCs/>
                <w:sz w:val="18"/>
                <w:szCs w:val="18"/>
                <w:lang w:val="fr-CA" w:eastAsia="zh-CN"/>
              </w:rPr>
              <w:t>de</w:t>
            </w:r>
            <w:r w:rsidRPr="00ED22D1">
              <w:rPr>
                <w:b/>
                <w:bCs/>
                <w:sz w:val="18"/>
                <w:szCs w:val="18"/>
                <w:lang w:val="fr-CA" w:eastAsia="zh-CN"/>
              </w:rPr>
              <w:t xml:space="preserve"> </w:t>
            </w:r>
            <w:r w:rsidR="00B67AA6" w:rsidRPr="00ED22D1">
              <w:rPr>
                <w:b/>
                <w:bCs/>
                <w:sz w:val="18"/>
                <w:szCs w:val="18"/>
                <w:lang w:val="fr-CA" w:eastAsia="zh-CN"/>
              </w:rPr>
              <w:t>l’</w:t>
            </w:r>
            <w:r w:rsidR="00921BDE" w:rsidRPr="00ED22D1">
              <w:rPr>
                <w:b/>
                <w:bCs/>
                <w:sz w:val="18"/>
                <w:szCs w:val="18"/>
                <w:lang w:val="fr-CA" w:eastAsia="zh-CN"/>
              </w:rPr>
              <w:t>entreprise</w:t>
            </w:r>
          </w:p>
        </w:tc>
        <w:tc>
          <w:tcPr>
            <w:tcW w:w="554" w:type="pct"/>
            <w:tcBorders>
              <w:top w:val="single" w:sz="4" w:space="0" w:color="auto"/>
              <w:left w:val="nil"/>
              <w:bottom w:val="single" w:sz="4" w:space="0" w:color="auto"/>
              <w:right w:val="single" w:sz="4" w:space="0" w:color="auto"/>
            </w:tcBorders>
            <w:shd w:val="clear" w:color="auto" w:fill="auto"/>
            <w:hideMark/>
          </w:tcPr>
          <w:p w:rsidR="00D002F4" w:rsidRPr="00ED22D1" w:rsidRDefault="004A6828" w:rsidP="00802F71">
            <w:pPr>
              <w:jc w:val="center"/>
              <w:rPr>
                <w:b/>
                <w:bCs/>
                <w:sz w:val="18"/>
                <w:szCs w:val="18"/>
                <w:lang w:val="fr-CA" w:eastAsia="zh-CN"/>
              </w:rPr>
            </w:pPr>
            <w:r w:rsidRPr="00ED22D1">
              <w:rPr>
                <w:b/>
                <w:bCs/>
                <w:sz w:val="18"/>
                <w:szCs w:val="18"/>
                <w:lang w:val="fr-CA" w:eastAsia="zh-CN"/>
              </w:rPr>
              <w:t>Élimination</w:t>
            </w:r>
            <w:r w:rsidR="00D002F4" w:rsidRPr="00ED22D1">
              <w:rPr>
                <w:b/>
                <w:bCs/>
                <w:sz w:val="18"/>
                <w:szCs w:val="18"/>
                <w:lang w:val="fr-CA" w:eastAsia="zh-CN"/>
              </w:rPr>
              <w:t xml:space="preserve"> </w:t>
            </w:r>
            <w:r w:rsidR="00DB7C5D" w:rsidRPr="00ED22D1">
              <w:rPr>
                <w:b/>
                <w:bCs/>
                <w:sz w:val="18"/>
                <w:szCs w:val="18"/>
                <w:lang w:val="fr-CA" w:eastAsia="zh-CN"/>
              </w:rPr>
              <w:t>d</w:t>
            </w:r>
            <w:r w:rsidR="00802F71" w:rsidRPr="00ED22D1">
              <w:rPr>
                <w:b/>
                <w:bCs/>
                <w:sz w:val="18"/>
                <w:szCs w:val="18"/>
                <w:lang w:val="fr-CA" w:eastAsia="zh-CN"/>
              </w:rPr>
              <w:t>u</w:t>
            </w:r>
            <w:r w:rsidR="00DB7C5D" w:rsidRPr="00ED22D1">
              <w:rPr>
                <w:b/>
                <w:bCs/>
                <w:sz w:val="18"/>
                <w:szCs w:val="18"/>
                <w:lang w:val="fr-CA" w:eastAsia="zh-CN"/>
              </w:rPr>
              <w:t xml:space="preserve"> HCFC</w:t>
            </w:r>
            <w:r w:rsidR="00D002F4" w:rsidRPr="00ED22D1">
              <w:rPr>
                <w:b/>
                <w:bCs/>
                <w:sz w:val="18"/>
                <w:szCs w:val="18"/>
                <w:lang w:val="fr-CA" w:eastAsia="zh-CN"/>
              </w:rPr>
              <w:noBreakHyphen/>
              <w:t>22 (</w:t>
            </w:r>
            <w:r w:rsidR="001279D7" w:rsidRPr="00ED22D1">
              <w:rPr>
                <w:b/>
                <w:bCs/>
                <w:sz w:val="18"/>
                <w:szCs w:val="18"/>
                <w:lang w:val="fr-CA" w:eastAsia="zh-CN"/>
              </w:rPr>
              <w:t>tm</w:t>
            </w:r>
            <w:r w:rsidR="00D002F4" w:rsidRPr="00ED22D1">
              <w:rPr>
                <w:b/>
                <w:bCs/>
                <w:sz w:val="18"/>
                <w:szCs w:val="18"/>
                <w:lang w:val="fr-CA" w:eastAsia="zh-CN"/>
              </w:rPr>
              <w:t>)</w:t>
            </w:r>
          </w:p>
        </w:tc>
        <w:tc>
          <w:tcPr>
            <w:tcW w:w="418" w:type="pct"/>
            <w:tcBorders>
              <w:top w:val="single" w:sz="4" w:space="0" w:color="auto"/>
              <w:left w:val="nil"/>
              <w:bottom w:val="single" w:sz="4" w:space="0" w:color="auto"/>
              <w:right w:val="single" w:sz="4" w:space="0" w:color="auto"/>
            </w:tcBorders>
            <w:shd w:val="clear" w:color="auto" w:fill="auto"/>
            <w:hideMark/>
          </w:tcPr>
          <w:p w:rsidR="00D002F4" w:rsidRPr="00ED22D1" w:rsidRDefault="00D002F4" w:rsidP="00B67AA6">
            <w:pPr>
              <w:jc w:val="center"/>
              <w:rPr>
                <w:b/>
                <w:bCs/>
                <w:sz w:val="18"/>
                <w:szCs w:val="18"/>
                <w:lang w:val="fr-CA" w:eastAsia="zh-CN"/>
              </w:rPr>
            </w:pPr>
            <w:r w:rsidRPr="00ED22D1">
              <w:rPr>
                <w:b/>
                <w:bCs/>
                <w:sz w:val="18"/>
                <w:szCs w:val="18"/>
                <w:lang w:val="fr-CA" w:eastAsia="zh-CN"/>
              </w:rPr>
              <w:t>N</w:t>
            </w:r>
            <w:r w:rsidR="00B67AA6" w:rsidRPr="00ED22D1">
              <w:rPr>
                <w:b/>
                <w:bCs/>
                <w:sz w:val="18"/>
                <w:szCs w:val="18"/>
                <w:lang w:val="fr-CA" w:eastAsia="zh-CN"/>
              </w:rPr>
              <w:t>ombre de circuits</w:t>
            </w:r>
          </w:p>
        </w:tc>
        <w:tc>
          <w:tcPr>
            <w:tcW w:w="685" w:type="pct"/>
            <w:tcBorders>
              <w:top w:val="single" w:sz="4" w:space="0" w:color="auto"/>
              <w:left w:val="nil"/>
              <w:bottom w:val="single" w:sz="4" w:space="0" w:color="auto"/>
              <w:right w:val="single" w:sz="4" w:space="0" w:color="auto"/>
            </w:tcBorders>
            <w:shd w:val="clear" w:color="auto" w:fill="auto"/>
            <w:hideMark/>
          </w:tcPr>
          <w:p w:rsidR="00D002F4" w:rsidRPr="00ED22D1" w:rsidRDefault="00D002F4" w:rsidP="00B67AA6">
            <w:pPr>
              <w:jc w:val="center"/>
              <w:rPr>
                <w:b/>
                <w:bCs/>
                <w:sz w:val="18"/>
                <w:szCs w:val="18"/>
                <w:lang w:val="fr-CA" w:eastAsia="zh-CN"/>
              </w:rPr>
            </w:pPr>
            <w:r w:rsidRPr="00ED22D1">
              <w:rPr>
                <w:b/>
                <w:bCs/>
                <w:sz w:val="18"/>
                <w:szCs w:val="18"/>
                <w:lang w:val="fr-CA" w:eastAsia="zh-CN"/>
              </w:rPr>
              <w:t xml:space="preserve">Type </w:t>
            </w:r>
            <w:r w:rsidR="00B67AA6" w:rsidRPr="00ED22D1">
              <w:rPr>
                <w:b/>
                <w:bCs/>
                <w:sz w:val="18"/>
                <w:szCs w:val="18"/>
                <w:lang w:val="fr-CA" w:eastAsia="zh-CN"/>
              </w:rPr>
              <w:t xml:space="preserve">                    de                  produits</w:t>
            </w:r>
          </w:p>
        </w:tc>
        <w:tc>
          <w:tcPr>
            <w:tcW w:w="632" w:type="pct"/>
            <w:tcBorders>
              <w:top w:val="single" w:sz="4" w:space="0" w:color="auto"/>
              <w:left w:val="nil"/>
              <w:bottom w:val="single" w:sz="4" w:space="0" w:color="auto"/>
              <w:right w:val="single" w:sz="4" w:space="0" w:color="auto"/>
            </w:tcBorders>
            <w:shd w:val="clear" w:color="auto" w:fill="auto"/>
            <w:hideMark/>
          </w:tcPr>
          <w:p w:rsidR="00D002F4" w:rsidRPr="00ED22D1" w:rsidRDefault="00B67AA6" w:rsidP="00B67AA6">
            <w:pPr>
              <w:jc w:val="center"/>
              <w:rPr>
                <w:b/>
                <w:bCs/>
                <w:sz w:val="18"/>
                <w:szCs w:val="18"/>
                <w:lang w:val="fr-CA" w:eastAsia="zh-CN"/>
              </w:rPr>
            </w:pPr>
            <w:r w:rsidRPr="00ED22D1">
              <w:rPr>
                <w:b/>
                <w:bCs/>
                <w:sz w:val="18"/>
                <w:szCs w:val="18"/>
                <w:lang w:val="fr-CA" w:eastAsia="zh-CN"/>
              </w:rPr>
              <w:t>Technologie de remplace-ment</w:t>
            </w:r>
          </w:p>
        </w:tc>
        <w:tc>
          <w:tcPr>
            <w:tcW w:w="556" w:type="pct"/>
            <w:tcBorders>
              <w:top w:val="single" w:sz="4" w:space="0" w:color="auto"/>
              <w:left w:val="nil"/>
              <w:bottom w:val="single" w:sz="4" w:space="0" w:color="auto"/>
              <w:right w:val="single" w:sz="4" w:space="0" w:color="auto"/>
            </w:tcBorders>
            <w:shd w:val="clear" w:color="auto" w:fill="auto"/>
            <w:hideMark/>
          </w:tcPr>
          <w:p w:rsidR="00B67AA6" w:rsidRPr="00ED22D1" w:rsidRDefault="00D15079" w:rsidP="00D87C7D">
            <w:pPr>
              <w:jc w:val="center"/>
              <w:rPr>
                <w:b/>
                <w:bCs/>
                <w:sz w:val="18"/>
                <w:szCs w:val="18"/>
                <w:lang w:val="fr-CA" w:eastAsia="zh-CN"/>
              </w:rPr>
            </w:pPr>
            <w:r w:rsidRPr="00ED22D1">
              <w:rPr>
                <w:b/>
                <w:bCs/>
                <w:sz w:val="18"/>
                <w:szCs w:val="18"/>
                <w:lang w:val="fr-CA" w:eastAsia="zh-CN"/>
              </w:rPr>
              <w:t>Finance</w:t>
            </w:r>
            <w:r w:rsidR="00B67AA6" w:rsidRPr="00ED22D1">
              <w:rPr>
                <w:b/>
                <w:bCs/>
                <w:sz w:val="18"/>
                <w:szCs w:val="18"/>
                <w:lang w:val="fr-CA" w:eastAsia="zh-CN"/>
              </w:rPr>
              <w:t>-</w:t>
            </w:r>
            <w:r w:rsidRPr="00ED22D1">
              <w:rPr>
                <w:b/>
                <w:bCs/>
                <w:sz w:val="18"/>
                <w:szCs w:val="18"/>
                <w:lang w:val="fr-CA" w:eastAsia="zh-CN"/>
              </w:rPr>
              <w:t>ment</w:t>
            </w:r>
            <w:r w:rsidR="00D002F4" w:rsidRPr="00ED22D1">
              <w:rPr>
                <w:b/>
                <w:bCs/>
                <w:sz w:val="18"/>
                <w:szCs w:val="18"/>
                <w:lang w:val="fr-CA" w:eastAsia="zh-CN"/>
              </w:rPr>
              <w:t xml:space="preserve"> </w:t>
            </w:r>
          </w:p>
          <w:p w:rsidR="00D002F4" w:rsidRPr="00ED22D1" w:rsidRDefault="00874624" w:rsidP="00D87C7D">
            <w:pPr>
              <w:jc w:val="center"/>
              <w:rPr>
                <w:b/>
                <w:bCs/>
                <w:sz w:val="18"/>
                <w:szCs w:val="18"/>
                <w:lang w:val="fr-CA" w:eastAsia="zh-CN"/>
              </w:rPr>
            </w:pPr>
            <w:r w:rsidRPr="00ED22D1">
              <w:rPr>
                <w:b/>
                <w:bCs/>
                <w:sz w:val="18"/>
                <w:szCs w:val="18"/>
                <w:lang w:val="fr-CA" w:eastAsia="zh-CN"/>
              </w:rPr>
              <w:t>($US)</w:t>
            </w: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D002F4" w:rsidRPr="00ED22D1" w:rsidRDefault="00B67AA6" w:rsidP="00D87C7D">
            <w:pPr>
              <w:jc w:val="center"/>
              <w:rPr>
                <w:b/>
                <w:bCs/>
                <w:sz w:val="18"/>
                <w:szCs w:val="18"/>
                <w:lang w:val="fr-CA"/>
              </w:rPr>
            </w:pPr>
            <w:r w:rsidRPr="00ED22D1">
              <w:rPr>
                <w:b/>
                <w:bCs/>
                <w:sz w:val="18"/>
                <w:szCs w:val="18"/>
                <w:lang w:val="fr-CA"/>
              </w:rPr>
              <w:t>Jalons</w:t>
            </w:r>
            <w:r w:rsidR="00D002F4" w:rsidRPr="00ED22D1">
              <w:rPr>
                <w:b/>
                <w:bCs/>
                <w:sz w:val="18"/>
                <w:szCs w:val="18"/>
                <w:lang w:val="fr-CA"/>
              </w:rPr>
              <w:t xml:space="preserve"> </w:t>
            </w:r>
            <w:r w:rsidRPr="00ED22D1">
              <w:rPr>
                <w:b/>
                <w:bCs/>
                <w:sz w:val="18"/>
                <w:szCs w:val="18"/>
                <w:lang w:val="fr-CA"/>
              </w:rPr>
              <w:t>réalisés</w:t>
            </w: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1-1</w:t>
            </w:r>
          </w:p>
        </w:tc>
        <w:tc>
          <w:tcPr>
            <w:tcW w:w="64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Yantai Moon</w:t>
            </w:r>
          </w:p>
        </w:tc>
        <w:tc>
          <w:tcPr>
            <w:tcW w:w="55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59</w:t>
            </w:r>
            <w:r w:rsidR="004A6828" w:rsidRPr="00ED22D1">
              <w:rPr>
                <w:sz w:val="18"/>
                <w:szCs w:val="18"/>
                <w:lang w:val="fr-CA" w:eastAsia="zh-CN"/>
              </w:rPr>
              <w:t>0,</w:t>
            </w:r>
            <w:r w:rsidRPr="00ED22D1">
              <w:rPr>
                <w:sz w:val="18"/>
                <w:szCs w:val="18"/>
                <w:lang w:val="fr-CA" w:eastAsia="zh-CN"/>
              </w:rPr>
              <w:t>23</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noWrap/>
            <w:hideMark/>
          </w:tcPr>
          <w:p w:rsidR="00D002F4" w:rsidRPr="00ED22D1" w:rsidRDefault="00B67AA6" w:rsidP="00B67AA6">
            <w:pPr>
              <w:jc w:val="left"/>
              <w:rPr>
                <w:sz w:val="18"/>
                <w:szCs w:val="18"/>
                <w:lang w:val="fr-CA" w:eastAsia="zh-CN"/>
              </w:rPr>
            </w:pPr>
            <w:r w:rsidRPr="00ED22D1">
              <w:rPr>
                <w:sz w:val="18"/>
                <w:szCs w:val="18"/>
                <w:lang w:val="fr-CA" w:eastAsia="zh-CN"/>
              </w:rPr>
              <w:t>Refroidisseur d’eau</w:t>
            </w:r>
            <w:r w:rsidR="00D002F4" w:rsidRPr="00ED22D1">
              <w:rPr>
                <w:sz w:val="18"/>
                <w:szCs w:val="18"/>
                <w:lang w:val="fr-CA" w:eastAsia="zh-CN"/>
              </w:rPr>
              <w:t xml:space="preserve"> (</w:t>
            </w:r>
            <w:r w:rsidR="001354A8" w:rsidRPr="00ED22D1">
              <w:rPr>
                <w:sz w:val="18"/>
                <w:szCs w:val="18"/>
                <w:lang w:val="fr-CA" w:eastAsia="zh-CN"/>
              </w:rPr>
              <w:t>thermopompe</w:t>
            </w:r>
            <w:r w:rsidR="00D002F4" w:rsidRPr="00ED22D1">
              <w:rPr>
                <w:sz w:val="18"/>
                <w:szCs w:val="18"/>
                <w:lang w:val="fr-CA" w:eastAsia="zh-CN"/>
              </w:rPr>
              <w:t>)</w:t>
            </w: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R-290</w:t>
            </w:r>
          </w:p>
        </w:tc>
        <w:tc>
          <w:tcPr>
            <w:tcW w:w="556" w:type="pct"/>
            <w:tcBorders>
              <w:top w:val="nil"/>
              <w:left w:val="nil"/>
              <w:bottom w:val="single" w:sz="4" w:space="0" w:color="auto"/>
              <w:right w:val="single" w:sz="4" w:space="0" w:color="auto"/>
            </w:tcBorders>
            <w:shd w:val="clear" w:color="auto" w:fill="auto"/>
            <w:hideMark/>
          </w:tcPr>
          <w:p w:rsidR="00D002F4" w:rsidRPr="00ED22D1" w:rsidRDefault="004A6828" w:rsidP="00D87C7D">
            <w:pPr>
              <w:jc w:val="right"/>
              <w:rPr>
                <w:sz w:val="18"/>
                <w:szCs w:val="18"/>
                <w:lang w:val="fr-CA" w:eastAsia="zh-CN"/>
              </w:rPr>
            </w:pPr>
            <w:r w:rsidRPr="00ED22D1">
              <w:rPr>
                <w:sz w:val="18"/>
                <w:szCs w:val="18"/>
                <w:lang w:val="fr-CA" w:eastAsia="zh-CN"/>
              </w:rPr>
              <w:t>9 </w:t>
            </w:r>
            <w:r w:rsidR="00D002F4" w:rsidRPr="00ED22D1">
              <w:rPr>
                <w:sz w:val="18"/>
                <w:szCs w:val="18"/>
                <w:lang w:val="fr-CA" w:eastAsia="zh-CN"/>
              </w:rPr>
              <w:t>31</w:t>
            </w:r>
            <w:r w:rsidRPr="00ED22D1">
              <w:rPr>
                <w:sz w:val="18"/>
                <w:szCs w:val="18"/>
                <w:lang w:val="fr-CA" w:eastAsia="zh-CN"/>
              </w:rPr>
              <w:t>9 </w:t>
            </w:r>
            <w:r w:rsidR="00D002F4" w:rsidRPr="00ED22D1">
              <w:rPr>
                <w:sz w:val="18"/>
                <w:szCs w:val="18"/>
                <w:lang w:val="fr-CA" w:eastAsia="zh-CN"/>
              </w:rPr>
              <w:t>613</w:t>
            </w:r>
          </w:p>
        </w:tc>
        <w:tc>
          <w:tcPr>
            <w:tcW w:w="1245" w:type="pct"/>
            <w:tcBorders>
              <w:top w:val="nil"/>
              <w:left w:val="single" w:sz="4" w:space="0" w:color="auto"/>
              <w:bottom w:val="single" w:sz="4" w:space="0" w:color="auto"/>
              <w:right w:val="single" w:sz="4" w:space="0" w:color="auto"/>
            </w:tcBorders>
            <w:shd w:val="clear" w:color="auto" w:fill="auto"/>
          </w:tcPr>
          <w:p w:rsidR="00D002F4" w:rsidRPr="00ED22D1" w:rsidRDefault="00B67AA6" w:rsidP="00D87C7D">
            <w:pPr>
              <w:jc w:val="left"/>
              <w:rPr>
                <w:sz w:val="18"/>
                <w:szCs w:val="18"/>
                <w:highlight w:val="yellow"/>
                <w:lang w:val="fr-CA"/>
              </w:rPr>
            </w:pPr>
            <w:r w:rsidRPr="00ED22D1">
              <w:rPr>
                <w:sz w:val="18"/>
                <w:szCs w:val="18"/>
                <w:lang w:val="fr-CA"/>
              </w:rPr>
              <w:t>Achèvement de la fabrication du prototype</w:t>
            </w:r>
            <w:r w:rsidR="00D002F4" w:rsidRPr="00ED22D1">
              <w:rPr>
                <w:sz w:val="18"/>
                <w:szCs w:val="18"/>
                <w:lang w:val="fr-CA"/>
              </w:rPr>
              <w:t>,</w:t>
            </w:r>
            <w:r w:rsidR="00FB1DC4" w:rsidRPr="00ED22D1">
              <w:rPr>
                <w:sz w:val="18"/>
                <w:szCs w:val="18"/>
                <w:lang w:val="fr-CA"/>
              </w:rPr>
              <w:t xml:space="preserve"> </w:t>
            </w:r>
            <w:r w:rsidRPr="00ED22D1">
              <w:rPr>
                <w:sz w:val="18"/>
                <w:szCs w:val="18"/>
                <w:lang w:val="fr-CA"/>
              </w:rPr>
              <w:t>reconversion des circuits et essai de rendement</w:t>
            </w: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1-2</w:t>
            </w:r>
          </w:p>
        </w:tc>
        <w:tc>
          <w:tcPr>
            <w:tcW w:w="64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Dunham-Bush</w:t>
            </w:r>
          </w:p>
        </w:tc>
        <w:tc>
          <w:tcPr>
            <w:tcW w:w="55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2</w:t>
            </w:r>
            <w:r w:rsidR="004A6828" w:rsidRPr="00ED22D1">
              <w:rPr>
                <w:sz w:val="18"/>
                <w:szCs w:val="18"/>
                <w:lang w:val="fr-CA" w:eastAsia="zh-CN"/>
              </w:rPr>
              <w:t>0,</w:t>
            </w:r>
            <w:r w:rsidRPr="00ED22D1">
              <w:rPr>
                <w:sz w:val="18"/>
                <w:szCs w:val="18"/>
                <w:lang w:val="fr-CA" w:eastAsia="zh-CN"/>
              </w:rPr>
              <w:t>42</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noWrap/>
            <w:hideMark/>
          </w:tcPr>
          <w:p w:rsidR="00D002F4" w:rsidRPr="00ED22D1" w:rsidRDefault="00B67AA6" w:rsidP="00B67AA6">
            <w:pPr>
              <w:jc w:val="left"/>
              <w:rPr>
                <w:sz w:val="18"/>
                <w:szCs w:val="18"/>
                <w:lang w:val="fr-CA" w:eastAsia="zh-CN"/>
              </w:rPr>
            </w:pPr>
            <w:r w:rsidRPr="00ED22D1">
              <w:rPr>
                <w:sz w:val="18"/>
                <w:szCs w:val="18"/>
                <w:lang w:val="fr-CA" w:eastAsia="zh-CN"/>
              </w:rPr>
              <w:t>Réchauffeur d’eau (</w:t>
            </w:r>
            <w:r w:rsidR="001354A8" w:rsidRPr="00ED22D1">
              <w:rPr>
                <w:sz w:val="18"/>
                <w:szCs w:val="18"/>
                <w:lang w:val="fr-CA" w:eastAsia="zh-CN"/>
              </w:rPr>
              <w:t>thermopompe</w:t>
            </w:r>
            <w:r w:rsidRPr="00ED22D1">
              <w:rPr>
                <w:sz w:val="18"/>
                <w:szCs w:val="18"/>
                <w:lang w:val="fr-CA" w:eastAsia="zh-CN"/>
              </w:rPr>
              <w:t>)</w:t>
            </w: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sz w:val="18"/>
                <w:szCs w:val="18"/>
                <w:lang w:val="fr-CA" w:eastAsia="zh-CN"/>
              </w:rPr>
            </w:pPr>
            <w:r w:rsidRPr="00ED22D1">
              <w:rPr>
                <w:sz w:val="18"/>
                <w:szCs w:val="18"/>
                <w:lang w:val="fr-CA" w:eastAsia="zh-CN"/>
              </w:rPr>
              <w:t>28</w:t>
            </w:r>
            <w:r w:rsidR="004A6828" w:rsidRPr="00ED22D1">
              <w:rPr>
                <w:sz w:val="18"/>
                <w:szCs w:val="18"/>
                <w:lang w:val="fr-CA" w:eastAsia="zh-CN"/>
              </w:rPr>
              <w:t>2 </w:t>
            </w:r>
            <w:r w:rsidRPr="00ED22D1">
              <w:rPr>
                <w:sz w:val="18"/>
                <w:szCs w:val="18"/>
                <w:lang w:val="fr-CA" w:eastAsia="zh-CN"/>
              </w:rPr>
              <w:t>762</w:t>
            </w:r>
          </w:p>
        </w:tc>
        <w:tc>
          <w:tcPr>
            <w:tcW w:w="1245" w:type="pct"/>
            <w:tcBorders>
              <w:top w:val="nil"/>
              <w:left w:val="single" w:sz="4" w:space="0" w:color="auto"/>
              <w:bottom w:val="single" w:sz="4" w:space="0" w:color="auto"/>
              <w:right w:val="single" w:sz="4" w:space="0" w:color="auto"/>
            </w:tcBorders>
            <w:shd w:val="clear" w:color="auto" w:fill="auto"/>
          </w:tcPr>
          <w:p w:rsidR="00D002F4" w:rsidRPr="00ED22D1" w:rsidRDefault="00B67AA6" w:rsidP="00D87C7D">
            <w:pPr>
              <w:jc w:val="left"/>
              <w:rPr>
                <w:sz w:val="18"/>
                <w:szCs w:val="18"/>
                <w:highlight w:val="yellow"/>
                <w:lang w:val="fr-CA"/>
              </w:rPr>
            </w:pPr>
            <w:r w:rsidRPr="00ED22D1">
              <w:rPr>
                <w:sz w:val="18"/>
                <w:szCs w:val="18"/>
                <w:lang w:val="fr-CA"/>
              </w:rPr>
              <w:t>Achèvement de la fabrication du prototype</w:t>
            </w:r>
            <w:r w:rsidR="00D002F4" w:rsidRPr="00ED22D1">
              <w:rPr>
                <w:sz w:val="18"/>
                <w:szCs w:val="18"/>
                <w:lang w:val="fr-CA"/>
              </w:rPr>
              <w:t>,</w:t>
            </w:r>
            <w:r w:rsidR="00FB1DC4" w:rsidRPr="00ED22D1">
              <w:rPr>
                <w:sz w:val="18"/>
                <w:szCs w:val="18"/>
                <w:lang w:val="fr-CA"/>
              </w:rPr>
              <w:t xml:space="preserve"> </w:t>
            </w:r>
            <w:r w:rsidRPr="00ED22D1">
              <w:rPr>
                <w:sz w:val="18"/>
                <w:szCs w:val="18"/>
                <w:lang w:val="fr-CA"/>
              </w:rPr>
              <w:t>reconversion des circuits et essai de rendement</w:t>
            </w: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1-3</w:t>
            </w:r>
          </w:p>
        </w:tc>
        <w:tc>
          <w:tcPr>
            <w:tcW w:w="64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Nanjing TICA</w:t>
            </w:r>
          </w:p>
        </w:tc>
        <w:tc>
          <w:tcPr>
            <w:tcW w:w="55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9</w:t>
            </w:r>
            <w:r w:rsidR="004A6828" w:rsidRPr="00ED22D1">
              <w:rPr>
                <w:sz w:val="18"/>
                <w:szCs w:val="18"/>
                <w:lang w:val="fr-CA" w:eastAsia="zh-CN"/>
              </w:rPr>
              <w:t>1,</w:t>
            </w:r>
            <w:r w:rsidRPr="00ED22D1">
              <w:rPr>
                <w:sz w:val="18"/>
                <w:szCs w:val="18"/>
                <w:lang w:val="fr-CA" w:eastAsia="zh-CN"/>
              </w:rPr>
              <w:t>58</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noWrap/>
            <w:hideMark/>
          </w:tcPr>
          <w:p w:rsidR="00D002F4" w:rsidRPr="00ED22D1" w:rsidRDefault="00B67AA6" w:rsidP="00B67AA6">
            <w:pPr>
              <w:jc w:val="left"/>
              <w:rPr>
                <w:sz w:val="18"/>
                <w:szCs w:val="18"/>
                <w:lang w:val="fr-CA" w:eastAsia="zh-CN"/>
              </w:rPr>
            </w:pPr>
            <w:r w:rsidRPr="00ED22D1">
              <w:rPr>
                <w:sz w:val="18"/>
                <w:szCs w:val="18"/>
                <w:lang w:val="fr-CA" w:eastAsia="zh-CN"/>
              </w:rPr>
              <w:t>Congélateur</w:t>
            </w:r>
            <w:r w:rsidR="00D002F4" w:rsidRPr="00ED22D1">
              <w:rPr>
                <w:sz w:val="18"/>
                <w:szCs w:val="18"/>
                <w:lang w:val="fr-CA" w:eastAsia="zh-CN"/>
              </w:rPr>
              <w:t xml:space="preserve">, </w:t>
            </w:r>
            <w:r w:rsidR="0052712E" w:rsidRPr="00ED22D1">
              <w:rPr>
                <w:sz w:val="18"/>
                <w:szCs w:val="18"/>
                <w:lang w:val="fr-CA" w:eastAsia="zh-CN"/>
              </w:rPr>
              <w:t>réfrigérat</w:t>
            </w:r>
            <w:r w:rsidRPr="00ED22D1">
              <w:rPr>
                <w:sz w:val="18"/>
                <w:szCs w:val="18"/>
                <w:lang w:val="fr-CA" w:eastAsia="zh-CN"/>
              </w:rPr>
              <w:t>eur</w:t>
            </w:r>
            <w:r w:rsidR="004A6828" w:rsidRPr="00ED22D1">
              <w:rPr>
                <w:sz w:val="18"/>
                <w:szCs w:val="18"/>
                <w:lang w:val="fr-CA" w:eastAsia="zh-CN"/>
              </w:rPr>
              <w:t xml:space="preserve"> et </w:t>
            </w:r>
            <w:r w:rsidRPr="00ED22D1">
              <w:rPr>
                <w:sz w:val="18"/>
                <w:szCs w:val="18"/>
                <w:lang w:val="fr-CA" w:eastAsia="zh-CN"/>
              </w:rPr>
              <w:t>condensateur</w:t>
            </w: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NH</w:t>
            </w:r>
            <w:r w:rsidRPr="00ED22D1">
              <w:rPr>
                <w:sz w:val="18"/>
                <w:szCs w:val="18"/>
                <w:vertAlign w:val="subscript"/>
                <w:lang w:val="fr-CA" w:eastAsia="zh-CN"/>
              </w:rPr>
              <w:t>3</w:t>
            </w:r>
            <w:r w:rsidRPr="00ED22D1">
              <w:rPr>
                <w:sz w:val="18"/>
                <w:szCs w:val="18"/>
                <w:lang w:val="fr-CA" w:eastAsia="zh-CN"/>
              </w:rPr>
              <w:t>/ CO</w:t>
            </w:r>
            <w:r w:rsidRPr="00ED22D1">
              <w:rPr>
                <w:sz w:val="18"/>
                <w:szCs w:val="18"/>
                <w:vertAlign w:val="subscript"/>
                <w:lang w:val="fr-CA" w:eastAsia="zh-CN"/>
              </w:rPr>
              <w:t>2</w:t>
            </w:r>
          </w:p>
        </w:tc>
        <w:tc>
          <w:tcPr>
            <w:tcW w:w="556" w:type="pct"/>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sz w:val="18"/>
                <w:szCs w:val="18"/>
                <w:lang w:val="fr-CA" w:eastAsia="zh-CN"/>
              </w:rPr>
            </w:pPr>
            <w:r w:rsidRPr="00ED22D1">
              <w:rPr>
                <w:sz w:val="18"/>
                <w:szCs w:val="18"/>
                <w:lang w:val="fr-CA" w:eastAsia="zh-CN"/>
              </w:rPr>
              <w:t>96</w:t>
            </w:r>
            <w:r w:rsidR="004A6828" w:rsidRPr="00ED22D1">
              <w:rPr>
                <w:sz w:val="18"/>
                <w:szCs w:val="18"/>
                <w:lang w:val="fr-CA" w:eastAsia="zh-CN"/>
              </w:rPr>
              <w:t>8 </w:t>
            </w:r>
            <w:r w:rsidRPr="00ED22D1">
              <w:rPr>
                <w:sz w:val="18"/>
                <w:szCs w:val="18"/>
                <w:lang w:val="fr-CA" w:eastAsia="zh-CN"/>
              </w:rPr>
              <w:t>400</w:t>
            </w:r>
          </w:p>
        </w:tc>
        <w:tc>
          <w:tcPr>
            <w:tcW w:w="1245" w:type="pct"/>
            <w:tcBorders>
              <w:top w:val="nil"/>
              <w:left w:val="single" w:sz="4" w:space="0" w:color="auto"/>
              <w:bottom w:val="single" w:sz="4" w:space="0" w:color="auto"/>
              <w:right w:val="single" w:sz="4" w:space="0" w:color="auto"/>
            </w:tcBorders>
            <w:shd w:val="clear" w:color="auto" w:fill="auto"/>
          </w:tcPr>
          <w:p w:rsidR="00D002F4" w:rsidRPr="00ED22D1" w:rsidRDefault="00B67AA6" w:rsidP="00D87C7D">
            <w:pPr>
              <w:jc w:val="left"/>
              <w:rPr>
                <w:sz w:val="18"/>
                <w:szCs w:val="18"/>
                <w:lang w:val="fr-CA"/>
              </w:rPr>
            </w:pPr>
            <w:r w:rsidRPr="00ED22D1">
              <w:rPr>
                <w:sz w:val="18"/>
                <w:szCs w:val="18"/>
                <w:lang w:val="fr-CA"/>
              </w:rPr>
              <w:t>Achèvement de la fabrication du prototype</w:t>
            </w:r>
            <w:r w:rsidR="00D002F4" w:rsidRPr="00ED22D1">
              <w:rPr>
                <w:sz w:val="18"/>
                <w:szCs w:val="18"/>
                <w:lang w:val="fr-CA"/>
              </w:rPr>
              <w:t>,</w:t>
            </w:r>
            <w:r w:rsidR="00FB1DC4" w:rsidRPr="00ED22D1">
              <w:rPr>
                <w:sz w:val="18"/>
                <w:szCs w:val="18"/>
                <w:lang w:val="fr-CA"/>
              </w:rPr>
              <w:t xml:space="preserve"> </w:t>
            </w:r>
            <w:r w:rsidRPr="00ED22D1">
              <w:rPr>
                <w:sz w:val="18"/>
                <w:szCs w:val="18"/>
                <w:lang w:val="fr-CA"/>
              </w:rPr>
              <w:t>reconversion des circuits et essai de rendement</w:t>
            </w: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1-4</w:t>
            </w:r>
          </w:p>
        </w:tc>
        <w:tc>
          <w:tcPr>
            <w:tcW w:w="642"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Nanjing TICA</w:t>
            </w:r>
          </w:p>
        </w:tc>
        <w:tc>
          <w:tcPr>
            <w:tcW w:w="554"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right"/>
              <w:rPr>
                <w:sz w:val="18"/>
                <w:szCs w:val="18"/>
                <w:lang w:val="fr-CA" w:eastAsia="zh-CN"/>
              </w:rPr>
            </w:pPr>
            <w:r w:rsidRPr="00ED22D1">
              <w:rPr>
                <w:sz w:val="18"/>
                <w:szCs w:val="18"/>
                <w:lang w:val="fr-CA" w:eastAsia="zh-CN"/>
              </w:rPr>
              <w:t>32,52</w:t>
            </w:r>
          </w:p>
        </w:tc>
        <w:tc>
          <w:tcPr>
            <w:tcW w:w="418"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noWrap/>
            <w:hideMark/>
          </w:tcPr>
          <w:p w:rsidR="00B67AA6" w:rsidRPr="00ED22D1" w:rsidRDefault="00B67AA6" w:rsidP="000768BB">
            <w:pPr>
              <w:jc w:val="left"/>
              <w:rPr>
                <w:sz w:val="18"/>
                <w:szCs w:val="18"/>
                <w:lang w:val="fr-CA" w:eastAsia="zh-CN"/>
              </w:rPr>
            </w:pPr>
            <w:r w:rsidRPr="00ED22D1">
              <w:rPr>
                <w:sz w:val="18"/>
                <w:szCs w:val="18"/>
                <w:lang w:val="fr-CA" w:eastAsia="zh-CN"/>
              </w:rPr>
              <w:t>Réchauffeur d’eau (</w:t>
            </w:r>
            <w:r w:rsidR="001354A8" w:rsidRPr="00ED22D1">
              <w:rPr>
                <w:sz w:val="18"/>
                <w:szCs w:val="18"/>
                <w:lang w:val="fr-CA" w:eastAsia="zh-CN"/>
              </w:rPr>
              <w:t>thermopompe</w:t>
            </w:r>
            <w:r w:rsidRPr="00ED22D1">
              <w:rPr>
                <w:sz w:val="18"/>
                <w:szCs w:val="18"/>
                <w:lang w:val="fr-CA" w:eastAsia="zh-CN"/>
              </w:rPr>
              <w:t>)</w:t>
            </w:r>
          </w:p>
        </w:tc>
        <w:tc>
          <w:tcPr>
            <w:tcW w:w="632"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CO</w:t>
            </w:r>
            <w:r w:rsidRPr="00ED22D1">
              <w:rPr>
                <w:sz w:val="18"/>
                <w:szCs w:val="18"/>
                <w:vertAlign w:val="subscript"/>
                <w:lang w:val="fr-CA" w:eastAsia="zh-CN"/>
              </w:rPr>
              <w:t>2</w:t>
            </w:r>
          </w:p>
        </w:tc>
        <w:tc>
          <w:tcPr>
            <w:tcW w:w="556" w:type="pct"/>
            <w:tcBorders>
              <w:top w:val="nil"/>
              <w:left w:val="nil"/>
              <w:bottom w:val="single" w:sz="4" w:space="0" w:color="auto"/>
              <w:right w:val="single" w:sz="4" w:space="0" w:color="auto"/>
            </w:tcBorders>
            <w:shd w:val="clear" w:color="auto" w:fill="auto"/>
            <w:hideMark/>
          </w:tcPr>
          <w:p w:rsidR="00B67AA6" w:rsidRPr="00ED22D1" w:rsidRDefault="00B67AA6" w:rsidP="00D87C7D">
            <w:pPr>
              <w:jc w:val="right"/>
              <w:rPr>
                <w:sz w:val="18"/>
                <w:szCs w:val="18"/>
                <w:lang w:val="fr-CA" w:eastAsia="zh-CN"/>
              </w:rPr>
            </w:pPr>
            <w:r w:rsidRPr="00ED22D1">
              <w:rPr>
                <w:sz w:val="18"/>
                <w:szCs w:val="18"/>
                <w:lang w:val="fr-CA" w:eastAsia="zh-CN"/>
              </w:rPr>
              <w:t>547 038</w:t>
            </w:r>
          </w:p>
        </w:tc>
        <w:tc>
          <w:tcPr>
            <w:tcW w:w="1245" w:type="pct"/>
            <w:tcBorders>
              <w:top w:val="nil"/>
              <w:left w:val="single" w:sz="4" w:space="0" w:color="auto"/>
              <w:bottom w:val="single" w:sz="4" w:space="0" w:color="auto"/>
              <w:right w:val="single" w:sz="4" w:space="0" w:color="auto"/>
            </w:tcBorders>
            <w:shd w:val="clear" w:color="auto" w:fill="auto"/>
          </w:tcPr>
          <w:p w:rsidR="00B67AA6" w:rsidRPr="00ED22D1" w:rsidRDefault="00B67AA6" w:rsidP="00D87C7D">
            <w:pPr>
              <w:jc w:val="left"/>
              <w:rPr>
                <w:sz w:val="18"/>
                <w:szCs w:val="18"/>
                <w:lang w:val="fr-CA"/>
              </w:rPr>
            </w:pPr>
            <w:r w:rsidRPr="00ED22D1">
              <w:rPr>
                <w:sz w:val="18"/>
                <w:szCs w:val="18"/>
                <w:lang w:val="fr-CA"/>
              </w:rPr>
              <w:t>Achèvement de la fabrication du prototype, reconversion des circuits et essai de rendement</w:t>
            </w: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1-5</w:t>
            </w:r>
          </w:p>
        </w:tc>
        <w:tc>
          <w:tcPr>
            <w:tcW w:w="64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TCL ZhongShan</w:t>
            </w:r>
          </w:p>
        </w:tc>
        <w:tc>
          <w:tcPr>
            <w:tcW w:w="55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11</w:t>
            </w:r>
            <w:r w:rsidR="004A6828" w:rsidRPr="00ED22D1">
              <w:rPr>
                <w:sz w:val="18"/>
                <w:szCs w:val="18"/>
                <w:lang w:val="fr-CA" w:eastAsia="zh-CN"/>
              </w:rPr>
              <w:t>5,</w:t>
            </w:r>
            <w:r w:rsidRPr="00ED22D1">
              <w:rPr>
                <w:sz w:val="18"/>
                <w:szCs w:val="18"/>
                <w:lang w:val="fr-CA" w:eastAsia="zh-CN"/>
              </w:rPr>
              <w:t>31</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noWrap/>
            <w:hideMark/>
          </w:tcPr>
          <w:p w:rsidR="00D002F4" w:rsidRPr="00ED22D1" w:rsidRDefault="001354A8" w:rsidP="00B67AA6">
            <w:pPr>
              <w:jc w:val="left"/>
              <w:rPr>
                <w:sz w:val="18"/>
                <w:szCs w:val="18"/>
                <w:lang w:val="fr-CA" w:eastAsia="zh-CN"/>
              </w:rPr>
            </w:pPr>
            <w:r w:rsidRPr="00ED22D1">
              <w:rPr>
                <w:sz w:val="18"/>
                <w:szCs w:val="18"/>
                <w:lang w:val="fr-CA" w:eastAsia="zh-CN"/>
              </w:rPr>
              <w:t>Climatiseur autonome</w:t>
            </w: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D002F4" w:rsidRPr="00ED22D1" w:rsidRDefault="004A6828" w:rsidP="00D87C7D">
            <w:pPr>
              <w:jc w:val="right"/>
              <w:rPr>
                <w:sz w:val="18"/>
                <w:szCs w:val="18"/>
                <w:lang w:val="fr-CA" w:eastAsia="zh-CN"/>
              </w:rPr>
            </w:pPr>
            <w:r w:rsidRPr="00ED22D1">
              <w:rPr>
                <w:sz w:val="18"/>
                <w:szCs w:val="18"/>
                <w:lang w:val="fr-CA" w:eastAsia="zh-CN"/>
              </w:rPr>
              <w:t>1 </w:t>
            </w:r>
            <w:r w:rsidR="00D002F4" w:rsidRPr="00ED22D1">
              <w:rPr>
                <w:sz w:val="18"/>
                <w:szCs w:val="18"/>
                <w:lang w:val="fr-CA" w:eastAsia="zh-CN"/>
              </w:rPr>
              <w:t>02</w:t>
            </w:r>
            <w:r w:rsidRPr="00ED22D1">
              <w:rPr>
                <w:sz w:val="18"/>
                <w:szCs w:val="18"/>
                <w:lang w:val="fr-CA" w:eastAsia="zh-CN"/>
              </w:rPr>
              <w:t>0 </w:t>
            </w:r>
            <w:r w:rsidR="00D002F4" w:rsidRPr="00ED22D1">
              <w:rPr>
                <w:sz w:val="18"/>
                <w:szCs w:val="18"/>
                <w:lang w:val="fr-CA" w:eastAsia="zh-CN"/>
              </w:rPr>
              <w:t>456</w:t>
            </w:r>
          </w:p>
        </w:tc>
        <w:tc>
          <w:tcPr>
            <w:tcW w:w="1245" w:type="pct"/>
            <w:tcBorders>
              <w:top w:val="nil"/>
              <w:left w:val="single" w:sz="4" w:space="0" w:color="auto"/>
              <w:bottom w:val="single" w:sz="4" w:space="0" w:color="auto"/>
              <w:right w:val="single" w:sz="4" w:space="0" w:color="auto"/>
            </w:tcBorders>
            <w:shd w:val="clear" w:color="auto" w:fill="auto"/>
          </w:tcPr>
          <w:p w:rsidR="00D002F4" w:rsidRPr="00ED22D1" w:rsidRDefault="001354A8" w:rsidP="00D87C7D">
            <w:pPr>
              <w:jc w:val="left"/>
              <w:rPr>
                <w:sz w:val="18"/>
                <w:szCs w:val="18"/>
                <w:lang w:val="fr-CA"/>
              </w:rPr>
            </w:pPr>
            <w:r w:rsidRPr="00ED22D1">
              <w:rPr>
                <w:sz w:val="18"/>
                <w:szCs w:val="18"/>
                <w:lang w:val="fr-CA"/>
              </w:rPr>
              <w:t>Achèvement de la conception et contrat d’approvisionnement</w:t>
            </w: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1-6</w:t>
            </w:r>
          </w:p>
        </w:tc>
        <w:tc>
          <w:tcPr>
            <w:tcW w:w="642"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Guangdong Jirong</w:t>
            </w:r>
          </w:p>
        </w:tc>
        <w:tc>
          <w:tcPr>
            <w:tcW w:w="554"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right"/>
              <w:rPr>
                <w:sz w:val="18"/>
                <w:szCs w:val="18"/>
                <w:lang w:val="fr-CA" w:eastAsia="zh-CN"/>
              </w:rPr>
            </w:pPr>
            <w:r w:rsidRPr="00ED22D1">
              <w:rPr>
                <w:sz w:val="18"/>
                <w:szCs w:val="18"/>
                <w:lang w:val="fr-CA" w:eastAsia="zh-CN"/>
              </w:rPr>
              <w:t>21,13</w:t>
            </w:r>
          </w:p>
        </w:tc>
        <w:tc>
          <w:tcPr>
            <w:tcW w:w="418"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noWrap/>
            <w:hideMark/>
          </w:tcPr>
          <w:p w:rsidR="00B67AA6" w:rsidRPr="00ED22D1" w:rsidRDefault="001354A8" w:rsidP="000768BB">
            <w:pPr>
              <w:jc w:val="left"/>
              <w:rPr>
                <w:sz w:val="18"/>
                <w:szCs w:val="18"/>
                <w:lang w:val="fr-CA" w:eastAsia="zh-CN"/>
              </w:rPr>
            </w:pPr>
            <w:r w:rsidRPr="00ED22D1">
              <w:rPr>
                <w:sz w:val="18"/>
                <w:szCs w:val="18"/>
                <w:lang w:val="fr-CA" w:eastAsia="zh-CN"/>
              </w:rPr>
              <w:t>Climatiseur autonome</w:t>
            </w:r>
          </w:p>
        </w:tc>
        <w:tc>
          <w:tcPr>
            <w:tcW w:w="632"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B67AA6" w:rsidRPr="00ED22D1" w:rsidRDefault="00B67AA6" w:rsidP="00D87C7D">
            <w:pPr>
              <w:jc w:val="right"/>
              <w:rPr>
                <w:sz w:val="18"/>
                <w:szCs w:val="18"/>
                <w:lang w:val="fr-CA" w:eastAsia="zh-CN"/>
              </w:rPr>
            </w:pPr>
            <w:r w:rsidRPr="00ED22D1">
              <w:rPr>
                <w:sz w:val="18"/>
                <w:szCs w:val="18"/>
                <w:lang w:val="fr-CA" w:eastAsia="zh-CN"/>
              </w:rPr>
              <w:t>292 769</w:t>
            </w:r>
          </w:p>
        </w:tc>
        <w:tc>
          <w:tcPr>
            <w:tcW w:w="1245" w:type="pct"/>
            <w:tcBorders>
              <w:top w:val="nil"/>
              <w:left w:val="single" w:sz="4" w:space="0" w:color="auto"/>
              <w:bottom w:val="single" w:sz="4" w:space="0" w:color="auto"/>
              <w:right w:val="single" w:sz="4" w:space="0" w:color="auto"/>
            </w:tcBorders>
            <w:shd w:val="clear" w:color="auto" w:fill="auto"/>
          </w:tcPr>
          <w:p w:rsidR="00B67AA6" w:rsidRPr="00ED22D1" w:rsidRDefault="00B67AA6" w:rsidP="00D87C7D">
            <w:pPr>
              <w:jc w:val="left"/>
              <w:rPr>
                <w:sz w:val="18"/>
                <w:szCs w:val="18"/>
                <w:highlight w:val="yellow"/>
                <w:lang w:val="fr-CA"/>
              </w:rPr>
            </w:pPr>
            <w:r w:rsidRPr="00ED22D1">
              <w:rPr>
                <w:sz w:val="18"/>
                <w:szCs w:val="18"/>
                <w:lang w:val="fr-CA"/>
              </w:rPr>
              <w:t>Achèvement de la fabrication du prototype, reconversion des circuits et essai de rendement</w:t>
            </w:r>
          </w:p>
        </w:tc>
      </w:tr>
      <w:tr w:rsidR="00B67AA6" w:rsidRPr="00ED22D1" w:rsidTr="001354A8">
        <w:trPr>
          <w:trHeight w:val="33"/>
        </w:trPr>
        <w:tc>
          <w:tcPr>
            <w:tcW w:w="91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D002F4" w:rsidRPr="00ED22D1" w:rsidRDefault="00D002F4" w:rsidP="00D87C7D">
            <w:pPr>
              <w:jc w:val="left"/>
              <w:rPr>
                <w:b/>
                <w:bCs/>
                <w:sz w:val="18"/>
                <w:szCs w:val="18"/>
                <w:lang w:val="fr-CA" w:eastAsia="zh-CN"/>
              </w:rPr>
            </w:pPr>
            <w:r w:rsidRPr="00ED22D1">
              <w:rPr>
                <w:b/>
                <w:bCs/>
                <w:sz w:val="18"/>
                <w:szCs w:val="18"/>
                <w:lang w:val="fr-CA" w:eastAsia="zh-CN"/>
              </w:rPr>
              <w:t>Total tranche I</w:t>
            </w:r>
          </w:p>
        </w:tc>
        <w:tc>
          <w:tcPr>
            <w:tcW w:w="55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b/>
                <w:bCs/>
                <w:sz w:val="18"/>
                <w:szCs w:val="18"/>
                <w:lang w:val="fr-CA" w:eastAsia="zh-CN"/>
              </w:rPr>
            </w:pPr>
            <w:r w:rsidRPr="00ED22D1">
              <w:rPr>
                <w:b/>
                <w:bCs/>
                <w:sz w:val="18"/>
                <w:szCs w:val="18"/>
                <w:lang w:val="fr-CA" w:eastAsia="zh-CN"/>
              </w:rPr>
              <w:t>87</w:t>
            </w:r>
            <w:r w:rsidR="004A6828" w:rsidRPr="00ED22D1">
              <w:rPr>
                <w:b/>
                <w:bCs/>
                <w:sz w:val="18"/>
                <w:szCs w:val="18"/>
                <w:lang w:val="fr-CA" w:eastAsia="zh-CN"/>
              </w:rPr>
              <w:t>1,</w:t>
            </w:r>
            <w:r w:rsidRPr="00ED22D1">
              <w:rPr>
                <w:b/>
                <w:bCs/>
                <w:sz w:val="18"/>
                <w:szCs w:val="18"/>
                <w:lang w:val="fr-CA" w:eastAsia="zh-CN"/>
              </w:rPr>
              <w:t>19</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b/>
                <w:bCs/>
                <w:sz w:val="18"/>
                <w:szCs w:val="18"/>
                <w:lang w:val="fr-CA" w:eastAsia="zh-CN"/>
              </w:rPr>
            </w:pPr>
            <w:r w:rsidRPr="00ED22D1">
              <w:rPr>
                <w:b/>
                <w:bCs/>
                <w:sz w:val="18"/>
                <w:szCs w:val="18"/>
                <w:lang w:val="fr-CA" w:eastAsia="zh-CN"/>
              </w:rPr>
              <w:t>6</w:t>
            </w:r>
          </w:p>
        </w:tc>
        <w:tc>
          <w:tcPr>
            <w:tcW w:w="685"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r w:rsidRPr="00ED22D1">
              <w:rPr>
                <w:sz w:val="18"/>
                <w:szCs w:val="18"/>
                <w:lang w:val="fr-CA" w:eastAsia="zh-CN"/>
              </w:rPr>
              <w:t xml:space="preserve"> </w:t>
            </w: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sz w:val="18"/>
                <w:szCs w:val="18"/>
                <w:lang w:val="fr-CA" w:eastAsia="zh-CN"/>
              </w:rPr>
            </w:pPr>
          </w:p>
        </w:tc>
        <w:tc>
          <w:tcPr>
            <w:tcW w:w="556"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b/>
                <w:bCs/>
                <w:sz w:val="18"/>
                <w:szCs w:val="18"/>
                <w:lang w:val="fr-CA" w:eastAsia="zh-CN"/>
              </w:rPr>
            </w:pPr>
            <w:r w:rsidRPr="00ED22D1">
              <w:rPr>
                <w:b/>
                <w:bCs/>
                <w:sz w:val="18"/>
                <w:szCs w:val="18"/>
                <w:lang w:val="fr-CA" w:eastAsia="zh-CN"/>
              </w:rPr>
              <w:t>1</w:t>
            </w:r>
            <w:r w:rsidR="004A6828" w:rsidRPr="00ED22D1">
              <w:rPr>
                <w:b/>
                <w:bCs/>
                <w:sz w:val="18"/>
                <w:szCs w:val="18"/>
                <w:lang w:val="fr-CA" w:eastAsia="zh-CN"/>
              </w:rPr>
              <w:t>2 </w:t>
            </w:r>
            <w:r w:rsidRPr="00ED22D1">
              <w:rPr>
                <w:b/>
                <w:bCs/>
                <w:sz w:val="18"/>
                <w:szCs w:val="18"/>
                <w:lang w:val="fr-CA" w:eastAsia="zh-CN"/>
              </w:rPr>
              <w:t>43</w:t>
            </w:r>
            <w:r w:rsidR="004A6828" w:rsidRPr="00ED22D1">
              <w:rPr>
                <w:b/>
                <w:bCs/>
                <w:sz w:val="18"/>
                <w:szCs w:val="18"/>
                <w:lang w:val="fr-CA" w:eastAsia="zh-CN"/>
              </w:rPr>
              <w:t>1 </w:t>
            </w:r>
            <w:r w:rsidRPr="00ED22D1">
              <w:rPr>
                <w:b/>
                <w:bCs/>
                <w:sz w:val="18"/>
                <w:szCs w:val="18"/>
                <w:lang w:val="fr-CA" w:eastAsia="zh-CN"/>
              </w:rPr>
              <w:t>038</w:t>
            </w:r>
          </w:p>
        </w:tc>
        <w:tc>
          <w:tcPr>
            <w:tcW w:w="1245" w:type="pct"/>
            <w:tcBorders>
              <w:top w:val="single" w:sz="4" w:space="0" w:color="auto"/>
              <w:left w:val="nil"/>
              <w:bottom w:val="single" w:sz="4" w:space="0" w:color="auto"/>
              <w:right w:val="single" w:sz="4" w:space="0" w:color="auto"/>
            </w:tcBorders>
          </w:tcPr>
          <w:p w:rsidR="00D002F4" w:rsidRPr="00ED22D1" w:rsidRDefault="00D002F4" w:rsidP="00D87C7D">
            <w:pPr>
              <w:jc w:val="left"/>
              <w:rPr>
                <w:b/>
                <w:bCs/>
                <w:sz w:val="18"/>
                <w:szCs w:val="18"/>
                <w:highlight w:val="yellow"/>
                <w:lang w:val="fr-CA" w:eastAsia="zh-CN"/>
              </w:rPr>
            </w:pPr>
          </w:p>
        </w:tc>
      </w:tr>
      <w:tr w:rsidR="00B67AA6"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2-1</w:t>
            </w:r>
          </w:p>
        </w:tc>
        <w:tc>
          <w:tcPr>
            <w:tcW w:w="642" w:type="pct"/>
            <w:tcBorders>
              <w:top w:val="nil"/>
              <w:left w:val="nil"/>
              <w:bottom w:val="single" w:sz="4" w:space="0" w:color="auto"/>
              <w:right w:val="single" w:sz="4" w:space="0" w:color="auto"/>
            </w:tcBorders>
            <w:shd w:val="clear" w:color="auto" w:fill="auto"/>
            <w:hideMark/>
          </w:tcPr>
          <w:p w:rsidR="00B67AA6" w:rsidRPr="00ED22D1" w:rsidRDefault="00B67AA6" w:rsidP="00D87C7D">
            <w:pPr>
              <w:jc w:val="left"/>
              <w:rPr>
                <w:sz w:val="18"/>
                <w:szCs w:val="18"/>
                <w:lang w:val="fr-CA" w:eastAsia="zh-CN"/>
              </w:rPr>
            </w:pPr>
            <w:r w:rsidRPr="00ED22D1">
              <w:rPr>
                <w:sz w:val="18"/>
                <w:szCs w:val="18"/>
                <w:lang w:val="fr-CA" w:eastAsia="zh-CN"/>
              </w:rPr>
              <w:t>Yantai Aowei</w:t>
            </w:r>
          </w:p>
        </w:tc>
        <w:tc>
          <w:tcPr>
            <w:tcW w:w="554"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right"/>
              <w:rPr>
                <w:sz w:val="18"/>
                <w:szCs w:val="18"/>
                <w:lang w:val="fr-CA" w:eastAsia="zh-CN"/>
              </w:rPr>
            </w:pPr>
            <w:r w:rsidRPr="00ED22D1">
              <w:rPr>
                <w:sz w:val="18"/>
                <w:szCs w:val="18"/>
                <w:lang w:val="fr-CA" w:eastAsia="zh-CN"/>
              </w:rPr>
              <w:t>108,07</w:t>
            </w:r>
          </w:p>
        </w:tc>
        <w:tc>
          <w:tcPr>
            <w:tcW w:w="418"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B67AA6" w:rsidRPr="00ED22D1" w:rsidRDefault="00B67AA6" w:rsidP="000768BB">
            <w:pPr>
              <w:jc w:val="left"/>
              <w:rPr>
                <w:sz w:val="18"/>
                <w:szCs w:val="18"/>
                <w:lang w:val="fr-CA" w:eastAsia="zh-CN"/>
              </w:rPr>
            </w:pPr>
            <w:r w:rsidRPr="00ED22D1">
              <w:rPr>
                <w:sz w:val="18"/>
                <w:szCs w:val="18"/>
                <w:lang w:val="fr-CA" w:eastAsia="zh-CN"/>
              </w:rPr>
              <w:t>Congélateur, réfrigérateur et condensateur</w:t>
            </w:r>
          </w:p>
        </w:tc>
        <w:tc>
          <w:tcPr>
            <w:tcW w:w="632" w:type="pct"/>
            <w:tcBorders>
              <w:top w:val="nil"/>
              <w:left w:val="nil"/>
              <w:bottom w:val="single" w:sz="4" w:space="0" w:color="auto"/>
              <w:right w:val="single" w:sz="4" w:space="0" w:color="auto"/>
            </w:tcBorders>
            <w:shd w:val="clear" w:color="auto" w:fill="auto"/>
            <w:noWrap/>
            <w:hideMark/>
          </w:tcPr>
          <w:p w:rsidR="00B67AA6" w:rsidRPr="00ED22D1" w:rsidRDefault="00B67AA6" w:rsidP="00D87C7D">
            <w:pPr>
              <w:jc w:val="left"/>
              <w:rPr>
                <w:sz w:val="18"/>
                <w:szCs w:val="18"/>
                <w:lang w:val="fr-CA" w:eastAsia="zh-CN"/>
              </w:rPr>
            </w:pPr>
            <w:r w:rsidRPr="00ED22D1">
              <w:rPr>
                <w:sz w:val="18"/>
                <w:szCs w:val="18"/>
                <w:lang w:val="fr-CA" w:eastAsia="zh-CN"/>
              </w:rPr>
              <w:t>NH</w:t>
            </w:r>
            <w:r w:rsidRPr="00ED22D1">
              <w:rPr>
                <w:sz w:val="18"/>
                <w:szCs w:val="18"/>
                <w:vertAlign w:val="subscript"/>
                <w:lang w:val="fr-CA" w:eastAsia="zh-CN"/>
              </w:rPr>
              <w:t>3</w:t>
            </w:r>
            <w:r w:rsidRPr="00ED22D1">
              <w:rPr>
                <w:sz w:val="18"/>
                <w:szCs w:val="18"/>
                <w:lang w:val="fr-CA" w:eastAsia="zh-CN"/>
              </w:rPr>
              <w:t>/ CO</w:t>
            </w:r>
            <w:r w:rsidRPr="00ED22D1">
              <w:rPr>
                <w:sz w:val="18"/>
                <w:szCs w:val="18"/>
                <w:vertAlign w:val="subscript"/>
                <w:lang w:val="fr-CA" w:eastAsia="zh-CN"/>
              </w:rPr>
              <w:t>2</w:t>
            </w:r>
          </w:p>
        </w:tc>
        <w:tc>
          <w:tcPr>
            <w:tcW w:w="556" w:type="pct"/>
            <w:tcBorders>
              <w:top w:val="nil"/>
              <w:left w:val="nil"/>
              <w:bottom w:val="single" w:sz="4" w:space="0" w:color="auto"/>
              <w:right w:val="single" w:sz="4" w:space="0" w:color="auto"/>
            </w:tcBorders>
            <w:shd w:val="clear" w:color="auto" w:fill="auto"/>
            <w:hideMark/>
          </w:tcPr>
          <w:p w:rsidR="00B67AA6" w:rsidRPr="00ED22D1" w:rsidRDefault="00B67AA6" w:rsidP="00D87C7D">
            <w:pPr>
              <w:jc w:val="right"/>
              <w:rPr>
                <w:sz w:val="18"/>
                <w:szCs w:val="18"/>
                <w:lang w:val="fr-CA" w:eastAsia="zh-CN"/>
              </w:rPr>
            </w:pPr>
            <w:r w:rsidRPr="00ED22D1">
              <w:rPr>
                <w:sz w:val="18"/>
                <w:szCs w:val="18"/>
                <w:lang w:val="fr-CA" w:eastAsia="zh-CN"/>
              </w:rPr>
              <w:t>1 561 153</w:t>
            </w:r>
          </w:p>
        </w:tc>
        <w:tc>
          <w:tcPr>
            <w:tcW w:w="1245" w:type="pct"/>
            <w:tcBorders>
              <w:top w:val="nil"/>
              <w:left w:val="single" w:sz="4" w:space="0" w:color="auto"/>
              <w:bottom w:val="single" w:sz="4" w:space="0" w:color="auto"/>
              <w:right w:val="single" w:sz="4" w:space="0" w:color="auto"/>
            </w:tcBorders>
            <w:shd w:val="clear" w:color="auto" w:fill="auto"/>
          </w:tcPr>
          <w:p w:rsidR="00B67AA6" w:rsidRPr="00ED22D1" w:rsidRDefault="00B67AA6" w:rsidP="00D87C7D">
            <w:pPr>
              <w:jc w:val="left"/>
              <w:rPr>
                <w:sz w:val="18"/>
                <w:szCs w:val="18"/>
                <w:highlight w:val="yellow"/>
                <w:lang w:val="fr-CA"/>
              </w:rPr>
            </w:pPr>
            <w:r w:rsidRPr="00ED22D1">
              <w:rPr>
                <w:sz w:val="18"/>
                <w:szCs w:val="18"/>
                <w:lang w:val="fr-CA"/>
              </w:rPr>
              <w:t>Achèvement de la fabrication du prototype, reconversion des circuits et essai de rendement</w:t>
            </w:r>
          </w:p>
        </w:tc>
      </w:tr>
      <w:tr w:rsidR="00B67AA6" w:rsidRPr="00C80221" w:rsidTr="001354A8">
        <w:trPr>
          <w:trHeight w:val="293"/>
        </w:trPr>
        <w:tc>
          <w:tcPr>
            <w:tcW w:w="268"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keepNext/>
              <w:keepLines/>
              <w:jc w:val="left"/>
              <w:rPr>
                <w:sz w:val="18"/>
                <w:szCs w:val="18"/>
                <w:lang w:val="fr-CA" w:eastAsia="zh-CN"/>
              </w:rPr>
            </w:pPr>
            <w:r w:rsidRPr="00ED22D1">
              <w:rPr>
                <w:sz w:val="18"/>
                <w:szCs w:val="18"/>
                <w:lang w:val="fr-CA" w:eastAsia="zh-CN"/>
              </w:rPr>
              <w:lastRenderedPageBreak/>
              <w:t>2-2</w:t>
            </w:r>
          </w:p>
        </w:tc>
        <w:tc>
          <w:tcPr>
            <w:tcW w:w="642" w:type="pct"/>
            <w:tcBorders>
              <w:top w:val="nil"/>
              <w:left w:val="nil"/>
              <w:bottom w:val="single" w:sz="4" w:space="0" w:color="auto"/>
              <w:right w:val="single" w:sz="4" w:space="0" w:color="auto"/>
            </w:tcBorders>
            <w:shd w:val="clear" w:color="auto" w:fill="auto"/>
            <w:hideMark/>
          </w:tcPr>
          <w:p w:rsidR="00D002F4" w:rsidRPr="00ED22D1" w:rsidRDefault="00D002F4" w:rsidP="00D87C7D">
            <w:pPr>
              <w:keepNext/>
              <w:keepLines/>
              <w:jc w:val="left"/>
              <w:rPr>
                <w:sz w:val="18"/>
                <w:szCs w:val="18"/>
                <w:lang w:val="fr-CA" w:eastAsia="zh-CN"/>
              </w:rPr>
            </w:pPr>
            <w:r w:rsidRPr="00ED22D1">
              <w:rPr>
                <w:sz w:val="18"/>
                <w:szCs w:val="18"/>
                <w:lang w:val="fr-CA" w:eastAsia="zh-CN"/>
              </w:rPr>
              <w:t>Yantai Aowei</w:t>
            </w:r>
          </w:p>
        </w:tc>
        <w:tc>
          <w:tcPr>
            <w:tcW w:w="55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keepNext/>
              <w:keepLines/>
              <w:jc w:val="right"/>
              <w:rPr>
                <w:sz w:val="18"/>
                <w:szCs w:val="18"/>
                <w:lang w:val="fr-CA" w:eastAsia="zh-CN"/>
              </w:rPr>
            </w:pPr>
            <w:r w:rsidRPr="00ED22D1">
              <w:rPr>
                <w:sz w:val="18"/>
                <w:szCs w:val="18"/>
                <w:lang w:val="fr-CA" w:eastAsia="zh-CN"/>
              </w:rPr>
              <w:t>7</w:t>
            </w:r>
            <w:r w:rsidR="004A6828" w:rsidRPr="00ED22D1">
              <w:rPr>
                <w:sz w:val="18"/>
                <w:szCs w:val="18"/>
                <w:lang w:val="fr-CA" w:eastAsia="zh-CN"/>
              </w:rPr>
              <w:t>5,</w:t>
            </w:r>
            <w:r w:rsidRPr="00ED22D1">
              <w:rPr>
                <w:sz w:val="18"/>
                <w:szCs w:val="18"/>
                <w:lang w:val="fr-CA" w:eastAsia="zh-CN"/>
              </w:rPr>
              <w:t>28</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keepNext/>
              <w:keepLines/>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D002F4" w:rsidRPr="00ED22D1" w:rsidRDefault="001354A8" w:rsidP="00D87C7D">
            <w:pPr>
              <w:keepNext/>
              <w:keepLines/>
              <w:jc w:val="left"/>
              <w:rPr>
                <w:sz w:val="18"/>
                <w:szCs w:val="18"/>
                <w:lang w:val="fr-CA" w:eastAsia="zh-CN"/>
              </w:rPr>
            </w:pPr>
            <w:r w:rsidRPr="00ED22D1">
              <w:rPr>
                <w:sz w:val="18"/>
                <w:szCs w:val="18"/>
                <w:lang w:val="fr-CA" w:eastAsia="zh-CN"/>
              </w:rPr>
              <w:t>Congélateur, réfrigérateur et condensateur</w:t>
            </w: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keepNext/>
              <w:keepLines/>
              <w:jc w:val="left"/>
              <w:rPr>
                <w:sz w:val="18"/>
                <w:szCs w:val="18"/>
                <w:lang w:val="fr-CA" w:eastAsia="zh-CN"/>
              </w:rPr>
            </w:pPr>
            <w:r w:rsidRPr="00ED22D1">
              <w:rPr>
                <w:sz w:val="18"/>
                <w:szCs w:val="18"/>
                <w:lang w:val="fr-CA" w:eastAsia="zh-CN"/>
              </w:rPr>
              <w:t>NH</w:t>
            </w:r>
            <w:r w:rsidRPr="00ED22D1">
              <w:rPr>
                <w:sz w:val="18"/>
                <w:szCs w:val="18"/>
                <w:vertAlign w:val="subscript"/>
                <w:lang w:val="fr-CA" w:eastAsia="zh-CN"/>
              </w:rPr>
              <w:t>3</w:t>
            </w:r>
            <w:r w:rsidRPr="00ED22D1">
              <w:rPr>
                <w:sz w:val="18"/>
                <w:szCs w:val="18"/>
                <w:lang w:val="fr-CA" w:eastAsia="zh-CN"/>
              </w:rPr>
              <w:t>/ CO</w:t>
            </w:r>
            <w:r w:rsidRPr="00ED22D1">
              <w:rPr>
                <w:sz w:val="18"/>
                <w:szCs w:val="18"/>
                <w:vertAlign w:val="subscript"/>
                <w:lang w:val="fr-CA" w:eastAsia="zh-CN"/>
              </w:rPr>
              <w:t>2</w:t>
            </w:r>
          </w:p>
        </w:tc>
        <w:tc>
          <w:tcPr>
            <w:tcW w:w="556" w:type="pct"/>
            <w:tcBorders>
              <w:top w:val="nil"/>
              <w:left w:val="nil"/>
              <w:bottom w:val="single" w:sz="4" w:space="0" w:color="auto"/>
              <w:right w:val="single" w:sz="4" w:space="0" w:color="auto"/>
            </w:tcBorders>
            <w:shd w:val="clear" w:color="auto" w:fill="auto"/>
            <w:hideMark/>
          </w:tcPr>
          <w:p w:rsidR="00D002F4" w:rsidRPr="00ED22D1" w:rsidRDefault="004A6828" w:rsidP="00D87C7D">
            <w:pPr>
              <w:keepNext/>
              <w:keepLines/>
              <w:jc w:val="right"/>
              <w:rPr>
                <w:sz w:val="18"/>
                <w:szCs w:val="18"/>
                <w:lang w:val="fr-CA" w:eastAsia="zh-CN"/>
              </w:rPr>
            </w:pPr>
            <w:r w:rsidRPr="00ED22D1">
              <w:rPr>
                <w:sz w:val="18"/>
                <w:szCs w:val="18"/>
                <w:lang w:val="fr-CA" w:eastAsia="zh-CN"/>
              </w:rPr>
              <w:t>1 </w:t>
            </w:r>
            <w:r w:rsidR="00D002F4" w:rsidRPr="00ED22D1">
              <w:rPr>
                <w:sz w:val="18"/>
                <w:szCs w:val="18"/>
                <w:lang w:val="fr-CA" w:eastAsia="zh-CN"/>
              </w:rPr>
              <w:t>16</w:t>
            </w:r>
            <w:r w:rsidRPr="00ED22D1">
              <w:rPr>
                <w:sz w:val="18"/>
                <w:szCs w:val="18"/>
                <w:lang w:val="fr-CA" w:eastAsia="zh-CN"/>
              </w:rPr>
              <w:t>8 </w:t>
            </w:r>
            <w:r w:rsidR="00D002F4" w:rsidRPr="00ED22D1">
              <w:rPr>
                <w:sz w:val="18"/>
                <w:szCs w:val="18"/>
                <w:lang w:val="fr-CA" w:eastAsia="zh-CN"/>
              </w:rPr>
              <w:t>935</w:t>
            </w:r>
          </w:p>
        </w:tc>
        <w:tc>
          <w:tcPr>
            <w:tcW w:w="1245" w:type="pct"/>
            <w:tcBorders>
              <w:top w:val="nil"/>
              <w:left w:val="single" w:sz="4" w:space="0" w:color="auto"/>
              <w:bottom w:val="single" w:sz="4" w:space="0" w:color="auto"/>
              <w:right w:val="single" w:sz="4" w:space="0" w:color="auto"/>
            </w:tcBorders>
            <w:shd w:val="clear" w:color="auto" w:fill="auto"/>
          </w:tcPr>
          <w:p w:rsidR="00D002F4" w:rsidRPr="00ED22D1" w:rsidRDefault="00B67AA6" w:rsidP="00D87C7D">
            <w:pPr>
              <w:keepNext/>
              <w:keepLines/>
              <w:jc w:val="left"/>
              <w:rPr>
                <w:sz w:val="18"/>
                <w:szCs w:val="18"/>
                <w:highlight w:val="yellow"/>
                <w:lang w:val="fr-CA"/>
              </w:rPr>
            </w:pPr>
            <w:r w:rsidRPr="00ED22D1">
              <w:rPr>
                <w:sz w:val="18"/>
                <w:szCs w:val="18"/>
                <w:lang w:val="fr-CA"/>
              </w:rPr>
              <w:t>Achèvement de la fabrication du prototype</w:t>
            </w:r>
            <w:r w:rsidR="00D002F4" w:rsidRPr="00ED22D1">
              <w:rPr>
                <w:sz w:val="18"/>
                <w:szCs w:val="18"/>
                <w:lang w:val="fr-CA"/>
              </w:rPr>
              <w:t>,</w:t>
            </w:r>
            <w:r w:rsidR="00FB1DC4" w:rsidRPr="00ED22D1">
              <w:rPr>
                <w:sz w:val="18"/>
                <w:szCs w:val="18"/>
                <w:lang w:val="fr-CA"/>
              </w:rPr>
              <w:t xml:space="preserve"> </w:t>
            </w:r>
            <w:r w:rsidRPr="00ED22D1">
              <w:rPr>
                <w:sz w:val="18"/>
                <w:szCs w:val="18"/>
                <w:lang w:val="fr-CA"/>
              </w:rPr>
              <w:t>reconversion des circuits et essai de rendement</w:t>
            </w:r>
          </w:p>
        </w:tc>
      </w:tr>
      <w:tr w:rsidR="001354A8" w:rsidRPr="00C80221" w:rsidTr="001354A8">
        <w:trPr>
          <w:trHeight w:val="285"/>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2-3</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Zhejiang Guoxiang</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42,18</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Climatiseur autonome</w:t>
            </w:r>
          </w:p>
        </w:tc>
        <w:tc>
          <w:tcPr>
            <w:tcW w:w="632"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504 288</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highlight w:val="yellow"/>
                <w:lang w:val="fr-CA"/>
              </w:rPr>
            </w:pPr>
            <w:r w:rsidRPr="00ED22D1">
              <w:rPr>
                <w:sz w:val="18"/>
                <w:szCs w:val="18"/>
                <w:lang w:val="fr-CA"/>
              </w:rPr>
              <w:t>Achèvement de la fabrication du prototype, reconversion des circuits et essai de rendement</w:t>
            </w:r>
          </w:p>
        </w:tc>
      </w:tr>
      <w:tr w:rsidR="001354A8"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2-4</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Haixin Shandong</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85,26</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Climatiseur autonome</w:t>
            </w:r>
          </w:p>
        </w:tc>
        <w:tc>
          <w:tcPr>
            <w:tcW w:w="632"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819 134</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highlight w:val="yellow"/>
                <w:lang w:val="fr-CA"/>
              </w:rPr>
            </w:pPr>
            <w:r w:rsidRPr="00ED22D1">
              <w:rPr>
                <w:sz w:val="18"/>
                <w:szCs w:val="18"/>
                <w:lang w:val="fr-CA"/>
              </w:rPr>
              <w:t>Achèvement de la fabrication du prototype, reconversion des circuits et essai de rendement</w:t>
            </w:r>
          </w:p>
        </w:tc>
      </w:tr>
      <w:tr w:rsidR="001354A8" w:rsidRPr="00C8022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keepNext/>
              <w:keepLines/>
              <w:jc w:val="left"/>
              <w:rPr>
                <w:sz w:val="18"/>
                <w:szCs w:val="18"/>
                <w:lang w:val="fr-CA" w:eastAsia="zh-CN"/>
              </w:rPr>
            </w:pPr>
            <w:r w:rsidRPr="00ED22D1">
              <w:rPr>
                <w:sz w:val="18"/>
                <w:szCs w:val="18"/>
                <w:lang w:val="fr-CA" w:eastAsia="zh-CN"/>
              </w:rPr>
              <w:t>2-5</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keepNext/>
              <w:keepLines/>
              <w:jc w:val="left"/>
              <w:rPr>
                <w:sz w:val="18"/>
                <w:szCs w:val="18"/>
                <w:lang w:val="fr-CA" w:eastAsia="zh-CN"/>
              </w:rPr>
            </w:pPr>
            <w:r w:rsidRPr="00ED22D1">
              <w:rPr>
                <w:sz w:val="18"/>
                <w:szCs w:val="18"/>
                <w:lang w:val="fr-CA" w:eastAsia="zh-CN"/>
              </w:rPr>
              <w:t>Haixin</w:t>
            </w:r>
            <w:r w:rsidRPr="00ED22D1">
              <w:rPr>
                <w:rFonts w:eastAsia="SimSun"/>
                <w:sz w:val="18"/>
                <w:szCs w:val="18"/>
                <w:lang w:val="fr-CA" w:eastAsia="zh-CN"/>
              </w:rPr>
              <w:t xml:space="preserve"> </w:t>
            </w:r>
            <w:r w:rsidRPr="00ED22D1">
              <w:rPr>
                <w:sz w:val="18"/>
                <w:szCs w:val="18"/>
                <w:lang w:val="fr-CA" w:eastAsia="zh-CN"/>
              </w:rPr>
              <w:t>Shandong</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keepNext/>
              <w:keepLines/>
              <w:jc w:val="right"/>
              <w:rPr>
                <w:sz w:val="18"/>
                <w:szCs w:val="18"/>
                <w:lang w:val="fr-CA" w:eastAsia="zh-CN"/>
              </w:rPr>
            </w:pPr>
            <w:r w:rsidRPr="00ED22D1">
              <w:rPr>
                <w:sz w:val="18"/>
                <w:szCs w:val="18"/>
                <w:lang w:val="fr-CA" w:eastAsia="zh-CN"/>
              </w:rPr>
              <w:t>105,31</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keepNext/>
              <w:keepLines/>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Climatiseur autonome</w:t>
            </w:r>
          </w:p>
        </w:tc>
        <w:tc>
          <w:tcPr>
            <w:tcW w:w="632"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keepNext/>
              <w:keepLines/>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keepNext/>
              <w:keepLines/>
              <w:jc w:val="right"/>
              <w:rPr>
                <w:sz w:val="18"/>
                <w:szCs w:val="18"/>
                <w:lang w:val="fr-CA" w:eastAsia="zh-CN"/>
              </w:rPr>
            </w:pPr>
            <w:r w:rsidRPr="00ED22D1">
              <w:rPr>
                <w:sz w:val="18"/>
                <w:szCs w:val="18"/>
                <w:lang w:val="fr-CA" w:eastAsia="zh-CN"/>
              </w:rPr>
              <w:t>953 449</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keepNext/>
              <w:keepLines/>
              <w:jc w:val="left"/>
              <w:rPr>
                <w:sz w:val="18"/>
                <w:szCs w:val="18"/>
                <w:highlight w:val="yellow"/>
                <w:lang w:val="fr-CA"/>
              </w:rPr>
            </w:pPr>
            <w:r w:rsidRPr="00ED22D1">
              <w:rPr>
                <w:sz w:val="18"/>
                <w:szCs w:val="18"/>
                <w:lang w:val="fr-CA"/>
              </w:rPr>
              <w:t>Achèvement de la fabrication du prototype, reconversion des circuits et essai de rendement</w:t>
            </w:r>
          </w:p>
        </w:tc>
      </w:tr>
      <w:tr w:rsidR="001354A8" w:rsidRPr="00ED22D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2-6</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Qingdao Haier</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492,00</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Climatiseur autonome</w:t>
            </w:r>
          </w:p>
        </w:tc>
        <w:tc>
          <w:tcPr>
            <w:tcW w:w="632"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R-32</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3 265 986</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lang w:val="fr-CA"/>
              </w:rPr>
            </w:pPr>
            <w:r w:rsidRPr="00ED22D1">
              <w:rPr>
                <w:sz w:val="18"/>
                <w:szCs w:val="18"/>
                <w:lang w:val="fr-CA"/>
              </w:rPr>
              <w:t xml:space="preserve">Achèvement de la conception </w:t>
            </w:r>
          </w:p>
        </w:tc>
      </w:tr>
      <w:tr w:rsidR="001354A8" w:rsidRPr="00ED22D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2-7</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Dunham-Bush</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112,20</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Refroidisseur d’eau (thermopompe)</w:t>
            </w:r>
          </w:p>
        </w:tc>
        <w:tc>
          <w:tcPr>
            <w:tcW w:w="63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R-513A</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1 610 512</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lang w:val="fr-CA"/>
              </w:rPr>
            </w:pPr>
            <w:r w:rsidRPr="00ED22D1">
              <w:rPr>
                <w:sz w:val="18"/>
                <w:szCs w:val="18"/>
                <w:lang w:val="fr-CA"/>
              </w:rPr>
              <w:t xml:space="preserve">Achèvement de la conception </w:t>
            </w:r>
          </w:p>
        </w:tc>
      </w:tr>
      <w:tr w:rsidR="001354A8" w:rsidRPr="00ED22D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2-8</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Dunan Environment</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147,34</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Refroidisseur d’eau (thermopompe)</w:t>
            </w:r>
          </w:p>
        </w:tc>
        <w:tc>
          <w:tcPr>
            <w:tcW w:w="63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R-513A</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2 030 774</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lang w:val="fr-CA"/>
              </w:rPr>
            </w:pPr>
            <w:r w:rsidRPr="00ED22D1">
              <w:rPr>
                <w:sz w:val="18"/>
                <w:szCs w:val="18"/>
                <w:lang w:val="fr-CA"/>
              </w:rPr>
              <w:t xml:space="preserve">Achèvement de la conception </w:t>
            </w:r>
          </w:p>
        </w:tc>
      </w:tr>
      <w:tr w:rsidR="001354A8" w:rsidRPr="00ED22D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2-9</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Zhejiang Guoxiang</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95,22</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Refroidisseur d’eau (thermopompe)</w:t>
            </w:r>
          </w:p>
        </w:tc>
        <w:tc>
          <w:tcPr>
            <w:tcW w:w="63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R-513A</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1 407 457</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lang w:val="fr-CA"/>
              </w:rPr>
            </w:pPr>
            <w:r w:rsidRPr="00ED22D1">
              <w:rPr>
                <w:sz w:val="18"/>
                <w:szCs w:val="18"/>
                <w:lang w:val="fr-CA"/>
              </w:rPr>
              <w:t xml:space="preserve">Achèvement de la conception </w:t>
            </w:r>
          </w:p>
        </w:tc>
      </w:tr>
      <w:tr w:rsidR="001354A8" w:rsidRPr="00ED22D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2-10</w:t>
            </w:r>
          </w:p>
        </w:tc>
        <w:tc>
          <w:tcPr>
            <w:tcW w:w="642"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left"/>
              <w:rPr>
                <w:sz w:val="18"/>
                <w:szCs w:val="18"/>
                <w:lang w:val="fr-CA" w:eastAsia="zh-CN"/>
              </w:rPr>
            </w:pPr>
            <w:r w:rsidRPr="00ED22D1">
              <w:rPr>
                <w:sz w:val="18"/>
                <w:szCs w:val="18"/>
                <w:lang w:val="fr-CA" w:eastAsia="zh-CN"/>
              </w:rPr>
              <w:t>Dalian Refrigeration</w:t>
            </w:r>
          </w:p>
        </w:tc>
        <w:tc>
          <w:tcPr>
            <w:tcW w:w="554"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237,04</w:t>
            </w:r>
          </w:p>
        </w:tc>
        <w:tc>
          <w:tcPr>
            <w:tcW w:w="418"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hideMark/>
          </w:tcPr>
          <w:p w:rsidR="001354A8" w:rsidRPr="00ED22D1" w:rsidRDefault="001354A8" w:rsidP="000768BB">
            <w:pPr>
              <w:jc w:val="left"/>
              <w:rPr>
                <w:sz w:val="18"/>
                <w:szCs w:val="18"/>
                <w:lang w:val="fr-CA" w:eastAsia="zh-CN"/>
              </w:rPr>
            </w:pPr>
            <w:r w:rsidRPr="00ED22D1">
              <w:rPr>
                <w:sz w:val="18"/>
                <w:szCs w:val="18"/>
                <w:lang w:val="fr-CA" w:eastAsia="zh-CN"/>
              </w:rPr>
              <w:t>Refroidisseur d’eau (thermopompe)</w:t>
            </w:r>
          </w:p>
        </w:tc>
        <w:tc>
          <w:tcPr>
            <w:tcW w:w="632" w:type="pct"/>
            <w:tcBorders>
              <w:top w:val="nil"/>
              <w:left w:val="nil"/>
              <w:bottom w:val="single" w:sz="4" w:space="0" w:color="auto"/>
              <w:right w:val="single" w:sz="4" w:space="0" w:color="auto"/>
            </w:tcBorders>
            <w:shd w:val="clear" w:color="auto" w:fill="auto"/>
            <w:noWrap/>
            <w:hideMark/>
          </w:tcPr>
          <w:p w:rsidR="001354A8" w:rsidRPr="00ED22D1" w:rsidRDefault="001354A8" w:rsidP="00D87C7D">
            <w:pPr>
              <w:jc w:val="left"/>
              <w:rPr>
                <w:sz w:val="18"/>
                <w:szCs w:val="18"/>
                <w:lang w:val="fr-CA" w:eastAsia="zh-CN"/>
              </w:rPr>
            </w:pPr>
            <w:r w:rsidRPr="00ED22D1">
              <w:rPr>
                <w:sz w:val="18"/>
                <w:szCs w:val="18"/>
                <w:lang w:val="fr-CA" w:eastAsia="zh-CN"/>
              </w:rPr>
              <w:t>R-290</w:t>
            </w:r>
          </w:p>
        </w:tc>
        <w:tc>
          <w:tcPr>
            <w:tcW w:w="556" w:type="pct"/>
            <w:tcBorders>
              <w:top w:val="nil"/>
              <w:left w:val="nil"/>
              <w:bottom w:val="single" w:sz="4" w:space="0" w:color="auto"/>
              <w:right w:val="single" w:sz="4" w:space="0" w:color="auto"/>
            </w:tcBorders>
            <w:shd w:val="clear" w:color="auto" w:fill="auto"/>
            <w:hideMark/>
          </w:tcPr>
          <w:p w:rsidR="001354A8" w:rsidRPr="00ED22D1" w:rsidRDefault="001354A8" w:rsidP="00D87C7D">
            <w:pPr>
              <w:jc w:val="right"/>
              <w:rPr>
                <w:sz w:val="18"/>
                <w:szCs w:val="18"/>
                <w:lang w:val="fr-CA" w:eastAsia="zh-CN"/>
              </w:rPr>
            </w:pPr>
            <w:r w:rsidRPr="00ED22D1">
              <w:rPr>
                <w:sz w:val="18"/>
                <w:szCs w:val="18"/>
                <w:lang w:val="fr-CA" w:eastAsia="zh-CN"/>
              </w:rPr>
              <w:t>3 373 561</w:t>
            </w:r>
          </w:p>
        </w:tc>
        <w:tc>
          <w:tcPr>
            <w:tcW w:w="1245" w:type="pct"/>
            <w:tcBorders>
              <w:top w:val="nil"/>
              <w:left w:val="single" w:sz="4" w:space="0" w:color="auto"/>
              <w:bottom w:val="single" w:sz="4" w:space="0" w:color="auto"/>
              <w:right w:val="single" w:sz="4" w:space="0" w:color="auto"/>
            </w:tcBorders>
            <w:shd w:val="clear" w:color="auto" w:fill="auto"/>
          </w:tcPr>
          <w:p w:rsidR="001354A8" w:rsidRPr="00ED22D1" w:rsidRDefault="001354A8" w:rsidP="00D87C7D">
            <w:pPr>
              <w:jc w:val="left"/>
              <w:rPr>
                <w:sz w:val="18"/>
                <w:szCs w:val="18"/>
                <w:lang w:val="fr-CA"/>
              </w:rPr>
            </w:pPr>
            <w:r w:rsidRPr="00ED22D1">
              <w:rPr>
                <w:sz w:val="18"/>
                <w:szCs w:val="18"/>
                <w:lang w:val="fr-CA"/>
              </w:rPr>
              <w:t xml:space="preserve">Achèvement de la conception </w:t>
            </w:r>
          </w:p>
        </w:tc>
      </w:tr>
      <w:tr w:rsidR="00B67AA6" w:rsidRPr="00ED22D1" w:rsidTr="001354A8">
        <w:trPr>
          <w:trHeight w:val="33"/>
        </w:trPr>
        <w:tc>
          <w:tcPr>
            <w:tcW w:w="268"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sz w:val="18"/>
                <w:szCs w:val="18"/>
                <w:lang w:val="fr-CA" w:eastAsia="zh-CN"/>
              </w:rPr>
            </w:pPr>
            <w:r w:rsidRPr="00ED22D1">
              <w:rPr>
                <w:sz w:val="18"/>
                <w:szCs w:val="18"/>
                <w:lang w:val="fr-CA" w:eastAsia="zh-CN"/>
              </w:rPr>
              <w:t>2-11</w:t>
            </w:r>
          </w:p>
        </w:tc>
        <w:tc>
          <w:tcPr>
            <w:tcW w:w="642" w:type="pct"/>
            <w:tcBorders>
              <w:top w:val="nil"/>
              <w:left w:val="nil"/>
              <w:bottom w:val="single" w:sz="4" w:space="0" w:color="auto"/>
              <w:right w:val="single" w:sz="4" w:space="0" w:color="auto"/>
            </w:tcBorders>
            <w:shd w:val="clear" w:color="auto" w:fill="auto"/>
          </w:tcPr>
          <w:p w:rsidR="00D002F4" w:rsidRPr="00ED22D1" w:rsidRDefault="00D002F4" w:rsidP="00D87C7D">
            <w:pPr>
              <w:jc w:val="left"/>
              <w:rPr>
                <w:sz w:val="18"/>
                <w:szCs w:val="18"/>
                <w:lang w:val="fr-CA" w:eastAsia="zh-CN"/>
              </w:rPr>
            </w:pPr>
            <w:r w:rsidRPr="00ED22D1">
              <w:rPr>
                <w:sz w:val="18"/>
                <w:szCs w:val="18"/>
                <w:lang w:val="fr-CA" w:eastAsia="zh-CN"/>
              </w:rPr>
              <w:t>Shandong Shenzhou</w:t>
            </w:r>
          </w:p>
        </w:tc>
        <w:tc>
          <w:tcPr>
            <w:tcW w:w="55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sz w:val="18"/>
                <w:szCs w:val="18"/>
                <w:lang w:val="fr-CA" w:eastAsia="zh-CN"/>
              </w:rPr>
            </w:pPr>
            <w:r w:rsidRPr="00ED22D1">
              <w:rPr>
                <w:sz w:val="18"/>
                <w:szCs w:val="18"/>
                <w:lang w:val="fr-CA" w:eastAsia="zh-CN"/>
              </w:rPr>
              <w:t>11</w:t>
            </w:r>
            <w:r w:rsidR="004A6828" w:rsidRPr="00ED22D1">
              <w:rPr>
                <w:sz w:val="18"/>
                <w:szCs w:val="18"/>
                <w:lang w:val="fr-CA" w:eastAsia="zh-CN"/>
              </w:rPr>
              <w:t>4,</w:t>
            </w:r>
            <w:r w:rsidRPr="00ED22D1">
              <w:rPr>
                <w:sz w:val="18"/>
                <w:szCs w:val="18"/>
                <w:lang w:val="fr-CA" w:eastAsia="zh-CN"/>
              </w:rPr>
              <w:t>09</w:t>
            </w:r>
          </w:p>
        </w:tc>
        <w:tc>
          <w:tcPr>
            <w:tcW w:w="418"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sz w:val="18"/>
                <w:szCs w:val="18"/>
                <w:lang w:val="fr-CA" w:eastAsia="zh-CN"/>
              </w:rPr>
            </w:pPr>
            <w:r w:rsidRPr="00ED22D1">
              <w:rPr>
                <w:sz w:val="18"/>
                <w:szCs w:val="18"/>
                <w:lang w:val="fr-CA" w:eastAsia="zh-CN"/>
              </w:rPr>
              <w:t>1</w:t>
            </w:r>
          </w:p>
        </w:tc>
        <w:tc>
          <w:tcPr>
            <w:tcW w:w="685"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sz w:val="18"/>
                <w:szCs w:val="18"/>
                <w:lang w:val="fr-CA" w:eastAsia="zh-CN"/>
              </w:rPr>
            </w:pPr>
            <w:r w:rsidRPr="00ED22D1">
              <w:rPr>
                <w:sz w:val="18"/>
                <w:szCs w:val="18"/>
                <w:lang w:val="fr-CA" w:eastAsia="zh-CN"/>
              </w:rPr>
              <w:t>Congélateur, réfrigérateur et condensateur</w:t>
            </w:r>
          </w:p>
        </w:tc>
        <w:tc>
          <w:tcPr>
            <w:tcW w:w="632" w:type="pct"/>
            <w:tcBorders>
              <w:top w:val="nil"/>
              <w:left w:val="nil"/>
              <w:bottom w:val="single" w:sz="4" w:space="0" w:color="auto"/>
              <w:right w:val="single" w:sz="4" w:space="0" w:color="auto"/>
            </w:tcBorders>
            <w:shd w:val="clear" w:color="auto" w:fill="auto"/>
            <w:noWrap/>
          </w:tcPr>
          <w:p w:rsidR="00D002F4" w:rsidRPr="00ED22D1" w:rsidRDefault="00D002F4" w:rsidP="00D87C7D">
            <w:pPr>
              <w:jc w:val="left"/>
              <w:rPr>
                <w:sz w:val="18"/>
                <w:szCs w:val="18"/>
                <w:lang w:val="fr-CA" w:eastAsia="zh-CN"/>
              </w:rPr>
            </w:pPr>
            <w:r w:rsidRPr="00ED22D1">
              <w:rPr>
                <w:sz w:val="18"/>
                <w:szCs w:val="18"/>
                <w:lang w:val="fr-CA" w:eastAsia="zh-CN"/>
              </w:rPr>
              <w:t>NH</w:t>
            </w:r>
            <w:r w:rsidRPr="00ED22D1">
              <w:rPr>
                <w:sz w:val="18"/>
                <w:szCs w:val="18"/>
                <w:vertAlign w:val="subscript"/>
                <w:lang w:val="fr-CA" w:eastAsia="zh-CN"/>
              </w:rPr>
              <w:t>3</w:t>
            </w:r>
            <w:r w:rsidRPr="00ED22D1">
              <w:rPr>
                <w:sz w:val="18"/>
                <w:szCs w:val="18"/>
                <w:lang w:val="fr-CA" w:eastAsia="zh-CN"/>
              </w:rPr>
              <w:t>/ CO</w:t>
            </w:r>
            <w:r w:rsidRPr="00ED22D1">
              <w:rPr>
                <w:sz w:val="18"/>
                <w:szCs w:val="18"/>
                <w:vertAlign w:val="subscript"/>
                <w:lang w:val="fr-CA" w:eastAsia="zh-CN"/>
              </w:rPr>
              <w:t>2</w:t>
            </w:r>
          </w:p>
        </w:tc>
        <w:tc>
          <w:tcPr>
            <w:tcW w:w="556" w:type="pct"/>
            <w:tcBorders>
              <w:top w:val="nil"/>
              <w:left w:val="nil"/>
              <w:bottom w:val="single" w:sz="4" w:space="0" w:color="auto"/>
              <w:right w:val="single" w:sz="4" w:space="0" w:color="auto"/>
            </w:tcBorders>
            <w:shd w:val="clear" w:color="auto" w:fill="auto"/>
          </w:tcPr>
          <w:p w:rsidR="00D002F4" w:rsidRPr="00ED22D1" w:rsidRDefault="004A6828" w:rsidP="00D87C7D">
            <w:pPr>
              <w:jc w:val="right"/>
              <w:rPr>
                <w:sz w:val="18"/>
                <w:szCs w:val="18"/>
                <w:lang w:val="fr-CA" w:eastAsia="zh-CN"/>
              </w:rPr>
            </w:pPr>
            <w:r w:rsidRPr="00ED22D1">
              <w:rPr>
                <w:sz w:val="18"/>
                <w:szCs w:val="18"/>
                <w:lang w:val="fr-CA" w:eastAsia="zh-CN"/>
              </w:rPr>
              <w:t>1 </w:t>
            </w:r>
            <w:r w:rsidR="00D002F4" w:rsidRPr="00ED22D1">
              <w:rPr>
                <w:sz w:val="18"/>
                <w:szCs w:val="18"/>
                <w:lang w:val="fr-CA" w:eastAsia="zh-CN"/>
              </w:rPr>
              <w:t>63</w:t>
            </w:r>
            <w:r w:rsidRPr="00ED22D1">
              <w:rPr>
                <w:sz w:val="18"/>
                <w:szCs w:val="18"/>
                <w:lang w:val="fr-CA" w:eastAsia="zh-CN"/>
              </w:rPr>
              <w:t>3 </w:t>
            </w:r>
            <w:r w:rsidR="00D002F4" w:rsidRPr="00ED22D1">
              <w:rPr>
                <w:sz w:val="18"/>
                <w:szCs w:val="18"/>
                <w:lang w:val="fr-CA" w:eastAsia="zh-CN"/>
              </w:rPr>
              <w:t>116</w:t>
            </w:r>
          </w:p>
        </w:tc>
        <w:tc>
          <w:tcPr>
            <w:tcW w:w="1245" w:type="pct"/>
            <w:tcBorders>
              <w:top w:val="nil"/>
              <w:left w:val="single" w:sz="4" w:space="0" w:color="auto"/>
              <w:bottom w:val="single" w:sz="4" w:space="0" w:color="auto"/>
              <w:right w:val="single" w:sz="4" w:space="0" w:color="auto"/>
            </w:tcBorders>
            <w:shd w:val="clear" w:color="auto" w:fill="auto"/>
          </w:tcPr>
          <w:p w:rsidR="00D002F4" w:rsidRPr="00ED22D1" w:rsidRDefault="001354A8" w:rsidP="00D87C7D">
            <w:pPr>
              <w:jc w:val="left"/>
              <w:rPr>
                <w:sz w:val="18"/>
                <w:szCs w:val="18"/>
                <w:lang w:val="fr-CA"/>
              </w:rPr>
            </w:pPr>
            <w:r w:rsidRPr="00ED22D1">
              <w:rPr>
                <w:sz w:val="18"/>
                <w:szCs w:val="18"/>
                <w:lang w:val="fr-CA"/>
              </w:rPr>
              <w:t>Achèvement de la conception</w:t>
            </w:r>
            <w:r w:rsidR="00D002F4" w:rsidRPr="00ED22D1">
              <w:rPr>
                <w:sz w:val="18"/>
                <w:szCs w:val="18"/>
                <w:lang w:val="fr-CA"/>
              </w:rPr>
              <w:t xml:space="preserve"> </w:t>
            </w:r>
          </w:p>
        </w:tc>
      </w:tr>
      <w:tr w:rsidR="00B67AA6" w:rsidRPr="00ED22D1" w:rsidTr="001354A8">
        <w:trPr>
          <w:trHeight w:val="190"/>
        </w:trPr>
        <w:tc>
          <w:tcPr>
            <w:tcW w:w="910" w:type="pct"/>
            <w:gridSpan w:val="2"/>
            <w:tcBorders>
              <w:top w:val="single" w:sz="4" w:space="0" w:color="auto"/>
              <w:left w:val="single" w:sz="4" w:space="0" w:color="auto"/>
              <w:bottom w:val="single" w:sz="4" w:space="0" w:color="auto"/>
              <w:right w:val="nil"/>
            </w:tcBorders>
            <w:shd w:val="clear" w:color="auto" w:fill="auto"/>
            <w:noWrap/>
            <w:hideMark/>
          </w:tcPr>
          <w:p w:rsidR="00D002F4" w:rsidRPr="00ED22D1" w:rsidRDefault="00D002F4" w:rsidP="001354A8">
            <w:pPr>
              <w:jc w:val="left"/>
              <w:rPr>
                <w:b/>
                <w:bCs/>
                <w:sz w:val="18"/>
                <w:szCs w:val="18"/>
                <w:lang w:val="fr-CA" w:eastAsia="zh-CN"/>
              </w:rPr>
            </w:pPr>
            <w:r w:rsidRPr="00ED22D1">
              <w:rPr>
                <w:b/>
                <w:bCs/>
                <w:sz w:val="18"/>
                <w:szCs w:val="18"/>
                <w:lang w:val="fr-CA" w:eastAsia="zh-CN"/>
              </w:rPr>
              <w:t>Total</w:t>
            </w:r>
            <w:r w:rsidR="001354A8" w:rsidRPr="00ED22D1">
              <w:rPr>
                <w:b/>
                <w:bCs/>
                <w:sz w:val="18"/>
                <w:szCs w:val="18"/>
                <w:lang w:val="fr-CA" w:eastAsia="zh-CN"/>
              </w:rPr>
              <w:t xml:space="preserve"> - T</w:t>
            </w:r>
            <w:r w:rsidRPr="00ED22D1">
              <w:rPr>
                <w:b/>
                <w:bCs/>
                <w:sz w:val="18"/>
                <w:szCs w:val="18"/>
                <w:lang w:val="fr-CA" w:eastAsia="zh-CN"/>
              </w:rPr>
              <w:t>ranche II</w:t>
            </w:r>
          </w:p>
        </w:tc>
        <w:tc>
          <w:tcPr>
            <w:tcW w:w="554"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4A6828" w:rsidP="00D87C7D">
            <w:pPr>
              <w:jc w:val="right"/>
              <w:rPr>
                <w:b/>
                <w:bCs/>
                <w:sz w:val="18"/>
                <w:szCs w:val="18"/>
                <w:lang w:val="fr-CA" w:eastAsia="zh-CN"/>
              </w:rPr>
            </w:pPr>
            <w:r w:rsidRPr="00ED22D1">
              <w:rPr>
                <w:b/>
                <w:bCs/>
                <w:sz w:val="18"/>
                <w:szCs w:val="18"/>
                <w:lang w:val="fr-CA" w:eastAsia="zh-CN"/>
              </w:rPr>
              <w:t>1 </w:t>
            </w:r>
            <w:r w:rsidR="00D002F4" w:rsidRPr="00ED22D1">
              <w:rPr>
                <w:b/>
                <w:bCs/>
                <w:sz w:val="18"/>
                <w:szCs w:val="18"/>
                <w:lang w:val="fr-CA" w:eastAsia="zh-CN"/>
              </w:rPr>
              <w:t>61</w:t>
            </w:r>
            <w:r w:rsidRPr="00ED22D1">
              <w:rPr>
                <w:b/>
                <w:bCs/>
                <w:sz w:val="18"/>
                <w:szCs w:val="18"/>
                <w:lang w:val="fr-CA" w:eastAsia="zh-CN"/>
              </w:rPr>
              <w:t>3,</w:t>
            </w:r>
            <w:r w:rsidR="00D002F4" w:rsidRPr="00ED22D1">
              <w:rPr>
                <w:b/>
                <w:bCs/>
                <w:sz w:val="18"/>
                <w:szCs w:val="18"/>
                <w:lang w:val="fr-CA" w:eastAsia="zh-CN"/>
              </w:rPr>
              <w:t>99</w:t>
            </w:r>
          </w:p>
        </w:tc>
        <w:tc>
          <w:tcPr>
            <w:tcW w:w="418"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b/>
                <w:bCs/>
                <w:sz w:val="18"/>
                <w:szCs w:val="18"/>
                <w:lang w:val="fr-CA" w:eastAsia="zh-CN"/>
              </w:rPr>
            </w:pPr>
            <w:r w:rsidRPr="00ED22D1">
              <w:rPr>
                <w:b/>
                <w:bCs/>
                <w:sz w:val="18"/>
                <w:szCs w:val="18"/>
                <w:lang w:val="fr-CA" w:eastAsia="zh-CN"/>
              </w:rPr>
              <w:t>11</w:t>
            </w:r>
          </w:p>
        </w:tc>
        <w:tc>
          <w:tcPr>
            <w:tcW w:w="685"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b/>
                <w:bCs/>
                <w:sz w:val="18"/>
                <w:szCs w:val="18"/>
                <w:lang w:val="fr-CA" w:eastAsia="zh-CN"/>
              </w:rPr>
            </w:pPr>
          </w:p>
        </w:tc>
        <w:tc>
          <w:tcPr>
            <w:tcW w:w="632"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b/>
                <w:bCs/>
                <w:sz w:val="18"/>
                <w:szCs w:val="18"/>
                <w:lang w:val="fr-CA" w:eastAsia="zh-CN"/>
              </w:rPr>
            </w:pPr>
          </w:p>
        </w:tc>
        <w:tc>
          <w:tcPr>
            <w:tcW w:w="556"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ind w:right="-30"/>
              <w:jc w:val="right"/>
              <w:rPr>
                <w:b/>
                <w:bCs/>
                <w:sz w:val="18"/>
                <w:szCs w:val="18"/>
                <w:lang w:val="fr-CA" w:eastAsia="zh-CN"/>
              </w:rPr>
            </w:pPr>
            <w:r w:rsidRPr="00ED22D1">
              <w:rPr>
                <w:b/>
                <w:bCs/>
                <w:sz w:val="18"/>
                <w:szCs w:val="18"/>
                <w:lang w:val="fr-CA" w:eastAsia="zh-CN"/>
              </w:rPr>
              <w:t>1</w:t>
            </w:r>
            <w:r w:rsidR="004A6828" w:rsidRPr="00ED22D1">
              <w:rPr>
                <w:b/>
                <w:bCs/>
                <w:sz w:val="18"/>
                <w:szCs w:val="18"/>
                <w:lang w:val="fr-CA" w:eastAsia="zh-CN"/>
              </w:rPr>
              <w:t>8 </w:t>
            </w:r>
            <w:r w:rsidRPr="00ED22D1">
              <w:rPr>
                <w:b/>
                <w:bCs/>
                <w:sz w:val="18"/>
                <w:szCs w:val="18"/>
                <w:lang w:val="fr-CA" w:eastAsia="zh-CN"/>
              </w:rPr>
              <w:t>32</w:t>
            </w:r>
            <w:r w:rsidR="004A6828" w:rsidRPr="00ED22D1">
              <w:rPr>
                <w:b/>
                <w:bCs/>
                <w:sz w:val="18"/>
                <w:szCs w:val="18"/>
                <w:lang w:val="fr-CA" w:eastAsia="zh-CN"/>
              </w:rPr>
              <w:t>8 </w:t>
            </w:r>
            <w:r w:rsidRPr="00ED22D1">
              <w:rPr>
                <w:b/>
                <w:bCs/>
                <w:sz w:val="18"/>
                <w:szCs w:val="18"/>
                <w:lang w:val="fr-CA" w:eastAsia="zh-CN"/>
              </w:rPr>
              <w:t>365</w:t>
            </w:r>
          </w:p>
        </w:tc>
        <w:tc>
          <w:tcPr>
            <w:tcW w:w="1245" w:type="pct"/>
            <w:tcBorders>
              <w:top w:val="single" w:sz="4" w:space="0" w:color="auto"/>
              <w:left w:val="nil"/>
              <w:bottom w:val="single" w:sz="4" w:space="0" w:color="auto"/>
              <w:right w:val="single" w:sz="4" w:space="0" w:color="auto"/>
            </w:tcBorders>
          </w:tcPr>
          <w:p w:rsidR="00D002F4" w:rsidRPr="00ED22D1" w:rsidRDefault="00D002F4" w:rsidP="00D87C7D">
            <w:pPr>
              <w:jc w:val="left"/>
              <w:rPr>
                <w:b/>
                <w:bCs/>
                <w:sz w:val="18"/>
                <w:szCs w:val="18"/>
                <w:lang w:val="fr-CA" w:eastAsia="zh-CN"/>
              </w:rPr>
            </w:pPr>
          </w:p>
        </w:tc>
      </w:tr>
      <w:tr w:rsidR="001354A8" w:rsidRPr="00C80221" w:rsidTr="001354A8">
        <w:trPr>
          <w:trHeight w:val="190"/>
        </w:trPr>
        <w:tc>
          <w:tcPr>
            <w:tcW w:w="268" w:type="pct"/>
            <w:tcBorders>
              <w:top w:val="single" w:sz="4" w:space="0" w:color="auto"/>
              <w:left w:val="single" w:sz="4" w:space="0" w:color="auto"/>
              <w:bottom w:val="single" w:sz="4" w:space="0" w:color="auto"/>
              <w:right w:val="nil"/>
            </w:tcBorders>
            <w:shd w:val="clear" w:color="auto" w:fill="auto"/>
            <w:noWrap/>
          </w:tcPr>
          <w:p w:rsidR="001354A8" w:rsidRPr="00ED22D1" w:rsidRDefault="001354A8" w:rsidP="00D87C7D">
            <w:pPr>
              <w:jc w:val="left"/>
              <w:rPr>
                <w:bCs/>
                <w:sz w:val="18"/>
                <w:szCs w:val="18"/>
                <w:lang w:val="fr-CA" w:eastAsia="zh-CN"/>
              </w:rPr>
            </w:pPr>
            <w:r w:rsidRPr="00ED22D1">
              <w:rPr>
                <w:bCs/>
                <w:sz w:val="18"/>
                <w:szCs w:val="18"/>
                <w:lang w:val="fr-CA" w:eastAsia="zh-CN"/>
              </w:rPr>
              <w:t>3-1</w:t>
            </w:r>
          </w:p>
        </w:tc>
        <w:tc>
          <w:tcPr>
            <w:tcW w:w="642" w:type="pct"/>
            <w:tcBorders>
              <w:top w:val="single" w:sz="4" w:space="0" w:color="auto"/>
              <w:left w:val="single" w:sz="4" w:space="0" w:color="auto"/>
              <w:bottom w:val="single" w:sz="4" w:space="0" w:color="auto"/>
              <w:right w:val="nil"/>
            </w:tcBorders>
            <w:shd w:val="clear" w:color="auto" w:fill="auto"/>
          </w:tcPr>
          <w:p w:rsidR="001354A8" w:rsidRPr="00ED22D1" w:rsidRDefault="001354A8" w:rsidP="00D87C7D">
            <w:pPr>
              <w:jc w:val="left"/>
              <w:rPr>
                <w:bCs/>
                <w:sz w:val="18"/>
                <w:szCs w:val="18"/>
                <w:lang w:val="fr-CA" w:eastAsia="zh-CN"/>
              </w:rPr>
            </w:pPr>
            <w:r w:rsidRPr="00ED22D1">
              <w:rPr>
                <w:bCs/>
                <w:sz w:val="18"/>
                <w:szCs w:val="18"/>
                <w:lang w:val="fr-CA" w:eastAsia="zh-CN"/>
              </w:rPr>
              <w:t>Dalian Refrigeration</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54A8" w:rsidRPr="00ED22D1" w:rsidRDefault="001354A8" w:rsidP="00D87C7D">
            <w:pPr>
              <w:jc w:val="right"/>
              <w:rPr>
                <w:bCs/>
                <w:sz w:val="18"/>
                <w:szCs w:val="18"/>
                <w:lang w:val="fr-CA" w:eastAsia="zh-CN"/>
              </w:rPr>
            </w:pPr>
            <w:r w:rsidRPr="00ED22D1">
              <w:rPr>
                <w:bCs/>
                <w:sz w:val="18"/>
                <w:szCs w:val="18"/>
                <w:lang w:val="fr-CA" w:eastAsia="zh-CN"/>
              </w:rPr>
              <w:t>73,00</w:t>
            </w:r>
          </w:p>
        </w:tc>
        <w:tc>
          <w:tcPr>
            <w:tcW w:w="418" w:type="pct"/>
            <w:tcBorders>
              <w:top w:val="single" w:sz="4" w:space="0" w:color="auto"/>
              <w:left w:val="nil"/>
              <w:bottom w:val="single" w:sz="4" w:space="0" w:color="auto"/>
              <w:right w:val="single" w:sz="4" w:space="0" w:color="auto"/>
            </w:tcBorders>
            <w:shd w:val="clear" w:color="auto" w:fill="auto"/>
            <w:noWrap/>
          </w:tcPr>
          <w:p w:rsidR="001354A8" w:rsidRPr="00ED22D1" w:rsidRDefault="001354A8" w:rsidP="00D87C7D">
            <w:pPr>
              <w:jc w:val="right"/>
              <w:rPr>
                <w:bCs/>
                <w:sz w:val="18"/>
                <w:szCs w:val="18"/>
                <w:lang w:val="fr-CA" w:eastAsia="zh-CN"/>
              </w:rPr>
            </w:pPr>
            <w:r w:rsidRPr="00ED22D1">
              <w:rPr>
                <w:bCs/>
                <w:sz w:val="18"/>
                <w:szCs w:val="18"/>
                <w:lang w:val="fr-CA" w:eastAsia="zh-CN"/>
              </w:rPr>
              <w:t>1</w:t>
            </w:r>
          </w:p>
        </w:tc>
        <w:tc>
          <w:tcPr>
            <w:tcW w:w="685" w:type="pct"/>
            <w:tcBorders>
              <w:top w:val="single" w:sz="4" w:space="0" w:color="auto"/>
              <w:left w:val="nil"/>
              <w:bottom w:val="single" w:sz="4" w:space="0" w:color="auto"/>
              <w:right w:val="single" w:sz="4" w:space="0" w:color="auto"/>
            </w:tcBorders>
            <w:shd w:val="clear" w:color="auto" w:fill="auto"/>
            <w:noWrap/>
          </w:tcPr>
          <w:p w:rsidR="001354A8" w:rsidRPr="00ED22D1" w:rsidRDefault="001354A8" w:rsidP="000768BB">
            <w:pPr>
              <w:jc w:val="left"/>
              <w:rPr>
                <w:sz w:val="18"/>
                <w:szCs w:val="18"/>
                <w:lang w:val="fr-CA" w:eastAsia="zh-CN"/>
              </w:rPr>
            </w:pPr>
            <w:r w:rsidRPr="00ED22D1">
              <w:rPr>
                <w:sz w:val="18"/>
                <w:szCs w:val="18"/>
                <w:lang w:val="fr-CA" w:eastAsia="zh-CN"/>
              </w:rPr>
              <w:t>Refroidisseur d’eau (thermopompe)</w:t>
            </w:r>
          </w:p>
        </w:tc>
        <w:tc>
          <w:tcPr>
            <w:tcW w:w="632" w:type="pct"/>
            <w:tcBorders>
              <w:top w:val="single" w:sz="4" w:space="0" w:color="auto"/>
              <w:left w:val="nil"/>
              <w:bottom w:val="single" w:sz="4" w:space="0" w:color="auto"/>
              <w:right w:val="single" w:sz="4" w:space="0" w:color="auto"/>
            </w:tcBorders>
            <w:shd w:val="clear" w:color="auto" w:fill="auto"/>
            <w:noWrap/>
          </w:tcPr>
          <w:p w:rsidR="001354A8" w:rsidRPr="00ED22D1" w:rsidRDefault="001354A8" w:rsidP="00D87C7D">
            <w:pPr>
              <w:jc w:val="left"/>
              <w:rPr>
                <w:bCs/>
                <w:sz w:val="18"/>
                <w:szCs w:val="18"/>
                <w:lang w:val="fr-CA" w:eastAsia="zh-CN"/>
              </w:rPr>
            </w:pPr>
            <w:r w:rsidRPr="00ED22D1">
              <w:rPr>
                <w:bCs/>
                <w:sz w:val="18"/>
                <w:szCs w:val="18"/>
                <w:lang w:val="fr-CA" w:eastAsia="zh-CN"/>
              </w:rPr>
              <w:t>R-290</w:t>
            </w:r>
          </w:p>
        </w:tc>
        <w:tc>
          <w:tcPr>
            <w:tcW w:w="556" w:type="pct"/>
            <w:tcBorders>
              <w:top w:val="single" w:sz="4" w:space="0" w:color="auto"/>
              <w:left w:val="nil"/>
              <w:bottom w:val="single" w:sz="4" w:space="0" w:color="auto"/>
              <w:right w:val="single" w:sz="4" w:space="0" w:color="auto"/>
            </w:tcBorders>
            <w:shd w:val="clear" w:color="auto" w:fill="auto"/>
            <w:noWrap/>
          </w:tcPr>
          <w:p w:rsidR="001354A8" w:rsidRPr="00ED22D1" w:rsidRDefault="001354A8" w:rsidP="00D87C7D">
            <w:pPr>
              <w:ind w:right="-30"/>
              <w:jc w:val="right"/>
              <w:rPr>
                <w:bCs/>
                <w:sz w:val="18"/>
                <w:szCs w:val="18"/>
                <w:lang w:val="fr-CA" w:eastAsia="zh-CN"/>
              </w:rPr>
            </w:pPr>
            <w:r w:rsidRPr="00ED22D1">
              <w:rPr>
                <w:bCs/>
                <w:sz w:val="18"/>
                <w:szCs w:val="18"/>
                <w:lang w:val="fr-CA" w:eastAsia="zh-CN"/>
              </w:rPr>
              <w:t>1 231 414</w:t>
            </w:r>
          </w:p>
        </w:tc>
        <w:tc>
          <w:tcPr>
            <w:tcW w:w="1245" w:type="pct"/>
            <w:tcBorders>
              <w:top w:val="single" w:sz="4" w:space="0" w:color="auto"/>
              <w:left w:val="nil"/>
              <w:bottom w:val="single" w:sz="4" w:space="0" w:color="auto"/>
              <w:right w:val="single" w:sz="4" w:space="0" w:color="auto"/>
            </w:tcBorders>
          </w:tcPr>
          <w:p w:rsidR="001354A8" w:rsidRPr="00ED22D1" w:rsidRDefault="001354A8" w:rsidP="00D87C7D">
            <w:pPr>
              <w:jc w:val="left"/>
              <w:rPr>
                <w:bCs/>
                <w:sz w:val="18"/>
                <w:szCs w:val="18"/>
                <w:lang w:val="fr-CA" w:eastAsia="zh-CN"/>
              </w:rPr>
            </w:pPr>
            <w:r w:rsidRPr="00ED22D1">
              <w:rPr>
                <w:bCs/>
                <w:sz w:val="18"/>
                <w:szCs w:val="18"/>
                <w:lang w:val="fr-CA" w:eastAsia="zh-CN"/>
              </w:rPr>
              <w:t>Signé le contrat de reconversion</w:t>
            </w:r>
          </w:p>
        </w:tc>
      </w:tr>
    </w:tbl>
    <w:p w:rsidR="00D002F4" w:rsidRPr="00ED22D1" w:rsidRDefault="00D002F4" w:rsidP="00D002F4">
      <w:pPr>
        <w:rPr>
          <w:lang w:val="fr-CA"/>
        </w:rPr>
      </w:pPr>
    </w:p>
    <w:p w:rsidR="00D002F4" w:rsidRPr="00ED22D1" w:rsidRDefault="0026316C" w:rsidP="00957FE2">
      <w:pPr>
        <w:pStyle w:val="Heading1"/>
        <w:numPr>
          <w:ilvl w:val="0"/>
          <w:numId w:val="0"/>
        </w:numPr>
        <w:rPr>
          <w:lang w:val="fr-CA"/>
        </w:rPr>
      </w:pPr>
      <w:r w:rsidRPr="00ED22D1">
        <w:rPr>
          <w:lang w:val="fr-CA"/>
        </w:rPr>
        <w:t>78.</w:t>
      </w:r>
      <w:r w:rsidRPr="00ED22D1">
        <w:rPr>
          <w:lang w:val="fr-CA"/>
        </w:rPr>
        <w:tab/>
      </w:r>
      <w:r w:rsidR="00046133" w:rsidRPr="00ED22D1">
        <w:rPr>
          <w:lang w:val="fr-CA"/>
        </w:rPr>
        <w:t>Douze ent</w:t>
      </w:r>
      <w:r w:rsidR="00921BDE" w:rsidRPr="00ED22D1">
        <w:rPr>
          <w:lang w:val="fr-CA"/>
        </w:rPr>
        <w:t>reprise</w:t>
      </w:r>
      <w:r w:rsidR="00D002F4" w:rsidRPr="00ED22D1">
        <w:rPr>
          <w:lang w:val="fr-CA"/>
        </w:rPr>
        <w:t xml:space="preserve">s </w:t>
      </w:r>
      <w:r w:rsidR="00046133" w:rsidRPr="00ED22D1">
        <w:rPr>
          <w:lang w:val="fr-CA"/>
        </w:rPr>
        <w:t xml:space="preserve">ont </w:t>
      </w:r>
      <w:r w:rsidR="00FB1DC4" w:rsidRPr="00ED22D1">
        <w:rPr>
          <w:lang w:val="fr-CA"/>
        </w:rPr>
        <w:t>présenté</w:t>
      </w:r>
      <w:r w:rsidR="00D002F4" w:rsidRPr="00ED22D1">
        <w:rPr>
          <w:lang w:val="fr-CA"/>
        </w:rPr>
        <w:t xml:space="preserve"> </w:t>
      </w:r>
      <w:r w:rsidR="00046133" w:rsidRPr="00ED22D1">
        <w:rPr>
          <w:lang w:val="fr-CA"/>
        </w:rPr>
        <w:t xml:space="preserve">des </w:t>
      </w:r>
      <w:r w:rsidR="00D002F4" w:rsidRPr="00ED22D1">
        <w:rPr>
          <w:lang w:val="fr-CA"/>
        </w:rPr>
        <w:t>lett</w:t>
      </w:r>
      <w:r w:rsidR="00046133" w:rsidRPr="00ED22D1">
        <w:rPr>
          <w:lang w:val="fr-CA"/>
        </w:rPr>
        <w:t>r</w:t>
      </w:r>
      <w:r w:rsidR="00D002F4" w:rsidRPr="00ED22D1">
        <w:rPr>
          <w:lang w:val="fr-CA"/>
        </w:rPr>
        <w:t>es</w:t>
      </w:r>
      <w:r w:rsidR="00046133" w:rsidRPr="00ED22D1">
        <w:rPr>
          <w:lang w:val="fr-CA"/>
        </w:rPr>
        <w:t xml:space="preserve"> d’intention de reconvertir </w:t>
      </w:r>
      <w:r w:rsidR="00D002F4" w:rsidRPr="00ED22D1">
        <w:rPr>
          <w:lang w:val="fr-CA"/>
        </w:rPr>
        <w:t xml:space="preserve">16 </w:t>
      </w:r>
      <w:r w:rsidR="00325FA0" w:rsidRPr="00ED22D1">
        <w:rPr>
          <w:lang w:val="fr-CA"/>
        </w:rPr>
        <w:t>circuits de fabrication</w:t>
      </w:r>
      <w:r w:rsidR="00D002F4" w:rsidRPr="00ED22D1">
        <w:rPr>
          <w:lang w:val="fr-CA"/>
        </w:rPr>
        <w:t xml:space="preserve">, </w:t>
      </w:r>
      <w:r w:rsidR="00046133" w:rsidRPr="00ED22D1">
        <w:rPr>
          <w:lang w:val="fr-CA"/>
        </w:rPr>
        <w:t>dont</w:t>
      </w:r>
      <w:r w:rsidR="00D002F4" w:rsidRPr="00ED22D1">
        <w:rPr>
          <w:lang w:val="fr-CA"/>
        </w:rPr>
        <w:t xml:space="preserve"> 11</w:t>
      </w:r>
      <w:r w:rsidR="00903152" w:rsidRPr="00ED22D1">
        <w:rPr>
          <w:lang w:val="fr-CA"/>
        </w:rPr>
        <w:t xml:space="preserve"> sont </w:t>
      </w:r>
      <w:r w:rsidR="00046133" w:rsidRPr="00ED22D1">
        <w:rPr>
          <w:lang w:val="fr-CA"/>
        </w:rPr>
        <w:t>des petites et moyennes entreprises</w:t>
      </w:r>
      <w:r w:rsidR="00D002F4" w:rsidRPr="00ED22D1">
        <w:rPr>
          <w:lang w:val="fr-CA"/>
        </w:rPr>
        <w:t xml:space="preserve"> (</w:t>
      </w:r>
      <w:r w:rsidR="00046133" w:rsidRPr="00ED22D1">
        <w:rPr>
          <w:lang w:val="fr-CA"/>
        </w:rPr>
        <w:t>P</w:t>
      </w:r>
      <w:r w:rsidR="00D002F4" w:rsidRPr="00ED22D1">
        <w:rPr>
          <w:lang w:val="fr-CA"/>
        </w:rPr>
        <w:t xml:space="preserve">ME) </w:t>
      </w:r>
      <w:r w:rsidR="00046133" w:rsidRPr="00ED22D1">
        <w:rPr>
          <w:lang w:val="fr-CA"/>
        </w:rPr>
        <w:t>qui fabriquent des unités de condensation de</w:t>
      </w:r>
      <w:r w:rsidR="00ED22D1" w:rsidRPr="00ED22D1">
        <w:rPr>
          <w:lang w:val="fr-CA"/>
        </w:rPr>
        <w:t> </w:t>
      </w:r>
      <w:r w:rsidR="00046133" w:rsidRPr="00ED22D1">
        <w:rPr>
          <w:lang w:val="fr-CA"/>
        </w:rPr>
        <w:t>congélation et de réfrigération</w:t>
      </w:r>
      <w:r w:rsidR="00D002F4" w:rsidRPr="00ED22D1">
        <w:rPr>
          <w:lang w:val="fr-CA"/>
        </w:rPr>
        <w:t xml:space="preserve">. </w:t>
      </w:r>
      <w:r w:rsidR="00046133" w:rsidRPr="00ED22D1">
        <w:rPr>
          <w:lang w:val="fr-CA"/>
        </w:rPr>
        <w:t>Sur la base des données préliminaires, la consommation totale à</w:t>
      </w:r>
      <w:r w:rsidR="00ED22D1" w:rsidRPr="00ED22D1">
        <w:rPr>
          <w:lang w:val="fr-CA"/>
        </w:rPr>
        <w:t> </w:t>
      </w:r>
      <w:r w:rsidR="00046133" w:rsidRPr="00ED22D1">
        <w:rPr>
          <w:lang w:val="fr-CA"/>
        </w:rPr>
        <w:t xml:space="preserve">satisfaire par la </w:t>
      </w:r>
      <w:r w:rsidR="00FB1DC4" w:rsidRPr="00ED22D1">
        <w:rPr>
          <w:lang w:val="fr-CA"/>
        </w:rPr>
        <w:t>reconversion</w:t>
      </w:r>
      <w:r w:rsidR="00D002F4" w:rsidRPr="00ED22D1">
        <w:rPr>
          <w:lang w:val="fr-CA"/>
        </w:rPr>
        <w:t xml:space="preserve"> </w:t>
      </w:r>
      <w:r w:rsidR="00046133" w:rsidRPr="00ED22D1">
        <w:rPr>
          <w:lang w:val="fr-CA"/>
        </w:rPr>
        <w:t>de</w:t>
      </w:r>
      <w:r w:rsidR="00D002F4" w:rsidRPr="00ED22D1">
        <w:rPr>
          <w:lang w:val="fr-CA"/>
        </w:rPr>
        <w:t xml:space="preserve"> 16 </w:t>
      </w:r>
      <w:r w:rsidR="00325FA0" w:rsidRPr="00ED22D1">
        <w:rPr>
          <w:lang w:val="fr-CA"/>
        </w:rPr>
        <w:t>circuits de fabrication</w:t>
      </w:r>
      <w:r w:rsidR="00D002F4" w:rsidRPr="00ED22D1">
        <w:rPr>
          <w:lang w:val="fr-CA"/>
        </w:rPr>
        <w:t xml:space="preserve"> </w:t>
      </w:r>
      <w:r w:rsidR="00046133" w:rsidRPr="00ED22D1">
        <w:rPr>
          <w:lang w:val="fr-CA"/>
        </w:rPr>
        <w:t xml:space="preserve">totalise </w:t>
      </w:r>
      <w:r w:rsidR="004A6828" w:rsidRPr="00ED22D1">
        <w:rPr>
          <w:lang w:val="fr-CA"/>
        </w:rPr>
        <w:t>1 </w:t>
      </w:r>
      <w:r w:rsidR="00D002F4" w:rsidRPr="00ED22D1">
        <w:rPr>
          <w:lang w:val="fr-CA"/>
        </w:rPr>
        <w:t>067</w:t>
      </w:r>
      <w:r w:rsidR="004B666A" w:rsidRPr="00ED22D1">
        <w:rPr>
          <w:lang w:val="fr-CA"/>
        </w:rPr>
        <w:t xml:space="preserve"> tm </w:t>
      </w:r>
      <w:r w:rsidR="00DB7C5D" w:rsidRPr="00ED22D1">
        <w:rPr>
          <w:lang w:val="fr-CA"/>
        </w:rPr>
        <w:t>des HCFC</w:t>
      </w:r>
      <w:r w:rsidR="00D002F4" w:rsidRPr="00ED22D1">
        <w:rPr>
          <w:lang w:val="fr-CA"/>
        </w:rPr>
        <w:t>-22</w:t>
      </w:r>
      <w:r w:rsidR="00046133" w:rsidRPr="00ED22D1">
        <w:rPr>
          <w:lang w:val="fr-CA"/>
        </w:rPr>
        <w:t xml:space="preserve">, pour un coût total estimatif de </w:t>
      </w:r>
      <w:r w:rsidR="00D002F4" w:rsidRPr="00ED22D1">
        <w:rPr>
          <w:lang w:val="fr-CA"/>
        </w:rPr>
        <w:t>1</w:t>
      </w:r>
      <w:r w:rsidR="004A6828" w:rsidRPr="00ED22D1">
        <w:rPr>
          <w:lang w:val="fr-CA"/>
        </w:rPr>
        <w:t>6 </w:t>
      </w:r>
      <w:r w:rsidR="00D002F4" w:rsidRPr="00ED22D1">
        <w:rPr>
          <w:lang w:val="fr-CA"/>
        </w:rPr>
        <w:t>77</w:t>
      </w:r>
      <w:r w:rsidR="004A6828" w:rsidRPr="00ED22D1">
        <w:rPr>
          <w:lang w:val="fr-CA"/>
        </w:rPr>
        <w:t>0 </w:t>
      </w:r>
      <w:r w:rsidR="00D002F4" w:rsidRPr="00ED22D1">
        <w:rPr>
          <w:lang w:val="fr-CA"/>
        </w:rPr>
        <w:t>03</w:t>
      </w:r>
      <w:r w:rsidR="004A6828" w:rsidRPr="00ED22D1">
        <w:rPr>
          <w:lang w:val="fr-CA"/>
        </w:rPr>
        <w:t>4</w:t>
      </w:r>
      <w:r w:rsidR="00EC100C" w:rsidRPr="00ED22D1">
        <w:rPr>
          <w:lang w:val="fr-CA"/>
        </w:rPr>
        <w:t> $US</w:t>
      </w:r>
      <w:r w:rsidR="00046133" w:rsidRPr="00ED22D1">
        <w:rPr>
          <w:lang w:val="fr-CA"/>
        </w:rPr>
        <w:t>.</w:t>
      </w:r>
      <w:r w:rsidR="00D002F4" w:rsidRPr="00ED22D1">
        <w:rPr>
          <w:lang w:val="fr-CA"/>
        </w:rPr>
        <w:t xml:space="preserve"> </w:t>
      </w:r>
      <w:r w:rsidR="00046133" w:rsidRPr="00ED22D1">
        <w:rPr>
          <w:lang w:val="fr-CA"/>
        </w:rPr>
        <w:t>La v</w:t>
      </w:r>
      <w:r w:rsidR="00921BDE" w:rsidRPr="00ED22D1">
        <w:rPr>
          <w:lang w:val="fr-CA"/>
        </w:rPr>
        <w:t>érification</w:t>
      </w:r>
      <w:r w:rsidR="00D002F4" w:rsidRPr="00ED22D1">
        <w:rPr>
          <w:lang w:val="fr-CA"/>
        </w:rPr>
        <w:t xml:space="preserve"> </w:t>
      </w:r>
      <w:r w:rsidR="00046133" w:rsidRPr="00ED22D1">
        <w:rPr>
          <w:lang w:val="fr-CA"/>
        </w:rPr>
        <w:t>de la consom</w:t>
      </w:r>
      <w:r w:rsidR="00616B46" w:rsidRPr="00ED22D1">
        <w:rPr>
          <w:lang w:val="fr-CA"/>
        </w:rPr>
        <w:t>m</w:t>
      </w:r>
      <w:r w:rsidR="00046133" w:rsidRPr="00ED22D1">
        <w:rPr>
          <w:lang w:val="fr-CA"/>
        </w:rPr>
        <w:t xml:space="preserve">ation </w:t>
      </w:r>
      <w:r w:rsidR="00005758" w:rsidRPr="00ED22D1">
        <w:rPr>
          <w:lang w:val="fr-CA"/>
        </w:rPr>
        <w:t>réelle et de la capacité de</w:t>
      </w:r>
      <w:r w:rsidR="00ED22D1" w:rsidRPr="00ED22D1">
        <w:rPr>
          <w:lang w:val="fr-CA"/>
        </w:rPr>
        <w:t> </w:t>
      </w:r>
      <w:r w:rsidR="00005758" w:rsidRPr="00ED22D1">
        <w:rPr>
          <w:lang w:val="fr-CA"/>
        </w:rPr>
        <w:t xml:space="preserve">fabrication a été effectuée pour </w:t>
      </w:r>
      <w:r w:rsidR="00D002F4" w:rsidRPr="00ED22D1">
        <w:rPr>
          <w:lang w:val="fr-CA" w:eastAsia="zh-CN"/>
        </w:rPr>
        <w:t>six</w:t>
      </w:r>
      <w:r w:rsidR="00D002F4" w:rsidRPr="00ED22D1">
        <w:rPr>
          <w:lang w:val="fr-CA"/>
        </w:rPr>
        <w:t xml:space="preserve"> </w:t>
      </w:r>
      <w:r w:rsidR="00325FA0" w:rsidRPr="00ED22D1">
        <w:rPr>
          <w:lang w:val="fr-CA"/>
        </w:rPr>
        <w:t>circuits de fabrication</w:t>
      </w:r>
      <w:r w:rsidR="00D002F4" w:rsidRPr="00ED22D1">
        <w:rPr>
          <w:lang w:val="fr-CA"/>
        </w:rPr>
        <w:t xml:space="preserve">. </w:t>
      </w:r>
      <w:r w:rsidR="00005758" w:rsidRPr="00ED22D1">
        <w:rPr>
          <w:lang w:val="fr-CA"/>
        </w:rPr>
        <w:t>Un</w:t>
      </w:r>
      <w:r w:rsidR="00D002F4" w:rsidRPr="00ED22D1">
        <w:rPr>
          <w:lang w:val="fr-CA"/>
        </w:rPr>
        <w:t xml:space="preserve"> </w:t>
      </w:r>
      <w:r w:rsidR="00F320D6" w:rsidRPr="00ED22D1">
        <w:rPr>
          <w:lang w:val="fr-CA"/>
        </w:rPr>
        <w:t xml:space="preserve">contrat </w:t>
      </w:r>
      <w:r w:rsidR="00D002F4" w:rsidRPr="00ED22D1">
        <w:rPr>
          <w:lang w:val="fr-CA"/>
        </w:rPr>
        <w:t>a</w:t>
      </w:r>
      <w:r w:rsidR="00903152" w:rsidRPr="00ED22D1">
        <w:rPr>
          <w:lang w:val="fr-CA"/>
        </w:rPr>
        <w:t xml:space="preserve"> été</w:t>
      </w:r>
      <w:r w:rsidR="00F320D6" w:rsidRPr="00ED22D1">
        <w:rPr>
          <w:lang w:val="fr-CA"/>
        </w:rPr>
        <w:t xml:space="preserve"> signé</w:t>
      </w:r>
      <w:r w:rsidR="00D002F4" w:rsidRPr="00ED22D1">
        <w:rPr>
          <w:lang w:val="fr-CA"/>
        </w:rPr>
        <w:t xml:space="preserve"> </w:t>
      </w:r>
      <w:r w:rsidR="00005758" w:rsidRPr="00ED22D1">
        <w:rPr>
          <w:lang w:val="fr-CA"/>
        </w:rPr>
        <w:t>pour reconvertir un</w:t>
      </w:r>
      <w:r w:rsidR="00ED22D1" w:rsidRPr="00ED22D1">
        <w:rPr>
          <w:lang w:val="fr-CA"/>
        </w:rPr>
        <w:t> </w:t>
      </w:r>
      <w:r w:rsidR="00005758" w:rsidRPr="00ED22D1">
        <w:rPr>
          <w:lang w:val="fr-CA"/>
        </w:rPr>
        <w:t xml:space="preserve">circuit de fabrication au </w:t>
      </w:r>
      <w:r w:rsidR="00D002F4" w:rsidRPr="00ED22D1">
        <w:rPr>
          <w:lang w:val="fr-CA"/>
        </w:rPr>
        <w:t xml:space="preserve">R-290 </w:t>
      </w:r>
      <w:r w:rsidR="00005758" w:rsidRPr="00ED22D1">
        <w:rPr>
          <w:lang w:val="fr-CA"/>
        </w:rPr>
        <w:t xml:space="preserve">afin d’éliminer </w:t>
      </w:r>
      <w:r w:rsidR="00D002F4" w:rsidRPr="00ED22D1">
        <w:rPr>
          <w:lang w:val="fr-CA"/>
        </w:rPr>
        <w:t>73</w:t>
      </w:r>
      <w:r w:rsidR="004B666A" w:rsidRPr="00ED22D1">
        <w:rPr>
          <w:lang w:val="fr-CA"/>
        </w:rPr>
        <w:t xml:space="preserve"> tm </w:t>
      </w:r>
      <w:r w:rsidR="00DB7C5D" w:rsidRPr="00ED22D1">
        <w:rPr>
          <w:lang w:val="fr-CA"/>
        </w:rPr>
        <w:t>de HCFC</w:t>
      </w:r>
      <w:r w:rsidR="00D002F4" w:rsidRPr="00ED22D1">
        <w:rPr>
          <w:lang w:val="fr-CA"/>
        </w:rPr>
        <w:noBreakHyphen/>
        <w:t xml:space="preserve">22 </w:t>
      </w:r>
      <w:r w:rsidR="00005758" w:rsidRPr="00ED22D1">
        <w:rPr>
          <w:lang w:val="fr-CA"/>
        </w:rPr>
        <w:t xml:space="preserve">à un coût total de </w:t>
      </w:r>
      <w:r w:rsidR="004A6828" w:rsidRPr="00ED22D1">
        <w:rPr>
          <w:lang w:val="fr-CA"/>
        </w:rPr>
        <w:t>1 </w:t>
      </w:r>
      <w:r w:rsidR="00D002F4" w:rsidRPr="00ED22D1">
        <w:rPr>
          <w:lang w:val="fr-CA"/>
        </w:rPr>
        <w:t>23</w:t>
      </w:r>
      <w:r w:rsidR="004A6828" w:rsidRPr="00ED22D1">
        <w:rPr>
          <w:lang w:val="fr-CA"/>
        </w:rPr>
        <w:t>1 </w:t>
      </w:r>
      <w:r w:rsidR="00D002F4" w:rsidRPr="00ED22D1">
        <w:rPr>
          <w:lang w:val="fr-CA"/>
        </w:rPr>
        <w:t>41</w:t>
      </w:r>
      <w:r w:rsidR="004A6828" w:rsidRPr="00ED22D1">
        <w:rPr>
          <w:lang w:val="fr-CA"/>
        </w:rPr>
        <w:t>4</w:t>
      </w:r>
      <w:r w:rsidR="00EC100C" w:rsidRPr="00ED22D1">
        <w:rPr>
          <w:lang w:val="fr-CA"/>
        </w:rPr>
        <w:t> $US.</w:t>
      </w:r>
      <w:r w:rsidR="00D002F4" w:rsidRPr="00ED22D1">
        <w:rPr>
          <w:lang w:val="fr-CA"/>
        </w:rPr>
        <w:t xml:space="preserve"> </w:t>
      </w:r>
      <w:r w:rsidR="00005758" w:rsidRPr="00ED22D1">
        <w:rPr>
          <w:lang w:val="fr-CA"/>
        </w:rPr>
        <w:t>Cinq autre</w:t>
      </w:r>
      <w:r w:rsidR="00616B46" w:rsidRPr="00ED22D1">
        <w:rPr>
          <w:lang w:val="fr-CA"/>
        </w:rPr>
        <w:t>s</w:t>
      </w:r>
      <w:r w:rsidR="00005758" w:rsidRPr="00ED22D1">
        <w:rPr>
          <w:lang w:val="fr-CA"/>
        </w:rPr>
        <w:t xml:space="preserve"> circuits sont en cours d’évaluation</w:t>
      </w:r>
      <w:r w:rsidR="00C420BC" w:rsidRPr="00ED22D1">
        <w:rPr>
          <w:lang w:val="fr-CA"/>
        </w:rPr>
        <w:t>. L’</w:t>
      </w:r>
      <w:r w:rsidR="00F320D6" w:rsidRPr="00ED22D1">
        <w:rPr>
          <w:lang w:val="fr-CA"/>
        </w:rPr>
        <w:t>IECO</w:t>
      </w:r>
      <w:r w:rsidR="00D002F4" w:rsidRPr="00ED22D1">
        <w:rPr>
          <w:lang w:val="fr-CA"/>
        </w:rPr>
        <w:t xml:space="preserve"> </w:t>
      </w:r>
      <w:r w:rsidR="00005758" w:rsidRPr="00ED22D1">
        <w:rPr>
          <w:lang w:val="fr-CA"/>
        </w:rPr>
        <w:t>continuera de vérifier d’autres circuits pour des</w:t>
      </w:r>
      <w:r w:rsidR="00ED22D1" w:rsidRPr="00ED22D1">
        <w:rPr>
          <w:lang w:val="fr-CA"/>
        </w:rPr>
        <w:t> </w:t>
      </w:r>
      <w:r w:rsidR="00005758" w:rsidRPr="00ED22D1">
        <w:rPr>
          <w:lang w:val="fr-CA"/>
        </w:rPr>
        <w:t xml:space="preserve">contrats de </w:t>
      </w:r>
      <w:r w:rsidR="00FB1DC4" w:rsidRPr="00ED22D1">
        <w:rPr>
          <w:lang w:val="fr-CA"/>
        </w:rPr>
        <w:t>reconversion</w:t>
      </w:r>
      <w:r w:rsidR="00D002F4" w:rsidRPr="00ED22D1">
        <w:rPr>
          <w:lang w:val="fr-CA"/>
        </w:rPr>
        <w:t xml:space="preserve">. </w:t>
      </w:r>
      <w:r w:rsidR="00005758" w:rsidRPr="00ED22D1">
        <w:rPr>
          <w:lang w:val="fr-CA"/>
        </w:rPr>
        <w:t>La m</w:t>
      </w:r>
      <w:r w:rsidR="00921BDE" w:rsidRPr="00ED22D1">
        <w:rPr>
          <w:lang w:val="fr-CA"/>
        </w:rPr>
        <w:t xml:space="preserve">ise en oeuvre </w:t>
      </w:r>
      <w:r w:rsidR="00005758" w:rsidRPr="00ED22D1">
        <w:rPr>
          <w:lang w:val="fr-CA"/>
        </w:rPr>
        <w:t>de</w:t>
      </w:r>
      <w:r w:rsidR="00D002F4" w:rsidRPr="00ED22D1">
        <w:rPr>
          <w:lang w:val="fr-CA"/>
        </w:rPr>
        <w:t xml:space="preserve"> </w:t>
      </w:r>
      <w:r w:rsidR="00BB7CCB" w:rsidRPr="00ED22D1">
        <w:rPr>
          <w:lang w:val="fr-CA"/>
        </w:rPr>
        <w:t xml:space="preserve">ces </w:t>
      </w:r>
      <w:r w:rsidR="00005758" w:rsidRPr="00ED22D1">
        <w:rPr>
          <w:lang w:val="fr-CA"/>
        </w:rPr>
        <w:t xml:space="preserve">contrats de </w:t>
      </w:r>
      <w:r w:rsidR="00FB1DC4" w:rsidRPr="00ED22D1">
        <w:rPr>
          <w:lang w:val="fr-CA"/>
        </w:rPr>
        <w:t>reconversion</w:t>
      </w:r>
      <w:r w:rsidR="00D002F4" w:rsidRPr="00ED22D1">
        <w:rPr>
          <w:lang w:val="fr-CA"/>
        </w:rPr>
        <w:t xml:space="preserve"> </w:t>
      </w:r>
      <w:r w:rsidR="00005758" w:rsidRPr="00ED22D1">
        <w:rPr>
          <w:lang w:val="fr-CA"/>
        </w:rPr>
        <w:t>est prévue pour les</w:t>
      </w:r>
      <w:r w:rsidR="00ED22D1" w:rsidRPr="00ED22D1">
        <w:rPr>
          <w:lang w:val="fr-CA"/>
        </w:rPr>
        <w:t> </w:t>
      </w:r>
      <w:r w:rsidR="00874624" w:rsidRPr="00ED22D1">
        <w:rPr>
          <w:lang w:val="fr-CA"/>
        </w:rPr>
        <w:t>troisième</w:t>
      </w:r>
      <w:r w:rsidR="004A6828" w:rsidRPr="00ED22D1">
        <w:rPr>
          <w:lang w:val="fr-CA"/>
        </w:rPr>
        <w:t xml:space="preserve"> et </w:t>
      </w:r>
      <w:r w:rsidR="00FB46BE" w:rsidRPr="00ED22D1">
        <w:rPr>
          <w:lang w:val="fr-CA"/>
        </w:rPr>
        <w:t>quatrième</w:t>
      </w:r>
      <w:r w:rsidR="00D002F4" w:rsidRPr="00ED22D1">
        <w:rPr>
          <w:lang w:val="fr-CA"/>
        </w:rPr>
        <w:t xml:space="preserve"> tranches.   </w:t>
      </w:r>
    </w:p>
    <w:p w:rsidR="00D002F4" w:rsidRPr="00ED22D1" w:rsidRDefault="00005758" w:rsidP="00C80221">
      <w:pPr>
        <w:spacing w:before="120" w:after="120"/>
        <w:rPr>
          <w:i/>
          <w:lang w:val="fr-CA"/>
        </w:rPr>
      </w:pPr>
      <w:r w:rsidRPr="00ED22D1">
        <w:rPr>
          <w:i/>
          <w:lang w:val="fr-CA"/>
        </w:rPr>
        <w:t>Activités d’a</w:t>
      </w:r>
      <w:r w:rsidR="00DE118B" w:rsidRPr="00ED22D1">
        <w:rPr>
          <w:i/>
          <w:lang w:val="fr-CA"/>
        </w:rPr>
        <w:t>ssistance technique</w:t>
      </w:r>
      <w:r w:rsidR="00D002F4" w:rsidRPr="00ED22D1">
        <w:rPr>
          <w:i/>
          <w:lang w:val="fr-CA"/>
        </w:rPr>
        <w:t xml:space="preserve"> (TA) </w:t>
      </w:r>
    </w:p>
    <w:p w:rsidR="00D002F4" w:rsidRPr="00ED22D1" w:rsidRDefault="00D002F4" w:rsidP="00D002F4">
      <w:pPr>
        <w:rPr>
          <w:lang w:val="fr-CA"/>
        </w:rPr>
      </w:pPr>
    </w:p>
    <w:p w:rsidR="00D002F4" w:rsidRPr="00ED22D1" w:rsidRDefault="0026316C" w:rsidP="0026316C">
      <w:pPr>
        <w:pStyle w:val="Heading1"/>
        <w:numPr>
          <w:ilvl w:val="0"/>
          <w:numId w:val="0"/>
        </w:numPr>
        <w:rPr>
          <w:lang w:val="fr-CA"/>
        </w:rPr>
      </w:pPr>
      <w:r w:rsidRPr="00ED22D1">
        <w:rPr>
          <w:lang w:val="fr-CA"/>
        </w:rPr>
        <w:t>79.</w:t>
      </w:r>
      <w:r w:rsidRPr="00ED22D1">
        <w:rPr>
          <w:lang w:val="fr-CA"/>
        </w:rPr>
        <w:tab/>
      </w:r>
      <w:r w:rsidR="00005758" w:rsidRPr="00ED22D1">
        <w:rPr>
          <w:lang w:val="fr-CA"/>
        </w:rPr>
        <w:t>Les activités suivantes d’</w:t>
      </w:r>
      <w:r w:rsidR="00872A2F" w:rsidRPr="00ED22D1">
        <w:rPr>
          <w:lang w:val="fr-CA"/>
        </w:rPr>
        <w:t xml:space="preserve">assistance technique </w:t>
      </w:r>
      <w:r w:rsidR="004A6828" w:rsidRPr="00ED22D1">
        <w:rPr>
          <w:lang w:val="fr-CA"/>
        </w:rPr>
        <w:t xml:space="preserve">et </w:t>
      </w:r>
      <w:r w:rsidR="00ED22D1" w:rsidRPr="00ED22D1">
        <w:rPr>
          <w:lang w:val="fr-CA"/>
        </w:rPr>
        <w:t>d’</w:t>
      </w:r>
      <w:r w:rsidR="00005758" w:rsidRPr="00ED22D1">
        <w:rPr>
          <w:lang w:val="fr-CA"/>
        </w:rPr>
        <w:t>accroissement de la sensibilisation</w:t>
      </w:r>
      <w:r w:rsidR="00D002F4" w:rsidRPr="00ED22D1">
        <w:rPr>
          <w:lang w:val="fr-CA"/>
        </w:rPr>
        <w:t xml:space="preserve"> </w:t>
      </w:r>
      <w:r w:rsidR="00005758" w:rsidRPr="00ED22D1">
        <w:rPr>
          <w:lang w:val="fr-CA"/>
        </w:rPr>
        <w:t>ont aussi été mises en oeuvre</w:t>
      </w:r>
      <w:r w:rsidR="00791BF7" w:rsidRPr="00ED22D1">
        <w:rPr>
          <w:lang w:val="fr-CA"/>
        </w:rPr>
        <w:t> :</w:t>
      </w:r>
      <w:r w:rsidR="00D002F4" w:rsidRPr="00ED22D1">
        <w:rPr>
          <w:lang w:val="fr-CA"/>
        </w:rPr>
        <w:t xml:space="preserve"> </w:t>
      </w:r>
    </w:p>
    <w:p w:rsidR="00C80221" w:rsidRDefault="00DC2912" w:rsidP="00DC2912">
      <w:pPr>
        <w:pStyle w:val="Heading2"/>
        <w:numPr>
          <w:ilvl w:val="0"/>
          <w:numId w:val="0"/>
        </w:numPr>
        <w:ind w:left="1418" w:hanging="709"/>
        <w:rPr>
          <w:lang w:val="fr-CA"/>
        </w:rPr>
      </w:pPr>
      <w:r w:rsidRPr="00ED22D1">
        <w:rPr>
          <w:lang w:val="fr-CA"/>
        </w:rPr>
        <w:t>(a)</w:t>
      </w:r>
      <w:r w:rsidRPr="00ED22D1">
        <w:rPr>
          <w:lang w:val="fr-CA"/>
        </w:rPr>
        <w:tab/>
      </w:r>
      <w:r w:rsidR="00005758" w:rsidRPr="00ED22D1">
        <w:rPr>
          <w:lang w:val="fr-CA"/>
        </w:rPr>
        <w:t xml:space="preserve">Un </w:t>
      </w:r>
      <w:r w:rsidR="00F320D6" w:rsidRPr="00ED22D1">
        <w:rPr>
          <w:lang w:val="fr-CA"/>
        </w:rPr>
        <w:t xml:space="preserve">contrat </w:t>
      </w:r>
      <w:r w:rsidR="00D002F4" w:rsidRPr="00ED22D1">
        <w:rPr>
          <w:lang w:val="fr-CA"/>
        </w:rPr>
        <w:t>a</w:t>
      </w:r>
      <w:r w:rsidR="00903152" w:rsidRPr="00ED22D1">
        <w:rPr>
          <w:lang w:val="fr-CA"/>
        </w:rPr>
        <w:t xml:space="preserve"> été</w:t>
      </w:r>
      <w:r w:rsidR="00F320D6" w:rsidRPr="00ED22D1">
        <w:rPr>
          <w:lang w:val="fr-CA"/>
        </w:rPr>
        <w:t xml:space="preserve"> signé</w:t>
      </w:r>
      <w:r w:rsidR="00D002F4" w:rsidRPr="00ED22D1">
        <w:rPr>
          <w:lang w:val="fr-CA"/>
        </w:rPr>
        <w:t xml:space="preserve"> </w:t>
      </w:r>
      <w:r w:rsidR="00B84F94" w:rsidRPr="00ED22D1">
        <w:rPr>
          <w:lang w:val="fr-CA"/>
        </w:rPr>
        <w:t xml:space="preserve">avec </w:t>
      </w:r>
      <w:r w:rsidR="00005758" w:rsidRPr="00ED22D1">
        <w:rPr>
          <w:lang w:val="fr-CA"/>
        </w:rPr>
        <w:t xml:space="preserve">la </w:t>
      </w:r>
      <w:r w:rsidR="00D26EF9" w:rsidRPr="00ED22D1">
        <w:rPr>
          <w:lang w:val="fr-CA"/>
        </w:rPr>
        <w:t>Chin</w:t>
      </w:r>
      <w:r w:rsidR="00005758" w:rsidRPr="00ED22D1">
        <w:rPr>
          <w:lang w:val="fr-CA"/>
        </w:rPr>
        <w:t>a</w:t>
      </w:r>
      <w:r w:rsidR="00D002F4" w:rsidRPr="00ED22D1">
        <w:rPr>
          <w:lang w:val="fr-CA"/>
        </w:rPr>
        <w:t xml:space="preserve"> </w:t>
      </w:r>
      <w:r w:rsidR="001354A8" w:rsidRPr="00ED22D1">
        <w:rPr>
          <w:lang w:val="fr-CA"/>
        </w:rPr>
        <w:t>Refrigeration</w:t>
      </w:r>
      <w:r w:rsidR="004A6828" w:rsidRPr="00ED22D1">
        <w:rPr>
          <w:lang w:val="fr-CA"/>
        </w:rPr>
        <w:t xml:space="preserve"> </w:t>
      </w:r>
      <w:r w:rsidR="001354A8" w:rsidRPr="00ED22D1">
        <w:rPr>
          <w:lang w:val="fr-CA"/>
        </w:rPr>
        <w:t>and</w:t>
      </w:r>
      <w:r w:rsidR="004A6828" w:rsidRPr="00ED22D1">
        <w:rPr>
          <w:lang w:val="fr-CA"/>
        </w:rPr>
        <w:t xml:space="preserve"> </w:t>
      </w:r>
      <w:r w:rsidR="00D002F4" w:rsidRPr="00ED22D1">
        <w:rPr>
          <w:lang w:val="fr-CA"/>
        </w:rPr>
        <w:t xml:space="preserve">Air-conditioning Industrial Association (CRAA) </w:t>
      </w:r>
      <w:r w:rsidR="00005758" w:rsidRPr="00ED22D1">
        <w:rPr>
          <w:lang w:val="fr-CA"/>
        </w:rPr>
        <w:t xml:space="preserve">afin d’aider à la </w:t>
      </w:r>
      <w:r w:rsidR="00921BDE" w:rsidRPr="00ED22D1">
        <w:rPr>
          <w:lang w:val="fr-CA"/>
        </w:rPr>
        <w:t xml:space="preserve">mise en oeuvre </w:t>
      </w:r>
      <w:r w:rsidR="00005758" w:rsidRPr="00ED22D1">
        <w:rPr>
          <w:lang w:val="fr-CA"/>
        </w:rPr>
        <w:t>harmonieuse des activités d’</w:t>
      </w:r>
      <w:r w:rsidR="004A6828" w:rsidRPr="00ED22D1">
        <w:rPr>
          <w:lang w:val="fr-CA"/>
        </w:rPr>
        <w:t>élimination</w:t>
      </w:r>
      <w:r w:rsidR="00D002F4" w:rsidRPr="00ED22D1">
        <w:rPr>
          <w:lang w:val="fr-CA"/>
        </w:rPr>
        <w:t xml:space="preserve">, </w:t>
      </w:r>
      <w:r w:rsidR="004B666A" w:rsidRPr="00ED22D1">
        <w:rPr>
          <w:lang w:val="fr-CA"/>
        </w:rPr>
        <w:t>y compris</w:t>
      </w:r>
      <w:r w:rsidR="00D002F4" w:rsidRPr="00ED22D1">
        <w:rPr>
          <w:lang w:val="fr-CA"/>
        </w:rPr>
        <w:t xml:space="preserve"> </w:t>
      </w:r>
      <w:r w:rsidR="00005758" w:rsidRPr="00ED22D1">
        <w:rPr>
          <w:lang w:val="fr-CA"/>
        </w:rPr>
        <w:t>fournir de l’</w:t>
      </w:r>
      <w:r w:rsidR="00D002F4" w:rsidRPr="00ED22D1">
        <w:rPr>
          <w:lang w:val="fr-CA"/>
        </w:rPr>
        <w:t xml:space="preserve">assistance </w:t>
      </w:r>
      <w:r w:rsidR="00005758" w:rsidRPr="00ED22D1">
        <w:rPr>
          <w:lang w:val="fr-CA"/>
        </w:rPr>
        <w:t>à l’</w:t>
      </w:r>
      <w:r w:rsidR="00D002F4" w:rsidRPr="00ED22D1">
        <w:rPr>
          <w:lang w:val="fr-CA"/>
        </w:rPr>
        <w:t>application</w:t>
      </w:r>
      <w:r w:rsidR="004A6828" w:rsidRPr="00ED22D1">
        <w:rPr>
          <w:lang w:val="fr-CA"/>
        </w:rPr>
        <w:t xml:space="preserve"> et </w:t>
      </w:r>
      <w:r w:rsidR="00005758" w:rsidRPr="00ED22D1">
        <w:rPr>
          <w:lang w:val="fr-CA"/>
        </w:rPr>
        <w:t xml:space="preserve">à la </w:t>
      </w:r>
      <w:r w:rsidR="00921BDE" w:rsidRPr="00ED22D1">
        <w:rPr>
          <w:lang w:val="fr-CA"/>
        </w:rPr>
        <w:t>vérification</w:t>
      </w:r>
      <w:r w:rsidR="00005758" w:rsidRPr="00ED22D1">
        <w:rPr>
          <w:lang w:val="fr-CA"/>
        </w:rPr>
        <w:t xml:space="preserve"> des projets; suivre les progrès de la </w:t>
      </w:r>
      <w:r w:rsidR="00FB1DC4" w:rsidRPr="00ED22D1">
        <w:rPr>
          <w:lang w:val="fr-CA"/>
        </w:rPr>
        <w:t>reconversion</w:t>
      </w:r>
      <w:r w:rsidR="004A6828" w:rsidRPr="00ED22D1">
        <w:rPr>
          <w:lang w:val="fr-CA"/>
        </w:rPr>
        <w:t xml:space="preserve"> et </w:t>
      </w:r>
      <w:r w:rsidR="00005758" w:rsidRPr="00ED22D1">
        <w:rPr>
          <w:lang w:val="fr-CA"/>
        </w:rPr>
        <w:t>l’</w:t>
      </w:r>
      <w:r w:rsidR="004A6828" w:rsidRPr="00ED22D1">
        <w:rPr>
          <w:lang w:val="fr-CA"/>
        </w:rPr>
        <w:t>élimination</w:t>
      </w:r>
      <w:r w:rsidR="00D002F4" w:rsidRPr="00ED22D1">
        <w:rPr>
          <w:lang w:val="fr-CA"/>
        </w:rPr>
        <w:t xml:space="preserve"> </w:t>
      </w:r>
      <w:r w:rsidR="00005758" w:rsidRPr="00ED22D1">
        <w:rPr>
          <w:lang w:val="fr-CA"/>
        </w:rPr>
        <w:t>globale dans le</w:t>
      </w:r>
      <w:r w:rsidR="00D002F4" w:rsidRPr="00ED22D1">
        <w:rPr>
          <w:lang w:val="fr-CA"/>
        </w:rPr>
        <w:t xml:space="preserve"> </w:t>
      </w:r>
      <w:r w:rsidR="00005758" w:rsidRPr="00ED22D1">
        <w:rPr>
          <w:lang w:val="fr-CA"/>
        </w:rPr>
        <w:t>secteur</w:t>
      </w:r>
      <w:r w:rsidR="00D002F4" w:rsidRPr="00ED22D1">
        <w:rPr>
          <w:lang w:val="fr-CA"/>
        </w:rPr>
        <w:t xml:space="preserve">; </w:t>
      </w:r>
      <w:r w:rsidR="00005758" w:rsidRPr="00ED22D1">
        <w:rPr>
          <w:lang w:val="fr-CA"/>
        </w:rPr>
        <w:t>coordonner les ateliers, les séminaires et l’accroissement des activités de sensibilisation</w:t>
      </w:r>
      <w:r w:rsidR="00D002F4" w:rsidRPr="00ED22D1">
        <w:rPr>
          <w:lang w:val="fr-CA"/>
        </w:rPr>
        <w:t xml:space="preserve">; </w:t>
      </w:r>
      <w:r w:rsidR="00005758" w:rsidRPr="00ED22D1">
        <w:rPr>
          <w:lang w:val="fr-CA"/>
        </w:rPr>
        <w:t>suivre le développement des technologies de remplacement</w:t>
      </w:r>
      <w:r w:rsidR="00D002F4" w:rsidRPr="00ED22D1">
        <w:rPr>
          <w:lang w:val="fr-CA"/>
        </w:rPr>
        <w:t xml:space="preserve">, </w:t>
      </w:r>
      <w:r w:rsidR="00005758" w:rsidRPr="00ED22D1">
        <w:rPr>
          <w:lang w:val="fr-CA"/>
        </w:rPr>
        <w:t xml:space="preserve">évaluer les solutions </w:t>
      </w:r>
    </w:p>
    <w:p w:rsidR="00C80221" w:rsidRDefault="00C80221" w:rsidP="00C80221">
      <w:pPr>
        <w:pStyle w:val="Heading2"/>
        <w:numPr>
          <w:ilvl w:val="0"/>
          <w:numId w:val="0"/>
        </w:numPr>
        <w:ind w:left="1418"/>
        <w:rPr>
          <w:lang w:val="fr-CA"/>
        </w:rPr>
      </w:pPr>
    </w:p>
    <w:p w:rsidR="00D002F4" w:rsidRPr="00ED22D1" w:rsidRDefault="00005758" w:rsidP="00C80221">
      <w:pPr>
        <w:pStyle w:val="Heading2"/>
        <w:numPr>
          <w:ilvl w:val="0"/>
          <w:numId w:val="0"/>
        </w:numPr>
        <w:ind w:left="1418"/>
        <w:rPr>
          <w:lang w:val="fr-CA"/>
        </w:rPr>
      </w:pPr>
      <w:r w:rsidRPr="00ED22D1">
        <w:rPr>
          <w:lang w:val="fr-CA"/>
        </w:rPr>
        <w:t>de</w:t>
      </w:r>
      <w:r w:rsidR="00ED22D1" w:rsidRPr="00ED22D1">
        <w:rPr>
          <w:lang w:val="fr-CA"/>
        </w:rPr>
        <w:t> </w:t>
      </w:r>
      <w:r w:rsidRPr="00ED22D1">
        <w:rPr>
          <w:lang w:val="fr-CA"/>
        </w:rPr>
        <w:t xml:space="preserve">remplacement dans le secteur de la </w:t>
      </w:r>
      <w:r w:rsidR="00905638" w:rsidRPr="00ED22D1">
        <w:rPr>
          <w:lang w:val="fr-CA"/>
        </w:rPr>
        <w:t xml:space="preserve">climatisation et de </w:t>
      </w:r>
      <w:r w:rsidRPr="00ED22D1">
        <w:rPr>
          <w:lang w:val="fr-CA"/>
        </w:rPr>
        <w:t xml:space="preserve">la </w:t>
      </w:r>
      <w:r w:rsidR="00905638" w:rsidRPr="00ED22D1">
        <w:rPr>
          <w:lang w:val="fr-CA"/>
        </w:rPr>
        <w:t>réfrigération industrielle et commerciale</w:t>
      </w:r>
      <w:r w:rsidR="00D002F4" w:rsidRPr="00ED22D1">
        <w:rPr>
          <w:lang w:val="fr-CA"/>
        </w:rPr>
        <w:t xml:space="preserve"> </w:t>
      </w:r>
      <w:r w:rsidR="004A6828" w:rsidRPr="00ED22D1">
        <w:rPr>
          <w:lang w:val="fr-CA"/>
        </w:rPr>
        <w:t xml:space="preserve">et </w:t>
      </w:r>
      <w:r w:rsidRPr="00ED22D1">
        <w:rPr>
          <w:lang w:val="fr-CA"/>
        </w:rPr>
        <w:t xml:space="preserve">fournir des conseils aux </w:t>
      </w:r>
      <w:r w:rsidR="00921BDE" w:rsidRPr="00ED22D1">
        <w:rPr>
          <w:lang w:val="fr-CA"/>
        </w:rPr>
        <w:t>entreprise</w:t>
      </w:r>
      <w:r w:rsidR="00D002F4" w:rsidRPr="00ED22D1">
        <w:rPr>
          <w:lang w:val="fr-CA"/>
        </w:rPr>
        <w:t xml:space="preserve">s </w:t>
      </w:r>
      <w:r w:rsidRPr="00ED22D1">
        <w:rPr>
          <w:lang w:val="fr-CA"/>
        </w:rPr>
        <w:t>sur la sélection de la</w:t>
      </w:r>
      <w:r w:rsidR="00D002F4" w:rsidRPr="00ED22D1">
        <w:rPr>
          <w:lang w:val="fr-CA"/>
        </w:rPr>
        <w:t xml:space="preserve"> </w:t>
      </w:r>
      <w:r w:rsidR="004B666A" w:rsidRPr="00ED22D1">
        <w:rPr>
          <w:lang w:val="fr-CA"/>
        </w:rPr>
        <w:t>technologie</w:t>
      </w:r>
      <w:r w:rsidR="00D002F4" w:rsidRPr="00ED22D1">
        <w:rPr>
          <w:lang w:val="fr-CA"/>
        </w:rPr>
        <w:t>;</w:t>
      </w:r>
      <w:r w:rsidR="004A6828" w:rsidRPr="00ED22D1">
        <w:rPr>
          <w:lang w:val="fr-CA"/>
        </w:rPr>
        <w:t xml:space="preserve"> et</w:t>
      </w:r>
      <w:r w:rsidR="00ED22D1" w:rsidRPr="00ED22D1">
        <w:rPr>
          <w:lang w:val="fr-CA"/>
        </w:rPr>
        <w:t> </w:t>
      </w:r>
      <w:r w:rsidRPr="00ED22D1">
        <w:rPr>
          <w:lang w:val="fr-CA"/>
        </w:rPr>
        <w:t xml:space="preserve">recueillir des données et assurer le suivi du secteur de la </w:t>
      </w:r>
      <w:r w:rsidR="00181884" w:rsidRPr="00ED22D1">
        <w:rPr>
          <w:lang w:val="fr-CA"/>
        </w:rPr>
        <w:t>consommation</w:t>
      </w:r>
      <w:r w:rsidR="00D002F4" w:rsidRPr="00ED22D1">
        <w:rPr>
          <w:lang w:val="fr-CA"/>
        </w:rPr>
        <w:t xml:space="preserve">. </w:t>
      </w:r>
      <w:r w:rsidRPr="00ED22D1">
        <w:rPr>
          <w:lang w:val="fr-CA"/>
        </w:rPr>
        <w:t>Après</w:t>
      </w:r>
      <w:r w:rsidR="00ED22D1">
        <w:rPr>
          <w:lang w:val="fr-CA"/>
        </w:rPr>
        <w:t> </w:t>
      </w:r>
      <w:r w:rsidRPr="00ED22D1">
        <w:rPr>
          <w:lang w:val="fr-CA"/>
        </w:rPr>
        <w:t>la</w:t>
      </w:r>
      <w:r w:rsidR="00ED22D1" w:rsidRPr="00ED22D1">
        <w:rPr>
          <w:lang w:val="fr-CA"/>
        </w:rPr>
        <w:t> </w:t>
      </w:r>
      <w:r w:rsidRPr="00ED22D1">
        <w:rPr>
          <w:lang w:val="fr-CA"/>
        </w:rPr>
        <w:t>signature du contrat</w:t>
      </w:r>
      <w:r w:rsidR="00D002F4" w:rsidRPr="00ED22D1">
        <w:rPr>
          <w:lang w:val="fr-CA"/>
        </w:rPr>
        <w:t xml:space="preserve">, </w:t>
      </w:r>
      <w:r w:rsidRPr="00ED22D1">
        <w:rPr>
          <w:lang w:val="fr-CA"/>
        </w:rPr>
        <w:t>l</w:t>
      </w:r>
      <w:r w:rsidR="0080736A" w:rsidRPr="00ED22D1">
        <w:rPr>
          <w:lang w:val="fr-CA"/>
        </w:rPr>
        <w:t>a</w:t>
      </w:r>
      <w:r w:rsidRPr="00ED22D1">
        <w:rPr>
          <w:lang w:val="fr-CA"/>
        </w:rPr>
        <w:t xml:space="preserve"> </w:t>
      </w:r>
      <w:r w:rsidR="00D002F4" w:rsidRPr="00ED22D1">
        <w:rPr>
          <w:lang w:val="fr-CA"/>
        </w:rPr>
        <w:t xml:space="preserve">CRAA </w:t>
      </w:r>
      <w:r w:rsidRPr="00ED22D1">
        <w:rPr>
          <w:lang w:val="fr-CA"/>
        </w:rPr>
        <w:t xml:space="preserve">a aidé </w:t>
      </w:r>
      <w:r w:rsidR="00F320D6" w:rsidRPr="00ED22D1">
        <w:rPr>
          <w:lang w:val="fr-CA"/>
        </w:rPr>
        <w:t>l’IECO</w:t>
      </w:r>
      <w:r w:rsidR="00D002F4" w:rsidRPr="00ED22D1">
        <w:rPr>
          <w:lang w:val="fr-CA"/>
        </w:rPr>
        <w:t xml:space="preserve"> </w:t>
      </w:r>
      <w:r w:rsidRPr="00ED22D1">
        <w:rPr>
          <w:lang w:val="fr-CA"/>
        </w:rPr>
        <w:t xml:space="preserve">à identifier </w:t>
      </w:r>
      <w:r w:rsidR="00D002F4" w:rsidRPr="00ED22D1">
        <w:rPr>
          <w:lang w:val="fr-CA"/>
        </w:rPr>
        <w:t xml:space="preserve">33 </w:t>
      </w:r>
      <w:r w:rsidR="00325FA0" w:rsidRPr="00ED22D1">
        <w:rPr>
          <w:lang w:val="fr-CA"/>
        </w:rPr>
        <w:t>circuits de fabrication</w:t>
      </w:r>
      <w:r w:rsidR="00D002F4" w:rsidRPr="00ED22D1">
        <w:rPr>
          <w:lang w:val="fr-CA"/>
        </w:rPr>
        <w:t xml:space="preserve"> </w:t>
      </w:r>
      <w:r w:rsidRPr="00ED22D1">
        <w:rPr>
          <w:lang w:val="fr-CA"/>
        </w:rPr>
        <w:t>dans</w:t>
      </w:r>
      <w:r w:rsidR="00ED22D1" w:rsidRPr="00ED22D1">
        <w:rPr>
          <w:lang w:val="fr-CA"/>
        </w:rPr>
        <w:t> </w:t>
      </w:r>
      <w:r w:rsidR="00D002F4" w:rsidRPr="00ED22D1">
        <w:rPr>
          <w:lang w:val="fr-CA"/>
        </w:rPr>
        <w:t>23 </w:t>
      </w:r>
      <w:r w:rsidR="00921BDE" w:rsidRPr="00ED22D1">
        <w:rPr>
          <w:lang w:val="fr-CA"/>
        </w:rPr>
        <w:t>entreprise</w:t>
      </w:r>
      <w:r w:rsidR="00D002F4" w:rsidRPr="00ED22D1">
        <w:rPr>
          <w:lang w:val="fr-CA"/>
        </w:rPr>
        <w:t xml:space="preserve">s </w:t>
      </w:r>
      <w:r w:rsidRPr="00ED22D1">
        <w:rPr>
          <w:lang w:val="fr-CA"/>
        </w:rPr>
        <w:t>pour la</w:t>
      </w:r>
      <w:r w:rsidR="00FB1DC4" w:rsidRPr="00ED22D1">
        <w:rPr>
          <w:lang w:val="fr-CA"/>
        </w:rPr>
        <w:t xml:space="preserve"> reconversion</w:t>
      </w:r>
      <w:r w:rsidR="00D002F4" w:rsidRPr="00ED22D1">
        <w:rPr>
          <w:lang w:val="fr-CA"/>
        </w:rPr>
        <w:t xml:space="preserve">, </w:t>
      </w:r>
      <w:r w:rsidR="00ED22D1">
        <w:rPr>
          <w:lang w:val="fr-CA"/>
        </w:rPr>
        <w:t xml:space="preserve">à </w:t>
      </w:r>
      <w:r w:rsidRPr="00ED22D1">
        <w:rPr>
          <w:lang w:val="fr-CA"/>
        </w:rPr>
        <w:t>vérifier la consommation de</w:t>
      </w:r>
      <w:r w:rsidR="00ED22D1">
        <w:rPr>
          <w:lang w:val="fr-CA"/>
        </w:rPr>
        <w:t> </w:t>
      </w:r>
      <w:r w:rsidR="00CD72DB" w:rsidRPr="00ED22D1">
        <w:rPr>
          <w:lang w:val="fr-CA"/>
        </w:rPr>
        <w:t>référence</w:t>
      </w:r>
      <w:r w:rsidR="00D002F4" w:rsidRPr="00ED22D1">
        <w:rPr>
          <w:lang w:val="fr-CA"/>
        </w:rPr>
        <w:t>,</w:t>
      </w:r>
      <w:r w:rsidR="004A6828" w:rsidRPr="00ED22D1">
        <w:rPr>
          <w:lang w:val="fr-CA"/>
        </w:rPr>
        <w:t xml:space="preserve"> et</w:t>
      </w:r>
      <w:r w:rsidRPr="00ED22D1">
        <w:rPr>
          <w:lang w:val="fr-CA"/>
        </w:rPr>
        <w:t xml:space="preserve"> à suivre l’avancement des </w:t>
      </w:r>
      <w:r w:rsidR="001B45EC" w:rsidRPr="00ED22D1">
        <w:rPr>
          <w:lang w:val="fr-CA"/>
        </w:rPr>
        <w:t>projets de reconversion</w:t>
      </w:r>
      <w:r w:rsidR="00D002F4" w:rsidRPr="00ED22D1">
        <w:rPr>
          <w:lang w:val="fr-CA"/>
        </w:rPr>
        <w:t xml:space="preserve">;  </w:t>
      </w:r>
    </w:p>
    <w:p w:rsidR="00D002F4" w:rsidRPr="00ED22D1" w:rsidRDefault="00DC2912" w:rsidP="00DC2912">
      <w:pPr>
        <w:pStyle w:val="Heading2"/>
        <w:numPr>
          <w:ilvl w:val="0"/>
          <w:numId w:val="0"/>
        </w:numPr>
        <w:ind w:left="1418" w:hanging="709"/>
        <w:rPr>
          <w:lang w:val="fr-CA"/>
        </w:rPr>
      </w:pPr>
      <w:r w:rsidRPr="00ED22D1">
        <w:rPr>
          <w:lang w:val="fr-CA"/>
        </w:rPr>
        <w:t>(b)</w:t>
      </w:r>
      <w:r w:rsidRPr="00ED22D1">
        <w:rPr>
          <w:lang w:val="fr-CA"/>
        </w:rPr>
        <w:tab/>
      </w:r>
      <w:r w:rsidR="00005758" w:rsidRPr="00ED22D1">
        <w:rPr>
          <w:lang w:val="fr-CA"/>
        </w:rPr>
        <w:t xml:space="preserve">Deux </w:t>
      </w:r>
      <w:r w:rsidR="00921BDE" w:rsidRPr="00ED22D1">
        <w:rPr>
          <w:lang w:val="fr-CA"/>
        </w:rPr>
        <w:t>contrats</w:t>
      </w:r>
      <w:r w:rsidR="00D002F4" w:rsidRPr="00ED22D1">
        <w:rPr>
          <w:lang w:val="fr-CA"/>
        </w:rPr>
        <w:t xml:space="preserve"> </w:t>
      </w:r>
      <w:r w:rsidR="00005758" w:rsidRPr="00ED22D1">
        <w:rPr>
          <w:lang w:val="fr-CA"/>
        </w:rPr>
        <w:t xml:space="preserve">ont aussi été </w:t>
      </w:r>
      <w:r w:rsidR="00F320D6" w:rsidRPr="00ED22D1">
        <w:rPr>
          <w:lang w:val="fr-CA"/>
        </w:rPr>
        <w:t>signé</w:t>
      </w:r>
      <w:r w:rsidR="00005758" w:rsidRPr="00ED22D1">
        <w:rPr>
          <w:lang w:val="fr-CA"/>
        </w:rPr>
        <w:t>s</w:t>
      </w:r>
      <w:r w:rsidR="00D002F4" w:rsidRPr="00ED22D1">
        <w:rPr>
          <w:lang w:val="fr-CA"/>
        </w:rPr>
        <w:t xml:space="preserve"> </w:t>
      </w:r>
      <w:r w:rsidR="00B84F94" w:rsidRPr="00ED22D1">
        <w:rPr>
          <w:lang w:val="fr-CA"/>
        </w:rPr>
        <w:t xml:space="preserve">avec </w:t>
      </w:r>
      <w:r w:rsidR="00D002F4" w:rsidRPr="00ED22D1">
        <w:rPr>
          <w:lang w:val="fr-CA"/>
        </w:rPr>
        <w:t xml:space="preserve">Daxin Certified Public Accountant (DCPA) </w:t>
      </w:r>
      <w:r w:rsidR="00005758" w:rsidRPr="00ED22D1">
        <w:rPr>
          <w:lang w:val="fr-CA"/>
        </w:rPr>
        <w:t xml:space="preserve">afin de procéder à la </w:t>
      </w:r>
      <w:r w:rsidR="00921BDE" w:rsidRPr="00ED22D1">
        <w:rPr>
          <w:lang w:val="fr-CA"/>
        </w:rPr>
        <w:t>vérification</w:t>
      </w:r>
      <w:r w:rsidR="00D002F4" w:rsidRPr="00ED22D1">
        <w:rPr>
          <w:lang w:val="fr-CA"/>
        </w:rPr>
        <w:t xml:space="preserve"> </w:t>
      </w:r>
      <w:r w:rsidR="00005758" w:rsidRPr="00ED22D1">
        <w:rPr>
          <w:lang w:val="fr-CA"/>
        </w:rPr>
        <w:t>de la consommation de</w:t>
      </w:r>
      <w:r w:rsidR="00D002F4" w:rsidRPr="00ED22D1">
        <w:rPr>
          <w:lang w:val="fr-CA"/>
        </w:rPr>
        <w:t xml:space="preserve"> </w:t>
      </w:r>
      <w:r w:rsidR="00CD72DB" w:rsidRPr="00ED22D1">
        <w:rPr>
          <w:lang w:val="fr-CA"/>
        </w:rPr>
        <w:t>référence</w:t>
      </w:r>
      <w:r w:rsidR="00D002F4" w:rsidRPr="00ED22D1">
        <w:rPr>
          <w:lang w:val="fr-CA"/>
        </w:rPr>
        <w:t xml:space="preserve"> </w:t>
      </w:r>
      <w:r w:rsidR="004A6828" w:rsidRPr="00ED22D1">
        <w:rPr>
          <w:lang w:val="fr-CA"/>
        </w:rPr>
        <w:t xml:space="preserve">et </w:t>
      </w:r>
      <w:r w:rsidR="00005758" w:rsidRPr="00ED22D1">
        <w:rPr>
          <w:lang w:val="fr-CA"/>
        </w:rPr>
        <w:t xml:space="preserve">l’admissibilité des </w:t>
      </w:r>
      <w:r w:rsidR="00325FA0" w:rsidRPr="00ED22D1">
        <w:rPr>
          <w:lang w:val="fr-CA"/>
        </w:rPr>
        <w:t>circuits de fabrication</w:t>
      </w:r>
      <w:r w:rsidR="00D002F4" w:rsidRPr="00ED22D1">
        <w:rPr>
          <w:lang w:val="fr-CA"/>
        </w:rPr>
        <w:t xml:space="preserve"> </w:t>
      </w:r>
      <w:r w:rsidR="00005758" w:rsidRPr="00ED22D1">
        <w:rPr>
          <w:lang w:val="fr-CA"/>
        </w:rPr>
        <w:t>à la reconversion</w:t>
      </w:r>
      <w:r w:rsidR="00D002F4" w:rsidRPr="00ED22D1">
        <w:rPr>
          <w:lang w:val="fr-CA"/>
        </w:rPr>
        <w:t>,</w:t>
      </w:r>
      <w:r w:rsidR="004A6828" w:rsidRPr="00ED22D1">
        <w:rPr>
          <w:lang w:val="fr-CA"/>
        </w:rPr>
        <w:t xml:space="preserve"> et</w:t>
      </w:r>
      <w:r w:rsidR="00ED22D1">
        <w:rPr>
          <w:lang w:val="fr-CA"/>
        </w:rPr>
        <w:t xml:space="preserve"> à</w:t>
      </w:r>
      <w:r w:rsidR="00005758" w:rsidRPr="00ED22D1">
        <w:rPr>
          <w:lang w:val="fr-CA"/>
        </w:rPr>
        <w:t xml:space="preserve"> la</w:t>
      </w:r>
      <w:r w:rsidR="004A6828" w:rsidRPr="00ED22D1">
        <w:rPr>
          <w:lang w:val="fr-CA"/>
        </w:rPr>
        <w:t xml:space="preserve"> </w:t>
      </w:r>
      <w:r w:rsidR="00921BDE" w:rsidRPr="00ED22D1">
        <w:rPr>
          <w:lang w:val="fr-CA"/>
        </w:rPr>
        <w:t>vérification</w:t>
      </w:r>
      <w:r w:rsidR="00D002F4" w:rsidRPr="00ED22D1">
        <w:rPr>
          <w:lang w:val="fr-CA"/>
        </w:rPr>
        <w:t xml:space="preserve"> </w:t>
      </w:r>
      <w:r w:rsidR="00005758" w:rsidRPr="00ED22D1">
        <w:rPr>
          <w:lang w:val="fr-CA"/>
        </w:rPr>
        <w:t xml:space="preserve">des jalons de rendement durant le processus de </w:t>
      </w:r>
      <w:r w:rsidR="00FB1DC4" w:rsidRPr="00ED22D1">
        <w:rPr>
          <w:lang w:val="fr-CA"/>
        </w:rPr>
        <w:t>reconversion</w:t>
      </w:r>
      <w:r w:rsidR="00D002F4" w:rsidRPr="00ED22D1">
        <w:rPr>
          <w:lang w:val="fr-CA"/>
        </w:rPr>
        <w:t>.</w:t>
      </w:r>
      <w:r w:rsidR="00005758" w:rsidRPr="00ED22D1">
        <w:rPr>
          <w:lang w:val="fr-CA"/>
        </w:rPr>
        <w:t xml:space="preserve"> Depuis la</w:t>
      </w:r>
      <w:r w:rsidR="00D002F4" w:rsidRPr="00ED22D1">
        <w:rPr>
          <w:lang w:val="fr-CA"/>
        </w:rPr>
        <w:t xml:space="preserve"> signature </w:t>
      </w:r>
      <w:r w:rsidR="00005758" w:rsidRPr="00ED22D1">
        <w:rPr>
          <w:lang w:val="fr-CA"/>
        </w:rPr>
        <w:t>des</w:t>
      </w:r>
      <w:r w:rsidR="00D002F4" w:rsidRPr="00ED22D1">
        <w:rPr>
          <w:lang w:val="fr-CA"/>
        </w:rPr>
        <w:t xml:space="preserve"> </w:t>
      </w:r>
      <w:r w:rsidR="00921BDE" w:rsidRPr="00ED22D1">
        <w:rPr>
          <w:lang w:val="fr-CA"/>
        </w:rPr>
        <w:t>contrats</w:t>
      </w:r>
      <w:r w:rsidR="00D002F4" w:rsidRPr="00ED22D1">
        <w:rPr>
          <w:lang w:val="fr-CA"/>
        </w:rPr>
        <w:t xml:space="preserve">, </w:t>
      </w:r>
      <w:r w:rsidR="00005758" w:rsidRPr="00ED22D1">
        <w:rPr>
          <w:lang w:val="fr-CA"/>
        </w:rPr>
        <w:t xml:space="preserve">le </w:t>
      </w:r>
      <w:r w:rsidR="00D002F4" w:rsidRPr="00ED22D1">
        <w:rPr>
          <w:lang w:val="fr-CA"/>
        </w:rPr>
        <w:t xml:space="preserve">DCPA a </w:t>
      </w:r>
      <w:r w:rsidR="00005758" w:rsidRPr="00ED22D1">
        <w:rPr>
          <w:lang w:val="fr-CA"/>
        </w:rPr>
        <w:t xml:space="preserve">vérifié </w:t>
      </w:r>
      <w:r w:rsidR="00181884" w:rsidRPr="00ED22D1">
        <w:rPr>
          <w:lang w:val="fr-CA"/>
        </w:rPr>
        <w:t xml:space="preserve">la </w:t>
      </w:r>
      <w:r w:rsidR="00AE1617" w:rsidRPr="00ED22D1">
        <w:rPr>
          <w:lang w:val="fr-CA"/>
        </w:rPr>
        <w:t>consommation de</w:t>
      </w:r>
      <w:r w:rsidR="00D002F4" w:rsidRPr="00ED22D1">
        <w:rPr>
          <w:lang w:val="fr-CA"/>
        </w:rPr>
        <w:t xml:space="preserve"> 23 </w:t>
      </w:r>
      <w:r w:rsidR="00325FA0" w:rsidRPr="00ED22D1">
        <w:rPr>
          <w:lang w:val="fr-CA"/>
        </w:rPr>
        <w:t>circuits de fabrication</w:t>
      </w:r>
      <w:r w:rsidR="004A6828" w:rsidRPr="00ED22D1">
        <w:rPr>
          <w:lang w:val="fr-CA"/>
        </w:rPr>
        <w:t xml:space="preserve"> et </w:t>
      </w:r>
      <w:r w:rsidR="00E71388" w:rsidRPr="00ED22D1">
        <w:rPr>
          <w:lang w:val="fr-CA"/>
        </w:rPr>
        <w:t>le</w:t>
      </w:r>
      <w:r w:rsidR="00005758" w:rsidRPr="00ED22D1">
        <w:rPr>
          <w:lang w:val="fr-CA"/>
        </w:rPr>
        <w:t>s jalons de mise en oeuvre du</w:t>
      </w:r>
      <w:r w:rsidR="00E71388" w:rsidRPr="00ED22D1">
        <w:rPr>
          <w:lang w:val="fr-CA"/>
        </w:rPr>
        <w:t xml:space="preserve"> projet</w:t>
      </w:r>
      <w:r w:rsidR="00D002F4" w:rsidRPr="00ED22D1">
        <w:rPr>
          <w:lang w:val="fr-CA"/>
        </w:rPr>
        <w:t xml:space="preserve"> </w:t>
      </w:r>
      <w:r w:rsidR="00053099" w:rsidRPr="00ED22D1">
        <w:rPr>
          <w:lang w:val="fr-CA"/>
        </w:rPr>
        <w:t>de</w:t>
      </w:r>
      <w:r w:rsidR="00ED22D1">
        <w:rPr>
          <w:lang w:val="fr-CA"/>
        </w:rPr>
        <w:t> </w:t>
      </w:r>
      <w:r w:rsidR="00D002F4" w:rsidRPr="00ED22D1">
        <w:rPr>
          <w:lang w:val="fr-CA"/>
        </w:rPr>
        <w:t>17</w:t>
      </w:r>
      <w:r w:rsidR="00053099" w:rsidRPr="00ED22D1">
        <w:rPr>
          <w:lang w:val="fr-CA"/>
        </w:rPr>
        <w:t> </w:t>
      </w:r>
      <w:r w:rsidR="00325FA0" w:rsidRPr="00ED22D1">
        <w:rPr>
          <w:lang w:val="fr-CA"/>
        </w:rPr>
        <w:t>circuits de fabrication</w:t>
      </w:r>
      <w:r w:rsidR="00D002F4" w:rsidRPr="00ED22D1">
        <w:rPr>
          <w:lang w:val="fr-CA"/>
        </w:rPr>
        <w:t>;</w:t>
      </w:r>
    </w:p>
    <w:p w:rsidR="00D002F4" w:rsidRPr="00ED22D1" w:rsidRDefault="00053099" w:rsidP="00053099">
      <w:pPr>
        <w:pStyle w:val="Heading2"/>
        <w:keepNext/>
        <w:keepLines/>
        <w:numPr>
          <w:ilvl w:val="0"/>
          <w:numId w:val="0"/>
        </w:numPr>
        <w:ind w:left="1418" w:hanging="698"/>
        <w:rPr>
          <w:lang w:val="fr-CA"/>
        </w:rPr>
      </w:pPr>
      <w:r w:rsidRPr="00ED22D1">
        <w:rPr>
          <w:lang w:val="fr-CA"/>
        </w:rPr>
        <w:t>(c)</w:t>
      </w:r>
      <w:r w:rsidRPr="00ED22D1">
        <w:rPr>
          <w:lang w:val="fr-CA"/>
        </w:rPr>
        <w:tab/>
        <w:t xml:space="preserve">Un projet de recherche a été entrepris afin d’élaborer une </w:t>
      </w:r>
      <w:r w:rsidR="00D002F4" w:rsidRPr="00ED22D1">
        <w:rPr>
          <w:lang w:val="fr-CA"/>
        </w:rPr>
        <w:t>m</w:t>
      </w:r>
      <w:r w:rsidRPr="00ED22D1">
        <w:rPr>
          <w:lang w:val="fr-CA"/>
        </w:rPr>
        <w:t>é</w:t>
      </w:r>
      <w:r w:rsidR="00D002F4" w:rsidRPr="00ED22D1">
        <w:rPr>
          <w:lang w:val="fr-CA"/>
        </w:rPr>
        <w:t>thodolog</w:t>
      </w:r>
      <w:r w:rsidRPr="00ED22D1">
        <w:rPr>
          <w:lang w:val="fr-CA"/>
        </w:rPr>
        <w:t>ie pour l’évaluation du rendement et la consommation d’énergie du système de réfrigération utilisant du</w:t>
      </w:r>
      <w:r w:rsidR="00D002F4" w:rsidRPr="00ED22D1">
        <w:rPr>
          <w:lang w:val="fr-CA"/>
        </w:rPr>
        <w:t xml:space="preserve"> CO</w:t>
      </w:r>
      <w:r w:rsidR="00D002F4" w:rsidRPr="00ED22D1">
        <w:rPr>
          <w:vertAlign w:val="subscript"/>
          <w:lang w:val="fr-CA"/>
        </w:rPr>
        <w:t>2</w:t>
      </w:r>
      <w:r w:rsidR="00D002F4" w:rsidRPr="00ED22D1">
        <w:rPr>
          <w:lang w:val="fr-CA"/>
        </w:rPr>
        <w:t xml:space="preserve"> </w:t>
      </w:r>
      <w:r w:rsidRPr="00ED22D1">
        <w:rPr>
          <w:lang w:val="fr-CA"/>
        </w:rPr>
        <w:t>dans les supermarché</w:t>
      </w:r>
      <w:r w:rsidR="00D002F4" w:rsidRPr="00ED22D1">
        <w:rPr>
          <w:lang w:val="fr-CA"/>
        </w:rPr>
        <w:t>s</w:t>
      </w:r>
      <w:r w:rsidR="00C420BC" w:rsidRPr="00ED22D1">
        <w:rPr>
          <w:lang w:val="fr-CA"/>
        </w:rPr>
        <w:t>. L’</w:t>
      </w:r>
      <w:r w:rsidR="00872A2F" w:rsidRPr="00ED22D1">
        <w:rPr>
          <w:lang w:val="fr-CA"/>
        </w:rPr>
        <w:t xml:space="preserve">assistance technique </w:t>
      </w:r>
      <w:r w:rsidRPr="00ED22D1">
        <w:rPr>
          <w:lang w:val="fr-CA"/>
        </w:rPr>
        <w:t xml:space="preserve">vise à comparer les systèmes de </w:t>
      </w:r>
      <w:r w:rsidR="0052712E" w:rsidRPr="00ED22D1">
        <w:rPr>
          <w:lang w:val="fr-CA"/>
        </w:rPr>
        <w:t>réfrigération</w:t>
      </w:r>
      <w:r w:rsidR="00D002F4" w:rsidRPr="00ED22D1">
        <w:rPr>
          <w:lang w:val="fr-CA"/>
        </w:rPr>
        <w:t xml:space="preserve"> </w:t>
      </w:r>
      <w:r w:rsidRPr="00ED22D1">
        <w:rPr>
          <w:lang w:val="fr-CA"/>
        </w:rPr>
        <w:t xml:space="preserve">à l’aide du </w:t>
      </w:r>
      <w:r w:rsidR="00D002F4" w:rsidRPr="00ED22D1">
        <w:rPr>
          <w:lang w:val="fr-CA"/>
        </w:rPr>
        <w:t>CO</w:t>
      </w:r>
      <w:r w:rsidR="00D002F4" w:rsidRPr="00ED22D1">
        <w:rPr>
          <w:vertAlign w:val="subscript"/>
          <w:lang w:val="fr-CA"/>
        </w:rPr>
        <w:t>2</w:t>
      </w:r>
      <w:r w:rsidR="004A6828" w:rsidRPr="00ED22D1">
        <w:rPr>
          <w:lang w:val="fr-CA"/>
        </w:rPr>
        <w:t xml:space="preserve"> et </w:t>
      </w:r>
      <w:r w:rsidRPr="00ED22D1">
        <w:rPr>
          <w:lang w:val="fr-CA"/>
        </w:rPr>
        <w:t>autres</w:t>
      </w:r>
      <w:r w:rsidR="00D002F4" w:rsidRPr="00ED22D1">
        <w:rPr>
          <w:lang w:val="fr-CA"/>
        </w:rPr>
        <w:t xml:space="preserve"> </w:t>
      </w:r>
      <w:r w:rsidR="002F6D48" w:rsidRPr="00ED22D1">
        <w:rPr>
          <w:lang w:val="fr-CA"/>
        </w:rPr>
        <w:t>frigorigène</w:t>
      </w:r>
      <w:r w:rsidR="00D002F4" w:rsidRPr="00ED22D1">
        <w:rPr>
          <w:lang w:val="fr-CA"/>
        </w:rPr>
        <w:t>s</w:t>
      </w:r>
      <w:r w:rsidRPr="00ED22D1">
        <w:rPr>
          <w:lang w:val="fr-CA"/>
        </w:rPr>
        <w:t>,</w:t>
      </w:r>
      <w:r w:rsidR="00D002F4" w:rsidRPr="00ED22D1">
        <w:rPr>
          <w:lang w:val="fr-CA"/>
        </w:rPr>
        <w:t xml:space="preserve"> </w:t>
      </w:r>
      <w:r w:rsidR="004B666A" w:rsidRPr="00ED22D1">
        <w:rPr>
          <w:lang w:val="fr-CA"/>
        </w:rPr>
        <w:t>y compris</w:t>
      </w:r>
      <w:r w:rsidR="00D002F4" w:rsidRPr="00ED22D1">
        <w:rPr>
          <w:lang w:val="fr-CA"/>
        </w:rPr>
        <w:t xml:space="preserve"> </w:t>
      </w:r>
      <w:r w:rsidRPr="00ED22D1">
        <w:rPr>
          <w:lang w:val="fr-CA"/>
        </w:rPr>
        <w:t xml:space="preserve">le </w:t>
      </w:r>
      <w:r w:rsidR="00D002F4" w:rsidRPr="00ED22D1">
        <w:rPr>
          <w:lang w:val="fr-CA"/>
        </w:rPr>
        <w:t>HCFC</w:t>
      </w:r>
      <w:r w:rsidR="00D002F4" w:rsidRPr="00ED22D1">
        <w:rPr>
          <w:lang w:val="fr-CA"/>
        </w:rPr>
        <w:noBreakHyphen/>
        <w:t>2</w:t>
      </w:r>
      <w:r w:rsidR="004A6828" w:rsidRPr="00ED22D1">
        <w:rPr>
          <w:lang w:val="fr-CA"/>
        </w:rPr>
        <w:t>2</w:t>
      </w:r>
      <w:r w:rsidRPr="00ED22D1">
        <w:rPr>
          <w:lang w:val="fr-CA"/>
        </w:rPr>
        <w:t>, à recueillir et analyser les données sur le rendement du système et la consommation d’énergie</w:t>
      </w:r>
      <w:r w:rsidR="00D002F4" w:rsidRPr="00ED22D1">
        <w:rPr>
          <w:lang w:val="fr-CA"/>
        </w:rPr>
        <w:t xml:space="preserve">. </w:t>
      </w:r>
      <w:r w:rsidRPr="00ED22D1">
        <w:rPr>
          <w:lang w:val="fr-CA"/>
        </w:rPr>
        <w:t xml:space="preserve">En date de février </w:t>
      </w:r>
      <w:r w:rsidR="00D002F4" w:rsidRPr="00ED22D1">
        <w:rPr>
          <w:lang w:val="fr-CA"/>
        </w:rPr>
        <w:t>201</w:t>
      </w:r>
      <w:r w:rsidR="004A6828" w:rsidRPr="00ED22D1">
        <w:rPr>
          <w:lang w:val="fr-CA"/>
        </w:rPr>
        <w:t>9</w:t>
      </w:r>
      <w:r w:rsidRPr="00ED22D1">
        <w:rPr>
          <w:lang w:val="fr-CA"/>
        </w:rPr>
        <w:t xml:space="preserve">, les essais de rendement et de consommation d’énergie pour les systèmes de </w:t>
      </w:r>
      <w:r w:rsidR="0052712E" w:rsidRPr="00ED22D1">
        <w:rPr>
          <w:lang w:val="fr-CA"/>
        </w:rPr>
        <w:t>réfrigération</w:t>
      </w:r>
      <w:r w:rsidRPr="00ED22D1">
        <w:rPr>
          <w:lang w:val="fr-CA"/>
        </w:rPr>
        <w:t xml:space="preserve"> utilisant</w:t>
      </w:r>
      <w:r w:rsidR="007A4DBF" w:rsidRPr="00ED22D1">
        <w:rPr>
          <w:lang w:val="fr-CA"/>
        </w:rPr>
        <w:t xml:space="preserve"> du</w:t>
      </w:r>
      <w:r w:rsidRPr="00ED22D1">
        <w:rPr>
          <w:lang w:val="fr-CA"/>
        </w:rPr>
        <w:t xml:space="preserve"> </w:t>
      </w:r>
      <w:r w:rsidR="00D002F4" w:rsidRPr="00ED22D1">
        <w:rPr>
          <w:lang w:val="fr-CA"/>
        </w:rPr>
        <w:t>CO</w:t>
      </w:r>
      <w:r w:rsidR="004A6828" w:rsidRPr="00ED22D1">
        <w:rPr>
          <w:vertAlign w:val="subscript"/>
          <w:lang w:val="fr-CA"/>
        </w:rPr>
        <w:t>2</w:t>
      </w:r>
      <w:r w:rsidR="007A4DBF" w:rsidRPr="00ED22D1">
        <w:rPr>
          <w:vertAlign w:val="subscript"/>
          <w:lang w:val="fr-CA"/>
        </w:rPr>
        <w:t>,</w:t>
      </w:r>
      <w:r w:rsidR="00D002F4" w:rsidRPr="00ED22D1">
        <w:rPr>
          <w:lang w:val="fr-CA"/>
        </w:rPr>
        <w:t xml:space="preserve"> </w:t>
      </w:r>
      <w:r w:rsidR="007A4DBF" w:rsidRPr="00ED22D1">
        <w:rPr>
          <w:lang w:val="fr-CA"/>
        </w:rPr>
        <w:t xml:space="preserve">du </w:t>
      </w:r>
      <w:r w:rsidR="00D002F4" w:rsidRPr="00ED22D1">
        <w:rPr>
          <w:lang w:val="fr-CA"/>
        </w:rPr>
        <w:t>HCFC</w:t>
      </w:r>
      <w:r w:rsidR="00D002F4" w:rsidRPr="00ED22D1">
        <w:rPr>
          <w:lang w:val="fr-CA"/>
        </w:rPr>
        <w:noBreakHyphen/>
        <w:t>22</w:t>
      </w:r>
      <w:r w:rsidR="00ED22D1">
        <w:rPr>
          <w:lang w:val="fr-CA"/>
        </w:rPr>
        <w:t>,</w:t>
      </w:r>
      <w:r w:rsidR="004A6828" w:rsidRPr="00ED22D1">
        <w:rPr>
          <w:lang w:val="fr-CA"/>
        </w:rPr>
        <w:t xml:space="preserve"> et </w:t>
      </w:r>
      <w:r w:rsidR="007A4DBF" w:rsidRPr="00ED22D1">
        <w:rPr>
          <w:lang w:val="fr-CA"/>
        </w:rPr>
        <w:t xml:space="preserve">du </w:t>
      </w:r>
      <w:r w:rsidR="00D002F4" w:rsidRPr="00ED22D1">
        <w:rPr>
          <w:lang w:val="fr-CA"/>
        </w:rPr>
        <w:t xml:space="preserve">R-404A </w:t>
      </w:r>
      <w:r w:rsidR="007A4DBF" w:rsidRPr="00ED22D1">
        <w:rPr>
          <w:lang w:val="fr-CA"/>
        </w:rPr>
        <w:t>étaient terminés</w:t>
      </w:r>
      <w:r w:rsidR="00D002F4" w:rsidRPr="00ED22D1">
        <w:rPr>
          <w:lang w:val="fr-CA"/>
        </w:rPr>
        <w:t>;</w:t>
      </w:r>
    </w:p>
    <w:p w:rsidR="00D002F4" w:rsidRPr="00ED22D1" w:rsidRDefault="00053099" w:rsidP="00053099">
      <w:pPr>
        <w:pStyle w:val="Heading2"/>
        <w:keepNext/>
        <w:keepLines/>
        <w:numPr>
          <w:ilvl w:val="0"/>
          <w:numId w:val="0"/>
        </w:numPr>
        <w:ind w:left="1418" w:hanging="698"/>
        <w:rPr>
          <w:lang w:val="fr-CA"/>
        </w:rPr>
      </w:pPr>
      <w:r w:rsidRPr="00ED22D1">
        <w:rPr>
          <w:lang w:val="fr-CA"/>
        </w:rPr>
        <w:t>(d)</w:t>
      </w:r>
      <w:r w:rsidRPr="00ED22D1">
        <w:rPr>
          <w:lang w:val="fr-CA"/>
        </w:rPr>
        <w:tab/>
      </w:r>
      <w:r w:rsidR="007A4DBF" w:rsidRPr="00ED22D1">
        <w:rPr>
          <w:lang w:val="fr-CA"/>
        </w:rPr>
        <w:t>Une étude sur la conservation de l’énergie dans les petites et moyennes unités d’entreposage frigorifique et de condensation de la compression a été entreprise afin de développer une méthodologie</w:t>
      </w:r>
      <w:r w:rsidR="00D002F4" w:rsidRPr="00ED22D1">
        <w:rPr>
          <w:lang w:val="fr-CA"/>
        </w:rPr>
        <w:t xml:space="preserve"> </w:t>
      </w:r>
      <w:r w:rsidR="007A4DBF" w:rsidRPr="00ED22D1">
        <w:rPr>
          <w:lang w:val="fr-CA"/>
        </w:rPr>
        <w:t>pour l’é</w:t>
      </w:r>
      <w:r w:rsidR="00D002F4" w:rsidRPr="00ED22D1">
        <w:rPr>
          <w:lang w:val="fr-CA"/>
        </w:rPr>
        <w:t xml:space="preserve">valuation </w:t>
      </w:r>
      <w:r w:rsidR="007A4DBF" w:rsidRPr="00ED22D1">
        <w:rPr>
          <w:lang w:val="fr-CA"/>
        </w:rPr>
        <w:t>de l’</w:t>
      </w:r>
      <w:r w:rsidR="00986C95" w:rsidRPr="00ED22D1">
        <w:rPr>
          <w:lang w:val="fr-CA"/>
        </w:rPr>
        <w:t>efficacité énergétique</w:t>
      </w:r>
      <w:r w:rsidR="007A4DBF" w:rsidRPr="00ED22D1">
        <w:rPr>
          <w:lang w:val="fr-CA"/>
        </w:rPr>
        <w:t xml:space="preserve"> du matériel d’entreposage frigorifique</w:t>
      </w:r>
      <w:r w:rsidR="00D002F4" w:rsidRPr="00ED22D1">
        <w:rPr>
          <w:lang w:val="fr-CA"/>
        </w:rPr>
        <w:t xml:space="preserve"> (20-70 tonnes </w:t>
      </w:r>
      <w:r w:rsidR="007A4DBF" w:rsidRPr="00ED22D1">
        <w:rPr>
          <w:lang w:val="fr-CA"/>
        </w:rPr>
        <w:t>de capacité de</w:t>
      </w:r>
      <w:r w:rsidR="00D002F4" w:rsidRPr="00ED22D1">
        <w:rPr>
          <w:lang w:val="fr-CA"/>
        </w:rPr>
        <w:t xml:space="preserve"> </w:t>
      </w:r>
      <w:r w:rsidR="0052712E" w:rsidRPr="00ED22D1">
        <w:rPr>
          <w:lang w:val="fr-CA"/>
        </w:rPr>
        <w:t>réfrigération</w:t>
      </w:r>
      <w:r w:rsidR="00D002F4" w:rsidRPr="00ED22D1">
        <w:rPr>
          <w:lang w:val="fr-CA"/>
        </w:rPr>
        <w:t>)</w:t>
      </w:r>
      <w:r w:rsidR="00C420BC" w:rsidRPr="00ED22D1">
        <w:rPr>
          <w:lang w:val="fr-CA"/>
        </w:rPr>
        <w:t>. L’</w:t>
      </w:r>
      <w:r w:rsidR="00DE118B" w:rsidRPr="00ED22D1">
        <w:rPr>
          <w:lang w:val="fr-CA"/>
        </w:rPr>
        <w:t>activité</w:t>
      </w:r>
      <w:r w:rsidR="00D002F4" w:rsidRPr="00ED22D1">
        <w:rPr>
          <w:lang w:val="fr-CA"/>
        </w:rPr>
        <w:t xml:space="preserve"> </w:t>
      </w:r>
      <w:r w:rsidR="007A4DBF" w:rsidRPr="00ED22D1">
        <w:rPr>
          <w:lang w:val="fr-CA"/>
        </w:rPr>
        <w:t>visera à</w:t>
      </w:r>
      <w:r w:rsidR="00ED22D1">
        <w:rPr>
          <w:lang w:val="fr-CA"/>
        </w:rPr>
        <w:t> </w:t>
      </w:r>
      <w:r w:rsidR="007A4DBF" w:rsidRPr="00ED22D1">
        <w:rPr>
          <w:lang w:val="fr-CA"/>
        </w:rPr>
        <w:t>établir une norme d’efficacité énergétique pour le matériel de réfrigération</w:t>
      </w:r>
      <w:r w:rsidR="00D002F4" w:rsidRPr="00ED22D1">
        <w:rPr>
          <w:lang w:val="fr-CA"/>
        </w:rPr>
        <w:t xml:space="preserve">, </w:t>
      </w:r>
      <w:r w:rsidR="007A4DBF" w:rsidRPr="00ED22D1">
        <w:rPr>
          <w:lang w:val="fr-CA"/>
        </w:rPr>
        <w:t xml:space="preserve">à éliminer les technologies désuètes et à enlever les barrières pour la </w:t>
      </w:r>
      <w:r w:rsidR="00D002F4" w:rsidRPr="00ED22D1">
        <w:rPr>
          <w:lang w:val="fr-CA"/>
        </w:rPr>
        <w:t xml:space="preserve">transition </w:t>
      </w:r>
      <w:r w:rsidR="007A4DBF" w:rsidRPr="00ED22D1">
        <w:rPr>
          <w:lang w:val="fr-CA"/>
        </w:rPr>
        <w:t>vers des technologies écoénergétique</w:t>
      </w:r>
      <w:r w:rsidR="00ED22D1">
        <w:rPr>
          <w:lang w:val="fr-CA"/>
        </w:rPr>
        <w:t>s</w:t>
      </w:r>
      <w:r w:rsidR="007A4DBF" w:rsidRPr="00ED22D1">
        <w:rPr>
          <w:lang w:val="fr-CA"/>
        </w:rPr>
        <w:t xml:space="preserve"> et respectueuses de l’environnement</w:t>
      </w:r>
      <w:r w:rsidR="0031390F" w:rsidRPr="00ED22D1">
        <w:rPr>
          <w:lang w:val="fr-CA"/>
        </w:rPr>
        <w:t>. Le</w:t>
      </w:r>
      <w:r w:rsidR="00E71388" w:rsidRPr="00ED22D1">
        <w:rPr>
          <w:lang w:val="fr-CA"/>
        </w:rPr>
        <w:t xml:space="preserve"> projet</w:t>
      </w:r>
      <w:r w:rsidR="00903152" w:rsidRPr="00ED22D1">
        <w:rPr>
          <w:lang w:val="fr-CA"/>
        </w:rPr>
        <w:t xml:space="preserve"> </w:t>
      </w:r>
      <w:r w:rsidR="007A4DBF" w:rsidRPr="00ED22D1">
        <w:rPr>
          <w:lang w:val="fr-CA"/>
        </w:rPr>
        <w:t>avance</w:t>
      </w:r>
      <w:r w:rsidR="00D002F4" w:rsidRPr="00ED22D1">
        <w:rPr>
          <w:lang w:val="fr-CA"/>
        </w:rPr>
        <w:t xml:space="preserve">. </w:t>
      </w:r>
      <w:r w:rsidR="007A4DBF" w:rsidRPr="00ED22D1">
        <w:rPr>
          <w:lang w:val="fr-CA"/>
        </w:rPr>
        <w:t>En date de février</w:t>
      </w:r>
      <w:r w:rsidR="00ED22D1">
        <w:rPr>
          <w:lang w:val="fr-CA"/>
        </w:rPr>
        <w:t> </w:t>
      </w:r>
      <w:r w:rsidR="00D002F4" w:rsidRPr="00ED22D1">
        <w:rPr>
          <w:lang w:val="fr-CA"/>
        </w:rPr>
        <w:t>201</w:t>
      </w:r>
      <w:r w:rsidR="004A6828" w:rsidRPr="00ED22D1">
        <w:rPr>
          <w:lang w:val="fr-CA"/>
        </w:rPr>
        <w:t>9</w:t>
      </w:r>
      <w:r w:rsidR="007A4DBF" w:rsidRPr="00ED22D1">
        <w:rPr>
          <w:lang w:val="fr-CA"/>
        </w:rPr>
        <w:t>,</w:t>
      </w:r>
      <w:r w:rsidR="004A6828" w:rsidRPr="00ED22D1">
        <w:rPr>
          <w:lang w:val="fr-CA"/>
        </w:rPr>
        <w:t> </w:t>
      </w:r>
      <w:r w:rsidR="007A4DBF" w:rsidRPr="00ED22D1">
        <w:rPr>
          <w:lang w:val="fr-CA"/>
        </w:rPr>
        <w:t>la recherche sur les méthodes d’é</w:t>
      </w:r>
      <w:r w:rsidR="00D002F4" w:rsidRPr="00ED22D1">
        <w:rPr>
          <w:lang w:val="fr-CA"/>
        </w:rPr>
        <w:t xml:space="preserve">valuation </w:t>
      </w:r>
      <w:r w:rsidR="007A4DBF" w:rsidRPr="00ED22D1">
        <w:rPr>
          <w:lang w:val="fr-CA"/>
        </w:rPr>
        <w:t>de</w:t>
      </w:r>
      <w:r w:rsidR="00870603" w:rsidRPr="00ED22D1">
        <w:rPr>
          <w:lang w:val="fr-CA"/>
        </w:rPr>
        <w:t>s</w:t>
      </w:r>
      <w:r w:rsidR="007A4DBF" w:rsidRPr="00ED22D1">
        <w:rPr>
          <w:lang w:val="fr-CA"/>
        </w:rPr>
        <w:t xml:space="preserve"> économie</w:t>
      </w:r>
      <w:r w:rsidR="00616B46" w:rsidRPr="00ED22D1">
        <w:rPr>
          <w:lang w:val="fr-CA"/>
        </w:rPr>
        <w:t>s</w:t>
      </w:r>
      <w:r w:rsidR="007A4DBF" w:rsidRPr="00ED22D1">
        <w:rPr>
          <w:lang w:val="fr-CA"/>
        </w:rPr>
        <w:t xml:space="preserve"> d’énergie et des</w:t>
      </w:r>
      <w:r w:rsidR="00ED22D1">
        <w:rPr>
          <w:lang w:val="fr-CA"/>
        </w:rPr>
        <w:t> </w:t>
      </w:r>
      <w:r w:rsidR="007A4DBF" w:rsidRPr="00ED22D1">
        <w:rPr>
          <w:lang w:val="fr-CA"/>
        </w:rPr>
        <w:t xml:space="preserve">effets </w:t>
      </w:r>
      <w:r w:rsidR="00870603" w:rsidRPr="00ED22D1">
        <w:rPr>
          <w:lang w:val="fr-CA"/>
        </w:rPr>
        <w:t>de</w:t>
      </w:r>
      <w:r w:rsidR="007A4DBF" w:rsidRPr="00ED22D1">
        <w:rPr>
          <w:lang w:val="fr-CA"/>
        </w:rPr>
        <w:t xml:space="preserve"> réduction des émissions </w:t>
      </w:r>
      <w:r w:rsidR="00870603" w:rsidRPr="00ED22D1">
        <w:rPr>
          <w:lang w:val="fr-CA"/>
        </w:rPr>
        <w:t>des petites et moyennes unités d’entreposage frigorifique et du compresseur condenseur était terminée</w:t>
      </w:r>
      <w:r w:rsidR="00D002F4" w:rsidRPr="00ED22D1">
        <w:rPr>
          <w:lang w:val="fr-CA"/>
        </w:rPr>
        <w:t xml:space="preserve">; </w:t>
      </w:r>
    </w:p>
    <w:p w:rsidR="00D002F4" w:rsidRPr="00ED22D1" w:rsidRDefault="00053099" w:rsidP="00053099">
      <w:pPr>
        <w:pStyle w:val="Heading2"/>
        <w:numPr>
          <w:ilvl w:val="0"/>
          <w:numId w:val="0"/>
        </w:numPr>
        <w:ind w:left="1418" w:hanging="698"/>
        <w:rPr>
          <w:lang w:val="fr-CA"/>
        </w:rPr>
      </w:pPr>
      <w:r w:rsidRPr="00ED22D1">
        <w:rPr>
          <w:lang w:val="fr-CA"/>
        </w:rPr>
        <w:t>(e)</w:t>
      </w:r>
      <w:r w:rsidRPr="00ED22D1">
        <w:rPr>
          <w:lang w:val="fr-CA"/>
        </w:rPr>
        <w:tab/>
      </w:r>
      <w:r w:rsidR="00ED22D1">
        <w:rPr>
          <w:lang w:val="fr-CA"/>
        </w:rPr>
        <w:t>On a commencé u</w:t>
      </w:r>
      <w:r w:rsidR="00870603" w:rsidRPr="00ED22D1">
        <w:rPr>
          <w:lang w:val="fr-CA"/>
        </w:rPr>
        <w:t>ne étude sur les exigences en sécurité et l’évaluation de la méthodologie d’</w:t>
      </w:r>
      <w:r w:rsidR="00616B46" w:rsidRPr="00ED22D1">
        <w:rPr>
          <w:lang w:val="fr-CA"/>
        </w:rPr>
        <w:t>utilisation</w:t>
      </w:r>
      <w:r w:rsidR="00870603" w:rsidRPr="00ED22D1">
        <w:rPr>
          <w:lang w:val="fr-CA"/>
        </w:rPr>
        <w:t xml:space="preserve"> de</w:t>
      </w:r>
      <w:r w:rsidR="00ED22D1">
        <w:rPr>
          <w:lang w:val="fr-CA"/>
        </w:rPr>
        <w:t> </w:t>
      </w:r>
      <w:r w:rsidR="00616B46" w:rsidRPr="00ED22D1">
        <w:rPr>
          <w:lang w:val="fr-CA"/>
        </w:rPr>
        <w:t>frigorigènes</w:t>
      </w:r>
      <w:r w:rsidR="00870603" w:rsidRPr="00ED22D1">
        <w:rPr>
          <w:lang w:val="fr-CA"/>
        </w:rPr>
        <w:t xml:space="preserve"> in</w:t>
      </w:r>
      <w:r w:rsidR="00D002F4" w:rsidRPr="00ED22D1">
        <w:rPr>
          <w:lang w:val="fr-CA"/>
        </w:rPr>
        <w:t>flammable</w:t>
      </w:r>
      <w:r w:rsidR="00870603" w:rsidRPr="00ED22D1">
        <w:rPr>
          <w:lang w:val="fr-CA"/>
        </w:rPr>
        <w:t>s</w:t>
      </w:r>
      <w:r w:rsidR="00D002F4" w:rsidRPr="00ED22D1">
        <w:rPr>
          <w:lang w:val="fr-CA"/>
        </w:rPr>
        <w:t xml:space="preserve"> </w:t>
      </w:r>
      <w:r w:rsidR="00870603" w:rsidRPr="00ED22D1">
        <w:rPr>
          <w:lang w:val="fr-CA"/>
        </w:rPr>
        <w:t xml:space="preserve">dans des équipements industriels de </w:t>
      </w:r>
      <w:r w:rsidR="0052712E" w:rsidRPr="00ED22D1">
        <w:rPr>
          <w:lang w:val="fr-CA"/>
        </w:rPr>
        <w:t>réfrigération</w:t>
      </w:r>
      <w:r w:rsidR="004A6828" w:rsidRPr="00ED22D1">
        <w:rPr>
          <w:lang w:val="fr-CA"/>
        </w:rPr>
        <w:t xml:space="preserve"> et</w:t>
      </w:r>
      <w:r w:rsidR="00ED22D1">
        <w:rPr>
          <w:lang w:val="fr-CA"/>
        </w:rPr>
        <w:t> </w:t>
      </w:r>
      <w:r w:rsidR="00870603" w:rsidRPr="00ED22D1">
        <w:rPr>
          <w:lang w:val="fr-CA"/>
        </w:rPr>
        <w:t>de</w:t>
      </w:r>
      <w:r w:rsidR="00ED22D1">
        <w:rPr>
          <w:lang w:val="fr-CA"/>
        </w:rPr>
        <w:t> </w:t>
      </w:r>
      <w:r w:rsidR="00870603" w:rsidRPr="00ED22D1">
        <w:rPr>
          <w:lang w:val="fr-CA"/>
        </w:rPr>
        <w:t>climatisation</w:t>
      </w:r>
      <w:r w:rsidR="00C420BC" w:rsidRPr="00ED22D1">
        <w:rPr>
          <w:lang w:val="fr-CA"/>
        </w:rPr>
        <w:t>. L’</w:t>
      </w:r>
      <w:r w:rsidR="00872A2F" w:rsidRPr="00ED22D1">
        <w:rPr>
          <w:lang w:val="fr-CA"/>
        </w:rPr>
        <w:t xml:space="preserve">assistance technique </w:t>
      </w:r>
      <w:r w:rsidR="004E0510" w:rsidRPr="00ED22D1">
        <w:rPr>
          <w:lang w:val="fr-CA"/>
        </w:rPr>
        <w:t>vise à recueillir des données et à</w:t>
      </w:r>
      <w:r w:rsidR="00CE4AD8">
        <w:rPr>
          <w:lang w:val="fr-CA"/>
        </w:rPr>
        <w:t> </w:t>
      </w:r>
      <w:r w:rsidR="004E0510" w:rsidRPr="00ED22D1">
        <w:rPr>
          <w:lang w:val="fr-CA"/>
        </w:rPr>
        <w:t xml:space="preserve">analyser les informations pour la mise en oeuvre d’un système de </w:t>
      </w:r>
      <w:r w:rsidR="00616B46" w:rsidRPr="00ED22D1">
        <w:rPr>
          <w:lang w:val="fr-CA"/>
        </w:rPr>
        <w:t>certification</w:t>
      </w:r>
      <w:r w:rsidR="004E0510" w:rsidRPr="00ED22D1">
        <w:rPr>
          <w:lang w:val="fr-CA"/>
        </w:rPr>
        <w:t xml:space="preserve"> en</w:t>
      </w:r>
      <w:r w:rsidR="00CE4AD8">
        <w:rPr>
          <w:lang w:val="fr-CA"/>
        </w:rPr>
        <w:t> </w:t>
      </w:r>
      <w:r w:rsidR="004E0510" w:rsidRPr="00ED22D1">
        <w:rPr>
          <w:lang w:val="fr-CA"/>
        </w:rPr>
        <w:t xml:space="preserve">sécurité </w:t>
      </w:r>
      <w:r w:rsidR="00616B46" w:rsidRPr="00ED22D1">
        <w:rPr>
          <w:lang w:val="fr-CA"/>
        </w:rPr>
        <w:t>afin</w:t>
      </w:r>
      <w:r w:rsidR="004E0510" w:rsidRPr="00ED22D1">
        <w:rPr>
          <w:lang w:val="fr-CA"/>
        </w:rPr>
        <w:t xml:space="preserve"> de </w:t>
      </w:r>
      <w:r w:rsidR="00733306" w:rsidRPr="00ED22D1">
        <w:rPr>
          <w:lang w:val="fr-CA"/>
        </w:rPr>
        <w:t xml:space="preserve">réduire </w:t>
      </w:r>
      <w:r w:rsidR="004E0510" w:rsidRPr="00ED22D1">
        <w:rPr>
          <w:lang w:val="fr-CA"/>
        </w:rPr>
        <w:t xml:space="preserve">les risques pour la sécurité liés à la fabrication et à l’utilisation de ces </w:t>
      </w:r>
      <w:r w:rsidR="00D002F4" w:rsidRPr="00ED22D1">
        <w:rPr>
          <w:lang w:val="fr-CA"/>
        </w:rPr>
        <w:t>produ</w:t>
      </w:r>
      <w:r w:rsidR="004E0510" w:rsidRPr="00ED22D1">
        <w:rPr>
          <w:lang w:val="fr-CA"/>
        </w:rPr>
        <w:t>i</w:t>
      </w:r>
      <w:r w:rsidR="00D002F4" w:rsidRPr="00ED22D1">
        <w:rPr>
          <w:lang w:val="fr-CA"/>
        </w:rPr>
        <w:t>ts</w:t>
      </w:r>
      <w:r w:rsidR="00C420BC" w:rsidRPr="00ED22D1">
        <w:rPr>
          <w:lang w:val="fr-CA"/>
        </w:rPr>
        <w:t>. L’</w:t>
      </w:r>
      <w:r w:rsidR="004E0510" w:rsidRPr="00ED22D1">
        <w:rPr>
          <w:lang w:val="fr-CA"/>
        </w:rPr>
        <w:t>étude couvre à la fois la sécurité du produit et du processus de fabrication</w:t>
      </w:r>
      <w:r w:rsidR="00D002F4" w:rsidRPr="00ED22D1">
        <w:rPr>
          <w:lang w:val="fr-CA"/>
        </w:rPr>
        <w:t xml:space="preserve">. </w:t>
      </w:r>
      <w:r w:rsidR="004E0510" w:rsidRPr="00ED22D1">
        <w:rPr>
          <w:lang w:val="fr-CA"/>
        </w:rPr>
        <w:t>La certification de la sécurité du procédé de fabrication vise à s’assurer que</w:t>
      </w:r>
      <w:r w:rsidR="00CE4AD8">
        <w:rPr>
          <w:lang w:val="fr-CA"/>
        </w:rPr>
        <w:t> </w:t>
      </w:r>
      <w:r w:rsidR="004E0510" w:rsidRPr="00ED22D1">
        <w:rPr>
          <w:lang w:val="fr-CA"/>
        </w:rPr>
        <w:t>les installations de fabrication</w:t>
      </w:r>
      <w:r w:rsidR="00D002F4" w:rsidRPr="00ED22D1">
        <w:rPr>
          <w:lang w:val="fr-CA"/>
        </w:rPr>
        <w:t xml:space="preserve"> (</w:t>
      </w:r>
      <w:r w:rsidR="004B666A" w:rsidRPr="00ED22D1">
        <w:rPr>
          <w:lang w:val="fr-CA"/>
        </w:rPr>
        <w:t>y compris</w:t>
      </w:r>
      <w:r w:rsidR="00D002F4" w:rsidRPr="00ED22D1">
        <w:rPr>
          <w:lang w:val="fr-CA"/>
        </w:rPr>
        <w:t xml:space="preserve"> </w:t>
      </w:r>
      <w:r w:rsidR="004E0510" w:rsidRPr="00ED22D1">
        <w:rPr>
          <w:lang w:val="fr-CA"/>
        </w:rPr>
        <w:t>les</w:t>
      </w:r>
      <w:r w:rsidR="00D002F4" w:rsidRPr="00ED22D1">
        <w:rPr>
          <w:lang w:val="fr-CA"/>
        </w:rPr>
        <w:t xml:space="preserve"> </w:t>
      </w:r>
      <w:r w:rsidR="00921BDE" w:rsidRPr="00ED22D1">
        <w:rPr>
          <w:lang w:val="fr-CA"/>
        </w:rPr>
        <w:t>équipements</w:t>
      </w:r>
      <w:r w:rsidR="004E0510" w:rsidRPr="00ED22D1">
        <w:rPr>
          <w:lang w:val="fr-CA"/>
        </w:rPr>
        <w:t xml:space="preserve"> d’essai</w:t>
      </w:r>
      <w:r w:rsidR="00D002F4" w:rsidRPr="00ED22D1">
        <w:rPr>
          <w:lang w:val="fr-CA"/>
        </w:rPr>
        <w:t xml:space="preserve">) </w:t>
      </w:r>
      <w:r w:rsidR="004E0510" w:rsidRPr="00ED22D1">
        <w:rPr>
          <w:lang w:val="fr-CA"/>
        </w:rPr>
        <w:t>respectent les</w:t>
      </w:r>
      <w:r w:rsidR="00CE4AD8">
        <w:rPr>
          <w:lang w:val="fr-CA"/>
        </w:rPr>
        <w:t> </w:t>
      </w:r>
      <w:r w:rsidR="004E0510" w:rsidRPr="00ED22D1">
        <w:rPr>
          <w:lang w:val="fr-CA"/>
        </w:rPr>
        <w:t>exigences de sécurité pour l’utilisation des frigorigènes inflammables</w:t>
      </w:r>
      <w:r w:rsidR="0031390F" w:rsidRPr="00ED22D1">
        <w:rPr>
          <w:lang w:val="fr-CA"/>
        </w:rPr>
        <w:t>. Le</w:t>
      </w:r>
      <w:r w:rsidR="004E0510" w:rsidRPr="00ED22D1">
        <w:rPr>
          <w:lang w:val="fr-CA"/>
        </w:rPr>
        <w:t xml:space="preserve"> système de certification actuel de la</w:t>
      </w:r>
      <w:r w:rsidR="00181884" w:rsidRPr="00ED22D1">
        <w:rPr>
          <w:lang w:val="fr-CA"/>
        </w:rPr>
        <w:t xml:space="preserve"> Chine</w:t>
      </w:r>
      <w:r w:rsidR="00D002F4" w:rsidRPr="00ED22D1">
        <w:rPr>
          <w:lang w:val="fr-CA"/>
        </w:rPr>
        <w:t xml:space="preserve"> </w:t>
      </w:r>
      <w:r w:rsidR="004E0510" w:rsidRPr="00ED22D1">
        <w:rPr>
          <w:lang w:val="fr-CA"/>
        </w:rPr>
        <w:t xml:space="preserve">ne comprend pas des produits </w:t>
      </w:r>
      <w:r w:rsidRPr="00ED22D1">
        <w:rPr>
          <w:lang w:val="fr-CA"/>
        </w:rPr>
        <w:t xml:space="preserve">utilisant </w:t>
      </w:r>
      <w:r w:rsidR="004E0510" w:rsidRPr="00ED22D1">
        <w:rPr>
          <w:lang w:val="fr-CA"/>
        </w:rPr>
        <w:t>des frigorigènes in</w:t>
      </w:r>
      <w:r w:rsidR="00D002F4" w:rsidRPr="00ED22D1">
        <w:rPr>
          <w:lang w:val="fr-CA"/>
        </w:rPr>
        <w:t xml:space="preserve">flammables. </w:t>
      </w:r>
      <w:r w:rsidR="004E0510" w:rsidRPr="00ED22D1">
        <w:rPr>
          <w:lang w:val="fr-CA"/>
        </w:rPr>
        <w:t>En date de février</w:t>
      </w:r>
      <w:r w:rsidR="00D002F4" w:rsidRPr="00ED22D1">
        <w:rPr>
          <w:lang w:val="fr-CA"/>
        </w:rPr>
        <w:t xml:space="preserve"> 201</w:t>
      </w:r>
      <w:r w:rsidR="004A6828" w:rsidRPr="00ED22D1">
        <w:rPr>
          <w:lang w:val="fr-CA"/>
        </w:rPr>
        <w:t>9</w:t>
      </w:r>
      <w:r w:rsidR="004E0510" w:rsidRPr="00ED22D1">
        <w:rPr>
          <w:lang w:val="fr-CA"/>
        </w:rPr>
        <w:t>, l’équipe de</w:t>
      </w:r>
      <w:r w:rsidR="00E71388" w:rsidRPr="00ED22D1">
        <w:rPr>
          <w:lang w:val="fr-CA"/>
        </w:rPr>
        <w:t xml:space="preserve"> projet</w:t>
      </w:r>
      <w:r w:rsidR="00D002F4" w:rsidRPr="00ED22D1">
        <w:rPr>
          <w:lang w:val="fr-CA"/>
        </w:rPr>
        <w:t xml:space="preserve"> </w:t>
      </w:r>
      <w:r w:rsidR="004E0510" w:rsidRPr="00ED22D1">
        <w:rPr>
          <w:lang w:val="fr-CA"/>
        </w:rPr>
        <w:t>avait effectué un examen de la documentation et des études de cas au pays et à l’étranger</w:t>
      </w:r>
      <w:r w:rsidR="00D002F4" w:rsidRPr="00ED22D1">
        <w:rPr>
          <w:lang w:val="fr-CA"/>
        </w:rPr>
        <w:t>,</w:t>
      </w:r>
      <w:r w:rsidR="004A6828" w:rsidRPr="00ED22D1">
        <w:rPr>
          <w:lang w:val="fr-CA"/>
        </w:rPr>
        <w:t xml:space="preserve"> et </w:t>
      </w:r>
      <w:r w:rsidR="004E0510" w:rsidRPr="00ED22D1">
        <w:rPr>
          <w:lang w:val="fr-CA"/>
        </w:rPr>
        <w:t>avait analysé les solutions et les mesures de sécurité pour</w:t>
      </w:r>
      <w:r w:rsidR="00D002F4" w:rsidRPr="00ED22D1">
        <w:rPr>
          <w:lang w:val="fr-CA"/>
        </w:rPr>
        <w:t xml:space="preserve"> </w:t>
      </w:r>
      <w:r w:rsidR="00232667" w:rsidRPr="00ED22D1">
        <w:rPr>
          <w:lang w:val="fr-CA"/>
        </w:rPr>
        <w:t>chaque</w:t>
      </w:r>
      <w:r w:rsidR="004A6828" w:rsidRPr="00ED22D1">
        <w:rPr>
          <w:lang w:val="fr-CA"/>
        </w:rPr>
        <w:t xml:space="preserve"> phase </w:t>
      </w:r>
      <w:r w:rsidR="004E0510" w:rsidRPr="00ED22D1">
        <w:rPr>
          <w:lang w:val="fr-CA"/>
        </w:rPr>
        <w:t>de l’utilisation des frigorigènes inflammables,</w:t>
      </w:r>
      <w:r w:rsidR="00D002F4" w:rsidRPr="00ED22D1">
        <w:rPr>
          <w:lang w:val="fr-CA"/>
        </w:rPr>
        <w:t xml:space="preserve"> </w:t>
      </w:r>
      <w:r w:rsidR="004B666A" w:rsidRPr="00ED22D1">
        <w:rPr>
          <w:lang w:val="fr-CA"/>
        </w:rPr>
        <w:t>y compris</w:t>
      </w:r>
      <w:r w:rsidR="00D002F4" w:rsidRPr="00ED22D1">
        <w:rPr>
          <w:lang w:val="fr-CA"/>
        </w:rPr>
        <w:t xml:space="preserve"> </w:t>
      </w:r>
      <w:r w:rsidR="004E0510" w:rsidRPr="00ED22D1">
        <w:rPr>
          <w:lang w:val="fr-CA"/>
        </w:rPr>
        <w:t>la conception du procédé, la fabrication, le transport, les essais et l’</w:t>
      </w:r>
      <w:r w:rsidR="00D002F4" w:rsidRPr="00ED22D1">
        <w:rPr>
          <w:lang w:val="fr-CA"/>
        </w:rPr>
        <w:t xml:space="preserve">installation </w:t>
      </w:r>
      <w:r w:rsidR="004E0510" w:rsidRPr="00ED22D1">
        <w:rPr>
          <w:lang w:val="fr-CA"/>
        </w:rPr>
        <w:t>des</w:t>
      </w:r>
      <w:r w:rsidR="00CE4AD8">
        <w:rPr>
          <w:lang w:val="fr-CA"/>
        </w:rPr>
        <w:t> </w:t>
      </w:r>
      <w:r w:rsidR="00921BDE" w:rsidRPr="00ED22D1">
        <w:rPr>
          <w:lang w:val="fr-CA"/>
        </w:rPr>
        <w:t>équipements</w:t>
      </w:r>
      <w:r w:rsidR="0031390F" w:rsidRPr="00ED22D1">
        <w:rPr>
          <w:lang w:val="fr-CA"/>
        </w:rPr>
        <w:t>. Le</w:t>
      </w:r>
      <w:r w:rsidR="004E0510" w:rsidRPr="00ED22D1">
        <w:rPr>
          <w:lang w:val="fr-CA"/>
        </w:rPr>
        <w:t>s exigences de sécurité pertinentes pour les frigorigènes inflammables</w:t>
      </w:r>
      <w:r w:rsidR="00D002F4" w:rsidRPr="00ED22D1">
        <w:rPr>
          <w:lang w:val="fr-CA"/>
        </w:rPr>
        <w:t xml:space="preserve"> </w:t>
      </w:r>
      <w:r w:rsidR="004E0510" w:rsidRPr="00ED22D1">
        <w:rPr>
          <w:lang w:val="fr-CA"/>
        </w:rPr>
        <w:t xml:space="preserve">dans la norme nationale </w:t>
      </w:r>
      <w:r w:rsidR="00D002F4" w:rsidRPr="00ED22D1">
        <w:rPr>
          <w:lang w:val="fr-CA"/>
        </w:rPr>
        <w:t xml:space="preserve">GB/T 9237-2017 </w:t>
      </w:r>
      <w:r w:rsidR="004E0510" w:rsidRPr="00ED22D1">
        <w:rPr>
          <w:lang w:val="fr-CA"/>
        </w:rPr>
        <w:t xml:space="preserve">ont été analysées et les restrictions et exigences pertinentes ont été clarifiées à </w:t>
      </w:r>
      <w:r w:rsidR="00232667" w:rsidRPr="00ED22D1">
        <w:rPr>
          <w:lang w:val="fr-CA"/>
        </w:rPr>
        <w:t>chaque</w:t>
      </w:r>
      <w:r w:rsidR="004A6828" w:rsidRPr="00ED22D1">
        <w:rPr>
          <w:lang w:val="fr-CA"/>
        </w:rPr>
        <w:t xml:space="preserve"> phase</w:t>
      </w:r>
      <w:r w:rsidR="00D002F4" w:rsidRPr="00ED22D1">
        <w:rPr>
          <w:lang w:val="fr-CA"/>
        </w:rPr>
        <w:t xml:space="preserve">. </w:t>
      </w:r>
      <w:r w:rsidR="004E0510" w:rsidRPr="00ED22D1">
        <w:rPr>
          <w:lang w:val="fr-CA"/>
        </w:rPr>
        <w:t xml:space="preserve">Il est prévu de procéder à de la recherche sur place sur le site de production des </w:t>
      </w:r>
      <w:r w:rsidR="00921BDE" w:rsidRPr="00ED22D1">
        <w:rPr>
          <w:lang w:val="fr-CA"/>
        </w:rPr>
        <w:t>entreprise</w:t>
      </w:r>
      <w:r w:rsidR="00D002F4" w:rsidRPr="00ED22D1">
        <w:rPr>
          <w:lang w:val="fr-CA"/>
        </w:rPr>
        <w:t xml:space="preserve">s, </w:t>
      </w:r>
      <w:r w:rsidR="004E0510" w:rsidRPr="00ED22D1">
        <w:rPr>
          <w:lang w:val="fr-CA"/>
        </w:rPr>
        <w:t xml:space="preserve">d’effectuer </w:t>
      </w:r>
      <w:r w:rsidR="004E0510" w:rsidRPr="00ED22D1">
        <w:rPr>
          <w:lang w:val="fr-CA"/>
        </w:rPr>
        <w:lastRenderedPageBreak/>
        <w:t>de la recherche ciblée sur les problèmes existants sur les sites des entreprises, et</w:t>
      </w:r>
      <w:r w:rsidR="00CE4AD8">
        <w:rPr>
          <w:lang w:val="fr-CA"/>
        </w:rPr>
        <w:t> </w:t>
      </w:r>
      <w:r w:rsidR="004E0510" w:rsidRPr="00ED22D1">
        <w:rPr>
          <w:lang w:val="fr-CA"/>
        </w:rPr>
        <w:t>de</w:t>
      </w:r>
      <w:r w:rsidR="00CE4AD8">
        <w:rPr>
          <w:lang w:val="fr-CA"/>
        </w:rPr>
        <w:t> </w:t>
      </w:r>
      <w:r w:rsidR="004E0510" w:rsidRPr="00ED22D1">
        <w:rPr>
          <w:lang w:val="fr-CA"/>
        </w:rPr>
        <w:t xml:space="preserve">proposer des </w:t>
      </w:r>
      <w:r w:rsidR="00D002F4" w:rsidRPr="00ED22D1">
        <w:rPr>
          <w:lang w:val="fr-CA"/>
        </w:rPr>
        <w:t xml:space="preserve">solutions. </w:t>
      </w:r>
      <w:r w:rsidR="00BB7CCB" w:rsidRPr="00ED22D1">
        <w:rPr>
          <w:lang w:val="fr-CA"/>
        </w:rPr>
        <w:t>Ces</w:t>
      </w:r>
      <w:r w:rsidR="004E0510" w:rsidRPr="00ED22D1">
        <w:rPr>
          <w:lang w:val="fr-CA"/>
        </w:rPr>
        <w:t> </w:t>
      </w:r>
      <w:r w:rsidR="001B45EC" w:rsidRPr="00ED22D1">
        <w:rPr>
          <w:lang w:val="fr-CA"/>
        </w:rPr>
        <w:t>activités</w:t>
      </w:r>
      <w:r w:rsidR="00D002F4" w:rsidRPr="00ED22D1">
        <w:rPr>
          <w:lang w:val="fr-CA"/>
        </w:rPr>
        <w:t xml:space="preserve"> </w:t>
      </w:r>
      <w:r w:rsidR="004E0510" w:rsidRPr="00ED22D1">
        <w:rPr>
          <w:lang w:val="fr-CA"/>
        </w:rPr>
        <w:t xml:space="preserve">viendront appuyer le travail futur sur la formulation des exigences de sécurité et de méthodes de </w:t>
      </w:r>
      <w:r w:rsidR="00921BDE" w:rsidRPr="00ED22D1">
        <w:rPr>
          <w:lang w:val="fr-CA"/>
        </w:rPr>
        <w:t>vérification</w:t>
      </w:r>
      <w:r w:rsidR="00D002F4" w:rsidRPr="00ED22D1">
        <w:rPr>
          <w:lang w:val="fr-CA"/>
        </w:rPr>
        <w:t>;</w:t>
      </w:r>
    </w:p>
    <w:p w:rsidR="00D002F4" w:rsidRPr="00ED22D1" w:rsidRDefault="00053099" w:rsidP="00053099">
      <w:pPr>
        <w:pStyle w:val="Heading2"/>
        <w:numPr>
          <w:ilvl w:val="0"/>
          <w:numId w:val="0"/>
        </w:numPr>
        <w:ind w:left="1418" w:hanging="698"/>
        <w:rPr>
          <w:lang w:val="fr-CA"/>
        </w:rPr>
      </w:pPr>
      <w:r w:rsidRPr="00ED22D1">
        <w:rPr>
          <w:lang w:val="fr-CA"/>
        </w:rPr>
        <w:t>(f)</w:t>
      </w:r>
      <w:r w:rsidRPr="00ED22D1">
        <w:rPr>
          <w:lang w:val="fr-CA"/>
        </w:rPr>
        <w:tab/>
      </w:r>
      <w:r w:rsidR="004E0510" w:rsidRPr="00ED22D1">
        <w:rPr>
          <w:lang w:val="fr-CA"/>
        </w:rPr>
        <w:t>Une session de</w:t>
      </w:r>
      <w:r w:rsidR="00D002F4" w:rsidRPr="00ED22D1">
        <w:rPr>
          <w:lang w:val="fr-CA"/>
        </w:rPr>
        <w:t xml:space="preserve"> </w:t>
      </w:r>
      <w:r w:rsidR="00DE118B" w:rsidRPr="00ED22D1">
        <w:rPr>
          <w:lang w:val="fr-CA"/>
        </w:rPr>
        <w:t>formation</w:t>
      </w:r>
      <w:r w:rsidR="00D002F4" w:rsidRPr="00ED22D1">
        <w:rPr>
          <w:lang w:val="fr-CA"/>
        </w:rPr>
        <w:t xml:space="preserve"> </w:t>
      </w:r>
      <w:r w:rsidR="004E0510" w:rsidRPr="00ED22D1">
        <w:rPr>
          <w:lang w:val="fr-CA"/>
        </w:rPr>
        <w:t>a été effectuée pour</w:t>
      </w:r>
      <w:r w:rsidR="00921BDE" w:rsidRPr="00ED22D1">
        <w:rPr>
          <w:lang w:val="fr-CA"/>
        </w:rPr>
        <w:t xml:space="preserve"> dix </w:t>
      </w:r>
      <w:r w:rsidR="00D002F4" w:rsidRPr="00ED22D1">
        <w:rPr>
          <w:lang w:val="fr-CA"/>
        </w:rPr>
        <w:t>SME</w:t>
      </w:r>
      <w:r w:rsidR="004E0510" w:rsidRPr="00ED22D1">
        <w:rPr>
          <w:lang w:val="fr-CA"/>
        </w:rPr>
        <w:t xml:space="preserve"> sur la préparation de</w:t>
      </w:r>
      <w:r w:rsidR="00D002F4" w:rsidRPr="00ED22D1">
        <w:rPr>
          <w:lang w:val="fr-CA"/>
        </w:rPr>
        <w:t xml:space="preserve"> </w:t>
      </w:r>
      <w:r w:rsidR="001B45EC" w:rsidRPr="00ED22D1">
        <w:rPr>
          <w:lang w:val="fr-CA"/>
        </w:rPr>
        <w:t>projet</w:t>
      </w:r>
      <w:r w:rsidR="00D002F4" w:rsidRPr="00ED22D1">
        <w:rPr>
          <w:lang w:val="fr-CA"/>
        </w:rPr>
        <w:t>.</w:t>
      </w:r>
      <w:r w:rsidR="00CE4AD8">
        <w:rPr>
          <w:lang w:val="fr-CA"/>
        </w:rPr>
        <w:t xml:space="preserve">  </w:t>
      </w:r>
      <w:r w:rsidR="004E0510" w:rsidRPr="00ED22D1">
        <w:rPr>
          <w:lang w:val="fr-CA"/>
        </w:rPr>
        <w:t>La</w:t>
      </w:r>
      <w:r w:rsidR="00CE4AD8">
        <w:rPr>
          <w:lang w:val="fr-CA"/>
        </w:rPr>
        <w:t> </w:t>
      </w:r>
      <w:r w:rsidR="00DE118B" w:rsidRPr="00ED22D1">
        <w:rPr>
          <w:lang w:val="fr-CA"/>
        </w:rPr>
        <w:t>formation</w:t>
      </w:r>
      <w:r w:rsidR="00D002F4" w:rsidRPr="00ED22D1">
        <w:rPr>
          <w:lang w:val="fr-CA"/>
        </w:rPr>
        <w:t xml:space="preserve"> </w:t>
      </w:r>
      <w:r w:rsidR="004E0510" w:rsidRPr="00ED22D1">
        <w:rPr>
          <w:lang w:val="fr-CA"/>
        </w:rPr>
        <w:t xml:space="preserve">a couvert la mise en oeuvre de la </w:t>
      </w:r>
      <w:r w:rsidR="004A6828" w:rsidRPr="00ED22D1">
        <w:rPr>
          <w:lang w:val="fr-CA"/>
        </w:rPr>
        <w:t xml:space="preserve">phase </w:t>
      </w:r>
      <w:r w:rsidR="00D002F4" w:rsidRPr="00ED22D1">
        <w:rPr>
          <w:lang w:val="fr-CA"/>
        </w:rPr>
        <w:t xml:space="preserve">II </w:t>
      </w:r>
      <w:r w:rsidR="004E0510" w:rsidRPr="00ED22D1">
        <w:rPr>
          <w:lang w:val="fr-CA"/>
        </w:rPr>
        <w:t xml:space="preserve">du </w:t>
      </w:r>
      <w:r w:rsidR="00DD185D" w:rsidRPr="00ED22D1">
        <w:rPr>
          <w:lang w:val="fr-CA"/>
        </w:rPr>
        <w:t>PGEH</w:t>
      </w:r>
      <w:r w:rsidR="00D002F4" w:rsidRPr="00ED22D1">
        <w:rPr>
          <w:lang w:val="fr-CA"/>
        </w:rPr>
        <w:t xml:space="preserve">; </w:t>
      </w:r>
      <w:r w:rsidR="004E0510" w:rsidRPr="00ED22D1">
        <w:rPr>
          <w:lang w:val="fr-CA"/>
        </w:rPr>
        <w:t>les exigences et les</w:t>
      </w:r>
      <w:r w:rsidR="00CE4AD8">
        <w:rPr>
          <w:lang w:val="fr-CA"/>
        </w:rPr>
        <w:t> </w:t>
      </w:r>
      <w:r w:rsidR="004E0510" w:rsidRPr="00ED22D1">
        <w:rPr>
          <w:lang w:val="fr-CA"/>
        </w:rPr>
        <w:t>procédures lors de la mise en oeuvre des projets de reconversion des circuits de</w:t>
      </w:r>
      <w:r w:rsidR="00CE4AD8">
        <w:rPr>
          <w:lang w:val="fr-CA"/>
        </w:rPr>
        <w:t> </w:t>
      </w:r>
      <w:r w:rsidR="004E0510" w:rsidRPr="00ED22D1">
        <w:rPr>
          <w:lang w:val="fr-CA"/>
        </w:rPr>
        <w:t>fabrication</w:t>
      </w:r>
      <w:r w:rsidR="00D002F4" w:rsidRPr="00ED22D1">
        <w:rPr>
          <w:lang w:val="fr-CA"/>
        </w:rPr>
        <w:t xml:space="preserve">; </w:t>
      </w:r>
      <w:r w:rsidR="004E0510" w:rsidRPr="00ED22D1">
        <w:rPr>
          <w:lang w:val="fr-CA"/>
        </w:rPr>
        <w:t>la p</w:t>
      </w:r>
      <w:r w:rsidR="000D737E" w:rsidRPr="00ED22D1">
        <w:rPr>
          <w:lang w:val="fr-CA"/>
        </w:rPr>
        <w:t>répar</w:t>
      </w:r>
      <w:r w:rsidR="00D002F4" w:rsidRPr="00ED22D1">
        <w:rPr>
          <w:lang w:val="fr-CA"/>
        </w:rPr>
        <w:t xml:space="preserve">ation </w:t>
      </w:r>
      <w:r w:rsidR="004E0510" w:rsidRPr="00ED22D1">
        <w:rPr>
          <w:lang w:val="fr-CA"/>
        </w:rPr>
        <w:t>de</w:t>
      </w:r>
      <w:r w:rsidR="00D002F4" w:rsidRPr="00ED22D1">
        <w:rPr>
          <w:lang w:val="fr-CA"/>
        </w:rPr>
        <w:t xml:space="preserve"> </w:t>
      </w:r>
      <w:r w:rsidR="00D26EF9" w:rsidRPr="00ED22D1">
        <w:rPr>
          <w:lang w:val="fr-CA"/>
        </w:rPr>
        <w:t>propositions de projets</w:t>
      </w:r>
      <w:r w:rsidR="004A6828" w:rsidRPr="00ED22D1">
        <w:rPr>
          <w:lang w:val="fr-CA"/>
        </w:rPr>
        <w:t xml:space="preserve"> et </w:t>
      </w:r>
      <w:r w:rsidR="004E0510" w:rsidRPr="00ED22D1">
        <w:rPr>
          <w:lang w:val="fr-CA"/>
        </w:rPr>
        <w:t>des principaux aspects pendant la mise en oeuvre</w:t>
      </w:r>
      <w:r w:rsidR="00D002F4" w:rsidRPr="00ED22D1">
        <w:rPr>
          <w:lang w:val="fr-CA"/>
        </w:rPr>
        <w:t xml:space="preserve">; </w:t>
      </w:r>
      <w:r w:rsidR="004E0510" w:rsidRPr="00ED22D1">
        <w:rPr>
          <w:lang w:val="fr-CA"/>
        </w:rPr>
        <w:t xml:space="preserve">la </w:t>
      </w:r>
      <w:r w:rsidR="00921BDE" w:rsidRPr="00ED22D1">
        <w:rPr>
          <w:lang w:val="fr-CA"/>
        </w:rPr>
        <w:t>vérification</w:t>
      </w:r>
      <w:r w:rsidR="00D002F4" w:rsidRPr="00ED22D1">
        <w:rPr>
          <w:lang w:val="fr-CA"/>
        </w:rPr>
        <w:t xml:space="preserve"> </w:t>
      </w:r>
      <w:r w:rsidR="004E0510" w:rsidRPr="00ED22D1">
        <w:rPr>
          <w:lang w:val="fr-CA"/>
        </w:rPr>
        <w:t>de la capacité et de la consommation de référence</w:t>
      </w:r>
      <w:r w:rsidR="00AE1617" w:rsidRPr="00ED22D1">
        <w:rPr>
          <w:lang w:val="fr-CA"/>
        </w:rPr>
        <w:t xml:space="preserve"> de</w:t>
      </w:r>
      <w:r w:rsidR="004E0510" w:rsidRPr="00ED22D1">
        <w:rPr>
          <w:lang w:val="fr-CA"/>
        </w:rPr>
        <w:t>s</w:t>
      </w:r>
      <w:r w:rsidR="00D002F4" w:rsidRPr="00ED22D1">
        <w:rPr>
          <w:lang w:val="fr-CA"/>
        </w:rPr>
        <w:t xml:space="preserve"> </w:t>
      </w:r>
      <w:r w:rsidR="00325FA0" w:rsidRPr="00ED22D1">
        <w:rPr>
          <w:lang w:val="fr-CA"/>
        </w:rPr>
        <w:t>circuits de fabrication</w:t>
      </w:r>
      <w:r w:rsidR="00D002F4" w:rsidRPr="00ED22D1">
        <w:rPr>
          <w:lang w:val="fr-CA"/>
        </w:rPr>
        <w:t xml:space="preserve">; </w:t>
      </w:r>
      <w:r w:rsidR="004E0510" w:rsidRPr="00ED22D1">
        <w:rPr>
          <w:lang w:val="fr-CA"/>
        </w:rPr>
        <w:t xml:space="preserve">la </w:t>
      </w:r>
      <w:r w:rsidR="00921BDE" w:rsidRPr="00ED22D1">
        <w:rPr>
          <w:lang w:val="fr-CA"/>
        </w:rPr>
        <w:t>vérification</w:t>
      </w:r>
      <w:r w:rsidR="00D002F4" w:rsidRPr="00ED22D1">
        <w:rPr>
          <w:lang w:val="fr-CA"/>
        </w:rPr>
        <w:t xml:space="preserve"> </w:t>
      </w:r>
      <w:r w:rsidR="004E0510" w:rsidRPr="00ED22D1">
        <w:rPr>
          <w:lang w:val="fr-CA"/>
        </w:rPr>
        <w:t>de l’avancement des jalons du rendement</w:t>
      </w:r>
      <w:r w:rsidR="00D002F4" w:rsidRPr="00ED22D1">
        <w:rPr>
          <w:lang w:val="fr-CA"/>
        </w:rPr>
        <w:t xml:space="preserve">; </w:t>
      </w:r>
      <w:r w:rsidR="004E0510" w:rsidRPr="00ED22D1">
        <w:rPr>
          <w:lang w:val="fr-CA"/>
        </w:rPr>
        <w:t>ainsi que la gestion financière du projet</w:t>
      </w:r>
      <w:r w:rsidR="00D002F4" w:rsidRPr="00ED22D1">
        <w:rPr>
          <w:lang w:val="fr-CA"/>
        </w:rPr>
        <w:t>.</w:t>
      </w:r>
      <w:r w:rsidR="004E0510" w:rsidRPr="00ED22D1">
        <w:rPr>
          <w:lang w:val="fr-CA"/>
        </w:rPr>
        <w:t xml:space="preserve"> Après la session de </w:t>
      </w:r>
      <w:r w:rsidR="00DE118B" w:rsidRPr="00ED22D1">
        <w:rPr>
          <w:lang w:val="fr-CA"/>
        </w:rPr>
        <w:t>formation</w:t>
      </w:r>
      <w:r w:rsidR="00D002F4" w:rsidRPr="00ED22D1">
        <w:rPr>
          <w:lang w:val="fr-CA"/>
        </w:rPr>
        <w:t xml:space="preserve">, </w:t>
      </w:r>
      <w:r w:rsidR="004E0510" w:rsidRPr="00ED22D1">
        <w:rPr>
          <w:lang w:val="fr-CA"/>
        </w:rPr>
        <w:t>neuf</w:t>
      </w:r>
      <w:r w:rsidR="00D002F4" w:rsidRPr="00ED22D1">
        <w:rPr>
          <w:lang w:val="fr-CA"/>
        </w:rPr>
        <w:t xml:space="preserve"> </w:t>
      </w:r>
      <w:r w:rsidR="00921BDE" w:rsidRPr="00ED22D1">
        <w:rPr>
          <w:lang w:val="fr-CA"/>
        </w:rPr>
        <w:t>entreprise</w:t>
      </w:r>
      <w:r w:rsidR="00D002F4" w:rsidRPr="00ED22D1">
        <w:rPr>
          <w:lang w:val="fr-CA"/>
        </w:rPr>
        <w:t xml:space="preserve">s </w:t>
      </w:r>
      <w:r w:rsidR="004E0510" w:rsidRPr="00ED22D1">
        <w:rPr>
          <w:lang w:val="fr-CA"/>
        </w:rPr>
        <w:t xml:space="preserve">consommant moins de </w:t>
      </w:r>
      <w:r w:rsidR="00D002F4" w:rsidRPr="00ED22D1">
        <w:rPr>
          <w:lang w:val="fr-CA"/>
        </w:rPr>
        <w:t>50</w:t>
      </w:r>
      <w:r w:rsidR="004B666A" w:rsidRPr="00ED22D1">
        <w:rPr>
          <w:lang w:val="fr-CA"/>
        </w:rPr>
        <w:t xml:space="preserve"> </w:t>
      </w:r>
      <w:r w:rsidR="004E0510" w:rsidRPr="00ED22D1">
        <w:rPr>
          <w:lang w:val="fr-CA"/>
        </w:rPr>
        <w:t>tonnes métriques ont présenté des lettres d’intention</w:t>
      </w:r>
      <w:r w:rsidR="00D002F4" w:rsidRPr="00ED22D1">
        <w:rPr>
          <w:lang w:val="fr-CA"/>
        </w:rPr>
        <w:t xml:space="preserve"> </w:t>
      </w:r>
      <w:r w:rsidR="00ED7DBE" w:rsidRPr="00ED22D1">
        <w:rPr>
          <w:lang w:val="fr-CA"/>
        </w:rPr>
        <w:t xml:space="preserve">afin de reconvertir leurs </w:t>
      </w:r>
      <w:r w:rsidR="00325FA0" w:rsidRPr="00ED22D1">
        <w:rPr>
          <w:lang w:val="fr-CA"/>
        </w:rPr>
        <w:t>circuits de fabrication</w:t>
      </w:r>
      <w:r w:rsidR="00D002F4" w:rsidRPr="00ED22D1">
        <w:rPr>
          <w:lang w:val="fr-CA"/>
        </w:rPr>
        <w:t>;</w:t>
      </w:r>
    </w:p>
    <w:p w:rsidR="00D002F4" w:rsidRPr="00ED22D1" w:rsidRDefault="00053099" w:rsidP="00053099">
      <w:pPr>
        <w:pStyle w:val="Heading2"/>
        <w:keepNext/>
        <w:keepLines/>
        <w:numPr>
          <w:ilvl w:val="0"/>
          <w:numId w:val="0"/>
        </w:numPr>
        <w:ind w:left="1418" w:hanging="698"/>
        <w:rPr>
          <w:lang w:val="fr-CA"/>
        </w:rPr>
      </w:pPr>
      <w:r w:rsidRPr="00ED22D1">
        <w:rPr>
          <w:lang w:val="fr-CA"/>
        </w:rPr>
        <w:t>(g)</w:t>
      </w:r>
      <w:r w:rsidRPr="00ED22D1">
        <w:rPr>
          <w:lang w:val="fr-CA"/>
        </w:rPr>
        <w:tab/>
      </w:r>
      <w:r w:rsidR="00ED7DBE" w:rsidRPr="00ED22D1">
        <w:rPr>
          <w:lang w:val="fr-CA"/>
        </w:rPr>
        <w:t>Une exposition internationale pour les é</w:t>
      </w:r>
      <w:r w:rsidR="00905638" w:rsidRPr="00ED22D1">
        <w:rPr>
          <w:lang w:val="fr-CA"/>
        </w:rPr>
        <w:t xml:space="preserve">quipements de climatisation et de réfrigération </w:t>
      </w:r>
      <w:r w:rsidRPr="00ED22D1">
        <w:rPr>
          <w:lang w:val="fr-CA"/>
        </w:rPr>
        <w:tab/>
      </w:r>
      <w:r w:rsidR="00905638" w:rsidRPr="00ED22D1">
        <w:rPr>
          <w:lang w:val="fr-CA"/>
        </w:rPr>
        <w:t>industrielle et commerciale</w:t>
      </w:r>
      <w:r w:rsidR="004A6828" w:rsidRPr="00ED22D1">
        <w:rPr>
          <w:lang w:val="fr-CA"/>
        </w:rPr>
        <w:t xml:space="preserve"> et </w:t>
      </w:r>
      <w:r w:rsidR="00ED7DBE" w:rsidRPr="00ED22D1">
        <w:rPr>
          <w:lang w:val="fr-CA"/>
        </w:rPr>
        <w:t>une table ronde industrielle 2018 et une tournée ozone</w:t>
      </w:r>
      <w:r w:rsidR="00CE4AD8">
        <w:rPr>
          <w:lang w:val="fr-CA"/>
        </w:rPr>
        <w:noBreakHyphen/>
      </w:r>
      <w:r w:rsidR="00ED7DBE" w:rsidRPr="00ED22D1">
        <w:rPr>
          <w:lang w:val="fr-CA"/>
        </w:rPr>
        <w:t>à</w:t>
      </w:r>
      <w:r w:rsidR="00CE4AD8">
        <w:rPr>
          <w:lang w:val="fr-CA"/>
        </w:rPr>
        <w:noBreakHyphen/>
      </w:r>
      <w:r w:rsidR="00ED7DBE" w:rsidRPr="00ED22D1">
        <w:rPr>
          <w:lang w:val="fr-CA"/>
        </w:rPr>
        <w:t>climat ont été tenues en avril</w:t>
      </w:r>
      <w:r w:rsidR="00D002F4" w:rsidRPr="00ED22D1">
        <w:rPr>
          <w:lang w:val="fr-CA"/>
        </w:rPr>
        <w:t xml:space="preserve"> 2018</w:t>
      </w:r>
      <w:r w:rsidR="00ED7DBE" w:rsidRPr="00ED22D1">
        <w:rPr>
          <w:lang w:val="fr-CA"/>
        </w:rPr>
        <w:t>.</w:t>
      </w:r>
      <w:r w:rsidR="00D002F4" w:rsidRPr="00ED22D1">
        <w:rPr>
          <w:lang w:val="fr-CA"/>
        </w:rPr>
        <w:t xml:space="preserve"> </w:t>
      </w:r>
      <w:r w:rsidR="00ED7DBE" w:rsidRPr="00ED22D1">
        <w:rPr>
          <w:lang w:val="fr-CA"/>
        </w:rPr>
        <w:t xml:space="preserve">Des spécialistes de différents pays ont fait des présentations portant sur les </w:t>
      </w:r>
      <w:r w:rsidR="00874624" w:rsidRPr="00ED22D1">
        <w:rPr>
          <w:lang w:val="fr-CA"/>
        </w:rPr>
        <w:t>politiques</w:t>
      </w:r>
      <w:r w:rsidR="004A6828" w:rsidRPr="00ED22D1">
        <w:rPr>
          <w:lang w:val="fr-CA"/>
        </w:rPr>
        <w:t xml:space="preserve"> et </w:t>
      </w:r>
      <w:r w:rsidR="00ED7DBE" w:rsidRPr="00ED22D1">
        <w:rPr>
          <w:lang w:val="fr-CA"/>
        </w:rPr>
        <w:t xml:space="preserve">les </w:t>
      </w:r>
      <w:r w:rsidR="00BB7CCB" w:rsidRPr="00ED22D1">
        <w:rPr>
          <w:lang w:val="fr-CA"/>
        </w:rPr>
        <w:t>technologies de remplacement</w:t>
      </w:r>
      <w:r w:rsidR="00D002F4" w:rsidRPr="00ED22D1">
        <w:rPr>
          <w:lang w:val="fr-CA"/>
        </w:rPr>
        <w:t xml:space="preserve">. </w:t>
      </w:r>
      <w:r w:rsidR="00ED7DBE" w:rsidRPr="00ED22D1">
        <w:rPr>
          <w:lang w:val="fr-CA"/>
        </w:rPr>
        <w:t>Un</w:t>
      </w:r>
      <w:r w:rsidR="00CE4AD8">
        <w:rPr>
          <w:lang w:val="fr-CA"/>
        </w:rPr>
        <w:t> </w:t>
      </w:r>
      <w:r w:rsidR="00ED7DBE" w:rsidRPr="00ED22D1">
        <w:rPr>
          <w:lang w:val="fr-CA"/>
        </w:rPr>
        <w:t>pavillon spécial a été installé afin de démontrer des technologies sur l’ozone et respectueuses du climat, dont le</w:t>
      </w:r>
      <w:r w:rsidR="00D002F4" w:rsidRPr="00ED22D1">
        <w:rPr>
          <w:lang w:val="fr-CA"/>
        </w:rPr>
        <w:t xml:space="preserve"> CO</w:t>
      </w:r>
      <w:r w:rsidR="004A6828" w:rsidRPr="00ED22D1">
        <w:rPr>
          <w:vertAlign w:val="subscript"/>
          <w:lang w:val="fr-CA"/>
        </w:rPr>
        <w:t>2</w:t>
      </w:r>
      <w:r w:rsidR="00ED7DBE" w:rsidRPr="00ED22D1">
        <w:rPr>
          <w:vertAlign w:val="subscript"/>
          <w:lang w:val="fr-CA"/>
        </w:rPr>
        <w:t>,</w:t>
      </w:r>
      <w:r w:rsidR="00D002F4" w:rsidRPr="00ED22D1">
        <w:rPr>
          <w:lang w:val="fr-CA"/>
        </w:rPr>
        <w:t xml:space="preserve"> </w:t>
      </w:r>
      <w:r w:rsidR="00ED7DBE" w:rsidRPr="00ED22D1">
        <w:rPr>
          <w:lang w:val="fr-CA"/>
        </w:rPr>
        <w:t>le NH</w:t>
      </w:r>
      <w:r w:rsidR="00ED7DBE" w:rsidRPr="00ED22D1">
        <w:rPr>
          <w:vertAlign w:val="subscript"/>
          <w:lang w:val="fr-CA"/>
        </w:rPr>
        <w:t xml:space="preserve">3, </w:t>
      </w:r>
      <w:r w:rsidR="00ED7DBE" w:rsidRPr="00ED22D1">
        <w:rPr>
          <w:lang w:val="fr-CA"/>
        </w:rPr>
        <w:t>les hydrocarbones</w:t>
      </w:r>
      <w:r w:rsidR="00D002F4" w:rsidRPr="00ED22D1">
        <w:rPr>
          <w:lang w:val="fr-CA"/>
        </w:rPr>
        <w:t xml:space="preserve">, </w:t>
      </w:r>
      <w:r w:rsidR="00ED7DBE" w:rsidRPr="00ED22D1">
        <w:rPr>
          <w:lang w:val="fr-CA"/>
        </w:rPr>
        <w:t xml:space="preserve">les </w:t>
      </w:r>
      <w:r w:rsidR="00D002F4" w:rsidRPr="00ED22D1">
        <w:rPr>
          <w:lang w:val="fr-CA"/>
        </w:rPr>
        <w:t>HFO</w:t>
      </w:r>
      <w:r w:rsidR="004A6828" w:rsidRPr="00ED22D1">
        <w:rPr>
          <w:lang w:val="fr-CA"/>
        </w:rPr>
        <w:t xml:space="preserve"> et </w:t>
      </w:r>
      <w:r w:rsidR="00ED7DBE" w:rsidRPr="00ED22D1">
        <w:rPr>
          <w:lang w:val="fr-CA"/>
        </w:rPr>
        <w:t xml:space="preserve">le </w:t>
      </w:r>
      <w:r w:rsidR="00D002F4" w:rsidRPr="00ED22D1">
        <w:rPr>
          <w:lang w:val="fr-CA"/>
        </w:rPr>
        <w:t>R-3</w:t>
      </w:r>
      <w:r w:rsidR="004A6828" w:rsidRPr="00ED22D1">
        <w:rPr>
          <w:lang w:val="fr-CA"/>
        </w:rPr>
        <w:t>2</w:t>
      </w:r>
      <w:r w:rsidR="00ED7DBE" w:rsidRPr="00ED22D1">
        <w:rPr>
          <w:lang w:val="fr-CA"/>
        </w:rPr>
        <w:t>,</w:t>
      </w:r>
      <w:r w:rsidR="004A6828" w:rsidRPr="00ED22D1">
        <w:rPr>
          <w:lang w:val="fr-CA"/>
        </w:rPr>
        <w:t xml:space="preserve">  et </w:t>
      </w:r>
      <w:r w:rsidR="00ED7DBE" w:rsidRPr="00ED22D1">
        <w:rPr>
          <w:lang w:val="fr-CA"/>
        </w:rPr>
        <w:t xml:space="preserve">de souligner les progrès en matière de remplacement des </w:t>
      </w:r>
      <w:r w:rsidR="002F6D48" w:rsidRPr="00ED22D1">
        <w:rPr>
          <w:lang w:val="fr-CA"/>
        </w:rPr>
        <w:t>frigorigène</w:t>
      </w:r>
      <w:r w:rsidR="00ED7DBE" w:rsidRPr="00ED22D1">
        <w:rPr>
          <w:lang w:val="fr-CA"/>
        </w:rPr>
        <w:t>s</w:t>
      </w:r>
      <w:r w:rsidR="00D002F4" w:rsidRPr="00ED22D1">
        <w:rPr>
          <w:lang w:val="fr-CA"/>
        </w:rPr>
        <w:t xml:space="preserve">. </w:t>
      </w:r>
      <w:r w:rsidR="00CE4AD8">
        <w:rPr>
          <w:lang w:val="fr-CA"/>
        </w:rPr>
        <w:t xml:space="preserve">Des </w:t>
      </w:r>
      <w:r w:rsidR="00874624" w:rsidRPr="00ED22D1">
        <w:rPr>
          <w:lang w:val="fr-CA"/>
        </w:rPr>
        <w:t>ateliers techniques</w:t>
      </w:r>
      <w:r w:rsidR="00D002F4" w:rsidRPr="00ED22D1">
        <w:rPr>
          <w:lang w:val="fr-CA"/>
        </w:rPr>
        <w:t xml:space="preserve"> </w:t>
      </w:r>
      <w:r w:rsidR="00ED7DBE" w:rsidRPr="00ED22D1">
        <w:rPr>
          <w:lang w:val="fr-CA"/>
        </w:rPr>
        <w:t xml:space="preserve">ont été organisés et portaient sur les </w:t>
      </w:r>
      <w:r w:rsidR="00905638" w:rsidRPr="00ED22D1">
        <w:rPr>
          <w:lang w:val="fr-CA"/>
        </w:rPr>
        <w:t>équipements de climatisation et de réfrigération industrielle et commerciale</w:t>
      </w:r>
      <w:r w:rsidR="00D002F4" w:rsidRPr="00ED22D1">
        <w:rPr>
          <w:lang w:val="fr-CA"/>
        </w:rPr>
        <w:t xml:space="preserve">, </w:t>
      </w:r>
      <w:r w:rsidR="00ED7DBE" w:rsidRPr="00ED22D1">
        <w:rPr>
          <w:lang w:val="fr-CA"/>
        </w:rPr>
        <w:t xml:space="preserve">la </w:t>
      </w:r>
      <w:r w:rsidR="001F6F17" w:rsidRPr="00ED22D1">
        <w:rPr>
          <w:lang w:val="fr-CA"/>
        </w:rPr>
        <w:t>chaîne frigorifique</w:t>
      </w:r>
      <w:r w:rsidR="004A6828" w:rsidRPr="00ED22D1">
        <w:rPr>
          <w:lang w:val="fr-CA"/>
        </w:rPr>
        <w:t xml:space="preserve"> et </w:t>
      </w:r>
      <w:r w:rsidR="00ED7DBE" w:rsidRPr="00ED22D1">
        <w:rPr>
          <w:lang w:val="fr-CA"/>
        </w:rPr>
        <w:t xml:space="preserve">les </w:t>
      </w:r>
      <w:r w:rsidR="002F6D48" w:rsidRPr="00ED22D1">
        <w:rPr>
          <w:lang w:val="fr-CA"/>
        </w:rPr>
        <w:t>frigorigène</w:t>
      </w:r>
      <w:r w:rsidR="00D002F4" w:rsidRPr="00ED22D1">
        <w:rPr>
          <w:lang w:val="fr-CA"/>
        </w:rPr>
        <w:t xml:space="preserve">s. </w:t>
      </w:r>
      <w:r w:rsidR="00ED7DBE" w:rsidRPr="00ED22D1">
        <w:rPr>
          <w:lang w:val="fr-CA"/>
        </w:rPr>
        <w:t>Des</w:t>
      </w:r>
      <w:r w:rsidR="00CE4AD8">
        <w:rPr>
          <w:lang w:val="fr-CA"/>
        </w:rPr>
        <w:t> </w:t>
      </w:r>
      <w:r w:rsidR="00ED7DBE" w:rsidRPr="00ED22D1">
        <w:rPr>
          <w:lang w:val="fr-CA"/>
        </w:rPr>
        <w:t>f</w:t>
      </w:r>
      <w:r w:rsidR="00E71388" w:rsidRPr="00ED22D1">
        <w:rPr>
          <w:lang w:val="fr-CA"/>
        </w:rPr>
        <w:t>abricant</w:t>
      </w:r>
      <w:r w:rsidR="00D002F4" w:rsidRPr="00ED22D1">
        <w:rPr>
          <w:lang w:val="fr-CA"/>
        </w:rPr>
        <w:t xml:space="preserve">s </w:t>
      </w:r>
      <w:r w:rsidR="00ED7DBE" w:rsidRPr="00ED22D1">
        <w:rPr>
          <w:lang w:val="fr-CA"/>
        </w:rPr>
        <w:t xml:space="preserve">ont fait </w:t>
      </w:r>
      <w:r w:rsidR="00962539">
        <w:rPr>
          <w:lang w:val="fr-CA"/>
        </w:rPr>
        <w:t>l</w:t>
      </w:r>
      <w:r w:rsidR="00ED7DBE" w:rsidRPr="00ED22D1">
        <w:rPr>
          <w:lang w:val="fr-CA"/>
        </w:rPr>
        <w:t xml:space="preserve">a démonstration des progrès dans l’adaptation de </w:t>
      </w:r>
      <w:r w:rsidR="00BB7CCB" w:rsidRPr="00ED22D1">
        <w:rPr>
          <w:lang w:val="fr-CA"/>
        </w:rPr>
        <w:t>technologies de remplacement</w:t>
      </w:r>
      <w:r w:rsidR="00ED7DBE" w:rsidRPr="00ED22D1">
        <w:rPr>
          <w:lang w:val="fr-CA"/>
        </w:rPr>
        <w:t>,</w:t>
      </w:r>
      <w:r w:rsidR="00BB7CCB" w:rsidRPr="00ED22D1">
        <w:rPr>
          <w:lang w:val="fr-CA"/>
        </w:rPr>
        <w:t xml:space="preserve"> </w:t>
      </w:r>
      <w:r w:rsidR="004A6828" w:rsidRPr="00ED22D1">
        <w:rPr>
          <w:lang w:val="fr-CA"/>
        </w:rPr>
        <w:t xml:space="preserve">et </w:t>
      </w:r>
      <w:r w:rsidR="00616B46" w:rsidRPr="00ED22D1">
        <w:rPr>
          <w:lang w:val="fr-CA"/>
        </w:rPr>
        <w:t>partag</w:t>
      </w:r>
      <w:r w:rsidR="00CE4AD8">
        <w:rPr>
          <w:lang w:val="fr-CA"/>
        </w:rPr>
        <w:t>é</w:t>
      </w:r>
      <w:r w:rsidR="00ED7DBE" w:rsidRPr="00ED22D1">
        <w:rPr>
          <w:lang w:val="fr-CA"/>
        </w:rPr>
        <w:t xml:space="preserve"> leur </w:t>
      </w:r>
      <w:r w:rsidR="00D002F4" w:rsidRPr="00ED22D1">
        <w:rPr>
          <w:lang w:val="fr-CA"/>
        </w:rPr>
        <w:t>exp</w:t>
      </w:r>
      <w:r w:rsidR="00ED7DBE" w:rsidRPr="00ED22D1">
        <w:rPr>
          <w:lang w:val="fr-CA"/>
        </w:rPr>
        <w:t>é</w:t>
      </w:r>
      <w:r w:rsidR="00D002F4" w:rsidRPr="00ED22D1">
        <w:rPr>
          <w:lang w:val="fr-CA"/>
        </w:rPr>
        <w:t xml:space="preserve">rience </w:t>
      </w:r>
      <w:r w:rsidR="00ED7DBE" w:rsidRPr="00ED22D1">
        <w:rPr>
          <w:lang w:val="fr-CA"/>
        </w:rPr>
        <w:t>à partir de</w:t>
      </w:r>
      <w:r w:rsidR="00E71388" w:rsidRPr="00ED22D1">
        <w:rPr>
          <w:lang w:val="fr-CA"/>
        </w:rPr>
        <w:t xml:space="preserve"> projet</w:t>
      </w:r>
      <w:r w:rsidR="00ED7DBE" w:rsidRPr="00ED22D1">
        <w:rPr>
          <w:lang w:val="fr-CA"/>
        </w:rPr>
        <w:t>s</w:t>
      </w:r>
      <w:r w:rsidR="00E71388" w:rsidRPr="00ED22D1">
        <w:rPr>
          <w:lang w:val="fr-CA"/>
        </w:rPr>
        <w:t xml:space="preserve"> de démonstration</w:t>
      </w:r>
      <w:r w:rsidR="00D002F4" w:rsidRPr="00ED22D1">
        <w:rPr>
          <w:lang w:val="fr-CA"/>
        </w:rPr>
        <w:t xml:space="preserve">. </w:t>
      </w:r>
      <w:r w:rsidR="00ED7DBE" w:rsidRPr="00ED22D1">
        <w:rPr>
          <w:lang w:val="fr-CA"/>
        </w:rPr>
        <w:t xml:space="preserve">Plus de </w:t>
      </w:r>
      <w:r w:rsidR="002F155D" w:rsidRPr="00ED22D1">
        <w:rPr>
          <w:lang w:val="fr-CA"/>
        </w:rPr>
        <w:t>80</w:t>
      </w:r>
      <w:r w:rsidR="00CE4AD8">
        <w:rPr>
          <w:lang w:val="fr-CA"/>
        </w:rPr>
        <w:t> </w:t>
      </w:r>
      <w:r w:rsidR="002F155D" w:rsidRPr="00ED22D1">
        <w:rPr>
          <w:lang w:val="fr-CA"/>
        </w:rPr>
        <w:t>administrateurs des Bureaux d’ozone ont participé à la réunion en table ronde et visité l’</w:t>
      </w:r>
      <w:r w:rsidR="00ED7DBE" w:rsidRPr="00ED22D1">
        <w:rPr>
          <w:lang w:val="fr-CA"/>
        </w:rPr>
        <w:t>exposition</w:t>
      </w:r>
      <w:r w:rsidR="00D002F4" w:rsidRPr="00ED22D1">
        <w:rPr>
          <w:lang w:val="fr-CA"/>
        </w:rPr>
        <w:t>,</w:t>
      </w:r>
      <w:r w:rsidR="004A6828" w:rsidRPr="00ED22D1">
        <w:rPr>
          <w:lang w:val="fr-CA"/>
        </w:rPr>
        <w:t xml:space="preserve"> et </w:t>
      </w:r>
      <w:r w:rsidR="002F155D" w:rsidRPr="00ED22D1">
        <w:rPr>
          <w:lang w:val="fr-CA"/>
        </w:rPr>
        <w:t xml:space="preserve">plus de </w:t>
      </w:r>
      <w:r w:rsidR="00D002F4" w:rsidRPr="00ED22D1">
        <w:rPr>
          <w:lang w:val="fr-CA"/>
        </w:rPr>
        <w:t>1</w:t>
      </w:r>
      <w:r w:rsidR="004A6828" w:rsidRPr="00ED22D1">
        <w:rPr>
          <w:lang w:val="fr-CA"/>
        </w:rPr>
        <w:t>0 </w:t>
      </w:r>
      <w:r w:rsidR="00D002F4" w:rsidRPr="00ED22D1">
        <w:rPr>
          <w:lang w:val="fr-CA"/>
        </w:rPr>
        <w:t>000 pe</w:t>
      </w:r>
      <w:r w:rsidR="002F155D" w:rsidRPr="00ED22D1">
        <w:rPr>
          <w:lang w:val="fr-CA"/>
        </w:rPr>
        <w:t>rsonnes ont visité le pavillon spécial sur l’</w:t>
      </w:r>
      <w:r w:rsidR="00D002F4" w:rsidRPr="00ED22D1">
        <w:rPr>
          <w:lang w:val="fr-CA"/>
        </w:rPr>
        <w:t>ozone</w:t>
      </w:r>
      <w:r w:rsidR="004A6828" w:rsidRPr="00ED22D1">
        <w:rPr>
          <w:lang w:val="fr-CA"/>
        </w:rPr>
        <w:t xml:space="preserve"> et </w:t>
      </w:r>
      <w:r w:rsidR="002F155D" w:rsidRPr="00ED22D1">
        <w:rPr>
          <w:lang w:val="fr-CA"/>
        </w:rPr>
        <w:t>les technologies respectueuses de l’environnement</w:t>
      </w:r>
      <w:r w:rsidR="00D002F4" w:rsidRPr="00ED22D1">
        <w:rPr>
          <w:lang w:val="fr-CA"/>
        </w:rPr>
        <w:t>;</w:t>
      </w:r>
      <w:r w:rsidR="004A6828" w:rsidRPr="00ED22D1">
        <w:rPr>
          <w:lang w:val="fr-CA"/>
        </w:rPr>
        <w:t xml:space="preserve"> et </w:t>
      </w:r>
    </w:p>
    <w:p w:rsidR="00D002F4" w:rsidRPr="00ED22D1" w:rsidRDefault="00053099" w:rsidP="00053099">
      <w:pPr>
        <w:pStyle w:val="Heading2"/>
        <w:numPr>
          <w:ilvl w:val="0"/>
          <w:numId w:val="0"/>
        </w:numPr>
        <w:ind w:left="1418" w:hanging="698"/>
        <w:rPr>
          <w:lang w:val="fr-CA"/>
        </w:rPr>
      </w:pPr>
      <w:r w:rsidRPr="00ED22D1">
        <w:rPr>
          <w:lang w:val="fr-CA"/>
        </w:rPr>
        <w:t>(h)</w:t>
      </w:r>
      <w:r w:rsidRPr="00ED22D1">
        <w:rPr>
          <w:lang w:val="fr-CA"/>
        </w:rPr>
        <w:tab/>
      </w:r>
      <w:r w:rsidR="000D50A0" w:rsidRPr="00ED22D1">
        <w:rPr>
          <w:lang w:val="fr-CA"/>
        </w:rPr>
        <w:t xml:space="preserve">Un atelier </w:t>
      </w:r>
      <w:r w:rsidR="00D002F4" w:rsidRPr="00ED22D1">
        <w:rPr>
          <w:lang w:val="fr-CA"/>
        </w:rPr>
        <w:t xml:space="preserve">international </w:t>
      </w:r>
      <w:r w:rsidR="000D50A0" w:rsidRPr="00ED22D1">
        <w:rPr>
          <w:lang w:val="fr-CA"/>
        </w:rPr>
        <w:t>sur les thermopompes avec</w:t>
      </w:r>
      <w:r w:rsidR="00D002F4" w:rsidRPr="00ED22D1">
        <w:rPr>
          <w:lang w:val="fr-CA"/>
        </w:rPr>
        <w:t xml:space="preserve"> CO</w:t>
      </w:r>
      <w:r w:rsidR="00D002F4" w:rsidRPr="00ED22D1">
        <w:rPr>
          <w:vertAlign w:val="subscript"/>
          <w:lang w:val="fr-CA"/>
        </w:rPr>
        <w:t>2</w:t>
      </w:r>
      <w:r w:rsidR="00D002F4" w:rsidRPr="00ED22D1">
        <w:rPr>
          <w:lang w:val="fr-CA"/>
        </w:rPr>
        <w:t xml:space="preserve"> </w:t>
      </w:r>
      <w:r w:rsidR="000D50A0" w:rsidRPr="00ED22D1">
        <w:rPr>
          <w:lang w:val="fr-CA"/>
        </w:rPr>
        <w:t>a été tenu en</w:t>
      </w:r>
      <w:r w:rsidR="00D002F4" w:rsidRPr="00ED22D1">
        <w:rPr>
          <w:lang w:val="fr-CA"/>
        </w:rPr>
        <w:t xml:space="preserve"> </w:t>
      </w:r>
      <w:r w:rsidR="00B53D8B" w:rsidRPr="00ED22D1">
        <w:rPr>
          <w:lang w:val="fr-CA"/>
        </w:rPr>
        <w:t>juillet</w:t>
      </w:r>
      <w:r w:rsidR="00D002F4" w:rsidRPr="00ED22D1">
        <w:rPr>
          <w:lang w:val="fr-CA"/>
        </w:rPr>
        <w:t xml:space="preserve"> 2018 </w:t>
      </w:r>
      <w:r w:rsidR="00B84F94" w:rsidRPr="00ED22D1">
        <w:rPr>
          <w:lang w:val="fr-CA"/>
        </w:rPr>
        <w:t xml:space="preserve">avec </w:t>
      </w:r>
      <w:r w:rsidR="000D50A0" w:rsidRPr="00ED22D1">
        <w:rPr>
          <w:lang w:val="fr-CA"/>
        </w:rPr>
        <w:t>le</w:t>
      </w:r>
      <w:r w:rsidR="00CE4AD8">
        <w:rPr>
          <w:lang w:val="fr-CA"/>
        </w:rPr>
        <w:t> </w:t>
      </w:r>
      <w:r w:rsidR="000D50A0" w:rsidRPr="00ED22D1">
        <w:rPr>
          <w:lang w:val="fr-CA"/>
        </w:rPr>
        <w:t xml:space="preserve">soutien du </w:t>
      </w:r>
      <w:r w:rsidR="001F19C1" w:rsidRPr="00ED22D1">
        <w:rPr>
          <w:lang w:val="fr-CA"/>
        </w:rPr>
        <w:t xml:space="preserve">PNUD, </w:t>
      </w:r>
      <w:r w:rsidR="000D50A0" w:rsidRPr="00ED22D1">
        <w:rPr>
          <w:lang w:val="fr-CA"/>
        </w:rPr>
        <w:t>du</w:t>
      </w:r>
      <w:r w:rsidR="001F19C1" w:rsidRPr="00ED22D1">
        <w:rPr>
          <w:lang w:val="fr-CA"/>
        </w:rPr>
        <w:t xml:space="preserve"> PNUE</w:t>
      </w:r>
      <w:r w:rsidR="00D002F4" w:rsidRPr="00ED22D1">
        <w:rPr>
          <w:lang w:val="fr-CA"/>
        </w:rPr>
        <w:t xml:space="preserve">, </w:t>
      </w:r>
      <w:r w:rsidR="000D50A0" w:rsidRPr="00ED22D1">
        <w:rPr>
          <w:lang w:val="fr-CA"/>
        </w:rPr>
        <w:t xml:space="preserve">du </w:t>
      </w:r>
      <w:r w:rsidR="00D002F4" w:rsidRPr="00ED22D1">
        <w:rPr>
          <w:lang w:val="fr-CA"/>
        </w:rPr>
        <w:t xml:space="preserve">CRAA, </w:t>
      </w:r>
      <w:r w:rsidR="000D50A0" w:rsidRPr="00ED22D1">
        <w:rPr>
          <w:lang w:val="fr-CA"/>
        </w:rPr>
        <w:t>de la</w:t>
      </w:r>
      <w:r w:rsidR="00D002F4" w:rsidRPr="00ED22D1">
        <w:rPr>
          <w:lang w:val="fr-CA"/>
        </w:rPr>
        <w:t xml:space="preserve"> Chinese Association of </w:t>
      </w:r>
      <w:r w:rsidR="001354A8" w:rsidRPr="00ED22D1">
        <w:rPr>
          <w:lang w:val="fr-CA"/>
        </w:rPr>
        <w:t>Refrigeration</w:t>
      </w:r>
      <w:r w:rsidR="004A6828" w:rsidRPr="00ED22D1">
        <w:rPr>
          <w:lang w:val="fr-CA"/>
        </w:rPr>
        <w:t xml:space="preserve"> et </w:t>
      </w:r>
      <w:r w:rsidR="000D50A0" w:rsidRPr="00ED22D1">
        <w:rPr>
          <w:lang w:val="fr-CA"/>
        </w:rPr>
        <w:t>du</w:t>
      </w:r>
      <w:r w:rsidR="001354A8" w:rsidRPr="00ED22D1">
        <w:rPr>
          <w:lang w:val="fr-CA"/>
        </w:rPr>
        <w:t xml:space="preserve"> </w:t>
      </w:r>
      <w:r w:rsidR="00D002F4" w:rsidRPr="00ED22D1">
        <w:rPr>
          <w:lang w:val="fr-CA"/>
        </w:rPr>
        <w:t xml:space="preserve">Hefei General Machinery Research Institute. </w:t>
      </w:r>
      <w:r w:rsidR="000D50A0" w:rsidRPr="00ED22D1">
        <w:rPr>
          <w:lang w:val="fr-CA"/>
        </w:rPr>
        <w:t xml:space="preserve">Des spécialistes ont présenté des exposés sur les </w:t>
      </w:r>
      <w:r w:rsidR="00874624" w:rsidRPr="00ED22D1">
        <w:rPr>
          <w:lang w:val="fr-CA"/>
        </w:rPr>
        <w:t>politiques</w:t>
      </w:r>
      <w:r w:rsidR="00D002F4" w:rsidRPr="00ED22D1">
        <w:rPr>
          <w:lang w:val="fr-CA"/>
        </w:rPr>
        <w:t xml:space="preserve">, </w:t>
      </w:r>
      <w:r w:rsidR="000D50A0" w:rsidRPr="00ED22D1">
        <w:rPr>
          <w:lang w:val="fr-CA"/>
        </w:rPr>
        <w:t xml:space="preserve">les tendances en matière de </w:t>
      </w:r>
      <w:r w:rsidR="00616B46" w:rsidRPr="00ED22D1">
        <w:rPr>
          <w:lang w:val="fr-CA"/>
        </w:rPr>
        <w:t>développ</w:t>
      </w:r>
      <w:r w:rsidR="00CE4AD8">
        <w:rPr>
          <w:lang w:val="fr-CA"/>
        </w:rPr>
        <w:t>em</w:t>
      </w:r>
      <w:r w:rsidR="00616B46" w:rsidRPr="00ED22D1">
        <w:rPr>
          <w:lang w:val="fr-CA"/>
        </w:rPr>
        <w:t>ent</w:t>
      </w:r>
      <w:r w:rsidR="00D002F4" w:rsidRPr="00ED22D1">
        <w:rPr>
          <w:lang w:val="fr-CA"/>
        </w:rPr>
        <w:t xml:space="preserve"> </w:t>
      </w:r>
      <w:r w:rsidR="004A6828" w:rsidRPr="00ED22D1">
        <w:rPr>
          <w:lang w:val="fr-CA"/>
        </w:rPr>
        <w:t xml:space="preserve">et </w:t>
      </w:r>
      <w:r w:rsidR="000D50A0" w:rsidRPr="00ED22D1">
        <w:rPr>
          <w:lang w:val="fr-CA"/>
        </w:rPr>
        <w:t xml:space="preserve">les </w:t>
      </w:r>
      <w:r w:rsidR="00D002F4" w:rsidRPr="00ED22D1">
        <w:rPr>
          <w:lang w:val="fr-CA"/>
        </w:rPr>
        <w:t xml:space="preserve">prospects </w:t>
      </w:r>
      <w:r w:rsidR="000D50A0" w:rsidRPr="00ED22D1">
        <w:rPr>
          <w:lang w:val="fr-CA"/>
        </w:rPr>
        <w:t xml:space="preserve">en ce qui a trait aux technologies de thermopompes avec </w:t>
      </w:r>
      <w:r w:rsidR="00D002F4" w:rsidRPr="00ED22D1">
        <w:rPr>
          <w:lang w:val="fr-CA"/>
        </w:rPr>
        <w:t>CO</w:t>
      </w:r>
      <w:r w:rsidR="00D002F4" w:rsidRPr="00ED22D1">
        <w:rPr>
          <w:vertAlign w:val="subscript"/>
          <w:lang w:val="fr-CA"/>
        </w:rPr>
        <w:t>2</w:t>
      </w:r>
      <w:r w:rsidR="00D002F4" w:rsidRPr="00ED22D1">
        <w:rPr>
          <w:lang w:val="fr-CA"/>
        </w:rPr>
        <w:t xml:space="preserve">. </w:t>
      </w:r>
      <w:r w:rsidR="000D50A0" w:rsidRPr="00ED22D1">
        <w:rPr>
          <w:lang w:val="fr-CA"/>
        </w:rPr>
        <w:t xml:space="preserve">Des données sur les technologies avancées des thermopompes avec </w:t>
      </w:r>
      <w:r w:rsidR="00D002F4" w:rsidRPr="00ED22D1">
        <w:rPr>
          <w:lang w:val="fr-CA"/>
        </w:rPr>
        <w:t>CO</w:t>
      </w:r>
      <w:r w:rsidR="00D002F4" w:rsidRPr="00ED22D1">
        <w:rPr>
          <w:vertAlign w:val="subscript"/>
          <w:lang w:val="fr-CA"/>
        </w:rPr>
        <w:t>2</w:t>
      </w:r>
      <w:r w:rsidR="00D002F4" w:rsidRPr="00ED22D1">
        <w:rPr>
          <w:lang w:val="fr-CA"/>
        </w:rPr>
        <w:t xml:space="preserve"> </w:t>
      </w:r>
      <w:r w:rsidR="000D50A0" w:rsidRPr="00ED22D1">
        <w:rPr>
          <w:lang w:val="fr-CA"/>
        </w:rPr>
        <w:t>ont été disséminées, et les</w:t>
      </w:r>
      <w:r w:rsidR="004A6828" w:rsidRPr="00ED22D1">
        <w:rPr>
          <w:lang w:val="fr-CA"/>
        </w:rPr>
        <w:t xml:space="preserve"> </w:t>
      </w:r>
      <w:r w:rsidR="00D002F4" w:rsidRPr="00ED22D1">
        <w:rPr>
          <w:lang w:val="fr-CA"/>
        </w:rPr>
        <w:t xml:space="preserve">participants </w:t>
      </w:r>
      <w:r w:rsidR="000D50A0" w:rsidRPr="00ED22D1">
        <w:rPr>
          <w:lang w:val="fr-CA"/>
        </w:rPr>
        <w:t>ont partagé leurs expériences dans l’utilisation de ce frigorigène dans le secteur de la</w:t>
      </w:r>
      <w:r w:rsidR="00905638" w:rsidRPr="00ED22D1">
        <w:rPr>
          <w:lang w:val="fr-CA"/>
        </w:rPr>
        <w:t xml:space="preserve"> climatisation et </w:t>
      </w:r>
      <w:r w:rsidR="000D50A0" w:rsidRPr="00ED22D1">
        <w:rPr>
          <w:lang w:val="fr-CA"/>
        </w:rPr>
        <w:t>de la</w:t>
      </w:r>
      <w:r w:rsidR="00905638" w:rsidRPr="00ED22D1">
        <w:rPr>
          <w:lang w:val="fr-CA"/>
        </w:rPr>
        <w:t xml:space="preserve"> réfrigération industrielle et commerciale</w:t>
      </w:r>
      <w:r w:rsidR="00733306" w:rsidRPr="00ED22D1">
        <w:rPr>
          <w:lang w:val="fr-CA"/>
        </w:rPr>
        <w:t>.</w:t>
      </w:r>
      <w:r w:rsidR="000D50A0" w:rsidRPr="00ED22D1">
        <w:rPr>
          <w:lang w:val="fr-CA"/>
        </w:rPr>
        <w:t xml:space="preserve"> On a mis</w:t>
      </w:r>
      <w:r w:rsidR="00D002F4" w:rsidRPr="00ED22D1">
        <w:rPr>
          <w:lang w:val="fr-CA"/>
        </w:rPr>
        <w:t xml:space="preserve"> </w:t>
      </w:r>
      <w:r w:rsidR="000D50A0" w:rsidRPr="00ED22D1">
        <w:rPr>
          <w:lang w:val="fr-CA"/>
        </w:rPr>
        <w:t xml:space="preserve">l’accent sur l’importance de la technologie avec </w:t>
      </w:r>
      <w:r w:rsidR="00D002F4" w:rsidRPr="00ED22D1">
        <w:rPr>
          <w:lang w:val="fr-CA"/>
        </w:rPr>
        <w:t>CO</w:t>
      </w:r>
      <w:r w:rsidR="00D002F4" w:rsidRPr="00ED22D1">
        <w:rPr>
          <w:vertAlign w:val="subscript"/>
          <w:lang w:val="fr-CA"/>
        </w:rPr>
        <w:t>2</w:t>
      </w:r>
      <w:r w:rsidR="00D002F4" w:rsidRPr="00ED22D1">
        <w:rPr>
          <w:lang w:val="fr-CA"/>
        </w:rPr>
        <w:t xml:space="preserve"> </w:t>
      </w:r>
      <w:r w:rsidR="000D50A0" w:rsidRPr="00ED22D1">
        <w:rPr>
          <w:lang w:val="fr-CA"/>
        </w:rPr>
        <w:t>dans la protection de l’</w:t>
      </w:r>
      <w:r w:rsidR="00616B46" w:rsidRPr="00ED22D1">
        <w:rPr>
          <w:lang w:val="fr-CA"/>
        </w:rPr>
        <w:t>environnement</w:t>
      </w:r>
      <w:r w:rsidR="000D50A0" w:rsidRPr="00ED22D1">
        <w:rPr>
          <w:lang w:val="fr-CA"/>
        </w:rPr>
        <w:t xml:space="preserve">. Plus de </w:t>
      </w:r>
      <w:r w:rsidR="00D002F4" w:rsidRPr="00ED22D1">
        <w:rPr>
          <w:lang w:val="fr-CA"/>
        </w:rPr>
        <w:t xml:space="preserve">200 participants </w:t>
      </w:r>
      <w:r w:rsidR="000D50A0" w:rsidRPr="00ED22D1">
        <w:rPr>
          <w:lang w:val="fr-CA"/>
        </w:rPr>
        <w:t>d’organisations internationales</w:t>
      </w:r>
      <w:r w:rsidR="00D002F4" w:rsidRPr="00ED22D1">
        <w:rPr>
          <w:lang w:val="fr-CA"/>
        </w:rPr>
        <w:t>,</w:t>
      </w:r>
      <w:r w:rsidR="000D50A0" w:rsidRPr="00ED22D1">
        <w:rPr>
          <w:lang w:val="fr-CA"/>
        </w:rPr>
        <w:t xml:space="preserve"> des représentants officiels des gouvernements, des</w:t>
      </w:r>
      <w:r w:rsidR="00CE4AD8">
        <w:rPr>
          <w:lang w:val="fr-CA"/>
        </w:rPr>
        <w:t> </w:t>
      </w:r>
      <w:r w:rsidR="000D50A0" w:rsidRPr="00ED22D1">
        <w:rPr>
          <w:lang w:val="fr-CA"/>
        </w:rPr>
        <w:t xml:space="preserve">associations industrielles et des entreprises, des </w:t>
      </w:r>
      <w:r w:rsidR="00D002F4" w:rsidRPr="00ED22D1">
        <w:rPr>
          <w:lang w:val="fr-CA"/>
        </w:rPr>
        <w:t>universit</w:t>
      </w:r>
      <w:r w:rsidR="0058472B" w:rsidRPr="00ED22D1">
        <w:rPr>
          <w:lang w:val="fr-CA"/>
        </w:rPr>
        <w:t>é</w:t>
      </w:r>
      <w:r w:rsidR="00D002F4" w:rsidRPr="00ED22D1">
        <w:rPr>
          <w:lang w:val="fr-CA"/>
        </w:rPr>
        <w:t>s</w:t>
      </w:r>
      <w:r w:rsidR="004A6828" w:rsidRPr="00ED22D1">
        <w:rPr>
          <w:lang w:val="fr-CA"/>
        </w:rPr>
        <w:t xml:space="preserve"> et </w:t>
      </w:r>
      <w:r w:rsidR="000D50A0" w:rsidRPr="00ED22D1">
        <w:rPr>
          <w:lang w:val="fr-CA"/>
        </w:rPr>
        <w:t>des institutions de</w:t>
      </w:r>
      <w:r w:rsidR="00CE4AD8">
        <w:rPr>
          <w:lang w:val="fr-CA"/>
        </w:rPr>
        <w:t> </w:t>
      </w:r>
      <w:r w:rsidR="000D50A0" w:rsidRPr="00ED22D1">
        <w:rPr>
          <w:lang w:val="fr-CA"/>
        </w:rPr>
        <w:t>recherche ont assisté à l’atelier</w:t>
      </w:r>
      <w:r w:rsidR="00D002F4" w:rsidRPr="00ED22D1">
        <w:rPr>
          <w:lang w:val="fr-CA"/>
        </w:rPr>
        <w:t xml:space="preserve">. </w:t>
      </w:r>
    </w:p>
    <w:p w:rsidR="00D002F4" w:rsidRPr="00ED22D1" w:rsidRDefault="001B45EC" w:rsidP="00D002F4">
      <w:pPr>
        <w:rPr>
          <w:lang w:val="fr-CA"/>
        </w:rPr>
      </w:pPr>
      <w:r w:rsidRPr="00ED22D1">
        <w:rPr>
          <w:u w:val="single"/>
          <w:lang w:val="fr-CA"/>
        </w:rPr>
        <w:t>Projet</w:t>
      </w:r>
      <w:r w:rsidR="00CE4AD8">
        <w:rPr>
          <w:u w:val="single"/>
          <w:lang w:val="fr-CA"/>
        </w:rPr>
        <w:t xml:space="preserve"> de</w:t>
      </w:r>
      <w:r w:rsidR="00D002F4" w:rsidRPr="00ED22D1">
        <w:rPr>
          <w:u w:val="single"/>
          <w:lang w:val="fr-CA"/>
        </w:rPr>
        <w:t xml:space="preserve"> </w:t>
      </w:r>
      <w:r w:rsidR="00921BDE" w:rsidRPr="00ED22D1">
        <w:rPr>
          <w:u w:val="single"/>
          <w:lang w:val="fr-CA"/>
        </w:rPr>
        <w:t xml:space="preserve">mise en oeuvre </w:t>
      </w:r>
      <w:r w:rsidR="004A6828" w:rsidRPr="00ED22D1">
        <w:rPr>
          <w:u w:val="single"/>
          <w:lang w:val="fr-CA"/>
        </w:rPr>
        <w:t>et</w:t>
      </w:r>
      <w:r w:rsidR="000D50A0" w:rsidRPr="00ED22D1">
        <w:rPr>
          <w:u w:val="single"/>
          <w:lang w:val="fr-CA"/>
        </w:rPr>
        <w:t xml:space="preserve"> de suivi</w:t>
      </w:r>
      <w:r w:rsidR="00D002F4" w:rsidRPr="00ED22D1">
        <w:rPr>
          <w:u w:val="single"/>
          <w:lang w:val="fr-CA"/>
        </w:rPr>
        <w:t xml:space="preserve"> (PMU)</w:t>
      </w:r>
    </w:p>
    <w:p w:rsidR="00D002F4" w:rsidRPr="00ED22D1" w:rsidRDefault="00D002F4" w:rsidP="00D002F4">
      <w:pPr>
        <w:rPr>
          <w:lang w:val="fr-CA"/>
        </w:rPr>
      </w:pPr>
    </w:p>
    <w:p w:rsidR="00D002F4" w:rsidRPr="00ED22D1" w:rsidRDefault="00DC2912" w:rsidP="00DC2912">
      <w:pPr>
        <w:pStyle w:val="Heading1"/>
        <w:numPr>
          <w:ilvl w:val="0"/>
          <w:numId w:val="0"/>
        </w:numPr>
        <w:rPr>
          <w:lang w:val="fr-CA"/>
        </w:rPr>
      </w:pPr>
      <w:r w:rsidRPr="00ED22D1">
        <w:rPr>
          <w:lang w:val="fr-CA"/>
        </w:rPr>
        <w:t>80.</w:t>
      </w:r>
      <w:r w:rsidRPr="00ED22D1">
        <w:rPr>
          <w:lang w:val="fr-CA"/>
        </w:rPr>
        <w:tab/>
      </w:r>
      <w:r w:rsidR="00CE4AD8">
        <w:rPr>
          <w:lang w:val="fr-CA"/>
        </w:rPr>
        <w:t>L’</w:t>
      </w:r>
      <w:r w:rsidR="00D002F4" w:rsidRPr="00ED22D1">
        <w:rPr>
          <w:lang w:val="fr-CA"/>
        </w:rPr>
        <w:t>IECO</w:t>
      </w:r>
      <w:r w:rsidR="00903152" w:rsidRPr="00ED22D1">
        <w:rPr>
          <w:lang w:val="fr-CA"/>
        </w:rPr>
        <w:t xml:space="preserve"> est </w:t>
      </w:r>
      <w:r w:rsidR="00D002F4" w:rsidRPr="00ED22D1">
        <w:rPr>
          <w:lang w:val="fr-CA"/>
        </w:rPr>
        <w:t>respons</w:t>
      </w:r>
      <w:r w:rsidR="00C420BC" w:rsidRPr="00ED22D1">
        <w:rPr>
          <w:lang w:val="fr-CA"/>
        </w:rPr>
        <w:t>a</w:t>
      </w:r>
      <w:r w:rsidR="00D002F4" w:rsidRPr="00ED22D1">
        <w:rPr>
          <w:lang w:val="fr-CA"/>
        </w:rPr>
        <w:t xml:space="preserve">ble </w:t>
      </w:r>
      <w:r w:rsidR="00C420BC" w:rsidRPr="00ED22D1">
        <w:rPr>
          <w:lang w:val="fr-CA"/>
        </w:rPr>
        <w:t xml:space="preserve">de la mise en oeuvre globale du plan </w:t>
      </w:r>
      <w:r w:rsidR="001354A8" w:rsidRPr="00ED22D1">
        <w:rPr>
          <w:lang w:val="fr-CA"/>
        </w:rPr>
        <w:t>du secteur de la climatisation et de</w:t>
      </w:r>
      <w:r w:rsidR="00CE4AD8">
        <w:rPr>
          <w:lang w:val="fr-CA"/>
        </w:rPr>
        <w:t> </w:t>
      </w:r>
      <w:r w:rsidR="001354A8" w:rsidRPr="00ED22D1">
        <w:rPr>
          <w:lang w:val="fr-CA"/>
        </w:rPr>
        <w:t>la réfrigération industrielle et commerciale</w:t>
      </w:r>
      <w:r w:rsidR="00D002F4" w:rsidRPr="00ED22D1">
        <w:rPr>
          <w:lang w:val="fr-CA"/>
        </w:rPr>
        <w:t>. A</w:t>
      </w:r>
      <w:r w:rsidR="00C420BC" w:rsidRPr="00ED22D1">
        <w:rPr>
          <w:lang w:val="fr-CA"/>
        </w:rPr>
        <w:t>près l’</w:t>
      </w:r>
      <w:r w:rsidR="00CB2326" w:rsidRPr="00ED22D1">
        <w:rPr>
          <w:lang w:val="fr-CA"/>
        </w:rPr>
        <w:t>approbation</w:t>
      </w:r>
      <w:r w:rsidR="00D002F4" w:rsidRPr="00ED22D1">
        <w:rPr>
          <w:lang w:val="fr-CA"/>
        </w:rPr>
        <w:t xml:space="preserve"> </w:t>
      </w:r>
      <w:r w:rsidR="00C420BC" w:rsidRPr="00ED22D1">
        <w:rPr>
          <w:lang w:val="fr-CA"/>
        </w:rPr>
        <w:t xml:space="preserve">de la </w:t>
      </w:r>
      <w:r w:rsidR="00921BDE" w:rsidRPr="00ED22D1">
        <w:rPr>
          <w:lang w:val="fr-CA"/>
        </w:rPr>
        <w:t>deuxième</w:t>
      </w:r>
      <w:r w:rsidR="00D002F4" w:rsidRPr="00ED22D1">
        <w:rPr>
          <w:lang w:val="fr-CA"/>
        </w:rPr>
        <w:t xml:space="preserve"> tranche,</w:t>
      </w:r>
      <w:r w:rsidR="00F320D6" w:rsidRPr="00ED22D1">
        <w:rPr>
          <w:lang w:val="fr-CA"/>
        </w:rPr>
        <w:t xml:space="preserve"> l’IECO</w:t>
      </w:r>
      <w:r w:rsidR="00D002F4" w:rsidRPr="00ED22D1">
        <w:rPr>
          <w:lang w:val="fr-CA"/>
        </w:rPr>
        <w:t xml:space="preserve"> </w:t>
      </w:r>
      <w:r w:rsidR="00C420BC" w:rsidRPr="00ED22D1">
        <w:rPr>
          <w:lang w:val="fr-CA"/>
        </w:rPr>
        <w:t>a</w:t>
      </w:r>
      <w:r w:rsidR="00CE4AD8">
        <w:rPr>
          <w:lang w:val="fr-CA"/>
        </w:rPr>
        <w:t> </w:t>
      </w:r>
      <w:r w:rsidR="00D002F4" w:rsidRPr="00ED22D1">
        <w:rPr>
          <w:lang w:val="fr-CA"/>
        </w:rPr>
        <w:t>identifi</w:t>
      </w:r>
      <w:r w:rsidR="00C420BC" w:rsidRPr="00ED22D1">
        <w:rPr>
          <w:lang w:val="fr-CA"/>
        </w:rPr>
        <w:t>é de nouvelles</w:t>
      </w:r>
      <w:r w:rsidR="00D002F4" w:rsidRPr="00ED22D1">
        <w:rPr>
          <w:lang w:val="fr-CA"/>
        </w:rPr>
        <w:t xml:space="preserve"> </w:t>
      </w:r>
      <w:r w:rsidR="00921BDE" w:rsidRPr="00ED22D1">
        <w:rPr>
          <w:lang w:val="fr-CA"/>
        </w:rPr>
        <w:t>entreprise</w:t>
      </w:r>
      <w:r w:rsidR="00D002F4" w:rsidRPr="00ED22D1">
        <w:rPr>
          <w:lang w:val="fr-CA"/>
        </w:rPr>
        <w:t>s</w:t>
      </w:r>
      <w:r w:rsidR="004A6828" w:rsidRPr="00ED22D1">
        <w:rPr>
          <w:lang w:val="fr-CA"/>
        </w:rPr>
        <w:t xml:space="preserve"> et </w:t>
      </w:r>
      <w:r w:rsidR="00C420BC" w:rsidRPr="00ED22D1">
        <w:rPr>
          <w:lang w:val="fr-CA"/>
        </w:rPr>
        <w:t xml:space="preserve">de nouveaux </w:t>
      </w:r>
      <w:r w:rsidR="00325FA0" w:rsidRPr="00ED22D1">
        <w:rPr>
          <w:lang w:val="fr-CA"/>
        </w:rPr>
        <w:t>circuits de fabrication</w:t>
      </w:r>
      <w:r w:rsidR="00D002F4" w:rsidRPr="00ED22D1">
        <w:rPr>
          <w:lang w:val="fr-CA"/>
        </w:rPr>
        <w:t xml:space="preserve"> </w:t>
      </w:r>
      <w:r w:rsidR="00C420BC" w:rsidRPr="00ED22D1">
        <w:rPr>
          <w:lang w:val="fr-CA"/>
        </w:rPr>
        <w:t xml:space="preserve">pour la </w:t>
      </w:r>
      <w:r w:rsidR="00FB1DC4" w:rsidRPr="00ED22D1">
        <w:rPr>
          <w:lang w:val="fr-CA"/>
        </w:rPr>
        <w:t>reconversion</w:t>
      </w:r>
      <w:r w:rsidR="00D002F4" w:rsidRPr="00ED22D1">
        <w:rPr>
          <w:lang w:val="fr-CA"/>
        </w:rPr>
        <w:t>, organi</w:t>
      </w:r>
      <w:r w:rsidR="00C420BC" w:rsidRPr="00ED22D1">
        <w:rPr>
          <w:lang w:val="fr-CA"/>
        </w:rPr>
        <w:t xml:space="preserve">sé des ateliers de </w:t>
      </w:r>
      <w:r w:rsidR="00DE118B" w:rsidRPr="00ED22D1">
        <w:rPr>
          <w:lang w:val="fr-CA"/>
        </w:rPr>
        <w:t>formation</w:t>
      </w:r>
      <w:r w:rsidR="00D002F4" w:rsidRPr="00ED22D1">
        <w:rPr>
          <w:lang w:val="fr-CA"/>
        </w:rPr>
        <w:t xml:space="preserve"> </w:t>
      </w:r>
      <w:r w:rsidR="004A6828" w:rsidRPr="00ED22D1">
        <w:rPr>
          <w:lang w:val="fr-CA"/>
        </w:rPr>
        <w:t xml:space="preserve">et </w:t>
      </w:r>
      <w:r w:rsidR="00C420BC" w:rsidRPr="00ED22D1">
        <w:rPr>
          <w:lang w:val="fr-CA"/>
        </w:rPr>
        <w:t xml:space="preserve">des </w:t>
      </w:r>
      <w:r w:rsidR="00D002F4" w:rsidRPr="00ED22D1">
        <w:rPr>
          <w:lang w:val="fr-CA"/>
        </w:rPr>
        <w:t xml:space="preserve">sessions </w:t>
      </w:r>
      <w:r w:rsidR="00C420BC" w:rsidRPr="00ED22D1">
        <w:rPr>
          <w:lang w:val="fr-CA"/>
        </w:rPr>
        <w:t xml:space="preserve">afin de disséminer des </w:t>
      </w:r>
      <w:r w:rsidR="00874624" w:rsidRPr="00ED22D1">
        <w:rPr>
          <w:lang w:val="fr-CA"/>
        </w:rPr>
        <w:t>politiques</w:t>
      </w:r>
      <w:r w:rsidR="004A6828" w:rsidRPr="00ED22D1">
        <w:rPr>
          <w:lang w:val="fr-CA"/>
        </w:rPr>
        <w:t xml:space="preserve"> et </w:t>
      </w:r>
      <w:r w:rsidR="00C420BC" w:rsidRPr="00ED22D1">
        <w:rPr>
          <w:lang w:val="fr-CA"/>
        </w:rPr>
        <w:t xml:space="preserve">des </w:t>
      </w:r>
      <w:r w:rsidR="00616B46" w:rsidRPr="00ED22D1">
        <w:rPr>
          <w:lang w:val="fr-CA"/>
        </w:rPr>
        <w:t>procédures</w:t>
      </w:r>
      <w:r w:rsidR="00D002F4" w:rsidRPr="00ED22D1">
        <w:rPr>
          <w:lang w:val="fr-CA"/>
        </w:rPr>
        <w:t xml:space="preserve"> </w:t>
      </w:r>
      <w:r w:rsidR="00C420BC" w:rsidRPr="00ED22D1">
        <w:rPr>
          <w:lang w:val="fr-CA"/>
        </w:rPr>
        <w:t>pour les</w:t>
      </w:r>
      <w:r w:rsidR="00D002F4" w:rsidRPr="00ED22D1">
        <w:rPr>
          <w:lang w:val="fr-CA"/>
        </w:rPr>
        <w:t xml:space="preserve"> </w:t>
      </w:r>
      <w:r w:rsidR="001B45EC" w:rsidRPr="00ED22D1">
        <w:rPr>
          <w:lang w:val="fr-CA"/>
        </w:rPr>
        <w:t>projet</w:t>
      </w:r>
      <w:r w:rsidR="00D002F4" w:rsidRPr="00ED22D1">
        <w:rPr>
          <w:lang w:val="fr-CA"/>
        </w:rPr>
        <w:t xml:space="preserve">s, </w:t>
      </w:r>
      <w:r w:rsidR="00C420BC" w:rsidRPr="00ED22D1">
        <w:rPr>
          <w:lang w:val="fr-CA"/>
        </w:rPr>
        <w:t xml:space="preserve">entrepris des missions de </w:t>
      </w:r>
      <w:r w:rsidR="00921BDE" w:rsidRPr="00ED22D1">
        <w:rPr>
          <w:lang w:val="fr-CA"/>
        </w:rPr>
        <w:t>vérification</w:t>
      </w:r>
      <w:r w:rsidR="00D002F4" w:rsidRPr="00ED22D1">
        <w:rPr>
          <w:lang w:val="fr-CA"/>
        </w:rPr>
        <w:t>,</w:t>
      </w:r>
      <w:r w:rsidR="004A6828" w:rsidRPr="00ED22D1">
        <w:rPr>
          <w:lang w:val="fr-CA"/>
        </w:rPr>
        <w:t xml:space="preserve"> et</w:t>
      </w:r>
      <w:r w:rsidR="00F320D6" w:rsidRPr="00ED22D1">
        <w:rPr>
          <w:lang w:val="fr-CA"/>
        </w:rPr>
        <w:t xml:space="preserve"> signé</w:t>
      </w:r>
      <w:r w:rsidR="00D002F4" w:rsidRPr="00ED22D1">
        <w:rPr>
          <w:lang w:val="fr-CA"/>
        </w:rPr>
        <w:t xml:space="preserve"> </w:t>
      </w:r>
      <w:r w:rsidR="00C420BC" w:rsidRPr="00ED22D1">
        <w:rPr>
          <w:lang w:val="fr-CA"/>
        </w:rPr>
        <w:t xml:space="preserve">des </w:t>
      </w:r>
      <w:r w:rsidR="00921BDE" w:rsidRPr="00ED22D1">
        <w:rPr>
          <w:lang w:val="fr-CA"/>
        </w:rPr>
        <w:t>contrats</w:t>
      </w:r>
      <w:r w:rsidR="00D002F4" w:rsidRPr="00ED22D1">
        <w:rPr>
          <w:lang w:val="fr-CA"/>
        </w:rPr>
        <w:t xml:space="preserve"> </w:t>
      </w:r>
      <w:r w:rsidR="00B84F94" w:rsidRPr="00ED22D1">
        <w:rPr>
          <w:lang w:val="fr-CA"/>
        </w:rPr>
        <w:t xml:space="preserve">avec </w:t>
      </w:r>
      <w:r w:rsidR="00C420BC" w:rsidRPr="00ED22D1">
        <w:rPr>
          <w:lang w:val="fr-CA"/>
        </w:rPr>
        <w:t xml:space="preserve">des </w:t>
      </w:r>
      <w:r w:rsidR="00921BDE" w:rsidRPr="00ED22D1">
        <w:rPr>
          <w:lang w:val="fr-CA"/>
        </w:rPr>
        <w:t>entreprise</w:t>
      </w:r>
      <w:r w:rsidR="00D002F4" w:rsidRPr="00ED22D1">
        <w:rPr>
          <w:lang w:val="fr-CA"/>
        </w:rPr>
        <w:t>s</w:t>
      </w:r>
      <w:r w:rsidR="00C420BC" w:rsidRPr="00ED22D1">
        <w:rPr>
          <w:lang w:val="fr-CA"/>
        </w:rPr>
        <w:t>. L’</w:t>
      </w:r>
      <w:r w:rsidR="00F320D6" w:rsidRPr="00ED22D1">
        <w:rPr>
          <w:lang w:val="fr-CA"/>
        </w:rPr>
        <w:t>IECO</w:t>
      </w:r>
      <w:r w:rsidR="00D002F4" w:rsidRPr="00ED22D1">
        <w:rPr>
          <w:lang w:val="fr-CA"/>
        </w:rPr>
        <w:t xml:space="preserve"> </w:t>
      </w:r>
      <w:r w:rsidR="00C420BC" w:rsidRPr="00ED22D1">
        <w:rPr>
          <w:lang w:val="fr-CA"/>
        </w:rPr>
        <w:t xml:space="preserve">a aussi élaboré un </w:t>
      </w:r>
      <w:r w:rsidR="00D211C8" w:rsidRPr="00ED22D1">
        <w:rPr>
          <w:lang w:val="fr-CA"/>
        </w:rPr>
        <w:t>mandat</w:t>
      </w:r>
      <w:r w:rsidR="00D002F4" w:rsidRPr="00ED22D1">
        <w:rPr>
          <w:lang w:val="fr-CA"/>
        </w:rPr>
        <w:t xml:space="preserve"> </w:t>
      </w:r>
      <w:r w:rsidR="00C420BC" w:rsidRPr="00ED22D1">
        <w:rPr>
          <w:lang w:val="fr-CA"/>
        </w:rPr>
        <w:t>pour cinq projets d’</w:t>
      </w:r>
      <w:r w:rsidR="00872A2F" w:rsidRPr="00ED22D1">
        <w:rPr>
          <w:lang w:val="fr-CA"/>
        </w:rPr>
        <w:t>assistance technique</w:t>
      </w:r>
      <w:r w:rsidR="004A6828" w:rsidRPr="00ED22D1">
        <w:rPr>
          <w:lang w:val="fr-CA"/>
        </w:rPr>
        <w:t xml:space="preserve"> et</w:t>
      </w:r>
      <w:r w:rsidR="00F320D6" w:rsidRPr="00ED22D1">
        <w:rPr>
          <w:lang w:val="fr-CA"/>
        </w:rPr>
        <w:t xml:space="preserve"> signé</w:t>
      </w:r>
      <w:r w:rsidR="00D002F4" w:rsidRPr="00ED22D1">
        <w:rPr>
          <w:lang w:val="fr-CA"/>
        </w:rPr>
        <w:t xml:space="preserve"> </w:t>
      </w:r>
      <w:r w:rsidR="00C420BC" w:rsidRPr="00ED22D1">
        <w:rPr>
          <w:lang w:val="fr-CA"/>
        </w:rPr>
        <w:t xml:space="preserve">des </w:t>
      </w:r>
      <w:r w:rsidR="00921BDE" w:rsidRPr="00ED22D1">
        <w:rPr>
          <w:lang w:val="fr-CA"/>
        </w:rPr>
        <w:t>contrats</w:t>
      </w:r>
      <w:r w:rsidR="00D002F4" w:rsidRPr="00ED22D1">
        <w:rPr>
          <w:lang w:val="fr-CA"/>
        </w:rPr>
        <w:t xml:space="preserve"> </w:t>
      </w:r>
      <w:r w:rsidR="00C420BC" w:rsidRPr="00ED22D1">
        <w:rPr>
          <w:lang w:val="fr-CA"/>
        </w:rPr>
        <w:t>pour des activités d’</w:t>
      </w:r>
      <w:r w:rsidR="00872A2F" w:rsidRPr="00ED22D1">
        <w:rPr>
          <w:lang w:val="fr-CA"/>
        </w:rPr>
        <w:t>assistance technique</w:t>
      </w:r>
      <w:r w:rsidR="00D002F4" w:rsidRPr="00ED22D1">
        <w:rPr>
          <w:lang w:val="fr-CA"/>
        </w:rPr>
        <w:t xml:space="preserve">. </w:t>
      </w:r>
      <w:r w:rsidR="0080736A" w:rsidRPr="00ED22D1">
        <w:rPr>
          <w:lang w:val="fr-CA"/>
        </w:rPr>
        <w:t>La CRAA</w:t>
      </w:r>
      <w:r w:rsidR="00D002F4" w:rsidRPr="00ED22D1">
        <w:rPr>
          <w:lang w:val="fr-CA"/>
        </w:rPr>
        <w:t xml:space="preserve"> </w:t>
      </w:r>
      <w:r w:rsidR="00C420BC" w:rsidRPr="00ED22D1">
        <w:rPr>
          <w:lang w:val="fr-CA"/>
        </w:rPr>
        <w:t xml:space="preserve">a aidé </w:t>
      </w:r>
      <w:r w:rsidR="00F320D6" w:rsidRPr="00ED22D1">
        <w:rPr>
          <w:lang w:val="fr-CA"/>
        </w:rPr>
        <w:t>l’IECO</w:t>
      </w:r>
      <w:r w:rsidR="00D002F4" w:rsidRPr="00ED22D1">
        <w:rPr>
          <w:lang w:val="fr-CA"/>
        </w:rPr>
        <w:t xml:space="preserve"> </w:t>
      </w:r>
      <w:r w:rsidR="00C420BC" w:rsidRPr="00ED22D1">
        <w:rPr>
          <w:lang w:val="fr-CA"/>
        </w:rPr>
        <w:t xml:space="preserve">à mettre en oeuvre le plan du </w:t>
      </w:r>
      <w:r w:rsidR="00733306" w:rsidRPr="00ED22D1">
        <w:rPr>
          <w:lang w:val="fr-CA"/>
        </w:rPr>
        <w:t xml:space="preserve">secteur </w:t>
      </w:r>
      <w:r w:rsidR="00C420BC" w:rsidRPr="00ED22D1">
        <w:rPr>
          <w:lang w:val="fr-CA"/>
        </w:rPr>
        <w:t>et au suivi des progrès de la mise en oeuvre</w:t>
      </w:r>
      <w:r w:rsidR="00D002F4" w:rsidRPr="00ED22D1">
        <w:rPr>
          <w:lang w:val="fr-CA"/>
        </w:rPr>
        <w:t>.</w:t>
      </w:r>
    </w:p>
    <w:p w:rsidR="000D50A0" w:rsidRPr="00ED22D1" w:rsidRDefault="000D50A0" w:rsidP="00D002F4">
      <w:pPr>
        <w:rPr>
          <w:u w:val="single"/>
          <w:lang w:val="fr-CA"/>
        </w:rPr>
      </w:pPr>
    </w:p>
    <w:p w:rsidR="00D002F4" w:rsidRPr="00ED22D1" w:rsidRDefault="00C420BC" w:rsidP="00D002F4">
      <w:pPr>
        <w:rPr>
          <w:u w:val="single"/>
          <w:lang w:val="fr-CA"/>
        </w:rPr>
      </w:pPr>
      <w:r w:rsidRPr="00ED22D1">
        <w:rPr>
          <w:u w:val="single"/>
          <w:lang w:val="fr-CA"/>
        </w:rPr>
        <w:lastRenderedPageBreak/>
        <w:t>Décaissement des fonds</w:t>
      </w:r>
      <w:r w:rsidR="00D002F4" w:rsidRPr="00ED22D1">
        <w:rPr>
          <w:u w:val="single"/>
          <w:lang w:val="fr-CA"/>
        </w:rPr>
        <w:t xml:space="preserve"> </w:t>
      </w:r>
    </w:p>
    <w:p w:rsidR="00D002F4" w:rsidRPr="00ED22D1" w:rsidRDefault="00D002F4" w:rsidP="00D002F4">
      <w:pPr>
        <w:rPr>
          <w:u w:val="single"/>
          <w:lang w:val="fr-CA"/>
        </w:rPr>
      </w:pPr>
    </w:p>
    <w:p w:rsidR="00D002F4" w:rsidRPr="00ED22D1" w:rsidRDefault="00DC2912" w:rsidP="00DC2912">
      <w:pPr>
        <w:pStyle w:val="Heading1"/>
        <w:numPr>
          <w:ilvl w:val="0"/>
          <w:numId w:val="0"/>
        </w:numPr>
        <w:rPr>
          <w:lang w:val="fr-CA"/>
        </w:rPr>
      </w:pPr>
      <w:r w:rsidRPr="00ED22D1">
        <w:rPr>
          <w:lang w:val="fr-CA"/>
        </w:rPr>
        <w:t>81.</w:t>
      </w:r>
      <w:r w:rsidRPr="00ED22D1">
        <w:rPr>
          <w:lang w:val="fr-CA"/>
        </w:rPr>
        <w:tab/>
      </w:r>
      <w:r w:rsidR="00C420BC" w:rsidRPr="00ED22D1">
        <w:rPr>
          <w:lang w:val="fr-CA"/>
        </w:rPr>
        <w:t xml:space="preserve">En date de </w:t>
      </w:r>
      <w:r w:rsidR="004E0510" w:rsidRPr="00ED22D1">
        <w:rPr>
          <w:lang w:val="fr-CA"/>
        </w:rPr>
        <w:t>février</w:t>
      </w:r>
      <w:r w:rsidR="00D002F4" w:rsidRPr="00ED22D1">
        <w:rPr>
          <w:lang w:val="fr-CA"/>
        </w:rPr>
        <w:t xml:space="preserve"> 201</w:t>
      </w:r>
      <w:r w:rsidR="004A6828" w:rsidRPr="00ED22D1">
        <w:rPr>
          <w:lang w:val="fr-CA"/>
        </w:rPr>
        <w:t>9</w:t>
      </w:r>
      <w:r w:rsidR="00C420BC" w:rsidRPr="00ED22D1">
        <w:rPr>
          <w:lang w:val="fr-CA"/>
        </w:rPr>
        <w:t>,</w:t>
      </w:r>
      <w:r w:rsidR="004A6828" w:rsidRPr="00ED22D1">
        <w:rPr>
          <w:lang w:val="fr-CA"/>
        </w:rPr>
        <w:t> </w:t>
      </w:r>
      <w:r w:rsidR="00C420BC" w:rsidRPr="00ED22D1">
        <w:rPr>
          <w:lang w:val="fr-CA"/>
        </w:rPr>
        <w:t>des</w:t>
      </w:r>
      <w:r w:rsidR="00D002F4" w:rsidRPr="00ED22D1">
        <w:rPr>
          <w:lang w:val="fr-CA"/>
        </w:rPr>
        <w:t xml:space="preserve"> 3</w:t>
      </w:r>
      <w:r w:rsidR="004A6828" w:rsidRPr="00ED22D1">
        <w:rPr>
          <w:lang w:val="fr-CA"/>
        </w:rPr>
        <w:t>3 </w:t>
      </w:r>
      <w:r w:rsidR="00D002F4" w:rsidRPr="00ED22D1">
        <w:rPr>
          <w:lang w:val="fr-CA"/>
        </w:rPr>
        <w:t>36</w:t>
      </w:r>
      <w:r w:rsidR="004A6828" w:rsidRPr="00ED22D1">
        <w:rPr>
          <w:lang w:val="fr-CA"/>
        </w:rPr>
        <w:t>8 </w:t>
      </w:r>
      <w:r w:rsidR="00D002F4" w:rsidRPr="00ED22D1">
        <w:rPr>
          <w:lang w:val="fr-CA"/>
        </w:rPr>
        <w:t>756</w:t>
      </w:r>
      <w:r w:rsidR="00EC100C" w:rsidRPr="00ED22D1">
        <w:rPr>
          <w:lang w:val="fr-CA"/>
        </w:rPr>
        <w:t> $US</w:t>
      </w:r>
      <w:r w:rsidR="00D002F4" w:rsidRPr="00ED22D1">
        <w:rPr>
          <w:lang w:val="fr-CA"/>
        </w:rPr>
        <w:t xml:space="preserve"> </w:t>
      </w:r>
      <w:r w:rsidR="00AA6E77" w:rsidRPr="00ED22D1">
        <w:rPr>
          <w:lang w:val="fr-CA"/>
        </w:rPr>
        <w:t>approuvé</w:t>
      </w:r>
      <w:r w:rsidR="00C420BC" w:rsidRPr="00ED22D1">
        <w:rPr>
          <w:lang w:val="fr-CA"/>
        </w:rPr>
        <w:t>s</w:t>
      </w:r>
      <w:r w:rsidR="00D002F4" w:rsidRPr="00ED22D1">
        <w:rPr>
          <w:lang w:val="fr-CA"/>
        </w:rPr>
        <w:t xml:space="preserve"> </w:t>
      </w:r>
      <w:r w:rsidR="00502C24" w:rsidRPr="00ED22D1">
        <w:rPr>
          <w:lang w:val="fr-CA"/>
        </w:rPr>
        <w:t>jusqu’à maintenant</w:t>
      </w:r>
      <w:r w:rsidR="00D002F4" w:rsidRPr="00ED22D1">
        <w:rPr>
          <w:lang w:val="fr-CA"/>
        </w:rPr>
        <w:t>, 2</w:t>
      </w:r>
      <w:r w:rsidR="004A6828" w:rsidRPr="00ED22D1">
        <w:rPr>
          <w:lang w:val="fr-CA"/>
        </w:rPr>
        <w:t>9 </w:t>
      </w:r>
      <w:r w:rsidR="00D002F4" w:rsidRPr="00ED22D1">
        <w:rPr>
          <w:lang w:val="fr-CA"/>
        </w:rPr>
        <w:t>18</w:t>
      </w:r>
      <w:r w:rsidR="004A6828" w:rsidRPr="00ED22D1">
        <w:rPr>
          <w:lang w:val="fr-CA"/>
        </w:rPr>
        <w:t>8 </w:t>
      </w:r>
      <w:r w:rsidR="00D002F4" w:rsidRPr="00ED22D1">
        <w:rPr>
          <w:lang w:val="fr-CA"/>
        </w:rPr>
        <w:t>271</w:t>
      </w:r>
      <w:r w:rsidR="00EC100C" w:rsidRPr="00ED22D1">
        <w:rPr>
          <w:lang w:val="fr-CA"/>
        </w:rPr>
        <w:t> $US</w:t>
      </w:r>
      <w:r w:rsidR="00D002F4" w:rsidRPr="00ED22D1">
        <w:rPr>
          <w:lang w:val="fr-CA"/>
        </w:rPr>
        <w:t xml:space="preserve"> </w:t>
      </w:r>
      <w:r w:rsidR="00C420BC" w:rsidRPr="00ED22D1">
        <w:rPr>
          <w:lang w:val="fr-CA"/>
        </w:rPr>
        <w:t xml:space="preserve">avaient été </w:t>
      </w:r>
      <w:r w:rsidR="00181884" w:rsidRPr="00ED22D1">
        <w:rPr>
          <w:lang w:val="fr-CA"/>
        </w:rPr>
        <w:t>décaissé</w:t>
      </w:r>
      <w:r w:rsidR="00C420BC" w:rsidRPr="00ED22D1">
        <w:rPr>
          <w:lang w:val="fr-CA"/>
        </w:rPr>
        <w:t>s</w:t>
      </w:r>
      <w:r w:rsidR="00D002F4" w:rsidRPr="00ED22D1">
        <w:rPr>
          <w:lang w:val="fr-CA"/>
        </w:rPr>
        <w:t xml:space="preserve"> </w:t>
      </w:r>
      <w:r w:rsidR="00C420BC" w:rsidRPr="00ED22D1">
        <w:rPr>
          <w:lang w:val="fr-CA"/>
        </w:rPr>
        <w:t xml:space="preserve">du </w:t>
      </w:r>
      <w:r w:rsidR="001F19C1" w:rsidRPr="00ED22D1">
        <w:rPr>
          <w:lang w:val="fr-CA"/>
        </w:rPr>
        <w:t>PNUD</w:t>
      </w:r>
      <w:r w:rsidR="00D002F4" w:rsidRPr="00ED22D1">
        <w:rPr>
          <w:lang w:val="fr-CA"/>
        </w:rPr>
        <w:t xml:space="preserve"> </w:t>
      </w:r>
      <w:r w:rsidR="00F5455E" w:rsidRPr="00ED22D1">
        <w:rPr>
          <w:lang w:val="fr-CA"/>
        </w:rPr>
        <w:t>à l’IECO</w:t>
      </w:r>
      <w:r w:rsidR="00D002F4" w:rsidRPr="00ED22D1">
        <w:rPr>
          <w:lang w:val="fr-CA"/>
        </w:rPr>
        <w:t>,</w:t>
      </w:r>
      <w:r w:rsidR="004A6828" w:rsidRPr="00ED22D1">
        <w:rPr>
          <w:lang w:val="fr-CA"/>
        </w:rPr>
        <w:t xml:space="preserve"> et </w:t>
      </w:r>
      <w:r w:rsidR="00D002F4" w:rsidRPr="00ED22D1">
        <w:rPr>
          <w:lang w:val="fr-CA"/>
        </w:rPr>
        <w:t>1</w:t>
      </w:r>
      <w:r w:rsidR="004A6828" w:rsidRPr="00ED22D1">
        <w:rPr>
          <w:lang w:val="fr-CA"/>
        </w:rPr>
        <w:t>6 </w:t>
      </w:r>
      <w:r w:rsidR="00D002F4" w:rsidRPr="00ED22D1">
        <w:rPr>
          <w:lang w:val="fr-CA"/>
        </w:rPr>
        <w:t>34</w:t>
      </w:r>
      <w:r w:rsidR="004A6828" w:rsidRPr="00ED22D1">
        <w:rPr>
          <w:lang w:val="fr-CA"/>
        </w:rPr>
        <w:t>4 </w:t>
      </w:r>
      <w:r w:rsidR="00D002F4" w:rsidRPr="00ED22D1">
        <w:rPr>
          <w:lang w:val="fr-CA"/>
        </w:rPr>
        <w:t>970</w:t>
      </w:r>
      <w:r w:rsidR="00EC100C" w:rsidRPr="00ED22D1">
        <w:rPr>
          <w:lang w:val="fr-CA"/>
        </w:rPr>
        <w:t> $US</w:t>
      </w:r>
      <w:r w:rsidR="00D002F4" w:rsidRPr="00ED22D1">
        <w:rPr>
          <w:lang w:val="fr-CA"/>
        </w:rPr>
        <w:t xml:space="preserve"> </w:t>
      </w:r>
      <w:r w:rsidR="00C420BC" w:rsidRPr="00ED22D1">
        <w:rPr>
          <w:lang w:val="fr-CA"/>
        </w:rPr>
        <w:t xml:space="preserve">avaient </w:t>
      </w:r>
      <w:r w:rsidR="00903152" w:rsidRPr="00ED22D1">
        <w:rPr>
          <w:lang w:val="fr-CA"/>
        </w:rPr>
        <w:t>été</w:t>
      </w:r>
      <w:r w:rsidR="00D002F4" w:rsidRPr="00ED22D1">
        <w:rPr>
          <w:lang w:val="fr-CA"/>
        </w:rPr>
        <w:t xml:space="preserve"> </w:t>
      </w:r>
      <w:r w:rsidR="00181884" w:rsidRPr="00ED22D1">
        <w:rPr>
          <w:lang w:val="fr-CA"/>
        </w:rPr>
        <w:t>décaissé</w:t>
      </w:r>
      <w:r w:rsidR="00C420BC" w:rsidRPr="00ED22D1">
        <w:rPr>
          <w:lang w:val="fr-CA"/>
        </w:rPr>
        <w:t>s</w:t>
      </w:r>
      <w:r w:rsidR="00D002F4" w:rsidRPr="00ED22D1">
        <w:rPr>
          <w:lang w:val="fr-CA"/>
        </w:rPr>
        <w:t xml:space="preserve"> </w:t>
      </w:r>
      <w:r w:rsidR="00C420BC" w:rsidRPr="00ED22D1">
        <w:rPr>
          <w:lang w:val="fr-CA"/>
        </w:rPr>
        <w:t>aux</w:t>
      </w:r>
      <w:r w:rsidR="00D002F4" w:rsidRPr="00ED22D1">
        <w:rPr>
          <w:lang w:val="fr-CA"/>
        </w:rPr>
        <w:t xml:space="preserve"> </w:t>
      </w:r>
      <w:r w:rsidR="001C69F9" w:rsidRPr="00ED22D1">
        <w:rPr>
          <w:lang w:val="fr-CA"/>
        </w:rPr>
        <w:t>entreprises bénéficiaires</w:t>
      </w:r>
      <w:r w:rsidR="004A6828" w:rsidRPr="00ED22D1">
        <w:rPr>
          <w:lang w:val="fr-CA"/>
        </w:rPr>
        <w:t xml:space="preserve"> </w:t>
      </w:r>
      <w:r w:rsidR="00C420BC" w:rsidRPr="00ED22D1">
        <w:rPr>
          <w:lang w:val="fr-CA"/>
        </w:rPr>
        <w:t>finales et pour des activités d’</w:t>
      </w:r>
      <w:r w:rsidR="00872A2F" w:rsidRPr="00ED22D1">
        <w:rPr>
          <w:lang w:val="fr-CA"/>
        </w:rPr>
        <w:t>assistance technique</w:t>
      </w:r>
      <w:r w:rsidR="00D002F4" w:rsidRPr="00ED22D1">
        <w:rPr>
          <w:lang w:val="fr-CA"/>
        </w:rPr>
        <w:t xml:space="preserve">, </w:t>
      </w:r>
      <w:r w:rsidR="00C420BC" w:rsidRPr="00ED22D1">
        <w:rPr>
          <w:lang w:val="fr-CA"/>
        </w:rPr>
        <w:t xml:space="preserve">ce qui représentait </w:t>
      </w:r>
      <w:r w:rsidR="00D002F4" w:rsidRPr="00ED22D1">
        <w:rPr>
          <w:lang w:val="fr-CA"/>
        </w:rPr>
        <w:t>4</w:t>
      </w:r>
      <w:r w:rsidR="004A6828" w:rsidRPr="00ED22D1">
        <w:rPr>
          <w:lang w:val="fr-CA"/>
        </w:rPr>
        <w:t>8,</w:t>
      </w:r>
      <w:r w:rsidR="00D002F4" w:rsidRPr="00ED22D1">
        <w:rPr>
          <w:lang w:val="fr-CA"/>
        </w:rPr>
        <w:t>98 </w:t>
      </w:r>
      <w:r w:rsidR="001B31BF" w:rsidRPr="00ED22D1">
        <w:rPr>
          <w:lang w:val="fr-CA"/>
        </w:rPr>
        <w:t>pour cent</w:t>
      </w:r>
      <w:r w:rsidR="00D002F4" w:rsidRPr="00ED22D1">
        <w:rPr>
          <w:lang w:val="fr-CA"/>
        </w:rPr>
        <w:t xml:space="preserve"> </w:t>
      </w:r>
      <w:r w:rsidR="00C420BC" w:rsidRPr="00ED22D1">
        <w:rPr>
          <w:lang w:val="fr-CA"/>
        </w:rPr>
        <w:t xml:space="preserve">du financement total </w:t>
      </w:r>
      <w:r w:rsidR="00AA6E77" w:rsidRPr="00ED22D1">
        <w:rPr>
          <w:lang w:val="fr-CA"/>
        </w:rPr>
        <w:t>approuvé</w:t>
      </w:r>
      <w:r w:rsidR="0031390F" w:rsidRPr="00ED22D1">
        <w:rPr>
          <w:lang w:val="fr-CA"/>
        </w:rPr>
        <w:t>. Le</w:t>
      </w:r>
      <w:r w:rsidR="00D002F4" w:rsidRPr="00ED22D1">
        <w:rPr>
          <w:lang w:val="fr-CA"/>
        </w:rPr>
        <w:t xml:space="preserve"> </w:t>
      </w:r>
      <w:r w:rsidR="00181884" w:rsidRPr="00ED22D1">
        <w:rPr>
          <w:lang w:val="fr-CA"/>
        </w:rPr>
        <w:t>décaissement</w:t>
      </w:r>
      <w:r w:rsidR="00D002F4" w:rsidRPr="00ED22D1">
        <w:rPr>
          <w:lang w:val="fr-CA"/>
        </w:rPr>
        <w:t xml:space="preserve"> </w:t>
      </w:r>
      <w:r w:rsidR="00C420BC" w:rsidRPr="00ED22D1">
        <w:rPr>
          <w:lang w:val="fr-CA"/>
        </w:rPr>
        <w:t>de</w:t>
      </w:r>
      <w:r w:rsidR="00D002F4" w:rsidRPr="00ED22D1">
        <w:rPr>
          <w:lang w:val="fr-CA"/>
        </w:rPr>
        <w:t xml:space="preserve"> </w:t>
      </w:r>
      <w:r w:rsidR="004A6828" w:rsidRPr="00ED22D1">
        <w:rPr>
          <w:lang w:val="fr-CA"/>
        </w:rPr>
        <w:t>7 </w:t>
      </w:r>
      <w:r w:rsidR="00D002F4" w:rsidRPr="00ED22D1">
        <w:rPr>
          <w:lang w:val="fr-CA"/>
        </w:rPr>
        <w:t>75</w:t>
      </w:r>
      <w:r w:rsidR="004A6828" w:rsidRPr="00ED22D1">
        <w:rPr>
          <w:lang w:val="fr-CA"/>
        </w:rPr>
        <w:t>3 </w:t>
      </w:r>
      <w:r w:rsidR="00D002F4" w:rsidRPr="00ED22D1">
        <w:rPr>
          <w:lang w:val="fr-CA"/>
        </w:rPr>
        <w:t>197</w:t>
      </w:r>
      <w:r w:rsidR="00EC100C" w:rsidRPr="00ED22D1">
        <w:rPr>
          <w:lang w:val="fr-CA"/>
        </w:rPr>
        <w:t> $US</w:t>
      </w:r>
      <w:r w:rsidR="00D002F4" w:rsidRPr="00ED22D1" w:rsidDel="00D2112E">
        <w:rPr>
          <w:lang w:val="fr-CA"/>
        </w:rPr>
        <w:t xml:space="preserve"> </w:t>
      </w:r>
      <w:r w:rsidR="00C420BC" w:rsidRPr="00ED22D1">
        <w:rPr>
          <w:lang w:val="fr-CA"/>
        </w:rPr>
        <w:t xml:space="preserve">de la </w:t>
      </w:r>
      <w:r w:rsidR="00921BDE" w:rsidRPr="00ED22D1">
        <w:rPr>
          <w:lang w:val="fr-CA"/>
        </w:rPr>
        <w:t>deuxième</w:t>
      </w:r>
      <w:r w:rsidR="00D002F4" w:rsidRPr="00ED22D1">
        <w:rPr>
          <w:lang w:val="fr-CA"/>
        </w:rPr>
        <w:t xml:space="preserve"> tranche</w:t>
      </w:r>
      <w:r w:rsidR="00C420BC" w:rsidRPr="00ED22D1">
        <w:rPr>
          <w:lang w:val="fr-CA"/>
        </w:rPr>
        <w:t>, qui</w:t>
      </w:r>
      <w:r w:rsidR="00D002F4" w:rsidRPr="00ED22D1">
        <w:rPr>
          <w:lang w:val="fr-CA"/>
        </w:rPr>
        <w:t xml:space="preserve"> </w:t>
      </w:r>
      <w:r w:rsidR="00C420BC" w:rsidRPr="00ED22D1">
        <w:rPr>
          <w:lang w:val="fr-CA"/>
        </w:rPr>
        <w:t xml:space="preserve">représente </w:t>
      </w:r>
      <w:r w:rsidR="00D002F4" w:rsidRPr="00ED22D1">
        <w:rPr>
          <w:lang w:val="fr-CA"/>
        </w:rPr>
        <w:t>3</w:t>
      </w:r>
      <w:r w:rsidR="004A6828" w:rsidRPr="00ED22D1">
        <w:rPr>
          <w:lang w:val="fr-CA"/>
        </w:rPr>
        <w:t>8,</w:t>
      </w:r>
      <w:r w:rsidR="00D002F4" w:rsidRPr="00ED22D1">
        <w:rPr>
          <w:lang w:val="fr-CA"/>
        </w:rPr>
        <w:t>77 </w:t>
      </w:r>
      <w:r w:rsidR="001B31BF" w:rsidRPr="00ED22D1">
        <w:rPr>
          <w:lang w:val="fr-CA"/>
        </w:rPr>
        <w:t>pour cent</w:t>
      </w:r>
      <w:r w:rsidR="00D002F4" w:rsidRPr="00ED22D1">
        <w:rPr>
          <w:lang w:val="fr-CA"/>
        </w:rPr>
        <w:t xml:space="preserve"> </w:t>
      </w:r>
      <w:r w:rsidR="00C420BC" w:rsidRPr="00ED22D1">
        <w:rPr>
          <w:lang w:val="fr-CA"/>
        </w:rPr>
        <w:t>du</w:t>
      </w:r>
      <w:r w:rsidR="00393F6B" w:rsidRPr="00ED22D1">
        <w:rPr>
          <w:lang w:val="fr-CA"/>
        </w:rPr>
        <w:t xml:space="preserve"> financement</w:t>
      </w:r>
      <w:r w:rsidR="00D002F4" w:rsidRPr="00ED22D1">
        <w:rPr>
          <w:lang w:val="fr-CA"/>
        </w:rPr>
        <w:t xml:space="preserve"> </w:t>
      </w:r>
      <w:r w:rsidR="00C420BC" w:rsidRPr="00ED22D1">
        <w:rPr>
          <w:lang w:val="fr-CA"/>
        </w:rPr>
        <w:t xml:space="preserve">pour la </w:t>
      </w:r>
      <w:r w:rsidR="00921BDE" w:rsidRPr="00ED22D1">
        <w:rPr>
          <w:lang w:val="fr-CA"/>
        </w:rPr>
        <w:t>deuxième</w:t>
      </w:r>
      <w:r w:rsidR="00D002F4" w:rsidRPr="00ED22D1">
        <w:rPr>
          <w:lang w:val="fr-CA"/>
        </w:rPr>
        <w:t xml:space="preserve"> tranche</w:t>
      </w:r>
      <w:r w:rsidR="00C420BC" w:rsidRPr="00ED22D1">
        <w:rPr>
          <w:lang w:val="fr-CA"/>
        </w:rPr>
        <w:t>,</w:t>
      </w:r>
      <w:r w:rsidR="00D002F4" w:rsidRPr="00ED22D1">
        <w:rPr>
          <w:lang w:val="fr-CA"/>
        </w:rPr>
        <w:t xml:space="preserve"> </w:t>
      </w:r>
      <w:r w:rsidR="00CE7FEC" w:rsidRPr="00ED22D1">
        <w:rPr>
          <w:lang w:val="fr-CA"/>
        </w:rPr>
        <w:t xml:space="preserve">est montré au tableau </w:t>
      </w:r>
      <w:r w:rsidR="004A6828" w:rsidRPr="00ED22D1">
        <w:rPr>
          <w:lang w:val="fr-CA"/>
        </w:rPr>
        <w:t>2</w:t>
      </w:r>
      <w:r w:rsidR="00CE7FEC" w:rsidRPr="00ED22D1">
        <w:rPr>
          <w:lang w:val="fr-CA"/>
        </w:rPr>
        <w:t>.</w:t>
      </w:r>
      <w:r w:rsidR="00D002F4" w:rsidRPr="00ED22D1">
        <w:rPr>
          <w:lang w:val="fr-CA"/>
        </w:rPr>
        <w:t xml:space="preserve"> </w:t>
      </w:r>
    </w:p>
    <w:p w:rsidR="00D002F4" w:rsidRPr="00ED22D1" w:rsidRDefault="00CE7FEC" w:rsidP="00CE4AD8">
      <w:pPr>
        <w:jc w:val="left"/>
        <w:rPr>
          <w:b/>
          <w:lang w:val="fr-CA"/>
        </w:rPr>
      </w:pPr>
      <w:r w:rsidRPr="00ED22D1">
        <w:rPr>
          <w:b/>
          <w:lang w:val="fr-CA"/>
        </w:rPr>
        <w:t xml:space="preserve">Tableau </w:t>
      </w:r>
      <w:r w:rsidR="004A6828" w:rsidRPr="00ED22D1">
        <w:rPr>
          <w:b/>
          <w:lang w:val="fr-CA"/>
        </w:rPr>
        <w:t>2</w:t>
      </w:r>
      <w:r w:rsidR="00D05BD1" w:rsidRPr="00ED22D1">
        <w:rPr>
          <w:b/>
          <w:lang w:val="fr-CA"/>
        </w:rPr>
        <w:t>.</w:t>
      </w:r>
      <w:r w:rsidR="00572798" w:rsidRPr="00ED22D1">
        <w:rPr>
          <w:b/>
          <w:lang w:val="fr-CA"/>
        </w:rPr>
        <w:t xml:space="preserve"> État des </w:t>
      </w:r>
      <w:r w:rsidR="00181884" w:rsidRPr="00ED22D1">
        <w:rPr>
          <w:b/>
          <w:lang w:val="fr-CA"/>
        </w:rPr>
        <w:t>décaissement</w:t>
      </w:r>
      <w:r w:rsidR="00572798" w:rsidRPr="00ED22D1">
        <w:rPr>
          <w:b/>
          <w:lang w:val="fr-CA"/>
        </w:rPr>
        <w:t>s</w:t>
      </w:r>
      <w:r w:rsidR="00D002F4" w:rsidRPr="00ED22D1">
        <w:rPr>
          <w:b/>
          <w:lang w:val="fr-CA"/>
        </w:rPr>
        <w:t xml:space="preserve"> </w:t>
      </w:r>
      <w:r w:rsidR="00921BDE" w:rsidRPr="00ED22D1">
        <w:rPr>
          <w:b/>
          <w:lang w:val="fr-CA"/>
        </w:rPr>
        <w:t>de la phase</w:t>
      </w:r>
      <w:r w:rsidR="004A6828" w:rsidRPr="00ED22D1">
        <w:rPr>
          <w:b/>
          <w:lang w:val="fr-CA"/>
        </w:rPr>
        <w:t xml:space="preserve"> </w:t>
      </w:r>
      <w:r w:rsidR="00D002F4" w:rsidRPr="00ED22D1">
        <w:rPr>
          <w:b/>
          <w:lang w:val="fr-CA"/>
        </w:rPr>
        <w:t xml:space="preserve">II </w:t>
      </w:r>
      <w:r w:rsidR="00572798" w:rsidRPr="00ED22D1">
        <w:rPr>
          <w:b/>
          <w:lang w:val="fr-CA"/>
        </w:rPr>
        <w:t>du</w:t>
      </w:r>
      <w:r w:rsidR="00905638" w:rsidRPr="00ED22D1">
        <w:rPr>
          <w:b/>
          <w:lang w:val="fr-CA"/>
        </w:rPr>
        <w:t xml:space="preserve"> </w:t>
      </w:r>
      <w:r w:rsidR="001354A8" w:rsidRPr="00ED22D1">
        <w:rPr>
          <w:b/>
          <w:lang w:val="fr-CA"/>
        </w:rPr>
        <w:t>plan du secteur de la climatisation et de</w:t>
      </w:r>
      <w:r w:rsidR="00CE4AD8">
        <w:rPr>
          <w:b/>
          <w:lang w:val="fr-CA"/>
        </w:rPr>
        <w:t> </w:t>
      </w:r>
      <w:r w:rsidR="001354A8" w:rsidRPr="00ED22D1">
        <w:rPr>
          <w:b/>
          <w:lang w:val="fr-CA"/>
        </w:rPr>
        <w:t>la</w:t>
      </w:r>
      <w:r w:rsidR="00CE4AD8">
        <w:rPr>
          <w:b/>
          <w:lang w:val="fr-CA"/>
        </w:rPr>
        <w:t> </w:t>
      </w:r>
      <w:r w:rsidR="001354A8" w:rsidRPr="00ED22D1">
        <w:rPr>
          <w:b/>
          <w:lang w:val="fr-CA"/>
        </w:rPr>
        <w:t>réfrigération industrielle et commerciale</w:t>
      </w:r>
      <w:r w:rsidR="00572798" w:rsidRPr="00ED22D1">
        <w:rPr>
          <w:b/>
          <w:lang w:val="fr-CA"/>
        </w:rPr>
        <w:t>, en date de février</w:t>
      </w:r>
      <w:r w:rsidR="00D002F4" w:rsidRPr="00ED22D1">
        <w:rPr>
          <w:b/>
          <w:lang w:val="fr-CA"/>
        </w:rPr>
        <w:t xml:space="preserve"> 2019 </w:t>
      </w:r>
      <w:r w:rsidR="00874624" w:rsidRPr="00ED22D1">
        <w:rPr>
          <w:b/>
          <w:lang w:val="fr-CA"/>
        </w:rPr>
        <w:t>($US)</w:t>
      </w:r>
      <w:r w:rsidR="00D002F4" w:rsidRPr="00ED22D1">
        <w:rPr>
          <w:b/>
          <w:lang w:val="fr-CA"/>
        </w:rPr>
        <w:t>*</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2302"/>
        <w:gridCol w:w="1841"/>
        <w:gridCol w:w="1841"/>
        <w:gridCol w:w="1561"/>
      </w:tblGrid>
      <w:tr w:rsidR="00D002F4" w:rsidRPr="00ED22D1" w:rsidTr="00C37FA9">
        <w:trPr>
          <w:trHeight w:val="225"/>
        </w:trPr>
        <w:tc>
          <w:tcPr>
            <w:tcW w:w="2229" w:type="pct"/>
            <w:gridSpan w:val="2"/>
            <w:shd w:val="clear" w:color="auto" w:fill="auto"/>
            <w:noWrap/>
            <w:vAlign w:val="bottom"/>
            <w:hideMark/>
          </w:tcPr>
          <w:p w:rsidR="00D002F4" w:rsidRPr="00ED22D1" w:rsidRDefault="00C420BC" w:rsidP="00C420BC">
            <w:pPr>
              <w:jc w:val="left"/>
              <w:rPr>
                <w:b/>
                <w:bCs/>
                <w:color w:val="000000"/>
                <w:sz w:val="20"/>
                <w:szCs w:val="20"/>
                <w:lang w:val="fr-CA" w:eastAsia="zh-CN"/>
              </w:rPr>
            </w:pPr>
            <w:r w:rsidRPr="00ED22D1">
              <w:rPr>
                <w:b/>
                <w:bCs/>
                <w:color w:val="000000"/>
                <w:sz w:val="20"/>
                <w:szCs w:val="20"/>
                <w:lang w:val="fr-CA" w:eastAsia="zh-CN"/>
              </w:rPr>
              <w:t xml:space="preserve">Plan du secteur </w:t>
            </w:r>
            <w:r w:rsidR="00D002F4" w:rsidRPr="00ED22D1">
              <w:rPr>
                <w:b/>
                <w:bCs/>
                <w:color w:val="000000"/>
                <w:sz w:val="20"/>
                <w:szCs w:val="20"/>
                <w:lang w:val="fr-CA" w:eastAsia="zh-CN"/>
              </w:rPr>
              <w:t>ICR</w:t>
            </w:r>
          </w:p>
        </w:tc>
        <w:tc>
          <w:tcPr>
            <w:tcW w:w="973" w:type="pct"/>
            <w:shd w:val="clear" w:color="auto" w:fill="auto"/>
            <w:noWrap/>
            <w:vAlign w:val="bottom"/>
            <w:hideMark/>
          </w:tcPr>
          <w:p w:rsidR="00D002F4" w:rsidRPr="00ED22D1" w:rsidRDefault="00D002F4" w:rsidP="00D87C7D">
            <w:pPr>
              <w:jc w:val="left"/>
              <w:rPr>
                <w:b/>
                <w:bCs/>
                <w:color w:val="000000"/>
                <w:sz w:val="20"/>
                <w:szCs w:val="20"/>
                <w:lang w:val="fr-CA" w:eastAsia="zh-CN"/>
              </w:rPr>
            </w:pPr>
            <w:r w:rsidRPr="00ED22D1">
              <w:rPr>
                <w:b/>
                <w:bCs/>
                <w:color w:val="000000"/>
                <w:sz w:val="20"/>
                <w:szCs w:val="20"/>
                <w:lang w:val="fr-CA" w:eastAsia="zh-CN"/>
              </w:rPr>
              <w:t>Tranche I (2016)</w:t>
            </w:r>
          </w:p>
        </w:tc>
        <w:tc>
          <w:tcPr>
            <w:tcW w:w="973" w:type="pct"/>
            <w:shd w:val="clear" w:color="auto" w:fill="auto"/>
            <w:noWrap/>
            <w:vAlign w:val="bottom"/>
            <w:hideMark/>
          </w:tcPr>
          <w:p w:rsidR="00D002F4" w:rsidRPr="00ED22D1" w:rsidRDefault="00D002F4" w:rsidP="00D87C7D">
            <w:pPr>
              <w:jc w:val="left"/>
              <w:rPr>
                <w:b/>
                <w:bCs/>
                <w:color w:val="000000"/>
                <w:sz w:val="20"/>
                <w:szCs w:val="20"/>
                <w:lang w:val="fr-CA" w:eastAsia="zh-CN"/>
              </w:rPr>
            </w:pPr>
            <w:r w:rsidRPr="00ED22D1">
              <w:rPr>
                <w:b/>
                <w:bCs/>
                <w:color w:val="000000"/>
                <w:sz w:val="20"/>
                <w:szCs w:val="20"/>
                <w:lang w:val="fr-CA" w:eastAsia="zh-CN"/>
              </w:rPr>
              <w:t>Tranche II (2017)</w:t>
            </w:r>
          </w:p>
        </w:tc>
        <w:tc>
          <w:tcPr>
            <w:tcW w:w="825" w:type="pct"/>
            <w:shd w:val="clear" w:color="auto" w:fill="auto"/>
            <w:noWrap/>
            <w:vAlign w:val="bottom"/>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Total</w:t>
            </w:r>
          </w:p>
        </w:tc>
      </w:tr>
      <w:tr w:rsidR="00D002F4" w:rsidRPr="00ED22D1" w:rsidTr="00C37FA9">
        <w:trPr>
          <w:trHeight w:val="218"/>
        </w:trPr>
        <w:tc>
          <w:tcPr>
            <w:tcW w:w="2229" w:type="pct"/>
            <w:gridSpan w:val="2"/>
            <w:shd w:val="clear" w:color="auto" w:fill="auto"/>
            <w:vAlign w:val="center"/>
            <w:hideMark/>
          </w:tcPr>
          <w:p w:rsidR="00D002F4" w:rsidRPr="00ED22D1" w:rsidRDefault="00905638" w:rsidP="00D87C7D">
            <w:pPr>
              <w:jc w:val="left"/>
              <w:rPr>
                <w:color w:val="000000"/>
                <w:sz w:val="20"/>
                <w:szCs w:val="20"/>
                <w:lang w:val="fr-CA" w:eastAsia="zh-CN"/>
              </w:rPr>
            </w:pPr>
            <w:r w:rsidRPr="00ED22D1">
              <w:rPr>
                <w:color w:val="000000"/>
                <w:sz w:val="20"/>
                <w:szCs w:val="20"/>
                <w:lang w:val="fr-CA" w:eastAsia="zh-CN"/>
              </w:rPr>
              <w:t>Financement</w:t>
            </w:r>
            <w:r w:rsidR="00D002F4" w:rsidRPr="00ED22D1">
              <w:rPr>
                <w:color w:val="000000"/>
                <w:sz w:val="20"/>
                <w:szCs w:val="20"/>
                <w:lang w:val="fr-CA" w:eastAsia="zh-CN"/>
              </w:rPr>
              <w:t xml:space="preserve"> </w:t>
            </w:r>
            <w:r w:rsidR="00AA6E77" w:rsidRPr="00ED22D1">
              <w:rPr>
                <w:color w:val="000000"/>
                <w:sz w:val="20"/>
                <w:szCs w:val="20"/>
                <w:lang w:val="fr-CA" w:eastAsia="zh-CN"/>
              </w:rPr>
              <w:t>approuvé</w:t>
            </w:r>
            <w:r w:rsidR="00DE118B" w:rsidRPr="00ED22D1">
              <w:rPr>
                <w:color w:val="000000"/>
                <w:sz w:val="20"/>
                <w:szCs w:val="20"/>
                <w:lang w:val="fr-CA" w:eastAsia="zh-CN"/>
              </w:rPr>
              <w:t xml:space="preserve"> par </w:t>
            </w:r>
            <w:r w:rsidR="00DD185D" w:rsidRPr="00ED22D1">
              <w:rPr>
                <w:color w:val="000000"/>
                <w:sz w:val="20"/>
                <w:szCs w:val="20"/>
                <w:lang w:val="fr-CA" w:eastAsia="zh-CN"/>
              </w:rPr>
              <w:t>le Comité exécutif</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1</w:t>
            </w:r>
            <w:r w:rsidR="004A6828" w:rsidRPr="00ED22D1">
              <w:rPr>
                <w:color w:val="000000"/>
                <w:sz w:val="20"/>
                <w:szCs w:val="20"/>
                <w:lang w:val="fr-CA" w:eastAsia="zh-CN"/>
              </w:rPr>
              <w:t>3 </w:t>
            </w:r>
            <w:r w:rsidRPr="00ED22D1">
              <w:rPr>
                <w:color w:val="000000"/>
                <w:sz w:val="20"/>
                <w:szCs w:val="20"/>
                <w:lang w:val="fr-CA" w:eastAsia="zh-CN"/>
              </w:rPr>
              <w:t>36</w:t>
            </w:r>
            <w:r w:rsidR="004A6828" w:rsidRPr="00ED22D1">
              <w:rPr>
                <w:color w:val="000000"/>
                <w:sz w:val="20"/>
                <w:szCs w:val="20"/>
                <w:lang w:val="fr-CA" w:eastAsia="zh-CN"/>
              </w:rPr>
              <w:t>8 </w:t>
            </w:r>
            <w:r w:rsidRPr="00ED22D1">
              <w:rPr>
                <w:color w:val="000000"/>
                <w:sz w:val="20"/>
                <w:szCs w:val="20"/>
                <w:lang w:val="fr-CA" w:eastAsia="zh-CN"/>
              </w:rPr>
              <w:t>756</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2</w:t>
            </w:r>
            <w:r w:rsidR="004A6828" w:rsidRPr="00ED22D1">
              <w:rPr>
                <w:color w:val="000000"/>
                <w:sz w:val="20"/>
                <w:szCs w:val="20"/>
                <w:lang w:val="fr-CA" w:eastAsia="zh-CN"/>
              </w:rPr>
              <w:t>0 </w:t>
            </w:r>
            <w:r w:rsidRPr="00ED22D1">
              <w:rPr>
                <w:color w:val="000000"/>
                <w:sz w:val="20"/>
                <w:szCs w:val="20"/>
                <w:lang w:val="fr-CA" w:eastAsia="zh-CN"/>
              </w:rPr>
              <w:t>00</w:t>
            </w:r>
            <w:r w:rsidR="004A6828" w:rsidRPr="00ED22D1">
              <w:rPr>
                <w:color w:val="000000"/>
                <w:sz w:val="20"/>
                <w:szCs w:val="20"/>
                <w:lang w:val="fr-CA" w:eastAsia="zh-CN"/>
              </w:rPr>
              <w:t>0 </w:t>
            </w:r>
            <w:r w:rsidRPr="00ED22D1">
              <w:rPr>
                <w:color w:val="000000"/>
                <w:sz w:val="20"/>
                <w:szCs w:val="20"/>
                <w:lang w:val="fr-CA" w:eastAsia="zh-CN"/>
              </w:rPr>
              <w:t>000</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3</w:t>
            </w:r>
            <w:r w:rsidR="004A6828" w:rsidRPr="00ED22D1">
              <w:rPr>
                <w:color w:val="000000"/>
                <w:sz w:val="20"/>
                <w:szCs w:val="20"/>
                <w:lang w:val="fr-CA" w:eastAsia="zh-CN"/>
              </w:rPr>
              <w:t>3 </w:t>
            </w:r>
            <w:r w:rsidRPr="00ED22D1">
              <w:rPr>
                <w:color w:val="000000"/>
                <w:sz w:val="20"/>
                <w:szCs w:val="20"/>
                <w:lang w:val="fr-CA" w:eastAsia="zh-CN"/>
              </w:rPr>
              <w:t>36</w:t>
            </w:r>
            <w:r w:rsidR="004A6828" w:rsidRPr="00ED22D1">
              <w:rPr>
                <w:color w:val="000000"/>
                <w:sz w:val="20"/>
                <w:szCs w:val="20"/>
                <w:lang w:val="fr-CA" w:eastAsia="zh-CN"/>
              </w:rPr>
              <w:t>8 </w:t>
            </w:r>
            <w:r w:rsidRPr="00ED22D1">
              <w:rPr>
                <w:color w:val="000000"/>
                <w:sz w:val="20"/>
                <w:szCs w:val="20"/>
                <w:lang w:val="fr-CA" w:eastAsia="zh-CN"/>
              </w:rPr>
              <w:t>756</w:t>
            </w:r>
          </w:p>
        </w:tc>
      </w:tr>
      <w:tr w:rsidR="00D002F4" w:rsidRPr="00ED22D1" w:rsidTr="00C37FA9">
        <w:trPr>
          <w:trHeight w:val="218"/>
        </w:trPr>
        <w:tc>
          <w:tcPr>
            <w:tcW w:w="1013" w:type="pct"/>
            <w:vMerge w:val="restart"/>
            <w:shd w:val="clear" w:color="auto" w:fill="auto"/>
            <w:vAlign w:val="center"/>
            <w:hideMark/>
          </w:tcPr>
          <w:p w:rsidR="00D002F4" w:rsidRPr="00ED22D1" w:rsidRDefault="00181884" w:rsidP="00572798">
            <w:pPr>
              <w:jc w:val="left"/>
              <w:rPr>
                <w:color w:val="000000"/>
                <w:sz w:val="20"/>
                <w:szCs w:val="20"/>
                <w:lang w:val="fr-CA" w:eastAsia="zh-CN"/>
              </w:rPr>
            </w:pPr>
            <w:r w:rsidRPr="00ED22D1">
              <w:rPr>
                <w:color w:val="000000"/>
                <w:sz w:val="20"/>
                <w:szCs w:val="20"/>
                <w:lang w:val="fr-CA" w:eastAsia="zh-CN"/>
              </w:rPr>
              <w:t>Décaissement</w:t>
            </w:r>
            <w:r w:rsidR="00D002F4" w:rsidRPr="00ED22D1">
              <w:rPr>
                <w:color w:val="000000"/>
                <w:sz w:val="20"/>
                <w:szCs w:val="20"/>
                <w:lang w:val="fr-CA" w:eastAsia="zh-CN"/>
              </w:rPr>
              <w:t xml:space="preserve"> </w:t>
            </w:r>
            <w:r w:rsidR="00572798" w:rsidRPr="00ED22D1">
              <w:rPr>
                <w:color w:val="000000"/>
                <w:sz w:val="20"/>
                <w:szCs w:val="20"/>
                <w:lang w:val="fr-CA" w:eastAsia="zh-CN"/>
              </w:rPr>
              <w:t xml:space="preserve">du </w:t>
            </w:r>
            <w:r w:rsidR="001F19C1" w:rsidRPr="00ED22D1">
              <w:rPr>
                <w:color w:val="000000"/>
                <w:sz w:val="20"/>
                <w:szCs w:val="20"/>
                <w:lang w:val="fr-CA" w:eastAsia="zh-CN"/>
              </w:rPr>
              <w:t>PNUD</w:t>
            </w:r>
            <w:r w:rsidR="00D002F4" w:rsidRPr="00ED22D1">
              <w:rPr>
                <w:color w:val="000000"/>
                <w:sz w:val="20"/>
                <w:szCs w:val="20"/>
                <w:lang w:val="fr-CA" w:eastAsia="zh-CN"/>
              </w:rPr>
              <w:t xml:space="preserve"> </w:t>
            </w:r>
            <w:r w:rsidR="00F5455E" w:rsidRPr="00ED22D1">
              <w:rPr>
                <w:color w:val="000000"/>
                <w:sz w:val="20"/>
                <w:szCs w:val="20"/>
                <w:lang w:val="fr-CA" w:eastAsia="zh-CN"/>
              </w:rPr>
              <w:t>à l’IECO</w:t>
            </w:r>
          </w:p>
        </w:tc>
        <w:tc>
          <w:tcPr>
            <w:tcW w:w="1216" w:type="pct"/>
            <w:shd w:val="clear" w:color="auto" w:fill="auto"/>
            <w:noWrap/>
            <w:vAlign w:val="center"/>
            <w:hideMark/>
          </w:tcPr>
          <w:p w:rsidR="00D002F4" w:rsidRPr="00ED22D1" w:rsidRDefault="00350E4F" w:rsidP="00D87C7D">
            <w:pPr>
              <w:jc w:val="left"/>
              <w:rPr>
                <w:color w:val="000000"/>
                <w:sz w:val="20"/>
                <w:szCs w:val="20"/>
                <w:lang w:val="fr-CA" w:eastAsia="zh-CN"/>
              </w:rPr>
            </w:pPr>
            <w:r w:rsidRPr="00ED22D1">
              <w:rPr>
                <w:color w:val="000000"/>
                <w:sz w:val="20"/>
                <w:szCs w:val="20"/>
                <w:lang w:val="fr-CA" w:eastAsia="zh-CN"/>
              </w:rPr>
              <w:t>Montant</w:t>
            </w:r>
            <w:r w:rsidR="00616B46" w:rsidRPr="00ED22D1">
              <w:rPr>
                <w:color w:val="000000"/>
                <w:sz w:val="20"/>
                <w:szCs w:val="20"/>
                <w:lang w:val="fr-CA" w:eastAsia="zh-CN"/>
              </w:rPr>
              <w:t xml:space="preserve"> </w:t>
            </w:r>
            <w:r w:rsidR="00874624" w:rsidRPr="00ED22D1">
              <w:rPr>
                <w:color w:val="000000"/>
                <w:sz w:val="20"/>
                <w:szCs w:val="20"/>
                <w:lang w:val="fr-CA" w:eastAsia="zh-CN"/>
              </w:rPr>
              <w:t>($US)</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1</w:t>
            </w:r>
            <w:r w:rsidR="004A6828" w:rsidRPr="00ED22D1">
              <w:rPr>
                <w:color w:val="000000"/>
                <w:sz w:val="20"/>
                <w:szCs w:val="20"/>
                <w:lang w:val="fr-CA" w:eastAsia="zh-CN"/>
              </w:rPr>
              <w:t>3 </w:t>
            </w:r>
            <w:r w:rsidRPr="00ED22D1">
              <w:rPr>
                <w:color w:val="000000"/>
                <w:sz w:val="20"/>
                <w:szCs w:val="20"/>
                <w:lang w:val="fr-CA" w:eastAsia="zh-CN"/>
              </w:rPr>
              <w:t>36</w:t>
            </w:r>
            <w:r w:rsidR="004A6828" w:rsidRPr="00ED22D1">
              <w:rPr>
                <w:color w:val="000000"/>
                <w:sz w:val="20"/>
                <w:szCs w:val="20"/>
                <w:lang w:val="fr-CA" w:eastAsia="zh-CN"/>
              </w:rPr>
              <w:t>8 </w:t>
            </w:r>
            <w:r w:rsidRPr="00ED22D1">
              <w:rPr>
                <w:color w:val="000000"/>
                <w:sz w:val="20"/>
                <w:szCs w:val="20"/>
                <w:lang w:val="fr-CA" w:eastAsia="zh-CN"/>
              </w:rPr>
              <w:t>756</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1</w:t>
            </w:r>
            <w:r w:rsidR="004A6828" w:rsidRPr="00ED22D1">
              <w:rPr>
                <w:color w:val="000000"/>
                <w:sz w:val="20"/>
                <w:szCs w:val="20"/>
                <w:lang w:val="fr-CA" w:eastAsia="zh-CN"/>
              </w:rPr>
              <w:t>5 </w:t>
            </w:r>
            <w:r w:rsidRPr="00ED22D1">
              <w:rPr>
                <w:color w:val="000000"/>
                <w:sz w:val="20"/>
                <w:szCs w:val="20"/>
                <w:lang w:val="fr-CA" w:eastAsia="zh-CN"/>
              </w:rPr>
              <w:t>81</w:t>
            </w:r>
            <w:r w:rsidR="004A6828" w:rsidRPr="00ED22D1">
              <w:rPr>
                <w:color w:val="000000"/>
                <w:sz w:val="20"/>
                <w:szCs w:val="20"/>
                <w:lang w:val="fr-CA" w:eastAsia="zh-CN"/>
              </w:rPr>
              <w:t>9 </w:t>
            </w:r>
            <w:r w:rsidRPr="00ED22D1">
              <w:rPr>
                <w:color w:val="000000"/>
                <w:sz w:val="20"/>
                <w:szCs w:val="20"/>
                <w:lang w:val="fr-CA" w:eastAsia="zh-CN"/>
              </w:rPr>
              <w:t>515</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2</w:t>
            </w:r>
            <w:r w:rsidR="004A6828" w:rsidRPr="00ED22D1">
              <w:rPr>
                <w:color w:val="000000"/>
                <w:sz w:val="20"/>
                <w:szCs w:val="20"/>
                <w:lang w:val="fr-CA" w:eastAsia="zh-CN"/>
              </w:rPr>
              <w:t>9 </w:t>
            </w:r>
            <w:r w:rsidRPr="00ED22D1">
              <w:rPr>
                <w:color w:val="000000"/>
                <w:sz w:val="20"/>
                <w:szCs w:val="20"/>
                <w:lang w:val="fr-CA" w:eastAsia="zh-CN"/>
              </w:rPr>
              <w:t>18</w:t>
            </w:r>
            <w:r w:rsidR="004A6828" w:rsidRPr="00ED22D1">
              <w:rPr>
                <w:color w:val="000000"/>
                <w:sz w:val="20"/>
                <w:szCs w:val="20"/>
                <w:lang w:val="fr-CA" w:eastAsia="zh-CN"/>
              </w:rPr>
              <w:t>8 </w:t>
            </w:r>
            <w:r w:rsidRPr="00ED22D1">
              <w:rPr>
                <w:color w:val="000000"/>
                <w:sz w:val="20"/>
                <w:szCs w:val="20"/>
                <w:lang w:val="fr-CA" w:eastAsia="zh-CN"/>
              </w:rPr>
              <w:t>271</w:t>
            </w:r>
          </w:p>
        </w:tc>
      </w:tr>
      <w:tr w:rsidR="00D002F4" w:rsidRPr="00ED22D1" w:rsidTr="00C37FA9">
        <w:trPr>
          <w:trHeight w:val="218"/>
        </w:trPr>
        <w:tc>
          <w:tcPr>
            <w:tcW w:w="1013" w:type="pct"/>
            <w:vMerge/>
            <w:vAlign w:val="center"/>
            <w:hideMark/>
          </w:tcPr>
          <w:p w:rsidR="00D002F4" w:rsidRPr="00ED22D1" w:rsidRDefault="00D002F4" w:rsidP="00D87C7D">
            <w:pPr>
              <w:jc w:val="left"/>
              <w:rPr>
                <w:color w:val="000000"/>
                <w:sz w:val="20"/>
                <w:szCs w:val="20"/>
                <w:lang w:val="fr-CA" w:eastAsia="zh-CN"/>
              </w:rPr>
            </w:pPr>
          </w:p>
        </w:tc>
        <w:tc>
          <w:tcPr>
            <w:tcW w:w="1216" w:type="pct"/>
            <w:shd w:val="clear" w:color="auto" w:fill="auto"/>
            <w:noWrap/>
            <w:vAlign w:val="center"/>
            <w:hideMark/>
          </w:tcPr>
          <w:p w:rsidR="00D002F4" w:rsidRPr="00ED22D1" w:rsidRDefault="00350E4F" w:rsidP="00D87C7D">
            <w:pPr>
              <w:jc w:val="left"/>
              <w:rPr>
                <w:color w:val="000000"/>
                <w:sz w:val="20"/>
                <w:szCs w:val="20"/>
                <w:lang w:val="fr-CA" w:eastAsia="zh-CN"/>
              </w:rPr>
            </w:pPr>
            <w:r w:rsidRPr="00ED22D1">
              <w:rPr>
                <w:color w:val="000000"/>
                <w:sz w:val="20"/>
                <w:szCs w:val="20"/>
                <w:lang w:val="fr-CA" w:eastAsia="zh-CN"/>
              </w:rPr>
              <w:t>Ratio de décaissement</w:t>
            </w:r>
            <w:r w:rsidR="00D002F4" w:rsidRPr="00ED22D1">
              <w:rPr>
                <w:color w:val="000000"/>
                <w:sz w:val="20"/>
                <w:szCs w:val="20"/>
                <w:lang w:val="fr-CA" w:eastAsia="zh-CN"/>
              </w:rPr>
              <w:t xml:space="preserve"> </w:t>
            </w:r>
            <w:r w:rsidR="002D6976" w:rsidRPr="00ED22D1">
              <w:rPr>
                <w:color w:val="000000"/>
                <w:sz w:val="20"/>
                <w:szCs w:val="20"/>
                <w:lang w:val="fr-CA" w:eastAsia="zh-CN"/>
              </w:rPr>
              <w:t>(%</w:t>
            </w:r>
            <w:r w:rsidR="00D002F4" w:rsidRPr="00ED22D1">
              <w:rPr>
                <w:color w:val="000000"/>
                <w:sz w:val="20"/>
                <w:szCs w:val="20"/>
                <w:lang w:val="fr-CA" w:eastAsia="zh-CN"/>
              </w:rPr>
              <w:t>)</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100</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7</w:t>
            </w:r>
            <w:r w:rsidR="004A6828" w:rsidRPr="00ED22D1">
              <w:rPr>
                <w:color w:val="000000"/>
                <w:sz w:val="20"/>
                <w:szCs w:val="20"/>
                <w:lang w:val="fr-CA" w:eastAsia="zh-CN"/>
              </w:rPr>
              <w:t>9,</w:t>
            </w:r>
            <w:r w:rsidRPr="00ED22D1">
              <w:rPr>
                <w:color w:val="000000"/>
                <w:sz w:val="20"/>
                <w:szCs w:val="20"/>
                <w:lang w:val="fr-CA" w:eastAsia="zh-CN"/>
              </w:rPr>
              <w:t>10</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8</w:t>
            </w:r>
            <w:r w:rsidR="004A6828" w:rsidRPr="00ED22D1">
              <w:rPr>
                <w:color w:val="000000"/>
                <w:sz w:val="20"/>
                <w:szCs w:val="20"/>
                <w:lang w:val="fr-CA" w:eastAsia="zh-CN"/>
              </w:rPr>
              <w:t>7,</w:t>
            </w:r>
            <w:r w:rsidRPr="00ED22D1">
              <w:rPr>
                <w:color w:val="000000"/>
                <w:sz w:val="20"/>
                <w:szCs w:val="20"/>
                <w:lang w:val="fr-CA" w:eastAsia="zh-CN"/>
              </w:rPr>
              <w:t>47</w:t>
            </w:r>
          </w:p>
        </w:tc>
      </w:tr>
      <w:tr w:rsidR="00D002F4" w:rsidRPr="00ED22D1" w:rsidTr="00C37FA9">
        <w:trPr>
          <w:trHeight w:val="218"/>
        </w:trPr>
        <w:tc>
          <w:tcPr>
            <w:tcW w:w="1013" w:type="pct"/>
            <w:vMerge w:val="restart"/>
            <w:shd w:val="clear" w:color="auto" w:fill="auto"/>
            <w:vAlign w:val="center"/>
            <w:hideMark/>
          </w:tcPr>
          <w:p w:rsidR="00D002F4" w:rsidRPr="00ED22D1" w:rsidRDefault="00181884" w:rsidP="00D87C7D">
            <w:pPr>
              <w:jc w:val="left"/>
              <w:rPr>
                <w:color w:val="000000"/>
                <w:sz w:val="20"/>
                <w:szCs w:val="20"/>
                <w:lang w:val="fr-CA" w:eastAsia="zh-CN"/>
              </w:rPr>
            </w:pPr>
            <w:r w:rsidRPr="00ED22D1">
              <w:rPr>
                <w:color w:val="000000"/>
                <w:sz w:val="20"/>
                <w:szCs w:val="20"/>
                <w:lang w:val="fr-CA" w:eastAsia="zh-CN"/>
              </w:rPr>
              <w:t>Décaissement</w:t>
            </w:r>
            <w:r w:rsidR="00D002F4" w:rsidRPr="00ED22D1">
              <w:rPr>
                <w:color w:val="000000"/>
                <w:sz w:val="20"/>
                <w:szCs w:val="20"/>
                <w:lang w:val="fr-CA" w:eastAsia="zh-CN"/>
              </w:rPr>
              <w:t xml:space="preserve"> </w:t>
            </w:r>
            <w:r w:rsidR="00F5455E" w:rsidRPr="00ED22D1">
              <w:rPr>
                <w:color w:val="000000"/>
                <w:sz w:val="20"/>
                <w:szCs w:val="20"/>
                <w:lang w:val="fr-CA" w:eastAsia="zh-CN"/>
              </w:rPr>
              <w:t>de l’IE</w:t>
            </w:r>
            <w:r w:rsidR="00F320D6" w:rsidRPr="00ED22D1">
              <w:rPr>
                <w:color w:val="000000"/>
                <w:sz w:val="20"/>
                <w:szCs w:val="20"/>
                <w:lang w:val="fr-CA" w:eastAsia="zh-CN"/>
              </w:rPr>
              <w:t>CO</w:t>
            </w:r>
            <w:r w:rsidR="00D002F4" w:rsidRPr="00ED22D1">
              <w:rPr>
                <w:color w:val="000000"/>
                <w:sz w:val="20"/>
                <w:szCs w:val="20"/>
                <w:lang w:val="fr-CA" w:eastAsia="zh-CN"/>
              </w:rPr>
              <w:t xml:space="preserve"> </w:t>
            </w:r>
            <w:r w:rsidR="00F5455E" w:rsidRPr="00ED22D1">
              <w:rPr>
                <w:color w:val="000000"/>
                <w:sz w:val="20"/>
                <w:szCs w:val="20"/>
                <w:lang w:val="fr-CA" w:eastAsia="zh-CN"/>
              </w:rPr>
              <w:t>aux bénéficiaires</w:t>
            </w:r>
          </w:p>
        </w:tc>
        <w:tc>
          <w:tcPr>
            <w:tcW w:w="1216" w:type="pct"/>
            <w:shd w:val="clear" w:color="auto" w:fill="auto"/>
            <w:noWrap/>
            <w:vAlign w:val="center"/>
            <w:hideMark/>
          </w:tcPr>
          <w:p w:rsidR="00D002F4" w:rsidRPr="00ED22D1" w:rsidRDefault="00350E4F" w:rsidP="00D87C7D">
            <w:pPr>
              <w:jc w:val="left"/>
              <w:rPr>
                <w:color w:val="000000"/>
                <w:sz w:val="20"/>
                <w:szCs w:val="20"/>
                <w:lang w:val="fr-CA" w:eastAsia="zh-CN"/>
              </w:rPr>
            </w:pPr>
            <w:r w:rsidRPr="00ED22D1">
              <w:rPr>
                <w:color w:val="000000"/>
                <w:sz w:val="20"/>
                <w:szCs w:val="20"/>
                <w:lang w:val="fr-CA" w:eastAsia="zh-CN"/>
              </w:rPr>
              <w:t>Montant</w:t>
            </w:r>
            <w:r w:rsidR="00616B46" w:rsidRPr="00ED22D1">
              <w:rPr>
                <w:color w:val="000000"/>
                <w:sz w:val="20"/>
                <w:szCs w:val="20"/>
                <w:lang w:val="fr-CA" w:eastAsia="zh-CN"/>
              </w:rPr>
              <w:t xml:space="preserve"> </w:t>
            </w:r>
            <w:r w:rsidR="00874624" w:rsidRPr="00ED22D1">
              <w:rPr>
                <w:color w:val="000000"/>
                <w:sz w:val="20"/>
                <w:szCs w:val="20"/>
                <w:lang w:val="fr-CA" w:eastAsia="zh-CN"/>
              </w:rPr>
              <w:t>($US)</w:t>
            </w:r>
          </w:p>
        </w:tc>
        <w:tc>
          <w:tcPr>
            <w:tcW w:w="973" w:type="pct"/>
            <w:shd w:val="clear" w:color="auto" w:fill="auto"/>
            <w:hideMark/>
          </w:tcPr>
          <w:p w:rsidR="00D002F4" w:rsidRPr="00ED22D1" w:rsidRDefault="004A6828" w:rsidP="00D87C7D">
            <w:pPr>
              <w:jc w:val="right"/>
              <w:rPr>
                <w:color w:val="000000"/>
                <w:sz w:val="20"/>
                <w:szCs w:val="20"/>
                <w:lang w:val="fr-CA" w:eastAsia="zh-CN"/>
              </w:rPr>
            </w:pPr>
            <w:r w:rsidRPr="00ED22D1">
              <w:rPr>
                <w:rFonts w:ascii="Times ew Roman" w:hAnsi="Times ew Roman" w:cs="Calibri"/>
                <w:color w:val="000000"/>
                <w:sz w:val="20"/>
                <w:szCs w:val="20"/>
                <w:lang w:val="fr-CA" w:eastAsia="zh-CN"/>
              </w:rPr>
              <w:t>8 </w:t>
            </w:r>
            <w:r w:rsidR="00D002F4" w:rsidRPr="00ED22D1">
              <w:rPr>
                <w:rFonts w:ascii="Times ew Roman" w:hAnsi="Times ew Roman" w:cs="Calibri"/>
                <w:color w:val="000000"/>
                <w:sz w:val="20"/>
                <w:szCs w:val="20"/>
                <w:lang w:val="fr-CA" w:eastAsia="zh-CN"/>
              </w:rPr>
              <w:t>59</w:t>
            </w:r>
            <w:r w:rsidRPr="00ED22D1">
              <w:rPr>
                <w:rFonts w:ascii="Times ew Roman" w:hAnsi="Times ew Roman" w:cs="Calibri"/>
                <w:color w:val="000000"/>
                <w:sz w:val="20"/>
                <w:szCs w:val="20"/>
                <w:lang w:val="fr-CA" w:eastAsia="zh-CN"/>
              </w:rPr>
              <w:t>1 </w:t>
            </w:r>
            <w:r w:rsidR="00D002F4" w:rsidRPr="00ED22D1">
              <w:rPr>
                <w:rFonts w:ascii="Times ew Roman" w:hAnsi="Times ew Roman" w:cs="Calibri"/>
                <w:color w:val="000000"/>
                <w:sz w:val="20"/>
                <w:szCs w:val="20"/>
                <w:lang w:val="fr-CA" w:eastAsia="zh-CN"/>
              </w:rPr>
              <w:t>773</w:t>
            </w:r>
          </w:p>
        </w:tc>
        <w:tc>
          <w:tcPr>
            <w:tcW w:w="973" w:type="pct"/>
            <w:shd w:val="clear" w:color="auto" w:fill="auto"/>
            <w:hideMark/>
          </w:tcPr>
          <w:p w:rsidR="00D002F4" w:rsidRPr="00ED22D1" w:rsidRDefault="004A6828" w:rsidP="00D87C7D">
            <w:pPr>
              <w:jc w:val="right"/>
              <w:rPr>
                <w:color w:val="000000"/>
                <w:sz w:val="20"/>
                <w:szCs w:val="20"/>
                <w:lang w:val="fr-CA" w:eastAsia="zh-CN"/>
              </w:rPr>
            </w:pPr>
            <w:r w:rsidRPr="00ED22D1">
              <w:rPr>
                <w:rFonts w:ascii="Times ew Roman" w:hAnsi="Times ew Roman" w:cs="Calibri"/>
                <w:color w:val="000000"/>
                <w:sz w:val="20"/>
                <w:szCs w:val="20"/>
                <w:lang w:val="fr-CA" w:eastAsia="zh-CN"/>
              </w:rPr>
              <w:t>7 </w:t>
            </w:r>
            <w:r w:rsidR="00D002F4" w:rsidRPr="00ED22D1">
              <w:rPr>
                <w:rFonts w:ascii="Times ew Roman" w:hAnsi="Times ew Roman" w:cs="Calibri"/>
                <w:color w:val="000000"/>
                <w:sz w:val="20"/>
                <w:szCs w:val="20"/>
                <w:lang w:val="fr-CA" w:eastAsia="zh-CN"/>
              </w:rPr>
              <w:t>75</w:t>
            </w:r>
            <w:r w:rsidRPr="00ED22D1">
              <w:rPr>
                <w:rFonts w:ascii="Times ew Roman" w:hAnsi="Times ew Roman" w:cs="Calibri"/>
                <w:color w:val="000000"/>
                <w:sz w:val="20"/>
                <w:szCs w:val="20"/>
                <w:lang w:val="fr-CA" w:eastAsia="zh-CN"/>
              </w:rPr>
              <w:t>3 </w:t>
            </w:r>
            <w:r w:rsidR="00D002F4" w:rsidRPr="00ED22D1">
              <w:rPr>
                <w:rFonts w:ascii="Times ew Roman" w:hAnsi="Times ew Roman" w:cs="Calibri"/>
                <w:color w:val="000000"/>
                <w:sz w:val="20"/>
                <w:szCs w:val="20"/>
                <w:lang w:val="fr-CA" w:eastAsia="zh-CN"/>
              </w:rPr>
              <w:t>197**</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rFonts w:ascii="Times ew Roman" w:hAnsi="Times ew Roman" w:cs="Calibri"/>
                <w:bCs/>
                <w:color w:val="000000"/>
                <w:sz w:val="20"/>
                <w:szCs w:val="20"/>
                <w:lang w:val="fr-CA" w:eastAsia="zh-CN"/>
              </w:rPr>
              <w:t>1</w:t>
            </w:r>
            <w:r w:rsidR="004A6828" w:rsidRPr="00ED22D1">
              <w:rPr>
                <w:rFonts w:ascii="Times ew Roman" w:hAnsi="Times ew Roman" w:cs="Calibri"/>
                <w:bCs/>
                <w:color w:val="000000"/>
                <w:sz w:val="20"/>
                <w:szCs w:val="20"/>
                <w:lang w:val="fr-CA" w:eastAsia="zh-CN"/>
              </w:rPr>
              <w:t>6 </w:t>
            </w:r>
            <w:r w:rsidRPr="00ED22D1">
              <w:rPr>
                <w:rFonts w:ascii="Times ew Roman" w:hAnsi="Times ew Roman" w:cs="Calibri"/>
                <w:bCs/>
                <w:color w:val="000000"/>
                <w:sz w:val="20"/>
                <w:szCs w:val="20"/>
                <w:lang w:val="fr-CA" w:eastAsia="zh-CN"/>
              </w:rPr>
              <w:t>34</w:t>
            </w:r>
            <w:r w:rsidR="004A6828" w:rsidRPr="00ED22D1">
              <w:rPr>
                <w:rFonts w:ascii="Times ew Roman" w:hAnsi="Times ew Roman" w:cs="Calibri"/>
                <w:bCs/>
                <w:color w:val="000000"/>
                <w:sz w:val="20"/>
                <w:szCs w:val="20"/>
                <w:lang w:val="fr-CA" w:eastAsia="zh-CN"/>
              </w:rPr>
              <w:t>4 </w:t>
            </w:r>
            <w:r w:rsidRPr="00ED22D1">
              <w:rPr>
                <w:rFonts w:ascii="Times ew Roman" w:hAnsi="Times ew Roman" w:cs="Calibri"/>
                <w:bCs/>
                <w:color w:val="000000"/>
                <w:sz w:val="20"/>
                <w:szCs w:val="20"/>
                <w:lang w:val="fr-CA" w:eastAsia="zh-CN"/>
              </w:rPr>
              <w:t>970</w:t>
            </w:r>
          </w:p>
        </w:tc>
      </w:tr>
      <w:tr w:rsidR="00D002F4" w:rsidRPr="00ED22D1" w:rsidTr="00C37FA9">
        <w:trPr>
          <w:trHeight w:val="218"/>
        </w:trPr>
        <w:tc>
          <w:tcPr>
            <w:tcW w:w="1013" w:type="pct"/>
            <w:vMerge/>
            <w:vAlign w:val="center"/>
            <w:hideMark/>
          </w:tcPr>
          <w:p w:rsidR="00D002F4" w:rsidRPr="00ED22D1" w:rsidRDefault="00D002F4" w:rsidP="00D87C7D">
            <w:pPr>
              <w:jc w:val="left"/>
              <w:rPr>
                <w:color w:val="000000"/>
                <w:sz w:val="20"/>
                <w:szCs w:val="20"/>
                <w:lang w:val="fr-CA" w:eastAsia="zh-CN"/>
              </w:rPr>
            </w:pPr>
          </w:p>
        </w:tc>
        <w:tc>
          <w:tcPr>
            <w:tcW w:w="1216" w:type="pct"/>
            <w:shd w:val="clear" w:color="auto" w:fill="auto"/>
            <w:noWrap/>
            <w:vAlign w:val="center"/>
            <w:hideMark/>
          </w:tcPr>
          <w:p w:rsidR="00D002F4" w:rsidRPr="00ED22D1" w:rsidRDefault="00350E4F" w:rsidP="00D87C7D">
            <w:pPr>
              <w:jc w:val="left"/>
              <w:rPr>
                <w:color w:val="000000"/>
                <w:sz w:val="20"/>
                <w:szCs w:val="20"/>
                <w:lang w:val="fr-CA" w:eastAsia="zh-CN"/>
              </w:rPr>
            </w:pPr>
            <w:r w:rsidRPr="00ED22D1">
              <w:rPr>
                <w:color w:val="000000"/>
                <w:sz w:val="20"/>
                <w:szCs w:val="20"/>
                <w:lang w:val="fr-CA" w:eastAsia="zh-CN"/>
              </w:rPr>
              <w:t>Ratio de décaissement</w:t>
            </w:r>
            <w:r w:rsidR="00D002F4" w:rsidRPr="00ED22D1">
              <w:rPr>
                <w:color w:val="000000"/>
                <w:sz w:val="20"/>
                <w:szCs w:val="20"/>
                <w:lang w:val="fr-CA" w:eastAsia="zh-CN"/>
              </w:rPr>
              <w:t xml:space="preserve"> </w:t>
            </w:r>
            <w:r w:rsidR="002D6976" w:rsidRPr="00ED22D1">
              <w:rPr>
                <w:color w:val="000000"/>
                <w:sz w:val="20"/>
                <w:szCs w:val="20"/>
                <w:lang w:val="fr-CA" w:eastAsia="zh-CN"/>
              </w:rPr>
              <w:t>(%</w:t>
            </w:r>
            <w:r w:rsidR="00D002F4" w:rsidRPr="00ED22D1">
              <w:rPr>
                <w:color w:val="000000"/>
                <w:sz w:val="20"/>
                <w:szCs w:val="20"/>
                <w:lang w:val="fr-CA" w:eastAsia="zh-CN"/>
              </w:rPr>
              <w:t>)</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6</w:t>
            </w:r>
            <w:r w:rsidR="004A6828" w:rsidRPr="00ED22D1">
              <w:rPr>
                <w:color w:val="000000"/>
                <w:sz w:val="20"/>
                <w:szCs w:val="20"/>
                <w:lang w:val="fr-CA"/>
              </w:rPr>
              <w:t>4,</w:t>
            </w:r>
            <w:r w:rsidRPr="00ED22D1">
              <w:rPr>
                <w:color w:val="000000"/>
                <w:sz w:val="20"/>
                <w:szCs w:val="20"/>
                <w:lang w:val="fr-CA"/>
              </w:rPr>
              <w:t>27</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8,</w:t>
            </w:r>
            <w:r w:rsidRPr="00ED22D1">
              <w:rPr>
                <w:color w:val="000000"/>
                <w:sz w:val="20"/>
                <w:szCs w:val="20"/>
                <w:lang w:val="fr-CA"/>
              </w:rPr>
              <w:t>77</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4</w:t>
            </w:r>
            <w:r w:rsidR="004A6828" w:rsidRPr="00ED22D1">
              <w:rPr>
                <w:color w:val="000000"/>
                <w:sz w:val="20"/>
                <w:szCs w:val="20"/>
                <w:lang w:val="fr-CA"/>
              </w:rPr>
              <w:t>8,</w:t>
            </w:r>
            <w:r w:rsidRPr="00ED22D1">
              <w:rPr>
                <w:color w:val="000000"/>
                <w:sz w:val="20"/>
                <w:szCs w:val="20"/>
                <w:lang w:val="fr-CA"/>
              </w:rPr>
              <w:t>98</w:t>
            </w:r>
          </w:p>
        </w:tc>
      </w:tr>
      <w:tr w:rsidR="00D002F4" w:rsidRPr="00ED22D1" w:rsidTr="00C37FA9">
        <w:trPr>
          <w:trHeight w:val="218"/>
        </w:trPr>
        <w:tc>
          <w:tcPr>
            <w:tcW w:w="2229" w:type="pct"/>
            <w:gridSpan w:val="2"/>
            <w:shd w:val="clear" w:color="auto" w:fill="auto"/>
            <w:vAlign w:val="center"/>
            <w:hideMark/>
          </w:tcPr>
          <w:p w:rsidR="00D002F4" w:rsidRPr="00ED22D1" w:rsidRDefault="00572798" w:rsidP="00572798">
            <w:pPr>
              <w:jc w:val="left"/>
              <w:rPr>
                <w:color w:val="000000"/>
                <w:sz w:val="20"/>
                <w:szCs w:val="20"/>
                <w:lang w:val="fr-CA" w:eastAsia="zh-CN"/>
              </w:rPr>
            </w:pPr>
            <w:r w:rsidRPr="00ED22D1">
              <w:rPr>
                <w:color w:val="000000"/>
                <w:sz w:val="20"/>
                <w:szCs w:val="20"/>
                <w:lang w:val="fr-CA" w:eastAsia="zh-CN"/>
              </w:rPr>
              <w:t>Reconversions des entreprises</w:t>
            </w:r>
          </w:p>
        </w:tc>
        <w:tc>
          <w:tcPr>
            <w:tcW w:w="973" w:type="pct"/>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eastAsia="zh-CN"/>
              </w:rPr>
              <w:t>7 </w:t>
            </w:r>
            <w:r w:rsidR="00D002F4" w:rsidRPr="00ED22D1">
              <w:rPr>
                <w:color w:val="000000"/>
                <w:sz w:val="20"/>
                <w:szCs w:val="20"/>
                <w:lang w:val="fr-CA" w:eastAsia="zh-CN"/>
              </w:rPr>
              <w:t>46</w:t>
            </w:r>
            <w:r w:rsidRPr="00ED22D1">
              <w:rPr>
                <w:color w:val="000000"/>
                <w:sz w:val="20"/>
                <w:szCs w:val="20"/>
                <w:lang w:val="fr-CA" w:eastAsia="zh-CN"/>
              </w:rPr>
              <w:t>6 </w:t>
            </w:r>
            <w:r w:rsidR="00D002F4" w:rsidRPr="00ED22D1">
              <w:rPr>
                <w:color w:val="000000"/>
                <w:sz w:val="20"/>
                <w:szCs w:val="20"/>
                <w:lang w:val="fr-CA" w:eastAsia="zh-CN"/>
              </w:rPr>
              <w:t>210</w:t>
            </w:r>
          </w:p>
        </w:tc>
        <w:tc>
          <w:tcPr>
            <w:tcW w:w="973" w:type="pct"/>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eastAsia="zh-CN"/>
              </w:rPr>
              <w:t>6 </w:t>
            </w:r>
            <w:r w:rsidR="00D002F4" w:rsidRPr="00ED22D1">
              <w:rPr>
                <w:color w:val="000000"/>
                <w:sz w:val="20"/>
                <w:szCs w:val="20"/>
                <w:lang w:val="fr-CA" w:eastAsia="zh-CN"/>
              </w:rPr>
              <w:t>61</w:t>
            </w:r>
            <w:r w:rsidRPr="00ED22D1">
              <w:rPr>
                <w:color w:val="000000"/>
                <w:sz w:val="20"/>
                <w:szCs w:val="20"/>
                <w:lang w:val="fr-CA" w:eastAsia="zh-CN"/>
              </w:rPr>
              <w:t>2 </w:t>
            </w:r>
            <w:r w:rsidR="00D002F4" w:rsidRPr="00ED22D1">
              <w:rPr>
                <w:color w:val="000000"/>
                <w:sz w:val="20"/>
                <w:szCs w:val="20"/>
                <w:lang w:val="fr-CA" w:eastAsia="zh-CN"/>
              </w:rPr>
              <w:t>206</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1</w:t>
            </w:r>
            <w:r w:rsidR="004A6828" w:rsidRPr="00ED22D1">
              <w:rPr>
                <w:color w:val="000000"/>
                <w:sz w:val="20"/>
                <w:szCs w:val="20"/>
                <w:lang w:val="fr-CA" w:eastAsia="zh-CN"/>
              </w:rPr>
              <w:t>4 </w:t>
            </w:r>
            <w:r w:rsidRPr="00ED22D1">
              <w:rPr>
                <w:color w:val="000000"/>
                <w:sz w:val="20"/>
                <w:szCs w:val="20"/>
                <w:lang w:val="fr-CA" w:eastAsia="zh-CN"/>
              </w:rPr>
              <w:t>07</w:t>
            </w:r>
            <w:r w:rsidR="004A6828" w:rsidRPr="00ED22D1">
              <w:rPr>
                <w:color w:val="000000"/>
                <w:sz w:val="20"/>
                <w:szCs w:val="20"/>
                <w:lang w:val="fr-CA" w:eastAsia="zh-CN"/>
              </w:rPr>
              <w:t>8 </w:t>
            </w:r>
            <w:r w:rsidRPr="00ED22D1">
              <w:rPr>
                <w:color w:val="000000"/>
                <w:sz w:val="20"/>
                <w:szCs w:val="20"/>
                <w:lang w:val="fr-CA" w:eastAsia="zh-CN"/>
              </w:rPr>
              <w:t>416</w:t>
            </w:r>
          </w:p>
        </w:tc>
      </w:tr>
      <w:tr w:rsidR="00D002F4" w:rsidRPr="00ED22D1" w:rsidTr="00C37FA9">
        <w:trPr>
          <w:trHeight w:val="218"/>
        </w:trPr>
        <w:tc>
          <w:tcPr>
            <w:tcW w:w="2229" w:type="pct"/>
            <w:gridSpan w:val="2"/>
            <w:shd w:val="clear" w:color="auto" w:fill="auto"/>
            <w:vAlign w:val="center"/>
            <w:hideMark/>
          </w:tcPr>
          <w:p w:rsidR="00D002F4" w:rsidRPr="00ED22D1" w:rsidRDefault="00D002F4" w:rsidP="00D87C7D">
            <w:pPr>
              <w:jc w:val="left"/>
              <w:rPr>
                <w:color w:val="000000"/>
                <w:sz w:val="20"/>
                <w:szCs w:val="20"/>
                <w:lang w:val="fr-CA" w:eastAsia="zh-CN"/>
              </w:rPr>
            </w:pPr>
            <w:r w:rsidRPr="00ED22D1">
              <w:rPr>
                <w:color w:val="000000"/>
                <w:sz w:val="20"/>
                <w:szCs w:val="20"/>
                <w:lang w:val="fr-CA" w:eastAsia="zh-CN"/>
              </w:rPr>
              <w:t>TA</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42</w:t>
            </w:r>
            <w:r w:rsidR="004A6828" w:rsidRPr="00ED22D1">
              <w:rPr>
                <w:color w:val="000000"/>
                <w:sz w:val="20"/>
                <w:szCs w:val="20"/>
                <w:lang w:val="fr-CA" w:eastAsia="zh-CN"/>
              </w:rPr>
              <w:t>8 </w:t>
            </w:r>
            <w:r w:rsidRPr="00ED22D1">
              <w:rPr>
                <w:color w:val="000000"/>
                <w:sz w:val="20"/>
                <w:szCs w:val="20"/>
                <w:lang w:val="fr-CA" w:eastAsia="zh-CN"/>
              </w:rPr>
              <w:t>998</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30</w:t>
            </w:r>
            <w:r w:rsidR="004A6828" w:rsidRPr="00ED22D1">
              <w:rPr>
                <w:color w:val="000000"/>
                <w:sz w:val="20"/>
                <w:szCs w:val="20"/>
                <w:lang w:val="fr-CA" w:eastAsia="zh-CN"/>
              </w:rPr>
              <w:t>7 </w:t>
            </w:r>
            <w:r w:rsidRPr="00ED22D1">
              <w:rPr>
                <w:color w:val="000000"/>
                <w:sz w:val="20"/>
                <w:szCs w:val="20"/>
                <w:lang w:val="fr-CA" w:eastAsia="zh-CN"/>
              </w:rPr>
              <w:t>328</w:t>
            </w:r>
          </w:p>
        </w:tc>
        <w:tc>
          <w:tcPr>
            <w:tcW w:w="825" w:type="pct"/>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73</w:t>
            </w:r>
            <w:r w:rsidR="004A6828" w:rsidRPr="00ED22D1">
              <w:rPr>
                <w:color w:val="000000"/>
                <w:sz w:val="20"/>
                <w:szCs w:val="20"/>
                <w:lang w:val="fr-CA" w:eastAsia="zh-CN"/>
              </w:rPr>
              <w:t>6 </w:t>
            </w:r>
            <w:r w:rsidRPr="00ED22D1">
              <w:rPr>
                <w:color w:val="000000"/>
                <w:sz w:val="20"/>
                <w:szCs w:val="20"/>
                <w:lang w:val="fr-CA" w:eastAsia="zh-CN"/>
              </w:rPr>
              <w:t>326</w:t>
            </w:r>
          </w:p>
        </w:tc>
      </w:tr>
      <w:tr w:rsidR="00D002F4" w:rsidRPr="00ED22D1" w:rsidTr="00C37FA9">
        <w:trPr>
          <w:trHeight w:val="218"/>
        </w:trPr>
        <w:tc>
          <w:tcPr>
            <w:tcW w:w="2229" w:type="pct"/>
            <w:gridSpan w:val="2"/>
            <w:shd w:val="clear" w:color="auto" w:fill="auto"/>
            <w:vAlign w:val="center"/>
            <w:hideMark/>
          </w:tcPr>
          <w:p w:rsidR="00D002F4" w:rsidRPr="00ED22D1" w:rsidRDefault="00D002F4" w:rsidP="00D87C7D">
            <w:pPr>
              <w:jc w:val="left"/>
              <w:rPr>
                <w:color w:val="000000"/>
                <w:sz w:val="20"/>
                <w:szCs w:val="20"/>
                <w:lang w:val="fr-CA" w:eastAsia="zh-CN"/>
              </w:rPr>
            </w:pPr>
            <w:r w:rsidRPr="00ED22D1">
              <w:rPr>
                <w:color w:val="000000"/>
                <w:sz w:val="20"/>
                <w:szCs w:val="20"/>
                <w:lang w:val="fr-CA" w:eastAsia="zh-CN"/>
              </w:rPr>
              <w:t>PMU</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69</w:t>
            </w:r>
            <w:r w:rsidR="004A6828" w:rsidRPr="00ED22D1">
              <w:rPr>
                <w:color w:val="000000"/>
                <w:sz w:val="20"/>
                <w:szCs w:val="20"/>
                <w:lang w:val="fr-CA" w:eastAsia="zh-CN"/>
              </w:rPr>
              <w:t>6 </w:t>
            </w:r>
            <w:r w:rsidRPr="00ED22D1">
              <w:rPr>
                <w:color w:val="000000"/>
                <w:sz w:val="20"/>
                <w:szCs w:val="20"/>
                <w:lang w:val="fr-CA" w:eastAsia="zh-CN"/>
              </w:rPr>
              <w:t>565</w:t>
            </w:r>
          </w:p>
        </w:tc>
        <w:tc>
          <w:tcPr>
            <w:tcW w:w="973" w:type="pct"/>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83</w:t>
            </w:r>
            <w:r w:rsidR="004A6828" w:rsidRPr="00ED22D1">
              <w:rPr>
                <w:color w:val="000000"/>
                <w:sz w:val="20"/>
                <w:szCs w:val="20"/>
                <w:lang w:val="fr-CA" w:eastAsia="zh-CN"/>
              </w:rPr>
              <w:t>3 </w:t>
            </w:r>
            <w:r w:rsidRPr="00ED22D1">
              <w:rPr>
                <w:color w:val="000000"/>
                <w:sz w:val="20"/>
                <w:szCs w:val="20"/>
                <w:lang w:val="fr-CA" w:eastAsia="zh-CN"/>
              </w:rPr>
              <w:t>663</w:t>
            </w:r>
          </w:p>
        </w:tc>
        <w:tc>
          <w:tcPr>
            <w:tcW w:w="825" w:type="pct"/>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eastAsia="zh-CN"/>
              </w:rPr>
              <w:t>1 </w:t>
            </w:r>
            <w:r w:rsidR="00D002F4" w:rsidRPr="00ED22D1">
              <w:rPr>
                <w:color w:val="000000"/>
                <w:sz w:val="20"/>
                <w:szCs w:val="20"/>
                <w:lang w:val="fr-CA" w:eastAsia="zh-CN"/>
              </w:rPr>
              <w:t>53</w:t>
            </w:r>
            <w:r w:rsidRPr="00ED22D1">
              <w:rPr>
                <w:color w:val="000000"/>
                <w:sz w:val="20"/>
                <w:szCs w:val="20"/>
                <w:lang w:val="fr-CA" w:eastAsia="zh-CN"/>
              </w:rPr>
              <w:t>0 </w:t>
            </w:r>
            <w:r w:rsidR="00D002F4" w:rsidRPr="00ED22D1">
              <w:rPr>
                <w:color w:val="000000"/>
                <w:sz w:val="20"/>
                <w:szCs w:val="20"/>
                <w:lang w:val="fr-CA" w:eastAsia="zh-CN"/>
              </w:rPr>
              <w:t>228</w:t>
            </w:r>
          </w:p>
        </w:tc>
      </w:tr>
      <w:tr w:rsidR="00D002F4" w:rsidRPr="00ED22D1" w:rsidTr="00C37FA9">
        <w:trPr>
          <w:trHeight w:val="218"/>
        </w:trPr>
        <w:tc>
          <w:tcPr>
            <w:tcW w:w="2229" w:type="pct"/>
            <w:gridSpan w:val="2"/>
            <w:shd w:val="clear" w:color="auto" w:fill="auto"/>
            <w:vAlign w:val="center"/>
            <w:hideMark/>
          </w:tcPr>
          <w:p w:rsidR="00D002F4" w:rsidRPr="00ED22D1" w:rsidRDefault="00D002F4" w:rsidP="00D87C7D">
            <w:pPr>
              <w:jc w:val="left"/>
              <w:rPr>
                <w:b/>
                <w:color w:val="000000"/>
                <w:sz w:val="20"/>
                <w:szCs w:val="20"/>
                <w:lang w:val="fr-CA" w:eastAsia="zh-CN"/>
              </w:rPr>
            </w:pPr>
            <w:r w:rsidRPr="00ED22D1">
              <w:rPr>
                <w:b/>
                <w:color w:val="000000"/>
                <w:sz w:val="20"/>
                <w:szCs w:val="20"/>
                <w:lang w:val="fr-CA" w:eastAsia="zh-CN"/>
              </w:rPr>
              <w:t>Total</w:t>
            </w:r>
          </w:p>
        </w:tc>
        <w:tc>
          <w:tcPr>
            <w:tcW w:w="973" w:type="pct"/>
            <w:shd w:val="clear" w:color="auto" w:fill="auto"/>
            <w:noWrap/>
            <w:hideMark/>
          </w:tcPr>
          <w:p w:rsidR="00D002F4" w:rsidRPr="00ED22D1" w:rsidRDefault="004A6828" w:rsidP="00D87C7D">
            <w:pPr>
              <w:jc w:val="right"/>
              <w:rPr>
                <w:b/>
                <w:color w:val="000000"/>
                <w:sz w:val="20"/>
                <w:szCs w:val="20"/>
                <w:lang w:val="fr-CA" w:eastAsia="zh-CN"/>
              </w:rPr>
            </w:pPr>
            <w:r w:rsidRPr="00ED22D1">
              <w:rPr>
                <w:b/>
                <w:bCs/>
                <w:color w:val="000000"/>
                <w:sz w:val="20"/>
                <w:szCs w:val="20"/>
                <w:lang w:val="fr-CA" w:eastAsia="zh-CN"/>
              </w:rPr>
              <w:t>8 </w:t>
            </w:r>
            <w:r w:rsidR="00D002F4" w:rsidRPr="00ED22D1">
              <w:rPr>
                <w:b/>
                <w:bCs/>
                <w:color w:val="000000"/>
                <w:sz w:val="20"/>
                <w:szCs w:val="20"/>
                <w:lang w:val="fr-CA" w:eastAsia="zh-CN"/>
              </w:rPr>
              <w:t>59</w:t>
            </w:r>
            <w:r w:rsidRPr="00ED22D1">
              <w:rPr>
                <w:b/>
                <w:bCs/>
                <w:color w:val="000000"/>
                <w:sz w:val="20"/>
                <w:szCs w:val="20"/>
                <w:lang w:val="fr-CA" w:eastAsia="zh-CN"/>
              </w:rPr>
              <w:t>1 </w:t>
            </w:r>
            <w:r w:rsidR="00D002F4" w:rsidRPr="00ED22D1">
              <w:rPr>
                <w:b/>
                <w:bCs/>
                <w:color w:val="000000"/>
                <w:sz w:val="20"/>
                <w:szCs w:val="20"/>
                <w:lang w:val="fr-CA" w:eastAsia="zh-CN"/>
              </w:rPr>
              <w:t>773</w:t>
            </w:r>
          </w:p>
        </w:tc>
        <w:tc>
          <w:tcPr>
            <w:tcW w:w="973" w:type="pct"/>
            <w:shd w:val="clear" w:color="auto" w:fill="auto"/>
            <w:noWrap/>
            <w:hideMark/>
          </w:tcPr>
          <w:p w:rsidR="00D002F4" w:rsidRPr="00ED22D1" w:rsidRDefault="004A6828" w:rsidP="00D87C7D">
            <w:pPr>
              <w:jc w:val="right"/>
              <w:rPr>
                <w:b/>
                <w:color w:val="000000"/>
                <w:sz w:val="20"/>
                <w:szCs w:val="20"/>
                <w:lang w:val="fr-CA" w:eastAsia="zh-CN"/>
              </w:rPr>
            </w:pPr>
            <w:r w:rsidRPr="00ED22D1">
              <w:rPr>
                <w:b/>
                <w:bCs/>
                <w:color w:val="000000"/>
                <w:sz w:val="20"/>
                <w:szCs w:val="20"/>
                <w:lang w:val="fr-CA" w:eastAsia="zh-CN"/>
              </w:rPr>
              <w:t>7 </w:t>
            </w:r>
            <w:r w:rsidR="00D002F4" w:rsidRPr="00ED22D1">
              <w:rPr>
                <w:b/>
                <w:bCs/>
                <w:color w:val="000000"/>
                <w:sz w:val="20"/>
                <w:szCs w:val="20"/>
                <w:lang w:val="fr-CA" w:eastAsia="zh-CN"/>
              </w:rPr>
              <w:t>75</w:t>
            </w:r>
            <w:r w:rsidRPr="00ED22D1">
              <w:rPr>
                <w:b/>
                <w:bCs/>
                <w:color w:val="000000"/>
                <w:sz w:val="20"/>
                <w:szCs w:val="20"/>
                <w:lang w:val="fr-CA" w:eastAsia="zh-CN"/>
              </w:rPr>
              <w:t>3 </w:t>
            </w:r>
            <w:r w:rsidR="00D002F4" w:rsidRPr="00ED22D1">
              <w:rPr>
                <w:b/>
                <w:bCs/>
                <w:color w:val="000000"/>
                <w:sz w:val="20"/>
                <w:szCs w:val="20"/>
                <w:lang w:val="fr-CA" w:eastAsia="zh-CN"/>
              </w:rPr>
              <w:t>197</w:t>
            </w:r>
          </w:p>
        </w:tc>
        <w:tc>
          <w:tcPr>
            <w:tcW w:w="825" w:type="pct"/>
            <w:shd w:val="clear" w:color="auto" w:fill="auto"/>
            <w:noWrap/>
            <w:hideMark/>
          </w:tcPr>
          <w:p w:rsidR="00D002F4" w:rsidRPr="00ED22D1" w:rsidRDefault="00D002F4" w:rsidP="00D87C7D">
            <w:pPr>
              <w:jc w:val="right"/>
              <w:rPr>
                <w:b/>
                <w:color w:val="000000"/>
                <w:sz w:val="20"/>
                <w:szCs w:val="20"/>
                <w:lang w:val="fr-CA" w:eastAsia="zh-CN"/>
              </w:rPr>
            </w:pPr>
            <w:r w:rsidRPr="00ED22D1">
              <w:rPr>
                <w:b/>
                <w:bCs/>
                <w:color w:val="000000"/>
                <w:sz w:val="20"/>
                <w:szCs w:val="20"/>
                <w:lang w:val="fr-CA" w:eastAsia="zh-CN"/>
              </w:rPr>
              <w:t>1</w:t>
            </w:r>
            <w:r w:rsidR="004A6828" w:rsidRPr="00ED22D1">
              <w:rPr>
                <w:b/>
                <w:bCs/>
                <w:color w:val="000000"/>
                <w:sz w:val="20"/>
                <w:szCs w:val="20"/>
                <w:lang w:val="fr-CA" w:eastAsia="zh-CN"/>
              </w:rPr>
              <w:t>6 </w:t>
            </w:r>
            <w:r w:rsidRPr="00ED22D1">
              <w:rPr>
                <w:b/>
                <w:bCs/>
                <w:color w:val="000000"/>
                <w:sz w:val="20"/>
                <w:szCs w:val="20"/>
                <w:lang w:val="fr-CA" w:eastAsia="zh-CN"/>
              </w:rPr>
              <w:t>34</w:t>
            </w:r>
            <w:r w:rsidR="004A6828" w:rsidRPr="00ED22D1">
              <w:rPr>
                <w:b/>
                <w:bCs/>
                <w:color w:val="000000"/>
                <w:sz w:val="20"/>
                <w:szCs w:val="20"/>
                <w:lang w:val="fr-CA" w:eastAsia="zh-CN"/>
              </w:rPr>
              <w:t>4 </w:t>
            </w:r>
            <w:r w:rsidRPr="00ED22D1">
              <w:rPr>
                <w:b/>
                <w:bCs/>
                <w:color w:val="000000"/>
                <w:sz w:val="20"/>
                <w:szCs w:val="20"/>
                <w:lang w:val="fr-CA" w:eastAsia="zh-CN"/>
              </w:rPr>
              <w:t>970</w:t>
            </w:r>
          </w:p>
        </w:tc>
      </w:tr>
    </w:tbl>
    <w:p w:rsidR="00D002F4" w:rsidRPr="00ED22D1" w:rsidRDefault="00D002F4" w:rsidP="00D002F4">
      <w:pPr>
        <w:rPr>
          <w:sz w:val="16"/>
          <w:szCs w:val="16"/>
          <w:lang w:val="fr-CA"/>
        </w:rPr>
      </w:pPr>
      <w:r w:rsidRPr="00ED22D1">
        <w:rPr>
          <w:sz w:val="16"/>
          <w:szCs w:val="16"/>
          <w:lang w:val="fr-CA"/>
        </w:rPr>
        <w:t>*</w:t>
      </w:r>
      <w:r w:rsidR="0080736A" w:rsidRPr="00ED22D1">
        <w:rPr>
          <w:sz w:val="16"/>
          <w:szCs w:val="16"/>
          <w:lang w:val="fr-CA"/>
        </w:rPr>
        <w:t>Des</w:t>
      </w:r>
      <w:r w:rsidRPr="00ED22D1">
        <w:rPr>
          <w:sz w:val="16"/>
          <w:szCs w:val="16"/>
          <w:lang w:val="fr-CA"/>
        </w:rPr>
        <w:t xml:space="preserve"> </w:t>
      </w:r>
      <w:r w:rsidR="00DB7C5D" w:rsidRPr="00ED22D1">
        <w:rPr>
          <w:sz w:val="16"/>
          <w:szCs w:val="16"/>
          <w:lang w:val="fr-CA"/>
        </w:rPr>
        <w:t>intérêts</w:t>
      </w:r>
      <w:r w:rsidRPr="00ED22D1">
        <w:rPr>
          <w:sz w:val="16"/>
          <w:szCs w:val="16"/>
          <w:lang w:val="fr-CA"/>
        </w:rPr>
        <w:t xml:space="preserve"> </w:t>
      </w:r>
      <w:r w:rsidR="0080736A" w:rsidRPr="00ED22D1">
        <w:rPr>
          <w:sz w:val="16"/>
          <w:szCs w:val="16"/>
          <w:lang w:val="fr-CA"/>
        </w:rPr>
        <w:t>de</w:t>
      </w:r>
      <w:r w:rsidRPr="00ED22D1">
        <w:rPr>
          <w:sz w:val="16"/>
          <w:szCs w:val="16"/>
          <w:lang w:val="fr-CA"/>
        </w:rPr>
        <w:t xml:space="preserve"> 10</w:t>
      </w:r>
      <w:r w:rsidR="004A6828" w:rsidRPr="00ED22D1">
        <w:rPr>
          <w:sz w:val="16"/>
          <w:szCs w:val="16"/>
          <w:lang w:val="fr-CA"/>
        </w:rPr>
        <w:t>3 </w:t>
      </w:r>
      <w:r w:rsidRPr="00ED22D1">
        <w:rPr>
          <w:sz w:val="16"/>
          <w:szCs w:val="16"/>
          <w:lang w:val="fr-CA"/>
        </w:rPr>
        <w:t>708</w:t>
      </w:r>
      <w:r w:rsidR="00EC100C" w:rsidRPr="00ED22D1">
        <w:rPr>
          <w:sz w:val="16"/>
          <w:szCs w:val="16"/>
          <w:lang w:val="fr-CA"/>
        </w:rPr>
        <w:t> $US</w:t>
      </w:r>
      <w:r w:rsidRPr="00ED22D1">
        <w:rPr>
          <w:sz w:val="16"/>
          <w:szCs w:val="16"/>
          <w:lang w:val="fr-CA"/>
        </w:rPr>
        <w:t xml:space="preserve"> </w:t>
      </w:r>
      <w:r w:rsidR="0080736A" w:rsidRPr="00ED22D1">
        <w:rPr>
          <w:sz w:val="16"/>
          <w:szCs w:val="16"/>
          <w:lang w:val="fr-CA"/>
        </w:rPr>
        <w:t>pour</w:t>
      </w:r>
      <w:r w:rsidRPr="00ED22D1">
        <w:rPr>
          <w:sz w:val="16"/>
          <w:szCs w:val="16"/>
          <w:lang w:val="fr-CA"/>
        </w:rPr>
        <w:t xml:space="preserve"> 201</w:t>
      </w:r>
      <w:r w:rsidR="004A6828" w:rsidRPr="00ED22D1">
        <w:rPr>
          <w:sz w:val="16"/>
          <w:szCs w:val="16"/>
          <w:lang w:val="fr-CA"/>
        </w:rPr>
        <w:t>5</w:t>
      </w:r>
      <w:r w:rsidR="00EC100C" w:rsidRPr="00ED22D1">
        <w:rPr>
          <w:sz w:val="16"/>
          <w:szCs w:val="16"/>
          <w:lang w:val="fr-CA"/>
        </w:rPr>
        <w:t>,</w:t>
      </w:r>
      <w:r w:rsidR="004A6828" w:rsidRPr="00ED22D1">
        <w:rPr>
          <w:sz w:val="16"/>
          <w:szCs w:val="16"/>
          <w:lang w:val="fr-CA"/>
        </w:rPr>
        <w:t> </w:t>
      </w:r>
      <w:r w:rsidR="0080736A" w:rsidRPr="00ED22D1">
        <w:rPr>
          <w:sz w:val="16"/>
          <w:szCs w:val="16"/>
          <w:lang w:val="fr-CA"/>
        </w:rPr>
        <w:t xml:space="preserve">de </w:t>
      </w:r>
      <w:r w:rsidRPr="00ED22D1">
        <w:rPr>
          <w:sz w:val="16"/>
          <w:szCs w:val="16"/>
          <w:lang w:val="fr-CA"/>
        </w:rPr>
        <w:t>9</w:t>
      </w:r>
      <w:r w:rsidR="004A6828" w:rsidRPr="00ED22D1">
        <w:rPr>
          <w:sz w:val="16"/>
          <w:szCs w:val="16"/>
          <w:lang w:val="fr-CA"/>
        </w:rPr>
        <w:t>7 </w:t>
      </w:r>
      <w:r w:rsidRPr="00ED22D1">
        <w:rPr>
          <w:sz w:val="16"/>
          <w:szCs w:val="16"/>
          <w:lang w:val="fr-CA"/>
        </w:rPr>
        <w:t>468</w:t>
      </w:r>
      <w:r w:rsidR="00EC100C" w:rsidRPr="00ED22D1">
        <w:rPr>
          <w:sz w:val="16"/>
          <w:szCs w:val="16"/>
          <w:lang w:val="fr-CA"/>
        </w:rPr>
        <w:t> $US</w:t>
      </w:r>
      <w:r w:rsidR="0080736A" w:rsidRPr="00ED22D1">
        <w:rPr>
          <w:sz w:val="16"/>
          <w:szCs w:val="16"/>
          <w:lang w:val="fr-CA"/>
        </w:rPr>
        <w:t xml:space="preserve"> pour</w:t>
      </w:r>
      <w:r w:rsidRPr="00ED22D1">
        <w:rPr>
          <w:sz w:val="16"/>
          <w:szCs w:val="16"/>
          <w:lang w:val="fr-CA"/>
        </w:rPr>
        <w:t xml:space="preserve"> 201</w:t>
      </w:r>
      <w:r w:rsidR="004A6828" w:rsidRPr="00ED22D1">
        <w:rPr>
          <w:sz w:val="16"/>
          <w:szCs w:val="16"/>
          <w:lang w:val="fr-CA"/>
        </w:rPr>
        <w:t>6</w:t>
      </w:r>
      <w:r w:rsidR="00EC100C" w:rsidRPr="00ED22D1">
        <w:rPr>
          <w:sz w:val="16"/>
          <w:szCs w:val="16"/>
          <w:lang w:val="fr-CA"/>
        </w:rPr>
        <w:t>,</w:t>
      </w:r>
      <w:r w:rsidR="004A6828" w:rsidRPr="00ED22D1">
        <w:rPr>
          <w:sz w:val="16"/>
          <w:szCs w:val="16"/>
          <w:lang w:val="fr-CA"/>
        </w:rPr>
        <w:t> et</w:t>
      </w:r>
      <w:r w:rsidR="0080736A" w:rsidRPr="00ED22D1">
        <w:rPr>
          <w:sz w:val="16"/>
          <w:szCs w:val="16"/>
          <w:lang w:val="fr-CA"/>
        </w:rPr>
        <w:t xml:space="preserve"> de</w:t>
      </w:r>
      <w:r w:rsidR="004A6828" w:rsidRPr="00ED22D1">
        <w:rPr>
          <w:sz w:val="16"/>
          <w:szCs w:val="16"/>
          <w:lang w:val="fr-CA"/>
        </w:rPr>
        <w:t xml:space="preserve"> 7 </w:t>
      </w:r>
      <w:r w:rsidRPr="00ED22D1">
        <w:rPr>
          <w:sz w:val="16"/>
          <w:szCs w:val="16"/>
          <w:lang w:val="fr-CA"/>
        </w:rPr>
        <w:t>299</w:t>
      </w:r>
      <w:r w:rsidR="00EC100C" w:rsidRPr="00ED22D1">
        <w:rPr>
          <w:sz w:val="16"/>
          <w:szCs w:val="16"/>
          <w:lang w:val="fr-CA"/>
        </w:rPr>
        <w:t> $US</w:t>
      </w:r>
      <w:r w:rsidRPr="00ED22D1">
        <w:rPr>
          <w:sz w:val="16"/>
          <w:szCs w:val="16"/>
          <w:lang w:val="fr-CA"/>
        </w:rPr>
        <w:t xml:space="preserve"> </w:t>
      </w:r>
      <w:r w:rsidR="0080736A" w:rsidRPr="00ED22D1">
        <w:rPr>
          <w:sz w:val="16"/>
          <w:szCs w:val="16"/>
          <w:lang w:val="fr-CA"/>
        </w:rPr>
        <w:t>pour</w:t>
      </w:r>
      <w:r w:rsidRPr="00ED22D1">
        <w:rPr>
          <w:sz w:val="16"/>
          <w:szCs w:val="16"/>
          <w:lang w:val="fr-CA"/>
        </w:rPr>
        <w:t xml:space="preserve"> 2017 </w:t>
      </w:r>
      <w:r w:rsidR="0080736A" w:rsidRPr="00ED22D1">
        <w:rPr>
          <w:sz w:val="16"/>
          <w:szCs w:val="16"/>
          <w:lang w:val="fr-CA"/>
        </w:rPr>
        <w:t xml:space="preserve">détenus par la </w:t>
      </w:r>
      <w:r w:rsidR="00D26EF9" w:rsidRPr="00ED22D1">
        <w:rPr>
          <w:sz w:val="16"/>
          <w:szCs w:val="16"/>
          <w:lang w:val="fr-CA"/>
        </w:rPr>
        <w:t>Chine</w:t>
      </w:r>
      <w:r w:rsidR="00903152" w:rsidRPr="00ED22D1">
        <w:rPr>
          <w:sz w:val="16"/>
          <w:szCs w:val="16"/>
          <w:lang w:val="fr-CA"/>
        </w:rPr>
        <w:t xml:space="preserve"> ont été</w:t>
      </w:r>
      <w:r w:rsidRPr="00ED22D1">
        <w:rPr>
          <w:sz w:val="16"/>
          <w:szCs w:val="16"/>
          <w:lang w:val="fr-CA"/>
        </w:rPr>
        <w:t xml:space="preserve"> d</w:t>
      </w:r>
      <w:r w:rsidR="0080736A" w:rsidRPr="00ED22D1">
        <w:rPr>
          <w:sz w:val="16"/>
          <w:szCs w:val="16"/>
          <w:lang w:val="fr-CA"/>
        </w:rPr>
        <w:t xml:space="preserve">éduits du </w:t>
      </w:r>
      <w:r w:rsidR="00393F6B" w:rsidRPr="00ED22D1">
        <w:rPr>
          <w:sz w:val="16"/>
          <w:szCs w:val="16"/>
          <w:lang w:val="fr-CA"/>
        </w:rPr>
        <w:t>financement</w:t>
      </w:r>
      <w:r w:rsidRPr="00ED22D1">
        <w:rPr>
          <w:sz w:val="16"/>
          <w:szCs w:val="16"/>
          <w:lang w:val="fr-CA"/>
        </w:rPr>
        <w:t xml:space="preserve"> </w:t>
      </w:r>
      <w:r w:rsidR="0080736A" w:rsidRPr="00ED22D1">
        <w:rPr>
          <w:sz w:val="16"/>
          <w:szCs w:val="16"/>
          <w:lang w:val="fr-CA"/>
        </w:rPr>
        <w:t xml:space="preserve">des </w:t>
      </w:r>
      <w:r w:rsidRPr="00ED22D1">
        <w:rPr>
          <w:sz w:val="16"/>
          <w:szCs w:val="16"/>
          <w:lang w:val="fr-CA"/>
        </w:rPr>
        <w:t xml:space="preserve">tranches </w:t>
      </w:r>
      <w:r w:rsidR="00AA6E77" w:rsidRPr="00ED22D1">
        <w:rPr>
          <w:sz w:val="16"/>
          <w:szCs w:val="16"/>
          <w:lang w:val="fr-CA"/>
        </w:rPr>
        <w:t>approuvé</w:t>
      </w:r>
      <w:r w:rsidRPr="00ED22D1">
        <w:rPr>
          <w:sz w:val="16"/>
          <w:szCs w:val="16"/>
          <w:lang w:val="fr-CA"/>
        </w:rPr>
        <w:t xml:space="preserve"> </w:t>
      </w:r>
      <w:r w:rsidR="0080736A" w:rsidRPr="00ED22D1">
        <w:rPr>
          <w:sz w:val="16"/>
          <w:szCs w:val="16"/>
          <w:lang w:val="fr-CA"/>
        </w:rPr>
        <w:t>pour</w:t>
      </w:r>
      <w:r w:rsidRPr="00ED22D1">
        <w:rPr>
          <w:sz w:val="16"/>
          <w:szCs w:val="16"/>
          <w:lang w:val="fr-CA"/>
        </w:rPr>
        <w:t xml:space="preserve"> 2016</w:t>
      </w:r>
      <w:r w:rsidR="004A6828" w:rsidRPr="00ED22D1">
        <w:rPr>
          <w:sz w:val="16"/>
          <w:szCs w:val="16"/>
          <w:lang w:val="fr-CA"/>
        </w:rPr>
        <w:t xml:space="preserve"> et </w:t>
      </w:r>
      <w:r w:rsidRPr="00ED22D1">
        <w:rPr>
          <w:sz w:val="16"/>
          <w:szCs w:val="16"/>
          <w:lang w:val="fr-CA"/>
        </w:rPr>
        <w:t>2017</w:t>
      </w:r>
      <w:r w:rsidR="0080736A" w:rsidRPr="00ED22D1">
        <w:rPr>
          <w:sz w:val="16"/>
          <w:szCs w:val="16"/>
          <w:lang w:val="fr-CA"/>
        </w:rPr>
        <w:t>,</w:t>
      </w:r>
      <w:r w:rsidRPr="00ED22D1">
        <w:rPr>
          <w:sz w:val="16"/>
          <w:szCs w:val="16"/>
          <w:lang w:val="fr-CA"/>
        </w:rPr>
        <w:t xml:space="preserve"> </w:t>
      </w:r>
      <w:r w:rsidR="00FB1DC4" w:rsidRPr="00ED22D1">
        <w:rPr>
          <w:sz w:val="16"/>
          <w:szCs w:val="16"/>
          <w:lang w:val="fr-CA"/>
        </w:rPr>
        <w:t>respectivement</w:t>
      </w:r>
      <w:r w:rsidRPr="00ED22D1">
        <w:rPr>
          <w:sz w:val="16"/>
          <w:szCs w:val="16"/>
          <w:lang w:val="fr-CA"/>
        </w:rPr>
        <w:t xml:space="preserve">. </w:t>
      </w:r>
    </w:p>
    <w:p w:rsidR="00D002F4" w:rsidRPr="00ED22D1" w:rsidRDefault="00D002F4" w:rsidP="00D002F4">
      <w:pPr>
        <w:rPr>
          <w:sz w:val="16"/>
          <w:szCs w:val="16"/>
          <w:lang w:val="fr-CA"/>
        </w:rPr>
      </w:pPr>
      <w:r w:rsidRPr="00ED22D1">
        <w:rPr>
          <w:sz w:val="16"/>
          <w:szCs w:val="16"/>
          <w:lang w:val="fr-CA"/>
        </w:rPr>
        <w:t xml:space="preserve">** </w:t>
      </w:r>
      <w:r w:rsidR="0080736A" w:rsidRPr="00ED22D1">
        <w:rPr>
          <w:sz w:val="16"/>
          <w:szCs w:val="16"/>
          <w:lang w:val="fr-CA"/>
        </w:rPr>
        <w:t xml:space="preserve">Comprend </w:t>
      </w:r>
      <w:r w:rsidR="00393F6B" w:rsidRPr="00ED22D1">
        <w:rPr>
          <w:sz w:val="16"/>
          <w:szCs w:val="16"/>
          <w:lang w:val="fr-CA"/>
        </w:rPr>
        <w:t>le financement</w:t>
      </w:r>
      <w:r w:rsidRPr="00ED22D1">
        <w:rPr>
          <w:sz w:val="16"/>
          <w:szCs w:val="16"/>
          <w:lang w:val="fr-CA"/>
        </w:rPr>
        <w:t xml:space="preserve"> </w:t>
      </w:r>
      <w:r w:rsidR="00181884" w:rsidRPr="00ED22D1">
        <w:rPr>
          <w:sz w:val="16"/>
          <w:szCs w:val="16"/>
          <w:lang w:val="fr-CA"/>
        </w:rPr>
        <w:t>décaissé</w:t>
      </w:r>
      <w:r w:rsidRPr="00ED22D1">
        <w:rPr>
          <w:sz w:val="16"/>
          <w:szCs w:val="16"/>
          <w:lang w:val="fr-CA"/>
        </w:rPr>
        <w:t xml:space="preserve"> </w:t>
      </w:r>
      <w:r w:rsidR="0080736A" w:rsidRPr="00ED22D1">
        <w:rPr>
          <w:sz w:val="16"/>
          <w:szCs w:val="16"/>
          <w:lang w:val="fr-CA"/>
        </w:rPr>
        <w:t>à</w:t>
      </w:r>
      <w:r w:rsidRPr="00ED22D1">
        <w:rPr>
          <w:sz w:val="16"/>
          <w:szCs w:val="16"/>
          <w:lang w:val="fr-CA"/>
        </w:rPr>
        <w:t xml:space="preserve"> Dalian </w:t>
      </w:r>
      <w:r w:rsidR="001354A8" w:rsidRPr="00ED22D1">
        <w:rPr>
          <w:sz w:val="16"/>
          <w:szCs w:val="16"/>
          <w:lang w:val="fr-CA"/>
        </w:rPr>
        <w:t>Refrigeration</w:t>
      </w:r>
      <w:r w:rsidRPr="00ED22D1">
        <w:rPr>
          <w:sz w:val="16"/>
          <w:szCs w:val="16"/>
          <w:lang w:val="fr-CA"/>
        </w:rPr>
        <w:t xml:space="preserve"> </w:t>
      </w:r>
      <w:r w:rsidR="0080736A" w:rsidRPr="00ED22D1">
        <w:rPr>
          <w:sz w:val="16"/>
          <w:szCs w:val="16"/>
          <w:lang w:val="fr-CA"/>
        </w:rPr>
        <w:t xml:space="preserve">pour la </w:t>
      </w:r>
      <w:r w:rsidR="00FB1DC4" w:rsidRPr="00ED22D1">
        <w:rPr>
          <w:sz w:val="16"/>
          <w:szCs w:val="16"/>
          <w:lang w:val="fr-CA"/>
        </w:rPr>
        <w:t>reconversion</w:t>
      </w:r>
      <w:r w:rsidRPr="00ED22D1">
        <w:rPr>
          <w:sz w:val="16"/>
          <w:szCs w:val="16"/>
          <w:lang w:val="fr-CA"/>
        </w:rPr>
        <w:t xml:space="preserve"> </w:t>
      </w:r>
      <w:r w:rsidR="0080736A" w:rsidRPr="00ED22D1">
        <w:rPr>
          <w:sz w:val="16"/>
          <w:szCs w:val="16"/>
          <w:lang w:val="fr-CA"/>
        </w:rPr>
        <w:t xml:space="preserve">d’un circuit de fabrication à être facturée à la </w:t>
      </w:r>
      <w:r w:rsidR="00874624" w:rsidRPr="00ED22D1">
        <w:rPr>
          <w:sz w:val="16"/>
          <w:szCs w:val="16"/>
          <w:lang w:val="fr-CA"/>
        </w:rPr>
        <w:t>troisième</w:t>
      </w:r>
      <w:r w:rsidRPr="00ED22D1">
        <w:rPr>
          <w:sz w:val="16"/>
          <w:szCs w:val="16"/>
          <w:lang w:val="fr-CA"/>
        </w:rPr>
        <w:t xml:space="preserve"> tranche.  </w:t>
      </w:r>
    </w:p>
    <w:p w:rsidR="00D002F4" w:rsidRPr="00ED22D1" w:rsidRDefault="00D002F4" w:rsidP="00D002F4">
      <w:pPr>
        <w:rPr>
          <w:lang w:val="fr-CA"/>
        </w:rPr>
      </w:pPr>
    </w:p>
    <w:p w:rsidR="00D002F4" w:rsidRPr="00ED22D1" w:rsidRDefault="0080736A" w:rsidP="00D002F4">
      <w:pPr>
        <w:keepNext/>
        <w:keepLines/>
        <w:rPr>
          <w:u w:val="single"/>
          <w:lang w:val="fr-CA"/>
        </w:rPr>
      </w:pPr>
      <w:r w:rsidRPr="00ED22D1">
        <w:rPr>
          <w:u w:val="single"/>
          <w:lang w:val="fr-CA"/>
        </w:rPr>
        <w:t>Plan de m</w:t>
      </w:r>
      <w:r w:rsidR="00921BDE" w:rsidRPr="00ED22D1">
        <w:rPr>
          <w:u w:val="single"/>
          <w:lang w:val="fr-CA"/>
        </w:rPr>
        <w:t xml:space="preserve">ise en oeuvre </w:t>
      </w:r>
      <w:r w:rsidRPr="00ED22D1">
        <w:rPr>
          <w:u w:val="single"/>
          <w:lang w:val="fr-CA"/>
        </w:rPr>
        <w:t>de</w:t>
      </w:r>
      <w:r w:rsidR="00D002F4" w:rsidRPr="00ED22D1">
        <w:rPr>
          <w:u w:val="single"/>
          <w:lang w:val="fr-CA"/>
        </w:rPr>
        <w:t xml:space="preserve"> </w:t>
      </w:r>
      <w:r w:rsidR="00874624" w:rsidRPr="00ED22D1">
        <w:rPr>
          <w:u w:val="single"/>
          <w:lang w:val="fr-CA"/>
        </w:rPr>
        <w:t>la troisième</w:t>
      </w:r>
      <w:r w:rsidR="00D002F4" w:rsidRPr="00ED22D1">
        <w:rPr>
          <w:u w:val="single"/>
          <w:lang w:val="fr-CA"/>
        </w:rPr>
        <w:t xml:space="preserve"> tranche</w:t>
      </w:r>
    </w:p>
    <w:p w:rsidR="00D002F4" w:rsidRPr="00ED22D1" w:rsidRDefault="00D002F4" w:rsidP="00D002F4">
      <w:pPr>
        <w:keepNext/>
        <w:keepLines/>
        <w:rPr>
          <w:highlight w:val="yellow"/>
          <w:lang w:val="fr-CA"/>
        </w:rPr>
      </w:pPr>
    </w:p>
    <w:p w:rsidR="00D002F4" w:rsidRPr="00ED22D1" w:rsidRDefault="00DC2912" w:rsidP="00DC2912">
      <w:pPr>
        <w:pStyle w:val="Heading1"/>
        <w:numPr>
          <w:ilvl w:val="0"/>
          <w:numId w:val="0"/>
        </w:numPr>
        <w:rPr>
          <w:lang w:val="fr-CA"/>
        </w:rPr>
      </w:pPr>
      <w:r w:rsidRPr="00ED22D1">
        <w:rPr>
          <w:lang w:val="fr-CA"/>
        </w:rPr>
        <w:t>82.</w:t>
      </w:r>
      <w:r w:rsidRPr="00ED22D1">
        <w:rPr>
          <w:lang w:val="fr-CA"/>
        </w:rPr>
        <w:tab/>
      </w:r>
      <w:r w:rsidR="0080736A" w:rsidRPr="00ED22D1">
        <w:rPr>
          <w:lang w:val="fr-CA"/>
        </w:rPr>
        <w:t xml:space="preserve">On prévoit éliminer, au cours de la </w:t>
      </w:r>
      <w:r w:rsidR="00874624" w:rsidRPr="00ED22D1">
        <w:rPr>
          <w:lang w:val="fr-CA"/>
        </w:rPr>
        <w:t>troisième</w:t>
      </w:r>
      <w:r w:rsidR="00D002F4" w:rsidRPr="00ED22D1">
        <w:rPr>
          <w:lang w:val="fr-CA"/>
        </w:rPr>
        <w:t xml:space="preserve"> tranche, 750</w:t>
      </w:r>
      <w:r w:rsidR="004B666A" w:rsidRPr="00ED22D1">
        <w:rPr>
          <w:lang w:val="fr-CA"/>
        </w:rPr>
        <w:t xml:space="preserve"> tm </w:t>
      </w:r>
      <w:r w:rsidR="00DB7C5D" w:rsidRPr="00ED22D1">
        <w:rPr>
          <w:lang w:val="fr-CA"/>
        </w:rPr>
        <w:t>de HCFC</w:t>
      </w:r>
      <w:r w:rsidR="00D002F4" w:rsidRPr="00ED22D1">
        <w:rPr>
          <w:lang w:val="fr-CA"/>
        </w:rPr>
        <w:t xml:space="preserve">-22 </w:t>
      </w:r>
      <w:r w:rsidR="0080736A" w:rsidRPr="00ED22D1">
        <w:rPr>
          <w:lang w:val="fr-CA"/>
        </w:rPr>
        <w:t>à un coût total de</w:t>
      </w:r>
      <w:r w:rsidR="00CE4AD8">
        <w:rPr>
          <w:lang w:val="fr-CA"/>
        </w:rPr>
        <w:t> </w:t>
      </w:r>
      <w:r w:rsidR="004A6828" w:rsidRPr="00ED22D1">
        <w:rPr>
          <w:lang w:val="fr-CA"/>
        </w:rPr>
        <w:t>9 </w:t>
      </w:r>
      <w:r w:rsidR="00D002F4" w:rsidRPr="00ED22D1">
        <w:rPr>
          <w:lang w:val="fr-CA"/>
        </w:rPr>
        <w:t>00</w:t>
      </w:r>
      <w:r w:rsidR="004A6828" w:rsidRPr="00ED22D1">
        <w:rPr>
          <w:lang w:val="fr-CA"/>
        </w:rPr>
        <w:t>0</w:t>
      </w:r>
      <w:r w:rsidR="00BA42C0" w:rsidRPr="00ED22D1">
        <w:rPr>
          <w:lang w:val="fr-CA"/>
        </w:rPr>
        <w:t> 000 $US</w:t>
      </w:r>
      <w:r w:rsidR="00CE4AD8">
        <w:rPr>
          <w:lang w:val="fr-CA"/>
        </w:rPr>
        <w:t>,</w:t>
      </w:r>
      <w:r w:rsidR="00D002F4" w:rsidRPr="00ED22D1" w:rsidDel="00E10C69">
        <w:rPr>
          <w:lang w:val="fr-CA"/>
        </w:rPr>
        <w:t xml:space="preserve"> </w:t>
      </w:r>
      <w:r w:rsidR="0080736A" w:rsidRPr="00ED22D1">
        <w:rPr>
          <w:lang w:val="fr-CA"/>
        </w:rPr>
        <w:t>grâce à la reconversion de l’</w:t>
      </w:r>
      <w:r w:rsidR="00921BDE" w:rsidRPr="00ED22D1">
        <w:rPr>
          <w:lang w:val="fr-CA"/>
        </w:rPr>
        <w:t>entreprise</w:t>
      </w:r>
      <w:r w:rsidR="0031390F" w:rsidRPr="00ED22D1">
        <w:rPr>
          <w:lang w:val="fr-CA"/>
        </w:rPr>
        <w:t>. Le</w:t>
      </w:r>
      <w:r w:rsidR="0080736A" w:rsidRPr="00ED22D1">
        <w:rPr>
          <w:lang w:val="fr-CA"/>
        </w:rPr>
        <w:t>s</w:t>
      </w:r>
      <w:r w:rsidR="00D002F4" w:rsidRPr="00ED22D1">
        <w:rPr>
          <w:lang w:val="fr-CA"/>
        </w:rPr>
        <w:t xml:space="preserve"> </w:t>
      </w:r>
      <w:r w:rsidR="00921BDE" w:rsidRPr="00ED22D1">
        <w:rPr>
          <w:lang w:val="fr-CA"/>
        </w:rPr>
        <w:t>entreprise</w:t>
      </w:r>
      <w:r w:rsidR="0080736A" w:rsidRPr="00ED22D1">
        <w:rPr>
          <w:lang w:val="fr-CA"/>
        </w:rPr>
        <w:t xml:space="preserve">s à reconvertir </w:t>
      </w:r>
      <w:r w:rsidR="00B84F94" w:rsidRPr="00ED22D1">
        <w:rPr>
          <w:lang w:val="fr-CA"/>
        </w:rPr>
        <w:t xml:space="preserve">avec </w:t>
      </w:r>
      <w:r w:rsidR="00393F6B" w:rsidRPr="00ED22D1">
        <w:rPr>
          <w:lang w:val="fr-CA"/>
        </w:rPr>
        <w:t>le</w:t>
      </w:r>
      <w:r w:rsidR="00CE4AD8">
        <w:rPr>
          <w:lang w:val="fr-CA"/>
        </w:rPr>
        <w:t> </w:t>
      </w:r>
      <w:r w:rsidR="00393F6B" w:rsidRPr="00ED22D1">
        <w:rPr>
          <w:lang w:val="fr-CA"/>
        </w:rPr>
        <w:t>financement</w:t>
      </w:r>
      <w:r w:rsidR="00D002F4" w:rsidRPr="00ED22D1">
        <w:rPr>
          <w:lang w:val="fr-CA"/>
        </w:rPr>
        <w:t xml:space="preserve"> </w:t>
      </w:r>
      <w:r w:rsidR="0080736A" w:rsidRPr="00ED22D1">
        <w:rPr>
          <w:lang w:val="fr-CA"/>
        </w:rPr>
        <w:t xml:space="preserve">de </w:t>
      </w:r>
      <w:r w:rsidR="00874624" w:rsidRPr="00ED22D1">
        <w:rPr>
          <w:lang w:val="fr-CA"/>
        </w:rPr>
        <w:t>la troisième</w:t>
      </w:r>
      <w:r w:rsidR="00D002F4" w:rsidRPr="00ED22D1">
        <w:rPr>
          <w:lang w:val="fr-CA"/>
        </w:rPr>
        <w:t xml:space="preserve"> tranche </w:t>
      </w:r>
      <w:r w:rsidR="0080736A" w:rsidRPr="00ED22D1">
        <w:rPr>
          <w:lang w:val="fr-CA"/>
        </w:rPr>
        <w:t xml:space="preserve">seront sélectionnées à partir des </w:t>
      </w:r>
      <w:r w:rsidR="00D002F4" w:rsidRPr="00ED22D1">
        <w:rPr>
          <w:lang w:val="fr-CA"/>
        </w:rPr>
        <w:t xml:space="preserve">16 </w:t>
      </w:r>
      <w:r w:rsidR="00325FA0" w:rsidRPr="00ED22D1">
        <w:rPr>
          <w:lang w:val="fr-CA"/>
        </w:rPr>
        <w:t>circuits de fabrication</w:t>
      </w:r>
      <w:r w:rsidR="00D002F4" w:rsidRPr="00ED22D1">
        <w:rPr>
          <w:lang w:val="fr-CA"/>
        </w:rPr>
        <w:t xml:space="preserve"> </w:t>
      </w:r>
      <w:r w:rsidR="0080736A" w:rsidRPr="00ED22D1">
        <w:rPr>
          <w:lang w:val="fr-CA"/>
        </w:rPr>
        <w:t xml:space="preserve">qui ont été initialement </w:t>
      </w:r>
      <w:r w:rsidR="00616B46" w:rsidRPr="00ED22D1">
        <w:rPr>
          <w:lang w:val="fr-CA"/>
        </w:rPr>
        <w:t>identifiés</w:t>
      </w:r>
      <w:r w:rsidR="0080736A" w:rsidRPr="00ED22D1">
        <w:rPr>
          <w:lang w:val="fr-CA"/>
        </w:rPr>
        <w:t xml:space="preserve"> au </w:t>
      </w:r>
      <w:r w:rsidR="00CE7FEC" w:rsidRPr="00ED22D1">
        <w:rPr>
          <w:lang w:val="fr-CA"/>
        </w:rPr>
        <w:t xml:space="preserve">tableau </w:t>
      </w:r>
      <w:r w:rsidR="00D002F4" w:rsidRPr="00ED22D1">
        <w:rPr>
          <w:lang w:val="fr-CA"/>
        </w:rPr>
        <w:t>3</w:t>
      </w:r>
      <w:r w:rsidR="0031390F" w:rsidRPr="00ED22D1">
        <w:rPr>
          <w:lang w:val="fr-CA"/>
        </w:rPr>
        <w:t>. Le</w:t>
      </w:r>
      <w:r w:rsidR="0080736A" w:rsidRPr="00ED22D1">
        <w:rPr>
          <w:lang w:val="fr-CA"/>
        </w:rPr>
        <w:t xml:space="preserve">s circuits identifiés qui restent seront </w:t>
      </w:r>
      <w:r w:rsidR="004B666A" w:rsidRPr="00ED22D1">
        <w:rPr>
          <w:lang w:val="fr-CA"/>
        </w:rPr>
        <w:t>reconverti</w:t>
      </w:r>
      <w:r w:rsidR="0080736A" w:rsidRPr="00ED22D1">
        <w:rPr>
          <w:lang w:val="fr-CA"/>
        </w:rPr>
        <w:t>s</w:t>
      </w:r>
      <w:r w:rsidR="00D002F4" w:rsidRPr="00ED22D1">
        <w:rPr>
          <w:lang w:val="fr-CA"/>
        </w:rPr>
        <w:t xml:space="preserve"> </w:t>
      </w:r>
      <w:r w:rsidR="00B84F94" w:rsidRPr="00ED22D1">
        <w:rPr>
          <w:lang w:val="fr-CA"/>
        </w:rPr>
        <w:t xml:space="preserve">avec </w:t>
      </w:r>
      <w:r w:rsidR="00393F6B" w:rsidRPr="00ED22D1">
        <w:rPr>
          <w:lang w:val="fr-CA"/>
        </w:rPr>
        <w:t>le financement</w:t>
      </w:r>
      <w:r w:rsidR="00D002F4" w:rsidRPr="00ED22D1">
        <w:rPr>
          <w:lang w:val="fr-CA"/>
        </w:rPr>
        <w:t xml:space="preserve"> </w:t>
      </w:r>
      <w:r w:rsidR="0080736A" w:rsidRPr="00ED22D1">
        <w:rPr>
          <w:lang w:val="fr-CA"/>
        </w:rPr>
        <w:t xml:space="preserve">de la </w:t>
      </w:r>
      <w:r w:rsidR="00FB46BE" w:rsidRPr="00ED22D1">
        <w:rPr>
          <w:lang w:val="fr-CA"/>
        </w:rPr>
        <w:t>quatrième</w:t>
      </w:r>
      <w:r w:rsidR="00D002F4" w:rsidRPr="00ED22D1">
        <w:rPr>
          <w:lang w:val="fr-CA"/>
        </w:rPr>
        <w:t xml:space="preserve"> tranche. </w:t>
      </w:r>
      <w:r w:rsidR="0080736A" w:rsidRPr="00ED22D1">
        <w:rPr>
          <w:lang w:val="fr-CA"/>
        </w:rPr>
        <w:t>L’admissibilité et la consommation de référence de ces circuits seront vérifiées</w:t>
      </w:r>
      <w:r w:rsidR="0031390F" w:rsidRPr="00ED22D1">
        <w:rPr>
          <w:lang w:val="fr-CA"/>
        </w:rPr>
        <w:t>. Le</w:t>
      </w:r>
      <w:r w:rsidR="0080736A" w:rsidRPr="00ED22D1">
        <w:rPr>
          <w:lang w:val="fr-CA"/>
        </w:rPr>
        <w:t xml:space="preserve"> processus de</w:t>
      </w:r>
      <w:r w:rsidR="00FB1DC4" w:rsidRPr="00ED22D1">
        <w:rPr>
          <w:lang w:val="fr-CA"/>
        </w:rPr>
        <w:t xml:space="preserve"> reconversion</w:t>
      </w:r>
      <w:r w:rsidR="00D002F4" w:rsidRPr="00ED22D1">
        <w:rPr>
          <w:lang w:val="fr-CA"/>
        </w:rPr>
        <w:t xml:space="preserve"> </w:t>
      </w:r>
      <w:r w:rsidR="0080736A" w:rsidRPr="00ED22D1">
        <w:rPr>
          <w:lang w:val="fr-CA"/>
        </w:rPr>
        <w:t xml:space="preserve">sera étroitement suivi, et les </w:t>
      </w:r>
      <w:r w:rsidR="00B67AA6" w:rsidRPr="00ED22D1">
        <w:rPr>
          <w:lang w:val="fr-CA"/>
        </w:rPr>
        <w:t>jalons</w:t>
      </w:r>
      <w:r w:rsidR="00D002F4" w:rsidRPr="00ED22D1">
        <w:rPr>
          <w:lang w:val="fr-CA"/>
        </w:rPr>
        <w:t xml:space="preserve"> </w:t>
      </w:r>
      <w:r w:rsidR="00B67AA6" w:rsidRPr="00ED22D1">
        <w:rPr>
          <w:lang w:val="fr-CA"/>
        </w:rPr>
        <w:t>réalisés</w:t>
      </w:r>
      <w:r w:rsidR="00D002F4" w:rsidRPr="00ED22D1">
        <w:rPr>
          <w:lang w:val="fr-CA"/>
        </w:rPr>
        <w:t xml:space="preserve"> </w:t>
      </w:r>
      <w:r w:rsidR="0080736A" w:rsidRPr="00ED22D1">
        <w:rPr>
          <w:lang w:val="fr-CA"/>
        </w:rPr>
        <w:t xml:space="preserve">durant la </w:t>
      </w:r>
      <w:r w:rsidR="00FB1DC4" w:rsidRPr="00ED22D1">
        <w:rPr>
          <w:lang w:val="fr-CA"/>
        </w:rPr>
        <w:t>reconversion</w:t>
      </w:r>
      <w:r w:rsidR="00D002F4" w:rsidRPr="00ED22D1">
        <w:rPr>
          <w:lang w:val="fr-CA"/>
        </w:rPr>
        <w:t xml:space="preserve"> </w:t>
      </w:r>
      <w:r w:rsidR="0080736A" w:rsidRPr="00ED22D1">
        <w:rPr>
          <w:lang w:val="fr-CA"/>
        </w:rPr>
        <w:t>seront vérifiés par une firme de consultation indépendante</w:t>
      </w:r>
      <w:r w:rsidR="00D002F4" w:rsidRPr="00ED22D1">
        <w:rPr>
          <w:lang w:val="fr-CA"/>
        </w:rPr>
        <w:t xml:space="preserve">. </w:t>
      </w:r>
    </w:p>
    <w:p w:rsidR="00D002F4" w:rsidRPr="00ED22D1" w:rsidRDefault="00CE7FEC" w:rsidP="00D002F4">
      <w:pPr>
        <w:rPr>
          <w:b/>
          <w:lang w:val="fr-CA"/>
        </w:rPr>
      </w:pPr>
      <w:r w:rsidRPr="00ED22D1">
        <w:rPr>
          <w:b/>
          <w:lang w:val="fr-CA"/>
        </w:rPr>
        <w:t xml:space="preserve">Tableau </w:t>
      </w:r>
      <w:r w:rsidR="004A6828" w:rsidRPr="00ED22D1">
        <w:rPr>
          <w:b/>
          <w:lang w:val="fr-CA"/>
        </w:rPr>
        <w:t>3</w:t>
      </w:r>
      <w:r w:rsidRPr="00ED22D1">
        <w:rPr>
          <w:b/>
          <w:lang w:val="fr-CA"/>
        </w:rPr>
        <w:t>.</w:t>
      </w:r>
      <w:r w:rsidR="00D002F4" w:rsidRPr="00ED22D1">
        <w:rPr>
          <w:b/>
          <w:lang w:val="fr-CA"/>
        </w:rPr>
        <w:t xml:space="preserve"> </w:t>
      </w:r>
      <w:r w:rsidR="00325FA0" w:rsidRPr="00ED22D1">
        <w:rPr>
          <w:b/>
          <w:lang w:val="fr-CA"/>
        </w:rPr>
        <w:t>Circuits de fabrication</w:t>
      </w:r>
      <w:r w:rsidR="0080736A" w:rsidRPr="00ED22D1">
        <w:rPr>
          <w:b/>
          <w:lang w:val="fr-CA"/>
        </w:rPr>
        <w:t xml:space="preserve"> identifiés pour la</w:t>
      </w:r>
      <w:r w:rsidR="00FB1DC4" w:rsidRPr="00ED22D1">
        <w:rPr>
          <w:b/>
          <w:lang w:val="fr-CA"/>
        </w:rPr>
        <w:t xml:space="preserve"> reconversion</w:t>
      </w:r>
      <w:r w:rsidR="00D002F4" w:rsidRPr="00ED22D1">
        <w:rPr>
          <w:b/>
          <w:lang w:val="fr-CA"/>
        </w:rPr>
        <w:t xml:space="preserve"> </w:t>
      </w:r>
      <w:r w:rsidR="0080736A" w:rsidRPr="00ED22D1">
        <w:rPr>
          <w:b/>
          <w:lang w:val="fr-CA"/>
        </w:rPr>
        <w:t xml:space="preserve">dans le </w:t>
      </w:r>
      <w:r w:rsidR="001354A8" w:rsidRPr="00ED22D1">
        <w:rPr>
          <w:b/>
          <w:lang w:val="fr-CA"/>
        </w:rPr>
        <w:t xml:space="preserve">plan du secteur de la climatisation et de la réfrigération industrielle et commerciale </w:t>
      </w:r>
    </w:p>
    <w:tbl>
      <w:tblPr>
        <w:tblW w:w="5181" w:type="pct"/>
        <w:tblInd w:w="108" w:type="dxa"/>
        <w:tblLayout w:type="fixed"/>
        <w:tblLook w:val="04A0" w:firstRow="1" w:lastRow="0" w:firstColumn="1" w:lastColumn="0" w:noHBand="0" w:noVBand="1"/>
      </w:tblPr>
      <w:tblGrid>
        <w:gridCol w:w="636"/>
        <w:gridCol w:w="1979"/>
        <w:gridCol w:w="1262"/>
        <w:gridCol w:w="802"/>
        <w:gridCol w:w="2503"/>
        <w:gridCol w:w="1471"/>
        <w:gridCol w:w="1270"/>
      </w:tblGrid>
      <w:tr w:rsidR="00D002F4" w:rsidRPr="00ED22D1" w:rsidTr="00076D8A">
        <w:trPr>
          <w:trHeight w:val="308"/>
          <w:tblHeader/>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D002F4" w:rsidRPr="00ED22D1" w:rsidRDefault="00D002F4" w:rsidP="0080736A">
            <w:pPr>
              <w:jc w:val="center"/>
              <w:rPr>
                <w:b/>
                <w:bCs/>
                <w:color w:val="000000"/>
                <w:sz w:val="18"/>
                <w:szCs w:val="18"/>
                <w:lang w:val="fr-CA" w:eastAsia="zh-CN"/>
              </w:rPr>
            </w:pPr>
            <w:r w:rsidRPr="00ED22D1">
              <w:rPr>
                <w:b/>
                <w:bCs/>
                <w:color w:val="000000"/>
                <w:sz w:val="18"/>
                <w:szCs w:val="18"/>
                <w:lang w:val="fr-CA" w:eastAsia="zh-CN"/>
              </w:rPr>
              <w:t>N</w:t>
            </w:r>
            <w:r w:rsidRPr="00ED22D1">
              <w:rPr>
                <w:b/>
                <w:bCs/>
                <w:color w:val="000000"/>
                <w:sz w:val="18"/>
                <w:szCs w:val="18"/>
                <w:vertAlign w:val="superscript"/>
                <w:lang w:val="fr-CA" w:eastAsia="zh-CN"/>
              </w:rPr>
              <w:t>o</w:t>
            </w:r>
          </w:p>
        </w:tc>
        <w:tc>
          <w:tcPr>
            <w:tcW w:w="997" w:type="pct"/>
            <w:tcBorders>
              <w:top w:val="single" w:sz="4" w:space="0" w:color="auto"/>
              <w:left w:val="nil"/>
              <w:bottom w:val="single" w:sz="4" w:space="0" w:color="auto"/>
              <w:right w:val="single" w:sz="4" w:space="0" w:color="auto"/>
            </w:tcBorders>
            <w:shd w:val="clear" w:color="auto" w:fill="auto"/>
            <w:hideMark/>
          </w:tcPr>
          <w:p w:rsidR="00D002F4" w:rsidRPr="00ED22D1" w:rsidRDefault="0080736A" w:rsidP="0080736A">
            <w:pPr>
              <w:jc w:val="center"/>
              <w:rPr>
                <w:b/>
                <w:bCs/>
                <w:color w:val="000000"/>
                <w:sz w:val="18"/>
                <w:szCs w:val="18"/>
                <w:lang w:val="fr-CA" w:eastAsia="zh-CN"/>
              </w:rPr>
            </w:pPr>
            <w:r w:rsidRPr="00ED22D1">
              <w:rPr>
                <w:b/>
                <w:bCs/>
                <w:color w:val="000000"/>
                <w:sz w:val="18"/>
                <w:szCs w:val="18"/>
                <w:lang w:val="fr-CA" w:eastAsia="zh-CN"/>
              </w:rPr>
              <w:t>Nom de l’</w:t>
            </w:r>
            <w:r w:rsidR="00921BDE" w:rsidRPr="00ED22D1">
              <w:rPr>
                <w:b/>
                <w:bCs/>
                <w:color w:val="000000"/>
                <w:sz w:val="18"/>
                <w:szCs w:val="18"/>
                <w:lang w:val="fr-CA" w:eastAsia="zh-CN"/>
              </w:rPr>
              <w:t>entreprise</w:t>
            </w:r>
          </w:p>
        </w:tc>
        <w:tc>
          <w:tcPr>
            <w:tcW w:w="636" w:type="pct"/>
            <w:tcBorders>
              <w:top w:val="single" w:sz="4" w:space="0" w:color="auto"/>
              <w:left w:val="nil"/>
              <w:bottom w:val="single" w:sz="4" w:space="0" w:color="auto"/>
              <w:right w:val="single" w:sz="4" w:space="0" w:color="auto"/>
            </w:tcBorders>
            <w:shd w:val="clear" w:color="auto" w:fill="auto"/>
            <w:hideMark/>
          </w:tcPr>
          <w:p w:rsidR="00D002F4" w:rsidRPr="00ED22D1" w:rsidRDefault="004A6828" w:rsidP="0080736A">
            <w:pPr>
              <w:jc w:val="center"/>
              <w:rPr>
                <w:b/>
                <w:bCs/>
                <w:color w:val="000000"/>
                <w:sz w:val="18"/>
                <w:szCs w:val="18"/>
                <w:lang w:val="fr-CA" w:eastAsia="zh-CN"/>
              </w:rPr>
            </w:pPr>
            <w:r w:rsidRPr="00ED22D1">
              <w:rPr>
                <w:b/>
                <w:bCs/>
                <w:color w:val="000000"/>
                <w:sz w:val="18"/>
                <w:szCs w:val="18"/>
                <w:lang w:val="fr-CA" w:eastAsia="zh-CN"/>
              </w:rPr>
              <w:t>Élimination</w:t>
            </w:r>
            <w:r w:rsidR="00D002F4" w:rsidRPr="00ED22D1">
              <w:rPr>
                <w:b/>
                <w:bCs/>
                <w:color w:val="000000"/>
                <w:sz w:val="18"/>
                <w:szCs w:val="18"/>
                <w:lang w:val="fr-CA" w:eastAsia="zh-CN"/>
              </w:rPr>
              <w:t xml:space="preserve"> </w:t>
            </w:r>
            <w:r w:rsidR="00DB7C5D" w:rsidRPr="00ED22D1">
              <w:rPr>
                <w:b/>
                <w:bCs/>
                <w:color w:val="000000"/>
                <w:sz w:val="18"/>
                <w:szCs w:val="18"/>
                <w:lang w:val="fr-CA" w:eastAsia="zh-CN"/>
              </w:rPr>
              <w:t>d</w:t>
            </w:r>
            <w:r w:rsidR="0080736A" w:rsidRPr="00ED22D1">
              <w:rPr>
                <w:b/>
                <w:bCs/>
                <w:color w:val="000000"/>
                <w:sz w:val="18"/>
                <w:szCs w:val="18"/>
                <w:lang w:val="fr-CA" w:eastAsia="zh-CN"/>
              </w:rPr>
              <w:t>u</w:t>
            </w:r>
            <w:r w:rsidR="00DB7C5D" w:rsidRPr="00ED22D1">
              <w:rPr>
                <w:b/>
                <w:bCs/>
                <w:color w:val="000000"/>
                <w:sz w:val="18"/>
                <w:szCs w:val="18"/>
                <w:lang w:val="fr-CA" w:eastAsia="zh-CN"/>
              </w:rPr>
              <w:t xml:space="preserve"> HCFC</w:t>
            </w:r>
            <w:r w:rsidR="00D002F4" w:rsidRPr="00ED22D1">
              <w:rPr>
                <w:b/>
                <w:bCs/>
                <w:color w:val="000000"/>
                <w:sz w:val="18"/>
                <w:szCs w:val="18"/>
                <w:lang w:val="fr-CA" w:eastAsia="zh-CN"/>
              </w:rPr>
              <w:t>-22 (</w:t>
            </w:r>
            <w:r w:rsidR="001279D7" w:rsidRPr="00ED22D1">
              <w:rPr>
                <w:b/>
                <w:bCs/>
                <w:color w:val="000000"/>
                <w:sz w:val="18"/>
                <w:szCs w:val="18"/>
                <w:lang w:val="fr-CA" w:eastAsia="zh-CN"/>
              </w:rPr>
              <w:t>tm</w:t>
            </w:r>
            <w:r w:rsidR="00D002F4" w:rsidRPr="00ED22D1">
              <w:rPr>
                <w:b/>
                <w:bCs/>
                <w:color w:val="000000"/>
                <w:sz w:val="18"/>
                <w:szCs w:val="18"/>
                <w:lang w:val="fr-CA" w:eastAsia="zh-CN"/>
              </w:rPr>
              <w:t>)</w:t>
            </w:r>
          </w:p>
        </w:tc>
        <w:tc>
          <w:tcPr>
            <w:tcW w:w="404" w:type="pct"/>
            <w:tcBorders>
              <w:top w:val="single" w:sz="4" w:space="0" w:color="auto"/>
              <w:left w:val="nil"/>
              <w:bottom w:val="single" w:sz="4" w:space="0" w:color="auto"/>
              <w:right w:val="single" w:sz="4" w:space="0" w:color="auto"/>
            </w:tcBorders>
            <w:shd w:val="clear" w:color="auto" w:fill="auto"/>
            <w:hideMark/>
          </w:tcPr>
          <w:p w:rsidR="00D002F4" w:rsidRPr="00ED22D1" w:rsidRDefault="00D002F4" w:rsidP="0080736A">
            <w:pPr>
              <w:jc w:val="center"/>
              <w:rPr>
                <w:b/>
                <w:bCs/>
                <w:color w:val="000000"/>
                <w:sz w:val="18"/>
                <w:szCs w:val="18"/>
                <w:lang w:val="fr-CA" w:eastAsia="zh-CN"/>
              </w:rPr>
            </w:pPr>
            <w:r w:rsidRPr="00ED22D1">
              <w:rPr>
                <w:b/>
                <w:bCs/>
                <w:color w:val="000000"/>
                <w:sz w:val="18"/>
                <w:szCs w:val="18"/>
                <w:lang w:val="fr-CA" w:eastAsia="zh-CN"/>
              </w:rPr>
              <w:t>N</w:t>
            </w:r>
            <w:r w:rsidR="0080736A" w:rsidRPr="00ED22D1">
              <w:rPr>
                <w:b/>
                <w:bCs/>
                <w:color w:val="000000"/>
                <w:sz w:val="18"/>
                <w:szCs w:val="18"/>
                <w:vertAlign w:val="superscript"/>
                <w:lang w:val="fr-CA" w:eastAsia="zh-CN"/>
              </w:rPr>
              <w:t xml:space="preserve">bre </w:t>
            </w:r>
            <w:r w:rsidR="0080736A" w:rsidRPr="00ED22D1">
              <w:rPr>
                <w:b/>
                <w:bCs/>
                <w:color w:val="000000"/>
                <w:sz w:val="18"/>
                <w:szCs w:val="18"/>
                <w:lang w:val="fr-CA" w:eastAsia="zh-CN"/>
              </w:rPr>
              <w:t>de circuits</w:t>
            </w:r>
          </w:p>
        </w:tc>
        <w:tc>
          <w:tcPr>
            <w:tcW w:w="1261" w:type="pct"/>
            <w:tcBorders>
              <w:top w:val="single" w:sz="4" w:space="0" w:color="auto"/>
              <w:left w:val="nil"/>
              <w:bottom w:val="single" w:sz="4" w:space="0" w:color="auto"/>
              <w:right w:val="single" w:sz="4" w:space="0" w:color="auto"/>
            </w:tcBorders>
            <w:shd w:val="clear" w:color="auto" w:fill="auto"/>
            <w:hideMark/>
          </w:tcPr>
          <w:p w:rsidR="00D002F4" w:rsidRPr="00ED22D1" w:rsidRDefault="00EC3CCA" w:rsidP="00D87C7D">
            <w:pPr>
              <w:jc w:val="center"/>
              <w:rPr>
                <w:b/>
                <w:bCs/>
                <w:color w:val="000000"/>
                <w:sz w:val="18"/>
                <w:szCs w:val="18"/>
                <w:lang w:val="fr-CA" w:eastAsia="zh-CN"/>
              </w:rPr>
            </w:pPr>
            <w:r w:rsidRPr="00ED22D1">
              <w:rPr>
                <w:b/>
                <w:bCs/>
                <w:color w:val="000000"/>
                <w:sz w:val="18"/>
                <w:szCs w:val="18"/>
                <w:lang w:val="fr-CA" w:eastAsia="zh-CN"/>
              </w:rPr>
              <w:t>Type de produits</w:t>
            </w:r>
          </w:p>
        </w:tc>
        <w:tc>
          <w:tcPr>
            <w:tcW w:w="741" w:type="pct"/>
            <w:tcBorders>
              <w:top w:val="single" w:sz="4" w:space="0" w:color="auto"/>
              <w:left w:val="nil"/>
              <w:bottom w:val="single" w:sz="4" w:space="0" w:color="auto"/>
              <w:right w:val="single" w:sz="4" w:space="0" w:color="auto"/>
            </w:tcBorders>
            <w:shd w:val="clear" w:color="auto" w:fill="auto"/>
            <w:hideMark/>
          </w:tcPr>
          <w:p w:rsidR="00D002F4" w:rsidRPr="00ED22D1" w:rsidRDefault="0080736A" w:rsidP="0080736A">
            <w:pPr>
              <w:jc w:val="center"/>
              <w:rPr>
                <w:b/>
                <w:bCs/>
                <w:color w:val="000000"/>
                <w:sz w:val="18"/>
                <w:szCs w:val="18"/>
                <w:lang w:val="fr-CA" w:eastAsia="zh-CN"/>
              </w:rPr>
            </w:pPr>
            <w:r w:rsidRPr="00ED22D1">
              <w:rPr>
                <w:b/>
                <w:bCs/>
                <w:color w:val="000000"/>
                <w:sz w:val="18"/>
                <w:szCs w:val="18"/>
                <w:lang w:val="fr-CA" w:eastAsia="zh-CN"/>
              </w:rPr>
              <w:t>T</w:t>
            </w:r>
            <w:r w:rsidR="004B666A" w:rsidRPr="00ED22D1">
              <w:rPr>
                <w:b/>
                <w:bCs/>
                <w:color w:val="000000"/>
                <w:sz w:val="18"/>
                <w:szCs w:val="18"/>
                <w:lang w:val="fr-CA" w:eastAsia="zh-CN"/>
              </w:rPr>
              <w:t>echnologie</w:t>
            </w:r>
            <w:r w:rsidRPr="00ED22D1">
              <w:rPr>
                <w:b/>
                <w:bCs/>
                <w:color w:val="000000"/>
                <w:sz w:val="18"/>
                <w:szCs w:val="18"/>
                <w:lang w:val="fr-CA" w:eastAsia="zh-CN"/>
              </w:rPr>
              <w:t xml:space="preserve"> de remplacement</w:t>
            </w:r>
          </w:p>
        </w:tc>
        <w:tc>
          <w:tcPr>
            <w:tcW w:w="640" w:type="pct"/>
            <w:tcBorders>
              <w:top w:val="single" w:sz="4" w:space="0" w:color="auto"/>
              <w:left w:val="nil"/>
              <w:bottom w:val="single" w:sz="4" w:space="0" w:color="auto"/>
              <w:right w:val="single" w:sz="4" w:space="0" w:color="auto"/>
            </w:tcBorders>
            <w:shd w:val="clear" w:color="auto" w:fill="auto"/>
            <w:hideMark/>
          </w:tcPr>
          <w:p w:rsidR="00D002F4" w:rsidRPr="00ED22D1" w:rsidRDefault="00D15079" w:rsidP="00D87C7D">
            <w:pPr>
              <w:jc w:val="center"/>
              <w:rPr>
                <w:b/>
                <w:bCs/>
                <w:color w:val="000000"/>
                <w:sz w:val="18"/>
                <w:szCs w:val="18"/>
                <w:lang w:val="fr-CA" w:eastAsia="zh-CN"/>
              </w:rPr>
            </w:pPr>
            <w:r w:rsidRPr="00ED22D1">
              <w:rPr>
                <w:b/>
                <w:bCs/>
                <w:color w:val="000000"/>
                <w:sz w:val="18"/>
                <w:szCs w:val="18"/>
                <w:lang w:val="fr-CA" w:eastAsia="zh-CN"/>
              </w:rPr>
              <w:t>Financement</w:t>
            </w:r>
            <w:r w:rsidR="00D002F4" w:rsidRPr="00ED22D1">
              <w:rPr>
                <w:b/>
                <w:bCs/>
                <w:color w:val="000000"/>
                <w:sz w:val="18"/>
                <w:szCs w:val="18"/>
                <w:lang w:val="fr-CA" w:eastAsia="zh-CN"/>
              </w:rPr>
              <w:t xml:space="preserve"> </w:t>
            </w:r>
            <w:r w:rsidR="00874624" w:rsidRPr="00ED22D1">
              <w:rPr>
                <w:b/>
                <w:bCs/>
                <w:color w:val="000000"/>
                <w:sz w:val="18"/>
                <w:szCs w:val="18"/>
                <w:lang w:val="fr-CA" w:eastAsia="zh-CN"/>
              </w:rPr>
              <w:t>($US)</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rsidR="00D002F4" w:rsidRPr="00ED22D1" w:rsidRDefault="00D002F4" w:rsidP="00D87C7D">
            <w:pPr>
              <w:jc w:val="left"/>
              <w:rPr>
                <w:color w:val="000000"/>
                <w:sz w:val="18"/>
                <w:szCs w:val="18"/>
                <w:lang w:val="fr-CA" w:eastAsia="zh-CN"/>
              </w:rPr>
            </w:pPr>
            <w:r w:rsidRPr="00ED22D1">
              <w:rPr>
                <w:color w:val="000000"/>
                <w:sz w:val="20"/>
                <w:szCs w:val="20"/>
                <w:lang w:val="fr-CA"/>
              </w:rPr>
              <w:t xml:space="preserve">Dalian </w:t>
            </w:r>
            <w:r w:rsidR="001354A8" w:rsidRPr="00ED22D1">
              <w:rPr>
                <w:color w:val="000000"/>
                <w:sz w:val="20"/>
                <w:szCs w:val="20"/>
                <w:lang w:val="fr-CA"/>
              </w:rPr>
              <w:t>Refrigeration</w:t>
            </w:r>
            <w:r w:rsidRPr="00ED22D1">
              <w:rPr>
                <w:color w:val="000000"/>
                <w:sz w:val="20"/>
                <w:szCs w:val="20"/>
                <w:lang w:val="fr-CA"/>
              </w:rPr>
              <w:t>*</w:t>
            </w:r>
          </w:p>
        </w:tc>
        <w:tc>
          <w:tcPr>
            <w:tcW w:w="636" w:type="pct"/>
            <w:tcBorders>
              <w:top w:val="single" w:sz="4" w:space="0" w:color="auto"/>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18"/>
                <w:szCs w:val="18"/>
                <w:lang w:val="fr-CA" w:eastAsia="zh-CN"/>
              </w:rPr>
            </w:pPr>
            <w:r w:rsidRPr="00ED22D1">
              <w:rPr>
                <w:color w:val="000000"/>
                <w:sz w:val="20"/>
                <w:szCs w:val="20"/>
                <w:lang w:val="fr-CA"/>
              </w:rPr>
              <w:t>7</w:t>
            </w:r>
            <w:r w:rsidR="004A6828" w:rsidRPr="00ED22D1">
              <w:rPr>
                <w:color w:val="000000"/>
                <w:sz w:val="20"/>
                <w:szCs w:val="20"/>
                <w:lang w:val="fr-CA"/>
              </w:rPr>
              <w:t>3,</w:t>
            </w:r>
            <w:r w:rsidRPr="00ED22D1">
              <w:rPr>
                <w:color w:val="000000"/>
                <w:sz w:val="20"/>
                <w:szCs w:val="20"/>
                <w:lang w:val="fr-CA"/>
              </w:rPr>
              <w:t xml:space="preserve">00 </w:t>
            </w:r>
          </w:p>
        </w:tc>
        <w:tc>
          <w:tcPr>
            <w:tcW w:w="404" w:type="pct"/>
            <w:tcBorders>
              <w:top w:val="single" w:sz="4" w:space="0" w:color="auto"/>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single" w:sz="4" w:space="0" w:color="auto"/>
              <w:left w:val="nil"/>
              <w:bottom w:val="single" w:sz="4" w:space="0" w:color="auto"/>
              <w:right w:val="single" w:sz="4" w:space="0" w:color="auto"/>
            </w:tcBorders>
            <w:shd w:val="clear" w:color="auto" w:fill="auto"/>
            <w:hideMark/>
          </w:tcPr>
          <w:p w:rsidR="00D002F4" w:rsidRPr="00ED22D1" w:rsidRDefault="001354A8" w:rsidP="00D87C7D">
            <w:pPr>
              <w:jc w:val="left"/>
              <w:rPr>
                <w:color w:val="000000"/>
                <w:sz w:val="18"/>
                <w:szCs w:val="18"/>
                <w:lang w:val="fr-CA" w:eastAsia="zh-CN"/>
              </w:rPr>
            </w:pPr>
            <w:r w:rsidRPr="00ED22D1">
              <w:rPr>
                <w:color w:val="000000"/>
                <w:sz w:val="18"/>
                <w:szCs w:val="18"/>
                <w:lang w:val="fr-CA"/>
              </w:rPr>
              <w:t>Refroidisseur d’eau</w:t>
            </w:r>
            <w:r w:rsidR="00D002F4" w:rsidRPr="00ED22D1">
              <w:rPr>
                <w:color w:val="000000"/>
                <w:sz w:val="18"/>
                <w:szCs w:val="18"/>
                <w:lang w:val="fr-CA"/>
              </w:rPr>
              <w:t xml:space="preserve"> (</w:t>
            </w:r>
            <w:r w:rsidRPr="00ED22D1">
              <w:rPr>
                <w:color w:val="000000"/>
                <w:sz w:val="18"/>
                <w:szCs w:val="18"/>
                <w:lang w:val="fr-CA"/>
              </w:rPr>
              <w:t>thermopompe</w:t>
            </w:r>
            <w:r w:rsidR="00D002F4" w:rsidRPr="00ED22D1">
              <w:rPr>
                <w:color w:val="000000"/>
                <w:sz w:val="18"/>
                <w:szCs w:val="18"/>
                <w:lang w:val="fr-CA"/>
              </w:rPr>
              <w:t>)</w:t>
            </w:r>
          </w:p>
        </w:tc>
        <w:tc>
          <w:tcPr>
            <w:tcW w:w="741" w:type="pct"/>
            <w:tcBorders>
              <w:top w:val="single" w:sz="4" w:space="0" w:color="auto"/>
              <w:left w:val="nil"/>
              <w:bottom w:val="single" w:sz="4" w:space="0" w:color="auto"/>
              <w:right w:val="single" w:sz="4" w:space="0" w:color="auto"/>
            </w:tcBorders>
            <w:shd w:val="clear" w:color="auto" w:fill="auto"/>
            <w:noWrap/>
            <w:hideMark/>
          </w:tcPr>
          <w:p w:rsidR="00D002F4" w:rsidRPr="00ED22D1" w:rsidRDefault="00D002F4" w:rsidP="00D87C7D">
            <w:pPr>
              <w:jc w:val="left"/>
              <w:rPr>
                <w:color w:val="000000"/>
                <w:sz w:val="18"/>
                <w:szCs w:val="18"/>
                <w:lang w:val="fr-CA" w:eastAsia="zh-CN"/>
              </w:rPr>
            </w:pPr>
            <w:r w:rsidRPr="00ED22D1">
              <w:rPr>
                <w:color w:val="000000"/>
                <w:sz w:val="18"/>
                <w:szCs w:val="18"/>
                <w:lang w:val="fr-CA"/>
              </w:rPr>
              <w:t>R-290</w:t>
            </w:r>
          </w:p>
        </w:tc>
        <w:tc>
          <w:tcPr>
            <w:tcW w:w="640" w:type="pct"/>
            <w:tcBorders>
              <w:top w:val="single" w:sz="4" w:space="0" w:color="auto"/>
              <w:left w:val="nil"/>
              <w:bottom w:val="single" w:sz="4" w:space="0" w:color="auto"/>
              <w:right w:val="single" w:sz="4" w:space="0" w:color="auto"/>
            </w:tcBorders>
            <w:shd w:val="clear" w:color="auto" w:fill="auto"/>
            <w:hideMark/>
          </w:tcPr>
          <w:p w:rsidR="00D002F4" w:rsidRPr="00ED22D1" w:rsidRDefault="004A6828" w:rsidP="00D87C7D">
            <w:pPr>
              <w:jc w:val="right"/>
              <w:rPr>
                <w:color w:val="000000"/>
                <w:sz w:val="18"/>
                <w:szCs w:val="18"/>
                <w:lang w:val="fr-CA" w:eastAsia="zh-CN"/>
              </w:rPr>
            </w:pPr>
            <w:r w:rsidRPr="00ED22D1">
              <w:rPr>
                <w:color w:val="000000"/>
                <w:sz w:val="18"/>
                <w:szCs w:val="18"/>
                <w:lang w:val="fr-CA"/>
              </w:rPr>
              <w:t>1 </w:t>
            </w:r>
            <w:r w:rsidR="00D002F4" w:rsidRPr="00ED22D1">
              <w:rPr>
                <w:color w:val="000000"/>
                <w:sz w:val="18"/>
                <w:szCs w:val="18"/>
                <w:lang w:val="fr-CA"/>
              </w:rPr>
              <w:t>23</w:t>
            </w:r>
            <w:r w:rsidRPr="00ED22D1">
              <w:rPr>
                <w:color w:val="000000"/>
                <w:sz w:val="18"/>
                <w:szCs w:val="18"/>
                <w:lang w:val="fr-CA"/>
              </w:rPr>
              <w:t>1 </w:t>
            </w:r>
            <w:r w:rsidR="00D002F4" w:rsidRPr="00ED22D1">
              <w:rPr>
                <w:color w:val="000000"/>
                <w:sz w:val="18"/>
                <w:szCs w:val="18"/>
                <w:lang w:val="fr-CA"/>
              </w:rPr>
              <w:t xml:space="preserve">414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3-2</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rPr>
            </w:pPr>
            <w:r w:rsidRPr="00ED22D1">
              <w:rPr>
                <w:color w:val="000000"/>
                <w:sz w:val="20"/>
                <w:szCs w:val="20"/>
                <w:lang w:val="fr-CA"/>
              </w:rPr>
              <w:t>Tianjin Fashihao</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rPr>
            </w:pPr>
            <w:r w:rsidRPr="00ED22D1">
              <w:rPr>
                <w:color w:val="000000"/>
                <w:sz w:val="20"/>
                <w:szCs w:val="20"/>
                <w:lang w:val="fr-CA"/>
              </w:rPr>
              <w:t>4</w:t>
            </w:r>
            <w:r w:rsidR="004A6828" w:rsidRPr="00ED22D1">
              <w:rPr>
                <w:color w:val="000000"/>
                <w:sz w:val="20"/>
                <w:szCs w:val="20"/>
                <w:lang w:val="fr-CA"/>
              </w:rPr>
              <w:t>9,</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rPr>
            </w:pPr>
            <w:r w:rsidRPr="00ED22D1">
              <w:rPr>
                <w:color w:val="000000"/>
                <w:sz w:val="18"/>
                <w:szCs w:val="18"/>
                <w:lang w:val="fr-CA"/>
              </w:rPr>
              <w:t>Unités de congélation, de réfrigération et de condensation</w:t>
            </w:r>
          </w:p>
        </w:tc>
        <w:tc>
          <w:tcPr>
            <w:tcW w:w="741" w:type="pct"/>
            <w:tcBorders>
              <w:top w:val="nil"/>
              <w:left w:val="nil"/>
              <w:bottom w:val="single" w:sz="4" w:space="0" w:color="auto"/>
              <w:right w:val="single" w:sz="4" w:space="0" w:color="auto"/>
            </w:tcBorders>
            <w:shd w:val="clear" w:color="auto" w:fill="auto"/>
          </w:tcPr>
          <w:p w:rsidR="00D002F4" w:rsidRPr="00ED22D1" w:rsidRDefault="00D002F4" w:rsidP="00D87C7D">
            <w:pPr>
              <w:jc w:val="left"/>
              <w:rPr>
                <w:color w:val="000000"/>
                <w:sz w:val="18"/>
                <w:szCs w:val="18"/>
                <w:lang w:val="fr-CA"/>
              </w:rPr>
            </w:pPr>
            <w:r w:rsidRPr="00ED22D1">
              <w:rPr>
                <w:color w:val="000000"/>
                <w:sz w:val="18"/>
                <w:szCs w:val="18"/>
                <w:lang w:val="fr-CA"/>
              </w:rPr>
              <w:t>NH</w:t>
            </w:r>
            <w:r w:rsidRPr="00ED22D1">
              <w:rPr>
                <w:color w:val="000000"/>
                <w:sz w:val="18"/>
                <w:szCs w:val="18"/>
                <w:vertAlign w:val="subscript"/>
                <w:lang w:val="fr-CA"/>
              </w:rPr>
              <w:t>3</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rPr>
            </w:pPr>
            <w:r w:rsidRPr="00ED22D1">
              <w:rPr>
                <w:color w:val="000000"/>
                <w:sz w:val="18"/>
                <w:szCs w:val="18"/>
                <w:lang w:val="fr-CA"/>
              </w:rPr>
              <w:t>79</w:t>
            </w:r>
            <w:r w:rsidR="004A6828" w:rsidRPr="00ED22D1">
              <w:rPr>
                <w:color w:val="000000"/>
                <w:sz w:val="18"/>
                <w:szCs w:val="18"/>
                <w:lang w:val="fr-CA"/>
              </w:rPr>
              <w:t>1 </w:t>
            </w:r>
            <w:r w:rsidRPr="00ED22D1">
              <w:rPr>
                <w:color w:val="000000"/>
                <w:sz w:val="18"/>
                <w:szCs w:val="18"/>
                <w:lang w:val="fr-CA"/>
              </w:rPr>
              <w:t xml:space="preserve">900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3-3</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Jinan Oufeite</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18</w:t>
            </w:r>
            <w:r w:rsidR="004A6828" w:rsidRPr="00ED22D1">
              <w:rPr>
                <w:color w:val="000000"/>
                <w:sz w:val="20"/>
                <w:szCs w:val="20"/>
                <w:lang w:val="fr-CA"/>
              </w:rPr>
              <w:t>8,</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D002F4" w:rsidRPr="00ED22D1" w:rsidRDefault="00D002F4" w:rsidP="00D87C7D">
            <w:pPr>
              <w:jc w:val="left"/>
              <w:rPr>
                <w:color w:val="000000"/>
                <w:sz w:val="18"/>
                <w:szCs w:val="18"/>
                <w:lang w:val="fr-CA" w:eastAsia="zh-CN"/>
              </w:rPr>
            </w:pPr>
            <w:r w:rsidRPr="00ED22D1">
              <w:rPr>
                <w:color w:val="000000"/>
                <w:sz w:val="20"/>
                <w:szCs w:val="20"/>
                <w:lang w:val="fr-CA"/>
              </w:rPr>
              <w:t>NH</w:t>
            </w:r>
            <w:r w:rsidRPr="00ED22D1">
              <w:rPr>
                <w:color w:val="000000"/>
                <w:sz w:val="20"/>
                <w:szCs w:val="20"/>
                <w:vertAlign w:val="subscript"/>
                <w:lang w:val="fr-CA"/>
              </w:rPr>
              <w:t>3</w:t>
            </w:r>
            <w:r w:rsidRPr="00ED22D1">
              <w:rPr>
                <w:color w:val="000000"/>
                <w:sz w:val="20"/>
                <w:szCs w:val="20"/>
                <w:lang w:val="fr-CA"/>
              </w:rPr>
              <w:t>/CO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4A6828" w:rsidP="00D87C7D">
            <w:pPr>
              <w:jc w:val="right"/>
              <w:rPr>
                <w:color w:val="000000"/>
                <w:sz w:val="18"/>
                <w:szCs w:val="18"/>
                <w:lang w:val="fr-CA" w:eastAsia="zh-CN"/>
              </w:rPr>
            </w:pPr>
            <w:r w:rsidRPr="00ED22D1">
              <w:rPr>
                <w:color w:val="000000"/>
                <w:sz w:val="18"/>
                <w:szCs w:val="18"/>
                <w:lang w:val="fr-CA"/>
              </w:rPr>
              <w:t>2 </w:t>
            </w:r>
            <w:r w:rsidR="00D002F4" w:rsidRPr="00ED22D1">
              <w:rPr>
                <w:color w:val="000000"/>
                <w:sz w:val="18"/>
                <w:szCs w:val="18"/>
                <w:lang w:val="fr-CA"/>
              </w:rPr>
              <w:t>51</w:t>
            </w:r>
            <w:r w:rsidRPr="00ED22D1">
              <w:rPr>
                <w:color w:val="000000"/>
                <w:sz w:val="18"/>
                <w:szCs w:val="18"/>
                <w:lang w:val="fr-CA"/>
              </w:rPr>
              <w:t>7 </w:t>
            </w:r>
            <w:r w:rsidR="00D002F4" w:rsidRPr="00ED22D1">
              <w:rPr>
                <w:color w:val="000000"/>
                <w:sz w:val="18"/>
                <w:szCs w:val="18"/>
                <w:lang w:val="fr-CA"/>
              </w:rPr>
              <w:t xml:space="preserve">080 </w:t>
            </w:r>
          </w:p>
        </w:tc>
      </w:tr>
      <w:tr w:rsidR="00D002F4" w:rsidRPr="00ED22D1" w:rsidTr="00076D8A">
        <w:trPr>
          <w:trHeight w:val="35"/>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3-4</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Jinan Oufeite</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11</w:t>
            </w:r>
            <w:r w:rsidR="004A6828" w:rsidRPr="00ED22D1">
              <w:rPr>
                <w:color w:val="000000"/>
                <w:sz w:val="20"/>
                <w:szCs w:val="20"/>
                <w:lang w:val="fr-CA"/>
              </w:rPr>
              <w:t>7,</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NH</w:t>
            </w:r>
            <w:r w:rsidRPr="00ED22D1">
              <w:rPr>
                <w:color w:val="000000"/>
                <w:sz w:val="20"/>
                <w:szCs w:val="20"/>
                <w:vertAlign w:val="subscript"/>
                <w:lang w:val="fr-CA"/>
              </w:rPr>
              <w:t>3</w:t>
            </w:r>
            <w:r w:rsidRPr="00ED22D1">
              <w:rPr>
                <w:color w:val="000000"/>
                <w:sz w:val="20"/>
                <w:szCs w:val="20"/>
                <w:lang w:val="fr-CA"/>
              </w:rPr>
              <w:t>/CO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4A6828" w:rsidP="00D87C7D">
            <w:pPr>
              <w:jc w:val="right"/>
              <w:rPr>
                <w:color w:val="000000"/>
                <w:sz w:val="18"/>
                <w:szCs w:val="18"/>
                <w:lang w:val="fr-CA" w:eastAsia="zh-CN"/>
              </w:rPr>
            </w:pPr>
            <w:r w:rsidRPr="00ED22D1">
              <w:rPr>
                <w:color w:val="000000"/>
                <w:sz w:val="18"/>
                <w:szCs w:val="18"/>
                <w:lang w:val="fr-CA"/>
              </w:rPr>
              <w:t>1 </w:t>
            </w:r>
            <w:r w:rsidR="00D002F4" w:rsidRPr="00ED22D1">
              <w:rPr>
                <w:color w:val="000000"/>
                <w:sz w:val="18"/>
                <w:szCs w:val="18"/>
                <w:lang w:val="fr-CA"/>
              </w:rPr>
              <w:t>66</w:t>
            </w:r>
            <w:r w:rsidRPr="00ED22D1">
              <w:rPr>
                <w:color w:val="000000"/>
                <w:sz w:val="18"/>
                <w:szCs w:val="18"/>
                <w:lang w:val="fr-CA"/>
              </w:rPr>
              <w:t>7 </w:t>
            </w:r>
            <w:r w:rsidR="00D002F4" w:rsidRPr="00ED22D1">
              <w:rPr>
                <w:color w:val="000000"/>
                <w:sz w:val="18"/>
                <w:szCs w:val="18"/>
                <w:lang w:val="fr-CA"/>
              </w:rPr>
              <w:t xml:space="preserve">920 </w:t>
            </w:r>
          </w:p>
        </w:tc>
      </w:tr>
      <w:tr w:rsidR="00D002F4" w:rsidRPr="00ED22D1" w:rsidTr="00076D8A">
        <w:trPr>
          <w:trHeight w:val="71"/>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3-5</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Jinan Dasen</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17</w:t>
            </w:r>
            <w:r w:rsidR="004A6828" w:rsidRPr="00ED22D1">
              <w:rPr>
                <w:color w:val="000000"/>
                <w:sz w:val="20"/>
                <w:szCs w:val="20"/>
                <w:lang w:val="fr-CA"/>
              </w:rPr>
              <w:t>6,</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NH</w:t>
            </w:r>
            <w:r w:rsidRPr="00ED22D1">
              <w:rPr>
                <w:color w:val="000000"/>
                <w:sz w:val="20"/>
                <w:szCs w:val="20"/>
                <w:vertAlign w:val="subscript"/>
                <w:lang w:val="fr-CA"/>
              </w:rPr>
              <w:t>3</w:t>
            </w:r>
            <w:r w:rsidRPr="00ED22D1">
              <w:rPr>
                <w:color w:val="000000"/>
                <w:sz w:val="20"/>
                <w:szCs w:val="20"/>
                <w:lang w:val="fr-CA"/>
              </w:rPr>
              <w:t>/CO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4A6828" w:rsidP="00D87C7D">
            <w:pPr>
              <w:jc w:val="right"/>
              <w:rPr>
                <w:color w:val="000000"/>
                <w:sz w:val="18"/>
                <w:szCs w:val="18"/>
                <w:lang w:val="fr-CA" w:eastAsia="zh-CN"/>
              </w:rPr>
            </w:pPr>
            <w:r w:rsidRPr="00ED22D1">
              <w:rPr>
                <w:color w:val="000000"/>
                <w:sz w:val="18"/>
                <w:szCs w:val="18"/>
                <w:lang w:val="fr-CA"/>
              </w:rPr>
              <w:t>2 </w:t>
            </w:r>
            <w:r w:rsidR="00D002F4" w:rsidRPr="00ED22D1">
              <w:rPr>
                <w:color w:val="000000"/>
                <w:sz w:val="18"/>
                <w:szCs w:val="18"/>
                <w:lang w:val="fr-CA"/>
              </w:rPr>
              <w:t>37</w:t>
            </w:r>
            <w:r w:rsidRPr="00ED22D1">
              <w:rPr>
                <w:color w:val="000000"/>
                <w:sz w:val="18"/>
                <w:szCs w:val="18"/>
                <w:lang w:val="fr-CA"/>
              </w:rPr>
              <w:t>3 </w:t>
            </w:r>
            <w:r w:rsidR="00D002F4" w:rsidRPr="00ED22D1">
              <w:rPr>
                <w:color w:val="000000"/>
                <w:sz w:val="18"/>
                <w:szCs w:val="18"/>
                <w:lang w:val="fr-CA"/>
              </w:rPr>
              <w:t xml:space="preserve">560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3-6</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Jinan Dasen</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3</w:t>
            </w:r>
            <w:r w:rsidR="004A6828" w:rsidRPr="00ED22D1">
              <w:rPr>
                <w:color w:val="000000"/>
                <w:sz w:val="20"/>
                <w:szCs w:val="20"/>
                <w:lang w:val="fr-CA"/>
              </w:rPr>
              <w:t>7,</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NH</w:t>
            </w:r>
            <w:r w:rsidRPr="00ED22D1">
              <w:rPr>
                <w:color w:val="000000"/>
                <w:sz w:val="20"/>
                <w:szCs w:val="20"/>
                <w:vertAlign w:val="subscript"/>
                <w:lang w:val="fr-CA"/>
              </w:rPr>
              <w:t>3</w:t>
            </w:r>
            <w:r w:rsidRPr="00ED22D1">
              <w:rPr>
                <w:color w:val="000000"/>
                <w:sz w:val="20"/>
                <w:szCs w:val="20"/>
                <w:lang w:val="fr-CA"/>
              </w:rPr>
              <w:t>/CO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67</w:t>
            </w:r>
            <w:r w:rsidR="004A6828" w:rsidRPr="00ED22D1">
              <w:rPr>
                <w:color w:val="000000"/>
                <w:sz w:val="18"/>
                <w:szCs w:val="18"/>
                <w:lang w:val="fr-CA"/>
              </w:rPr>
              <w:t>2 </w:t>
            </w:r>
            <w:r w:rsidRPr="00ED22D1">
              <w:rPr>
                <w:color w:val="000000"/>
                <w:sz w:val="18"/>
                <w:szCs w:val="18"/>
                <w:lang w:val="fr-CA"/>
              </w:rPr>
              <w:t xml:space="preserve">380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3-7</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Yantai Ousenna</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7</w:t>
            </w:r>
            <w:r w:rsidR="004A6828" w:rsidRPr="00ED22D1">
              <w:rPr>
                <w:color w:val="000000"/>
                <w:sz w:val="20"/>
                <w:szCs w:val="20"/>
                <w:lang w:val="fr-CA"/>
              </w:rPr>
              <w:t>0,</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4A6828" w:rsidP="00D87C7D">
            <w:pPr>
              <w:jc w:val="right"/>
              <w:rPr>
                <w:color w:val="000000"/>
                <w:sz w:val="18"/>
                <w:szCs w:val="18"/>
                <w:lang w:val="fr-CA" w:eastAsia="zh-CN"/>
              </w:rPr>
            </w:pPr>
            <w:r w:rsidRPr="00ED22D1">
              <w:rPr>
                <w:color w:val="000000"/>
                <w:sz w:val="18"/>
                <w:szCs w:val="18"/>
                <w:lang w:val="fr-CA"/>
              </w:rPr>
              <w:t>1 </w:t>
            </w:r>
            <w:r w:rsidR="00D002F4" w:rsidRPr="00ED22D1">
              <w:rPr>
                <w:color w:val="000000"/>
                <w:sz w:val="18"/>
                <w:szCs w:val="18"/>
                <w:lang w:val="fr-CA"/>
              </w:rPr>
              <w:t>10</w:t>
            </w:r>
            <w:r w:rsidRPr="00ED22D1">
              <w:rPr>
                <w:color w:val="000000"/>
                <w:sz w:val="18"/>
                <w:szCs w:val="18"/>
                <w:lang w:val="fr-CA"/>
              </w:rPr>
              <w:t>5 </w:t>
            </w:r>
            <w:r w:rsidR="00D002F4" w:rsidRPr="00ED22D1">
              <w:rPr>
                <w:color w:val="000000"/>
                <w:sz w:val="18"/>
                <w:szCs w:val="18"/>
                <w:lang w:val="fr-CA"/>
              </w:rPr>
              <w:t xml:space="preserve">800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3-8</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Liaoning Gaoxiang</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4</w:t>
            </w:r>
            <w:r w:rsidR="004A6828" w:rsidRPr="00ED22D1">
              <w:rPr>
                <w:color w:val="000000"/>
                <w:sz w:val="20"/>
                <w:szCs w:val="20"/>
                <w:lang w:val="fr-CA"/>
              </w:rPr>
              <w:t>7,</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82</w:t>
            </w:r>
            <w:r w:rsidR="004A6828" w:rsidRPr="00ED22D1">
              <w:rPr>
                <w:color w:val="000000"/>
                <w:sz w:val="18"/>
                <w:szCs w:val="18"/>
                <w:lang w:val="fr-CA"/>
              </w:rPr>
              <w:t>1 </w:t>
            </w:r>
            <w:r w:rsidRPr="00ED22D1">
              <w:rPr>
                <w:color w:val="000000"/>
                <w:sz w:val="18"/>
                <w:szCs w:val="18"/>
                <w:lang w:val="fr-CA"/>
              </w:rPr>
              <w:t xml:space="preserve">780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lastRenderedPageBreak/>
              <w:t>3-9</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Liaoning Gaoxiang</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3</w:t>
            </w:r>
            <w:r w:rsidR="004A6828" w:rsidRPr="00ED22D1">
              <w:rPr>
                <w:color w:val="000000"/>
                <w:sz w:val="20"/>
                <w:szCs w:val="20"/>
                <w:lang w:val="fr-CA"/>
              </w:rPr>
              <w:t>8,</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68</w:t>
            </w:r>
            <w:r w:rsidR="004A6828" w:rsidRPr="00ED22D1">
              <w:rPr>
                <w:color w:val="000000"/>
                <w:sz w:val="18"/>
                <w:szCs w:val="18"/>
                <w:lang w:val="fr-CA"/>
              </w:rPr>
              <w:t>7 </w:t>
            </w:r>
            <w:r w:rsidRPr="00ED22D1">
              <w:rPr>
                <w:color w:val="000000"/>
                <w:sz w:val="18"/>
                <w:szCs w:val="18"/>
                <w:lang w:val="fr-CA"/>
              </w:rPr>
              <w:t xml:space="preserve">320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3-10</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Shenyang Anjie</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4</w:t>
            </w:r>
            <w:r w:rsidR="004A6828" w:rsidRPr="00ED22D1">
              <w:rPr>
                <w:color w:val="000000"/>
                <w:sz w:val="20"/>
                <w:szCs w:val="20"/>
                <w:lang w:val="fr-CA"/>
              </w:rPr>
              <w:t>5,</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79</w:t>
            </w:r>
            <w:r w:rsidR="004A6828" w:rsidRPr="00ED22D1">
              <w:rPr>
                <w:color w:val="000000"/>
                <w:sz w:val="18"/>
                <w:szCs w:val="18"/>
                <w:lang w:val="fr-CA"/>
              </w:rPr>
              <w:t>1 </w:t>
            </w:r>
            <w:r w:rsidRPr="00ED22D1">
              <w:rPr>
                <w:color w:val="000000"/>
                <w:sz w:val="18"/>
                <w:szCs w:val="18"/>
                <w:lang w:val="fr-CA"/>
              </w:rPr>
              <w:t xml:space="preserve">900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3-11</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Shanghai Jiadun</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3</w:t>
            </w:r>
            <w:r w:rsidR="004A6828" w:rsidRPr="00ED22D1">
              <w:rPr>
                <w:color w:val="000000"/>
                <w:sz w:val="20"/>
                <w:szCs w:val="20"/>
                <w:lang w:val="fr-CA"/>
              </w:rPr>
              <w:t>5,</w:t>
            </w:r>
            <w:r w:rsidRPr="00ED22D1">
              <w:rPr>
                <w:color w:val="000000"/>
                <w:sz w:val="20"/>
                <w:szCs w:val="20"/>
                <w:lang w:val="fr-CA"/>
              </w:rPr>
              <w:t xml:space="preserve">00 </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64</w:t>
            </w:r>
            <w:r w:rsidR="004A6828" w:rsidRPr="00ED22D1">
              <w:rPr>
                <w:color w:val="000000"/>
                <w:sz w:val="18"/>
                <w:szCs w:val="18"/>
                <w:lang w:val="fr-CA"/>
              </w:rPr>
              <w:t>2 </w:t>
            </w:r>
            <w:r w:rsidRPr="00ED22D1">
              <w:rPr>
                <w:color w:val="000000"/>
                <w:sz w:val="18"/>
                <w:szCs w:val="18"/>
                <w:lang w:val="fr-CA"/>
              </w:rPr>
              <w:t xml:space="preserve">500 </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3-12</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Yantai Wanxin</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4</w:t>
            </w:r>
            <w:r w:rsidR="004A6828" w:rsidRPr="00ED22D1">
              <w:rPr>
                <w:color w:val="000000"/>
                <w:sz w:val="20"/>
                <w:szCs w:val="20"/>
                <w:lang w:val="fr-CA"/>
              </w:rPr>
              <w:t>4,</w:t>
            </w:r>
            <w:r w:rsidRPr="00ED22D1">
              <w:rPr>
                <w:color w:val="000000"/>
                <w:sz w:val="20"/>
                <w:szCs w:val="20"/>
                <w:lang w:val="fr-CA"/>
              </w:rPr>
              <w:t>00</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77</w:t>
            </w:r>
            <w:r w:rsidR="004A6828" w:rsidRPr="00ED22D1">
              <w:rPr>
                <w:color w:val="000000"/>
                <w:sz w:val="18"/>
                <w:szCs w:val="18"/>
                <w:lang w:val="fr-CA"/>
              </w:rPr>
              <w:t>6 </w:t>
            </w:r>
            <w:r w:rsidRPr="00ED22D1">
              <w:rPr>
                <w:color w:val="000000"/>
                <w:sz w:val="18"/>
                <w:szCs w:val="18"/>
                <w:lang w:val="fr-CA"/>
              </w:rPr>
              <w:t>960</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3-13</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Hunan Nanfang</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4</w:t>
            </w:r>
            <w:r w:rsidR="004A6828" w:rsidRPr="00ED22D1">
              <w:rPr>
                <w:color w:val="000000"/>
                <w:sz w:val="20"/>
                <w:szCs w:val="20"/>
                <w:lang w:val="fr-CA"/>
              </w:rPr>
              <w:t>6,</w:t>
            </w:r>
            <w:r w:rsidRPr="00ED22D1">
              <w:rPr>
                <w:color w:val="000000"/>
                <w:sz w:val="20"/>
                <w:szCs w:val="20"/>
                <w:lang w:val="fr-CA"/>
              </w:rPr>
              <w:t>00</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80</w:t>
            </w:r>
            <w:r w:rsidR="004A6828" w:rsidRPr="00ED22D1">
              <w:rPr>
                <w:color w:val="000000"/>
                <w:sz w:val="18"/>
                <w:szCs w:val="18"/>
                <w:lang w:val="fr-CA"/>
              </w:rPr>
              <w:t>6 </w:t>
            </w:r>
            <w:r w:rsidRPr="00ED22D1">
              <w:rPr>
                <w:color w:val="000000"/>
                <w:sz w:val="18"/>
                <w:szCs w:val="18"/>
                <w:lang w:val="fr-CA"/>
              </w:rPr>
              <w:t>840</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3-14</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Hunan Nanfang</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2</w:t>
            </w:r>
            <w:r w:rsidR="004A6828" w:rsidRPr="00ED22D1">
              <w:rPr>
                <w:color w:val="000000"/>
                <w:sz w:val="20"/>
                <w:szCs w:val="20"/>
                <w:lang w:val="fr-CA"/>
              </w:rPr>
              <w:t>3,</w:t>
            </w:r>
            <w:r w:rsidRPr="00ED22D1">
              <w:rPr>
                <w:color w:val="000000"/>
                <w:sz w:val="20"/>
                <w:szCs w:val="20"/>
                <w:lang w:val="fr-CA"/>
              </w:rPr>
              <w:t>00</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46</w:t>
            </w:r>
            <w:r w:rsidR="004A6828" w:rsidRPr="00ED22D1">
              <w:rPr>
                <w:color w:val="000000"/>
                <w:sz w:val="18"/>
                <w:szCs w:val="18"/>
                <w:lang w:val="fr-CA"/>
              </w:rPr>
              <w:t>3 </w:t>
            </w:r>
            <w:r w:rsidRPr="00ED22D1">
              <w:rPr>
                <w:color w:val="000000"/>
                <w:sz w:val="18"/>
                <w:szCs w:val="18"/>
                <w:lang w:val="fr-CA"/>
              </w:rPr>
              <w:t>220</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3-15</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Quanzhou Zhiyun</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4</w:t>
            </w:r>
            <w:r w:rsidR="004A6828" w:rsidRPr="00ED22D1">
              <w:rPr>
                <w:color w:val="000000"/>
                <w:sz w:val="20"/>
                <w:szCs w:val="20"/>
                <w:lang w:val="fr-CA"/>
              </w:rPr>
              <w:t>9,</w:t>
            </w:r>
            <w:r w:rsidRPr="00ED22D1">
              <w:rPr>
                <w:color w:val="000000"/>
                <w:sz w:val="20"/>
                <w:szCs w:val="20"/>
                <w:lang w:val="fr-CA"/>
              </w:rPr>
              <w:t>00</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85</w:t>
            </w:r>
            <w:r w:rsidR="004A6828" w:rsidRPr="00ED22D1">
              <w:rPr>
                <w:color w:val="000000"/>
                <w:sz w:val="18"/>
                <w:szCs w:val="18"/>
                <w:lang w:val="fr-CA"/>
              </w:rPr>
              <w:t>1 </w:t>
            </w:r>
            <w:r w:rsidRPr="00ED22D1">
              <w:rPr>
                <w:color w:val="000000"/>
                <w:sz w:val="18"/>
                <w:szCs w:val="18"/>
                <w:lang w:val="fr-CA"/>
              </w:rPr>
              <w:t>660</w:t>
            </w:r>
          </w:p>
        </w:tc>
      </w:tr>
      <w:tr w:rsidR="00D002F4" w:rsidRPr="00ED22D1" w:rsidTr="00076D8A">
        <w:trPr>
          <w:trHeight w:val="33"/>
        </w:trPr>
        <w:tc>
          <w:tcPr>
            <w:tcW w:w="320"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18"/>
                <w:szCs w:val="18"/>
                <w:lang w:val="fr-CA" w:eastAsia="zh-CN"/>
              </w:rPr>
              <w:t>3-16</w:t>
            </w:r>
          </w:p>
        </w:tc>
        <w:tc>
          <w:tcPr>
            <w:tcW w:w="997"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Shenyang Gulun</w:t>
            </w:r>
          </w:p>
        </w:tc>
        <w:tc>
          <w:tcPr>
            <w:tcW w:w="636"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20"/>
                <w:szCs w:val="20"/>
                <w:lang w:val="fr-CA"/>
              </w:rPr>
              <w:t>3</w:t>
            </w:r>
            <w:r w:rsidR="004A6828" w:rsidRPr="00ED22D1">
              <w:rPr>
                <w:color w:val="000000"/>
                <w:sz w:val="20"/>
                <w:szCs w:val="20"/>
                <w:lang w:val="fr-CA"/>
              </w:rPr>
              <w:t>0,</w:t>
            </w:r>
            <w:r w:rsidRPr="00ED22D1">
              <w:rPr>
                <w:color w:val="000000"/>
                <w:sz w:val="20"/>
                <w:szCs w:val="20"/>
                <w:lang w:val="fr-CA"/>
              </w:rPr>
              <w:t>00</w:t>
            </w:r>
          </w:p>
        </w:tc>
        <w:tc>
          <w:tcPr>
            <w:tcW w:w="404" w:type="pct"/>
            <w:tcBorders>
              <w:top w:val="nil"/>
              <w:left w:val="nil"/>
              <w:bottom w:val="single" w:sz="4" w:space="0" w:color="auto"/>
              <w:right w:val="single" w:sz="4" w:space="0" w:color="auto"/>
            </w:tcBorders>
            <w:shd w:val="clear" w:color="auto" w:fill="auto"/>
            <w:noWrap/>
          </w:tcPr>
          <w:p w:rsidR="00D002F4" w:rsidRPr="00ED22D1" w:rsidRDefault="00D002F4" w:rsidP="00D87C7D">
            <w:pPr>
              <w:jc w:val="right"/>
              <w:rPr>
                <w:color w:val="000000"/>
                <w:sz w:val="18"/>
                <w:szCs w:val="18"/>
                <w:lang w:val="fr-CA" w:eastAsia="zh-CN"/>
              </w:rPr>
            </w:pPr>
            <w:r w:rsidRPr="00ED22D1">
              <w:rPr>
                <w:color w:val="000000"/>
                <w:sz w:val="18"/>
                <w:szCs w:val="18"/>
                <w:lang w:val="fr-CA"/>
              </w:rPr>
              <w:t>1</w:t>
            </w:r>
          </w:p>
        </w:tc>
        <w:tc>
          <w:tcPr>
            <w:tcW w:w="1261" w:type="pct"/>
            <w:tcBorders>
              <w:top w:val="nil"/>
              <w:left w:val="nil"/>
              <w:bottom w:val="single" w:sz="4" w:space="0" w:color="auto"/>
              <w:right w:val="single" w:sz="4" w:space="0" w:color="auto"/>
            </w:tcBorders>
            <w:shd w:val="clear" w:color="auto" w:fill="auto"/>
          </w:tcPr>
          <w:p w:rsidR="00D002F4" w:rsidRPr="00ED22D1" w:rsidRDefault="001354A8" w:rsidP="00D87C7D">
            <w:pPr>
              <w:jc w:val="left"/>
              <w:rPr>
                <w:color w:val="000000"/>
                <w:sz w:val="18"/>
                <w:szCs w:val="18"/>
                <w:lang w:val="fr-CA" w:eastAsia="zh-CN"/>
              </w:rPr>
            </w:pPr>
            <w:r w:rsidRPr="00ED22D1">
              <w:rPr>
                <w:color w:val="000000"/>
                <w:sz w:val="18"/>
                <w:szCs w:val="18"/>
                <w:lang w:val="fr-CA"/>
              </w:rPr>
              <w:t>Unités de congélation, de réfrigération et de condensation</w:t>
            </w:r>
          </w:p>
        </w:tc>
        <w:tc>
          <w:tcPr>
            <w:tcW w:w="741" w:type="pct"/>
            <w:tcBorders>
              <w:top w:val="nil"/>
              <w:left w:val="single" w:sz="4" w:space="0" w:color="auto"/>
              <w:bottom w:val="single" w:sz="4" w:space="0" w:color="auto"/>
              <w:right w:val="single" w:sz="4" w:space="0" w:color="auto"/>
            </w:tcBorders>
            <w:shd w:val="clear" w:color="auto" w:fill="auto"/>
            <w:noWrap/>
          </w:tcPr>
          <w:p w:rsidR="00D002F4" w:rsidRPr="00ED22D1" w:rsidRDefault="00D002F4" w:rsidP="00D87C7D">
            <w:pPr>
              <w:jc w:val="left"/>
              <w:rPr>
                <w:color w:val="000000"/>
                <w:sz w:val="18"/>
                <w:szCs w:val="18"/>
                <w:lang w:val="fr-CA" w:eastAsia="zh-CN"/>
              </w:rPr>
            </w:pPr>
            <w:r w:rsidRPr="00ED22D1">
              <w:rPr>
                <w:color w:val="000000"/>
                <w:sz w:val="20"/>
                <w:szCs w:val="20"/>
                <w:lang w:val="fr-CA"/>
              </w:rPr>
              <w:t>HFC-134a/CO</w:t>
            </w:r>
            <w:r w:rsidRPr="00ED22D1">
              <w:rPr>
                <w:color w:val="000000"/>
                <w:sz w:val="20"/>
                <w:szCs w:val="20"/>
                <w:vertAlign w:val="subscript"/>
                <w:lang w:val="fr-CA"/>
              </w:rPr>
              <w:t>2</w:t>
            </w:r>
          </w:p>
        </w:tc>
        <w:tc>
          <w:tcPr>
            <w:tcW w:w="640" w:type="pct"/>
            <w:tcBorders>
              <w:top w:val="nil"/>
              <w:left w:val="nil"/>
              <w:bottom w:val="single" w:sz="4" w:space="0" w:color="auto"/>
              <w:right w:val="single" w:sz="4" w:space="0" w:color="auto"/>
            </w:tcBorders>
            <w:shd w:val="clear" w:color="auto" w:fill="auto"/>
          </w:tcPr>
          <w:p w:rsidR="00D002F4" w:rsidRPr="00ED22D1" w:rsidRDefault="00D002F4" w:rsidP="00D87C7D">
            <w:pPr>
              <w:jc w:val="right"/>
              <w:rPr>
                <w:color w:val="000000"/>
                <w:sz w:val="18"/>
                <w:szCs w:val="18"/>
                <w:lang w:val="fr-CA" w:eastAsia="zh-CN"/>
              </w:rPr>
            </w:pPr>
            <w:r w:rsidRPr="00ED22D1">
              <w:rPr>
                <w:color w:val="000000"/>
                <w:sz w:val="18"/>
                <w:szCs w:val="18"/>
                <w:lang w:val="fr-CA"/>
              </w:rPr>
              <w:t>56</w:t>
            </w:r>
            <w:r w:rsidR="004A6828" w:rsidRPr="00ED22D1">
              <w:rPr>
                <w:color w:val="000000"/>
                <w:sz w:val="18"/>
                <w:szCs w:val="18"/>
                <w:lang w:val="fr-CA"/>
              </w:rPr>
              <w:t>7 </w:t>
            </w:r>
            <w:r w:rsidRPr="00ED22D1">
              <w:rPr>
                <w:color w:val="000000"/>
                <w:sz w:val="18"/>
                <w:szCs w:val="18"/>
                <w:lang w:val="fr-CA"/>
              </w:rPr>
              <w:t>800</w:t>
            </w:r>
          </w:p>
        </w:tc>
      </w:tr>
      <w:tr w:rsidR="00D002F4" w:rsidRPr="00ED22D1" w:rsidTr="00076D8A">
        <w:trPr>
          <w:trHeight w:val="46"/>
        </w:trPr>
        <w:tc>
          <w:tcPr>
            <w:tcW w:w="320"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color w:val="000000"/>
                <w:sz w:val="18"/>
                <w:szCs w:val="18"/>
                <w:lang w:val="fr-CA" w:eastAsia="zh-CN"/>
              </w:rPr>
            </w:pPr>
          </w:p>
        </w:tc>
        <w:tc>
          <w:tcPr>
            <w:tcW w:w="997" w:type="pct"/>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left"/>
              <w:rPr>
                <w:b/>
                <w:color w:val="000000"/>
                <w:sz w:val="18"/>
                <w:szCs w:val="18"/>
                <w:lang w:val="fr-CA" w:eastAsia="zh-CN"/>
              </w:rPr>
            </w:pPr>
            <w:r w:rsidRPr="00ED22D1">
              <w:rPr>
                <w:b/>
                <w:bCs/>
                <w:color w:val="000000"/>
                <w:sz w:val="18"/>
                <w:szCs w:val="18"/>
                <w:lang w:val="fr-CA"/>
              </w:rPr>
              <w:t>Total</w:t>
            </w:r>
          </w:p>
        </w:tc>
        <w:tc>
          <w:tcPr>
            <w:tcW w:w="636" w:type="pct"/>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b/>
                <w:color w:val="000000"/>
                <w:sz w:val="18"/>
                <w:szCs w:val="18"/>
                <w:lang w:val="fr-CA" w:eastAsia="zh-CN"/>
              </w:rPr>
            </w:pPr>
            <w:r w:rsidRPr="00ED22D1">
              <w:rPr>
                <w:b/>
                <w:bCs/>
                <w:color w:val="000000"/>
                <w:sz w:val="18"/>
                <w:szCs w:val="18"/>
                <w:lang w:val="fr-CA"/>
              </w:rPr>
              <w:t>1 </w:t>
            </w:r>
            <w:r w:rsidR="00D002F4" w:rsidRPr="00ED22D1">
              <w:rPr>
                <w:b/>
                <w:bCs/>
                <w:color w:val="000000"/>
                <w:sz w:val="18"/>
                <w:szCs w:val="18"/>
                <w:lang w:val="fr-CA"/>
              </w:rPr>
              <w:t>06</w:t>
            </w:r>
            <w:r w:rsidRPr="00ED22D1">
              <w:rPr>
                <w:b/>
                <w:bCs/>
                <w:color w:val="000000"/>
                <w:sz w:val="18"/>
                <w:szCs w:val="18"/>
                <w:lang w:val="fr-CA"/>
              </w:rPr>
              <w:t>7,</w:t>
            </w:r>
            <w:r w:rsidR="00D002F4" w:rsidRPr="00ED22D1">
              <w:rPr>
                <w:b/>
                <w:bCs/>
                <w:color w:val="000000"/>
                <w:sz w:val="18"/>
                <w:szCs w:val="18"/>
                <w:lang w:val="fr-CA"/>
              </w:rPr>
              <w:t xml:space="preserve">00 </w:t>
            </w:r>
          </w:p>
        </w:tc>
        <w:tc>
          <w:tcPr>
            <w:tcW w:w="404"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b/>
                <w:color w:val="000000"/>
                <w:sz w:val="18"/>
                <w:szCs w:val="18"/>
                <w:lang w:val="fr-CA" w:eastAsia="zh-CN"/>
              </w:rPr>
            </w:pPr>
            <w:r w:rsidRPr="00ED22D1">
              <w:rPr>
                <w:b/>
                <w:bCs/>
                <w:color w:val="000000"/>
                <w:sz w:val="18"/>
                <w:szCs w:val="18"/>
                <w:lang w:val="fr-CA"/>
              </w:rPr>
              <w:t xml:space="preserve">16 </w:t>
            </w:r>
          </w:p>
        </w:tc>
        <w:tc>
          <w:tcPr>
            <w:tcW w:w="1261"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b/>
                <w:color w:val="000000"/>
                <w:sz w:val="18"/>
                <w:szCs w:val="18"/>
                <w:lang w:val="fr-CA" w:eastAsia="zh-CN"/>
              </w:rPr>
            </w:pPr>
            <w:r w:rsidRPr="00ED22D1">
              <w:rPr>
                <w:b/>
                <w:bCs/>
                <w:color w:val="000000"/>
                <w:sz w:val="18"/>
                <w:szCs w:val="18"/>
                <w:lang w:val="fr-CA"/>
              </w:rPr>
              <w:t>-</w:t>
            </w:r>
          </w:p>
        </w:tc>
        <w:tc>
          <w:tcPr>
            <w:tcW w:w="741"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left"/>
              <w:rPr>
                <w:b/>
                <w:color w:val="000000"/>
                <w:sz w:val="18"/>
                <w:szCs w:val="18"/>
                <w:lang w:val="fr-CA" w:eastAsia="zh-CN"/>
              </w:rPr>
            </w:pPr>
            <w:r w:rsidRPr="00ED22D1">
              <w:rPr>
                <w:b/>
                <w:bCs/>
                <w:color w:val="000000"/>
                <w:sz w:val="18"/>
                <w:szCs w:val="18"/>
                <w:lang w:val="fr-CA"/>
              </w:rPr>
              <w:t>-</w:t>
            </w:r>
          </w:p>
        </w:tc>
        <w:tc>
          <w:tcPr>
            <w:tcW w:w="640" w:type="pct"/>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b/>
                <w:color w:val="000000"/>
                <w:sz w:val="18"/>
                <w:szCs w:val="18"/>
                <w:lang w:val="fr-CA" w:eastAsia="zh-CN"/>
              </w:rPr>
            </w:pPr>
            <w:r w:rsidRPr="00ED22D1">
              <w:rPr>
                <w:b/>
                <w:bCs/>
                <w:color w:val="000000"/>
                <w:sz w:val="18"/>
                <w:szCs w:val="18"/>
                <w:lang w:val="fr-CA"/>
              </w:rPr>
              <w:t>1</w:t>
            </w:r>
            <w:r w:rsidR="004A6828" w:rsidRPr="00ED22D1">
              <w:rPr>
                <w:b/>
                <w:bCs/>
                <w:color w:val="000000"/>
                <w:sz w:val="18"/>
                <w:szCs w:val="18"/>
                <w:lang w:val="fr-CA"/>
              </w:rPr>
              <w:t>6 </w:t>
            </w:r>
            <w:r w:rsidRPr="00ED22D1">
              <w:rPr>
                <w:b/>
                <w:bCs/>
                <w:color w:val="000000"/>
                <w:sz w:val="18"/>
                <w:szCs w:val="18"/>
                <w:lang w:val="fr-CA"/>
              </w:rPr>
              <w:t>77</w:t>
            </w:r>
            <w:r w:rsidR="004A6828" w:rsidRPr="00ED22D1">
              <w:rPr>
                <w:b/>
                <w:bCs/>
                <w:color w:val="000000"/>
                <w:sz w:val="18"/>
                <w:szCs w:val="18"/>
                <w:lang w:val="fr-CA"/>
              </w:rPr>
              <w:t>0 </w:t>
            </w:r>
            <w:r w:rsidRPr="00ED22D1">
              <w:rPr>
                <w:b/>
                <w:bCs/>
                <w:color w:val="000000"/>
                <w:sz w:val="18"/>
                <w:szCs w:val="18"/>
                <w:lang w:val="fr-CA"/>
              </w:rPr>
              <w:t xml:space="preserve">034 </w:t>
            </w:r>
          </w:p>
        </w:tc>
      </w:tr>
    </w:tbl>
    <w:p w:rsidR="00D002F4" w:rsidRPr="00ED22D1" w:rsidRDefault="00D002F4" w:rsidP="00D002F4">
      <w:pPr>
        <w:rPr>
          <w:lang w:val="fr-CA"/>
        </w:rPr>
      </w:pPr>
      <w:r w:rsidRPr="00ED22D1">
        <w:rPr>
          <w:sz w:val="18"/>
          <w:szCs w:val="18"/>
          <w:lang w:val="fr-CA"/>
        </w:rPr>
        <w:t>*</w:t>
      </w:r>
      <w:r w:rsidR="001354A8" w:rsidRPr="00ED22D1">
        <w:rPr>
          <w:sz w:val="18"/>
          <w:szCs w:val="18"/>
          <w:lang w:val="fr-CA"/>
        </w:rPr>
        <w:t xml:space="preserve">Le contrat a </w:t>
      </w:r>
      <w:r w:rsidR="00903152" w:rsidRPr="00ED22D1">
        <w:rPr>
          <w:sz w:val="18"/>
          <w:szCs w:val="18"/>
          <w:lang w:val="fr-CA"/>
        </w:rPr>
        <w:t>été</w:t>
      </w:r>
      <w:r w:rsidR="00F320D6" w:rsidRPr="00ED22D1">
        <w:rPr>
          <w:sz w:val="18"/>
          <w:szCs w:val="18"/>
          <w:lang w:val="fr-CA"/>
        </w:rPr>
        <w:t xml:space="preserve"> signé</w:t>
      </w:r>
      <w:r w:rsidR="004A6828" w:rsidRPr="00ED22D1">
        <w:rPr>
          <w:sz w:val="18"/>
          <w:szCs w:val="18"/>
          <w:lang w:val="fr-CA"/>
        </w:rPr>
        <w:t xml:space="preserve"> et </w:t>
      </w:r>
      <w:r w:rsidRPr="00ED22D1">
        <w:rPr>
          <w:sz w:val="18"/>
          <w:szCs w:val="18"/>
          <w:lang w:val="fr-CA"/>
        </w:rPr>
        <w:t>30 </w:t>
      </w:r>
      <w:r w:rsidR="001B31BF" w:rsidRPr="00ED22D1">
        <w:rPr>
          <w:sz w:val="18"/>
          <w:szCs w:val="18"/>
          <w:lang w:val="fr-CA"/>
        </w:rPr>
        <w:t>pour cent</w:t>
      </w:r>
      <w:r w:rsidRPr="00ED22D1">
        <w:rPr>
          <w:sz w:val="18"/>
          <w:szCs w:val="18"/>
          <w:lang w:val="fr-CA"/>
        </w:rPr>
        <w:t xml:space="preserve"> </w:t>
      </w:r>
      <w:r w:rsidR="001354A8" w:rsidRPr="00ED22D1">
        <w:rPr>
          <w:sz w:val="18"/>
          <w:szCs w:val="18"/>
          <w:lang w:val="fr-CA"/>
        </w:rPr>
        <w:t>du</w:t>
      </w:r>
      <w:r w:rsidRPr="00ED22D1">
        <w:rPr>
          <w:sz w:val="18"/>
          <w:szCs w:val="18"/>
          <w:lang w:val="fr-CA"/>
        </w:rPr>
        <w:t xml:space="preserve"> </w:t>
      </w:r>
      <w:r w:rsidR="00905638" w:rsidRPr="00ED22D1">
        <w:rPr>
          <w:sz w:val="18"/>
          <w:szCs w:val="18"/>
          <w:lang w:val="fr-CA"/>
        </w:rPr>
        <w:t>financement</w:t>
      </w:r>
      <w:r w:rsidR="00903152" w:rsidRPr="00ED22D1">
        <w:rPr>
          <w:sz w:val="18"/>
          <w:szCs w:val="18"/>
          <w:lang w:val="fr-CA"/>
        </w:rPr>
        <w:t xml:space="preserve"> </w:t>
      </w:r>
      <w:r w:rsidR="0080736A" w:rsidRPr="00ED22D1">
        <w:rPr>
          <w:sz w:val="18"/>
          <w:szCs w:val="18"/>
          <w:lang w:val="fr-CA"/>
        </w:rPr>
        <w:t>a</w:t>
      </w:r>
      <w:r w:rsidR="00903152" w:rsidRPr="00ED22D1">
        <w:rPr>
          <w:sz w:val="18"/>
          <w:szCs w:val="18"/>
          <w:lang w:val="fr-CA"/>
        </w:rPr>
        <w:t xml:space="preserve"> été</w:t>
      </w:r>
      <w:r w:rsidRPr="00ED22D1">
        <w:rPr>
          <w:sz w:val="18"/>
          <w:szCs w:val="18"/>
          <w:lang w:val="fr-CA"/>
        </w:rPr>
        <w:t xml:space="preserve"> </w:t>
      </w:r>
      <w:r w:rsidR="00181884" w:rsidRPr="00ED22D1">
        <w:rPr>
          <w:sz w:val="18"/>
          <w:szCs w:val="18"/>
          <w:lang w:val="fr-CA"/>
        </w:rPr>
        <w:t>décaissé</w:t>
      </w:r>
      <w:r w:rsidR="001354A8" w:rsidRPr="00ED22D1">
        <w:rPr>
          <w:sz w:val="18"/>
          <w:szCs w:val="18"/>
          <w:lang w:val="fr-CA"/>
        </w:rPr>
        <w:t>s</w:t>
      </w:r>
      <w:r w:rsidRPr="00ED22D1">
        <w:rPr>
          <w:sz w:val="18"/>
          <w:szCs w:val="18"/>
          <w:lang w:val="fr-CA"/>
        </w:rPr>
        <w:t>.</w:t>
      </w:r>
    </w:p>
    <w:p w:rsidR="00D002F4" w:rsidRPr="00ED22D1" w:rsidRDefault="00D002F4" w:rsidP="00D002F4">
      <w:pPr>
        <w:rPr>
          <w:lang w:val="fr-CA"/>
        </w:rPr>
      </w:pPr>
      <w:r w:rsidRPr="00ED22D1">
        <w:rPr>
          <w:lang w:val="fr-CA"/>
        </w:rPr>
        <w:t xml:space="preserve"> </w:t>
      </w:r>
    </w:p>
    <w:p w:rsidR="00D002F4" w:rsidRPr="00ED22D1" w:rsidRDefault="00DC2912" w:rsidP="00DC2912">
      <w:pPr>
        <w:pStyle w:val="Heading1"/>
        <w:numPr>
          <w:ilvl w:val="0"/>
          <w:numId w:val="0"/>
        </w:numPr>
        <w:rPr>
          <w:lang w:val="fr-CA"/>
        </w:rPr>
      </w:pPr>
      <w:r w:rsidRPr="00ED22D1">
        <w:rPr>
          <w:lang w:val="fr-CA"/>
        </w:rPr>
        <w:t>83.</w:t>
      </w:r>
      <w:r w:rsidRPr="00ED22D1">
        <w:rPr>
          <w:lang w:val="fr-CA"/>
        </w:rPr>
        <w:tab/>
      </w:r>
      <w:r w:rsidR="0080736A" w:rsidRPr="00ED22D1">
        <w:rPr>
          <w:lang w:val="fr-CA"/>
        </w:rPr>
        <w:t xml:space="preserve">Les </w:t>
      </w:r>
      <w:r w:rsidR="00CE4AD8">
        <w:rPr>
          <w:lang w:val="fr-CA"/>
        </w:rPr>
        <w:t xml:space="preserve">présentes </w:t>
      </w:r>
      <w:r w:rsidR="004B666A" w:rsidRPr="00ED22D1">
        <w:rPr>
          <w:lang w:val="fr-CA"/>
        </w:rPr>
        <w:t xml:space="preserve">activités d’assistance technique </w:t>
      </w:r>
      <w:r w:rsidR="0080736A" w:rsidRPr="00ED22D1">
        <w:rPr>
          <w:lang w:val="fr-CA"/>
        </w:rPr>
        <w:t xml:space="preserve">ont commencé au cours des </w:t>
      </w:r>
      <w:r w:rsidR="00181884" w:rsidRPr="00ED22D1">
        <w:rPr>
          <w:lang w:val="fr-CA"/>
        </w:rPr>
        <w:t>première</w:t>
      </w:r>
      <w:r w:rsidR="004A6828" w:rsidRPr="00ED22D1">
        <w:rPr>
          <w:lang w:val="fr-CA"/>
        </w:rPr>
        <w:t xml:space="preserve"> et </w:t>
      </w:r>
      <w:r w:rsidR="00921BDE" w:rsidRPr="00ED22D1">
        <w:rPr>
          <w:lang w:val="fr-CA"/>
        </w:rPr>
        <w:t>deuxième</w:t>
      </w:r>
      <w:r w:rsidR="00D002F4" w:rsidRPr="00ED22D1">
        <w:rPr>
          <w:lang w:val="fr-CA"/>
        </w:rPr>
        <w:t xml:space="preserve"> tranches </w:t>
      </w:r>
      <w:r w:rsidR="0080736A" w:rsidRPr="00ED22D1">
        <w:rPr>
          <w:lang w:val="fr-CA"/>
        </w:rPr>
        <w:t xml:space="preserve">et la mise en oeuvre sera poursuivie au cours de </w:t>
      </w:r>
      <w:r w:rsidR="00874624" w:rsidRPr="00ED22D1">
        <w:rPr>
          <w:lang w:val="fr-CA"/>
        </w:rPr>
        <w:t>la troisième</w:t>
      </w:r>
      <w:r w:rsidR="00D002F4" w:rsidRPr="00ED22D1">
        <w:rPr>
          <w:lang w:val="fr-CA"/>
        </w:rPr>
        <w:t xml:space="preserve"> tranche. </w:t>
      </w:r>
      <w:r w:rsidR="0080736A" w:rsidRPr="00ED22D1">
        <w:rPr>
          <w:lang w:val="fr-CA"/>
        </w:rPr>
        <w:t xml:space="preserve">En outre, les activités </w:t>
      </w:r>
      <w:r w:rsidR="004B666A" w:rsidRPr="00ED22D1">
        <w:rPr>
          <w:lang w:val="fr-CA"/>
        </w:rPr>
        <w:t>d’assistance technique</w:t>
      </w:r>
      <w:r w:rsidR="00903152" w:rsidRPr="00ED22D1">
        <w:rPr>
          <w:lang w:val="fr-CA"/>
        </w:rPr>
        <w:t xml:space="preserve"> </w:t>
      </w:r>
      <w:r w:rsidR="0080736A" w:rsidRPr="00ED22D1">
        <w:rPr>
          <w:lang w:val="fr-CA"/>
        </w:rPr>
        <w:t xml:space="preserve">suivantes </w:t>
      </w:r>
      <w:r w:rsidR="00903152" w:rsidRPr="00ED22D1">
        <w:rPr>
          <w:lang w:val="fr-CA"/>
        </w:rPr>
        <w:t>ont été</w:t>
      </w:r>
      <w:r w:rsidR="0080736A" w:rsidRPr="00ED22D1">
        <w:rPr>
          <w:lang w:val="fr-CA"/>
        </w:rPr>
        <w:t xml:space="preserve"> déterminées pour </w:t>
      </w:r>
      <w:r w:rsidR="00921BDE" w:rsidRPr="00ED22D1">
        <w:rPr>
          <w:lang w:val="fr-CA"/>
        </w:rPr>
        <w:t xml:space="preserve">mise en oeuvre </w:t>
      </w:r>
      <w:r w:rsidR="0080736A" w:rsidRPr="00ED22D1">
        <w:rPr>
          <w:lang w:val="fr-CA"/>
        </w:rPr>
        <w:t>au cours de</w:t>
      </w:r>
      <w:r w:rsidR="00D002F4" w:rsidRPr="00ED22D1">
        <w:rPr>
          <w:lang w:val="fr-CA"/>
        </w:rPr>
        <w:t xml:space="preserve"> </w:t>
      </w:r>
      <w:r w:rsidR="00874624" w:rsidRPr="00ED22D1">
        <w:rPr>
          <w:lang w:val="fr-CA"/>
        </w:rPr>
        <w:t>la troisième</w:t>
      </w:r>
      <w:r w:rsidR="00D002F4" w:rsidRPr="00ED22D1">
        <w:rPr>
          <w:lang w:val="fr-CA"/>
        </w:rPr>
        <w:t xml:space="preserve"> tranche (</w:t>
      </w:r>
      <w:r w:rsidR="0080736A" w:rsidRPr="00ED22D1">
        <w:rPr>
          <w:lang w:val="fr-CA"/>
        </w:rPr>
        <w:t xml:space="preserve">les coûts des </w:t>
      </w:r>
      <w:r w:rsidR="004B666A" w:rsidRPr="00ED22D1">
        <w:rPr>
          <w:lang w:val="fr-CA"/>
        </w:rPr>
        <w:t xml:space="preserve">activités d’assistance technique </w:t>
      </w:r>
      <w:r w:rsidR="0080736A" w:rsidRPr="00ED22D1">
        <w:rPr>
          <w:lang w:val="fr-CA"/>
        </w:rPr>
        <w:t>prévues seront déterminés au cours des appels d’offres</w:t>
      </w:r>
      <w:r w:rsidR="00D002F4" w:rsidRPr="00ED22D1">
        <w:rPr>
          <w:lang w:val="fr-CA"/>
        </w:rPr>
        <w:t xml:space="preserve">). </w:t>
      </w:r>
      <w:r w:rsidR="0080736A" w:rsidRPr="00ED22D1">
        <w:rPr>
          <w:lang w:val="fr-CA"/>
        </w:rPr>
        <w:t>Des</w:t>
      </w:r>
      <w:r w:rsidR="00D002F4" w:rsidRPr="00ED22D1">
        <w:rPr>
          <w:lang w:val="fr-CA"/>
        </w:rPr>
        <w:t xml:space="preserve"> </w:t>
      </w:r>
      <w:r w:rsidR="001B45EC" w:rsidRPr="00ED22D1">
        <w:rPr>
          <w:lang w:val="fr-CA"/>
        </w:rPr>
        <w:t>activités</w:t>
      </w:r>
      <w:r w:rsidR="00D002F4" w:rsidRPr="00ED22D1">
        <w:rPr>
          <w:lang w:val="fr-CA"/>
        </w:rPr>
        <w:t xml:space="preserve"> </w:t>
      </w:r>
      <w:r w:rsidR="0080736A" w:rsidRPr="00ED22D1">
        <w:rPr>
          <w:lang w:val="fr-CA"/>
        </w:rPr>
        <w:t>supplémentaires pourront être identifiées</w:t>
      </w:r>
      <w:r w:rsidR="004A6828" w:rsidRPr="00ED22D1">
        <w:rPr>
          <w:lang w:val="fr-CA"/>
        </w:rPr>
        <w:t xml:space="preserve"> et </w:t>
      </w:r>
      <w:r w:rsidR="0080736A" w:rsidRPr="00ED22D1">
        <w:rPr>
          <w:lang w:val="fr-CA"/>
        </w:rPr>
        <w:t>mises en oeuvre au besoin</w:t>
      </w:r>
      <w:r w:rsidR="00D002F4" w:rsidRPr="00ED22D1">
        <w:rPr>
          <w:lang w:val="fr-CA"/>
        </w:rPr>
        <w:t xml:space="preserve">.  </w:t>
      </w:r>
    </w:p>
    <w:p w:rsidR="00D002F4" w:rsidRPr="00ED22D1" w:rsidRDefault="00DC2912" w:rsidP="00DC2912">
      <w:pPr>
        <w:pStyle w:val="Heading2"/>
        <w:numPr>
          <w:ilvl w:val="0"/>
          <w:numId w:val="0"/>
        </w:numPr>
        <w:ind w:left="1418" w:hanging="709"/>
        <w:rPr>
          <w:lang w:val="fr-CA"/>
        </w:rPr>
      </w:pPr>
      <w:r w:rsidRPr="00ED22D1">
        <w:rPr>
          <w:lang w:val="fr-CA"/>
        </w:rPr>
        <w:t>(a)</w:t>
      </w:r>
      <w:r w:rsidRPr="00ED22D1">
        <w:rPr>
          <w:lang w:val="fr-CA"/>
        </w:rPr>
        <w:tab/>
      </w:r>
      <w:r w:rsidR="0080736A" w:rsidRPr="00ED22D1">
        <w:rPr>
          <w:lang w:val="fr-CA"/>
        </w:rPr>
        <w:t xml:space="preserve">Un examen de la plus récente recherche sur les </w:t>
      </w:r>
      <w:r w:rsidR="002F6D48" w:rsidRPr="00ED22D1">
        <w:rPr>
          <w:lang w:val="fr-CA"/>
        </w:rPr>
        <w:t>frigorigène</w:t>
      </w:r>
      <w:r w:rsidR="00D002F4" w:rsidRPr="00ED22D1">
        <w:rPr>
          <w:lang w:val="fr-CA"/>
        </w:rPr>
        <w:t>s</w:t>
      </w:r>
      <w:r w:rsidR="004A6828" w:rsidRPr="00ED22D1">
        <w:rPr>
          <w:lang w:val="fr-CA"/>
        </w:rPr>
        <w:t xml:space="preserve"> </w:t>
      </w:r>
      <w:r w:rsidR="0080736A" w:rsidRPr="00ED22D1">
        <w:rPr>
          <w:lang w:val="fr-CA"/>
        </w:rPr>
        <w:t xml:space="preserve">avec HFO </w:t>
      </w:r>
      <w:r w:rsidR="004A6828" w:rsidRPr="00ED22D1">
        <w:rPr>
          <w:lang w:val="fr-CA"/>
        </w:rPr>
        <w:t>et</w:t>
      </w:r>
      <w:r w:rsidR="00921C74" w:rsidRPr="00ED22D1">
        <w:rPr>
          <w:lang w:val="fr-CA"/>
        </w:rPr>
        <w:t xml:space="preserve"> son</w:t>
      </w:r>
      <w:r w:rsidR="00D002F4" w:rsidRPr="00ED22D1">
        <w:rPr>
          <w:lang w:val="fr-CA"/>
        </w:rPr>
        <w:t xml:space="preserve"> application </w:t>
      </w:r>
      <w:r w:rsidR="00921C74" w:rsidRPr="00ED22D1">
        <w:rPr>
          <w:lang w:val="fr-CA"/>
        </w:rPr>
        <w:t>à divers ty</w:t>
      </w:r>
      <w:r w:rsidR="00D002F4" w:rsidRPr="00ED22D1">
        <w:rPr>
          <w:lang w:val="fr-CA"/>
        </w:rPr>
        <w:t xml:space="preserve">pes </w:t>
      </w:r>
      <w:r w:rsidR="00921C74" w:rsidRPr="00ED22D1">
        <w:rPr>
          <w:lang w:val="fr-CA"/>
        </w:rPr>
        <w:t>de</w:t>
      </w:r>
      <w:r w:rsidR="00D002F4" w:rsidRPr="00ED22D1">
        <w:rPr>
          <w:lang w:val="fr-CA"/>
        </w:rPr>
        <w:t xml:space="preserve"> </w:t>
      </w:r>
      <w:r w:rsidR="001354A8" w:rsidRPr="00ED22D1">
        <w:rPr>
          <w:lang w:val="fr-CA"/>
        </w:rPr>
        <w:t>refroidisseur d’eau</w:t>
      </w:r>
      <w:r w:rsidR="00D002F4" w:rsidRPr="00ED22D1">
        <w:rPr>
          <w:lang w:val="fr-CA"/>
        </w:rPr>
        <w:t xml:space="preserve"> (</w:t>
      </w:r>
      <w:r w:rsidR="001354A8" w:rsidRPr="00ED22D1">
        <w:rPr>
          <w:lang w:val="fr-CA"/>
        </w:rPr>
        <w:t>thermopompe</w:t>
      </w:r>
      <w:r w:rsidR="00D002F4" w:rsidRPr="00ED22D1">
        <w:rPr>
          <w:lang w:val="fr-CA"/>
        </w:rPr>
        <w:t>),</w:t>
      </w:r>
      <w:r w:rsidR="004A6828" w:rsidRPr="00ED22D1">
        <w:rPr>
          <w:lang w:val="fr-CA"/>
        </w:rPr>
        <w:t xml:space="preserve"> et </w:t>
      </w:r>
      <w:r w:rsidR="00921C74" w:rsidRPr="00ED22D1">
        <w:rPr>
          <w:lang w:val="fr-CA"/>
        </w:rPr>
        <w:t xml:space="preserve">une analyse des caractéristiques des frigorigènes avec </w:t>
      </w:r>
      <w:r w:rsidR="00D002F4" w:rsidRPr="00ED22D1">
        <w:rPr>
          <w:lang w:val="fr-CA"/>
        </w:rPr>
        <w:t xml:space="preserve">HFO, </w:t>
      </w:r>
      <w:r w:rsidR="00921C74" w:rsidRPr="00ED22D1">
        <w:rPr>
          <w:lang w:val="fr-CA"/>
        </w:rPr>
        <w:t>les cycles de système, les éléments et l’</w:t>
      </w:r>
      <w:r w:rsidR="00D002F4" w:rsidRPr="00ED22D1">
        <w:rPr>
          <w:lang w:val="fr-CA"/>
        </w:rPr>
        <w:t>optimi</w:t>
      </w:r>
      <w:r w:rsidR="00921C74" w:rsidRPr="00ED22D1">
        <w:rPr>
          <w:lang w:val="fr-CA"/>
        </w:rPr>
        <w:t>s</w:t>
      </w:r>
      <w:r w:rsidR="00D002F4" w:rsidRPr="00ED22D1">
        <w:rPr>
          <w:lang w:val="fr-CA"/>
        </w:rPr>
        <w:t xml:space="preserve">ation </w:t>
      </w:r>
      <w:r w:rsidR="00921C74" w:rsidRPr="00ED22D1">
        <w:rPr>
          <w:lang w:val="fr-CA"/>
        </w:rPr>
        <w:t>de l’utilisation de l’énergie</w:t>
      </w:r>
      <w:r w:rsidR="00D002F4" w:rsidRPr="00ED22D1">
        <w:rPr>
          <w:lang w:val="fr-CA"/>
        </w:rPr>
        <w:t xml:space="preserve">. </w:t>
      </w:r>
      <w:r w:rsidR="00921C74" w:rsidRPr="00ED22D1">
        <w:rPr>
          <w:lang w:val="fr-CA"/>
        </w:rPr>
        <w:t>Un</w:t>
      </w:r>
      <w:r w:rsidR="00D002F4" w:rsidRPr="00ED22D1">
        <w:rPr>
          <w:lang w:val="fr-CA"/>
        </w:rPr>
        <w:t xml:space="preserve"> prototype </w:t>
      </w:r>
      <w:r w:rsidR="00921C74" w:rsidRPr="00ED22D1">
        <w:rPr>
          <w:lang w:val="fr-CA"/>
        </w:rPr>
        <w:t>de</w:t>
      </w:r>
      <w:r w:rsidR="00D002F4" w:rsidRPr="00ED22D1">
        <w:rPr>
          <w:lang w:val="fr-CA"/>
        </w:rPr>
        <w:t xml:space="preserve"> </w:t>
      </w:r>
      <w:r w:rsidR="001354A8" w:rsidRPr="00ED22D1">
        <w:rPr>
          <w:lang w:val="fr-CA"/>
        </w:rPr>
        <w:t>refroidisseur d’eau</w:t>
      </w:r>
      <w:r w:rsidR="00D002F4" w:rsidRPr="00ED22D1">
        <w:rPr>
          <w:lang w:val="fr-CA"/>
        </w:rPr>
        <w:t xml:space="preserve"> (</w:t>
      </w:r>
      <w:r w:rsidR="001354A8" w:rsidRPr="00ED22D1">
        <w:rPr>
          <w:lang w:val="fr-CA"/>
        </w:rPr>
        <w:t>thermopompe</w:t>
      </w:r>
      <w:r w:rsidR="00D002F4" w:rsidRPr="00ED22D1">
        <w:rPr>
          <w:lang w:val="fr-CA"/>
        </w:rPr>
        <w:t xml:space="preserve">) </w:t>
      </w:r>
      <w:r w:rsidR="00921C74" w:rsidRPr="00ED22D1">
        <w:rPr>
          <w:lang w:val="fr-CA"/>
        </w:rPr>
        <w:t xml:space="preserve">sera construit afin de procéder à des </w:t>
      </w:r>
      <w:r w:rsidR="004B666A" w:rsidRPr="00ED22D1">
        <w:rPr>
          <w:lang w:val="fr-CA"/>
        </w:rPr>
        <w:t>essais</w:t>
      </w:r>
      <w:r w:rsidR="004A6828" w:rsidRPr="00ED22D1">
        <w:rPr>
          <w:lang w:val="fr-CA"/>
        </w:rPr>
        <w:t xml:space="preserve"> et </w:t>
      </w:r>
      <w:r w:rsidR="00921C74" w:rsidRPr="00ED22D1">
        <w:rPr>
          <w:lang w:val="fr-CA"/>
        </w:rPr>
        <w:t xml:space="preserve">à des </w:t>
      </w:r>
      <w:r w:rsidR="00D002F4" w:rsidRPr="00ED22D1">
        <w:rPr>
          <w:lang w:val="fr-CA"/>
        </w:rPr>
        <w:t>analys</w:t>
      </w:r>
      <w:r w:rsidR="00921C74" w:rsidRPr="00ED22D1">
        <w:rPr>
          <w:lang w:val="fr-CA"/>
        </w:rPr>
        <w:t>e</w:t>
      </w:r>
      <w:r w:rsidR="00D002F4" w:rsidRPr="00ED22D1">
        <w:rPr>
          <w:lang w:val="fr-CA"/>
        </w:rPr>
        <w:t>s</w:t>
      </w:r>
      <w:r w:rsidR="0031390F" w:rsidRPr="00ED22D1">
        <w:rPr>
          <w:lang w:val="fr-CA"/>
        </w:rPr>
        <w:t>. Le</w:t>
      </w:r>
      <w:r w:rsidR="00921C74" w:rsidRPr="00ED22D1">
        <w:rPr>
          <w:lang w:val="fr-CA"/>
        </w:rPr>
        <w:t xml:space="preserve"> rapport </w:t>
      </w:r>
      <w:r w:rsidR="00D002F4" w:rsidRPr="00ED22D1">
        <w:rPr>
          <w:lang w:val="fr-CA"/>
        </w:rPr>
        <w:t xml:space="preserve">final </w:t>
      </w:r>
      <w:r w:rsidR="00921C74" w:rsidRPr="00ED22D1">
        <w:rPr>
          <w:lang w:val="fr-CA"/>
        </w:rPr>
        <w:t>servira de guide pour la sé</w:t>
      </w:r>
      <w:r w:rsidR="00D002F4" w:rsidRPr="00ED22D1">
        <w:rPr>
          <w:lang w:val="fr-CA"/>
        </w:rPr>
        <w:t xml:space="preserve">lection </w:t>
      </w:r>
      <w:r w:rsidR="00921C74" w:rsidRPr="00ED22D1">
        <w:rPr>
          <w:lang w:val="fr-CA"/>
        </w:rPr>
        <w:t>de</w:t>
      </w:r>
      <w:r w:rsidR="00451B0C">
        <w:rPr>
          <w:lang w:val="fr-CA"/>
        </w:rPr>
        <w:t>s</w:t>
      </w:r>
      <w:r w:rsidR="00921C74" w:rsidRPr="00ED22D1">
        <w:rPr>
          <w:lang w:val="fr-CA"/>
        </w:rPr>
        <w:t xml:space="preserve"> </w:t>
      </w:r>
      <w:r w:rsidR="00D002F4" w:rsidRPr="00ED22D1">
        <w:rPr>
          <w:lang w:val="fr-CA"/>
        </w:rPr>
        <w:t xml:space="preserve">HFO </w:t>
      </w:r>
      <w:r w:rsidR="00921C74" w:rsidRPr="00ED22D1">
        <w:rPr>
          <w:lang w:val="fr-CA"/>
        </w:rPr>
        <w:t xml:space="preserve">comme produit de remplacement pour </w:t>
      </w:r>
      <w:r w:rsidR="00733306" w:rsidRPr="00ED22D1">
        <w:rPr>
          <w:lang w:val="fr-CA"/>
        </w:rPr>
        <w:t>l’élimination</w:t>
      </w:r>
      <w:r w:rsidR="00D002F4" w:rsidRPr="00ED22D1">
        <w:rPr>
          <w:lang w:val="fr-CA"/>
        </w:rPr>
        <w:t xml:space="preserve"> </w:t>
      </w:r>
      <w:r w:rsidR="00DB7C5D" w:rsidRPr="00ED22D1">
        <w:rPr>
          <w:lang w:val="fr-CA"/>
        </w:rPr>
        <w:t>des HCFC</w:t>
      </w:r>
      <w:r w:rsidR="00D002F4" w:rsidRPr="00ED22D1">
        <w:rPr>
          <w:lang w:val="fr-CA"/>
        </w:rPr>
        <w:t xml:space="preserve"> </w:t>
      </w:r>
      <w:r w:rsidR="00921C74" w:rsidRPr="00ED22D1">
        <w:rPr>
          <w:lang w:val="fr-CA"/>
        </w:rPr>
        <w:t>dans les refroidisseur</w:t>
      </w:r>
      <w:r w:rsidR="00D002F4" w:rsidRPr="00ED22D1">
        <w:rPr>
          <w:lang w:val="fr-CA"/>
        </w:rPr>
        <w:t>s;</w:t>
      </w:r>
    </w:p>
    <w:p w:rsidR="00D002F4" w:rsidRPr="00ED22D1" w:rsidRDefault="00DC2912" w:rsidP="00DC2912">
      <w:pPr>
        <w:pStyle w:val="Heading2"/>
        <w:keepNext/>
        <w:keepLines/>
        <w:numPr>
          <w:ilvl w:val="0"/>
          <w:numId w:val="0"/>
        </w:numPr>
        <w:ind w:left="1418" w:hanging="709"/>
        <w:rPr>
          <w:lang w:val="fr-CA"/>
        </w:rPr>
      </w:pPr>
      <w:r w:rsidRPr="00ED22D1">
        <w:rPr>
          <w:lang w:val="fr-CA"/>
        </w:rPr>
        <w:t>(b)</w:t>
      </w:r>
      <w:r w:rsidRPr="00ED22D1">
        <w:rPr>
          <w:lang w:val="fr-CA"/>
        </w:rPr>
        <w:tab/>
      </w:r>
      <w:r w:rsidR="00921C74" w:rsidRPr="00ED22D1">
        <w:rPr>
          <w:lang w:val="fr-CA"/>
        </w:rPr>
        <w:t>La recherche par une équipe composée d’experts et des examens sur les exigences en sécurité pour les systèmes de réfrigération avec</w:t>
      </w:r>
      <w:r w:rsidR="00D002F4" w:rsidRPr="00ED22D1">
        <w:rPr>
          <w:lang w:val="fr-CA"/>
        </w:rPr>
        <w:t xml:space="preserve"> CO</w:t>
      </w:r>
      <w:r w:rsidR="00D002F4" w:rsidRPr="00ED22D1">
        <w:rPr>
          <w:vertAlign w:val="subscript"/>
          <w:lang w:val="fr-CA"/>
        </w:rPr>
        <w:t>2</w:t>
      </w:r>
      <w:r w:rsidR="00D002F4" w:rsidRPr="00ED22D1">
        <w:rPr>
          <w:lang w:val="fr-CA"/>
        </w:rPr>
        <w:t xml:space="preserve">, </w:t>
      </w:r>
      <w:r w:rsidR="00921C74" w:rsidRPr="00ED22D1">
        <w:rPr>
          <w:lang w:val="fr-CA"/>
        </w:rPr>
        <w:t xml:space="preserve">la vérification des données techniques et la formulation d’un projet de règlements </w:t>
      </w:r>
      <w:r w:rsidR="00D002F4" w:rsidRPr="00ED22D1">
        <w:rPr>
          <w:lang w:val="fr-CA"/>
        </w:rPr>
        <w:t>d</w:t>
      </w:r>
      <w:r w:rsidR="00921C74" w:rsidRPr="00ED22D1">
        <w:rPr>
          <w:lang w:val="fr-CA"/>
        </w:rPr>
        <w:t xml:space="preserve">e sécurité pour les systèmes de réfrigération avec </w:t>
      </w:r>
      <w:r w:rsidR="00D002F4" w:rsidRPr="00ED22D1">
        <w:rPr>
          <w:lang w:val="fr-CA"/>
        </w:rPr>
        <w:t>CO</w:t>
      </w:r>
      <w:r w:rsidR="00D002F4" w:rsidRPr="00ED22D1">
        <w:rPr>
          <w:vertAlign w:val="subscript"/>
          <w:lang w:val="fr-CA"/>
        </w:rPr>
        <w:t>2</w:t>
      </w:r>
      <w:r w:rsidR="0031390F" w:rsidRPr="00ED22D1">
        <w:rPr>
          <w:lang w:val="fr-CA"/>
        </w:rPr>
        <w:t>. Le</w:t>
      </w:r>
      <w:r w:rsidR="00921C74" w:rsidRPr="00ED22D1">
        <w:rPr>
          <w:lang w:val="fr-CA"/>
        </w:rPr>
        <w:t xml:space="preserve">s résultats comprendront les exigences en sécurité pour les </w:t>
      </w:r>
      <w:r w:rsidR="00921BDE" w:rsidRPr="00ED22D1">
        <w:rPr>
          <w:lang w:val="fr-CA"/>
        </w:rPr>
        <w:t>équipements</w:t>
      </w:r>
      <w:r w:rsidR="004A6828" w:rsidRPr="00ED22D1">
        <w:rPr>
          <w:lang w:val="fr-CA"/>
        </w:rPr>
        <w:t xml:space="preserve"> et </w:t>
      </w:r>
      <w:r w:rsidR="00921C74" w:rsidRPr="00ED22D1">
        <w:rPr>
          <w:lang w:val="fr-CA"/>
        </w:rPr>
        <w:t xml:space="preserve">les </w:t>
      </w:r>
      <w:r w:rsidR="00D002F4" w:rsidRPr="00ED22D1">
        <w:rPr>
          <w:lang w:val="fr-CA"/>
        </w:rPr>
        <w:t>accesso</w:t>
      </w:r>
      <w:r w:rsidR="00921C74" w:rsidRPr="00ED22D1">
        <w:rPr>
          <w:lang w:val="fr-CA"/>
        </w:rPr>
        <w:t>i</w:t>
      </w:r>
      <w:r w:rsidR="00D002F4" w:rsidRPr="00ED22D1">
        <w:rPr>
          <w:lang w:val="fr-CA"/>
        </w:rPr>
        <w:t xml:space="preserve">res, </w:t>
      </w:r>
      <w:r w:rsidR="00921C74" w:rsidRPr="00ED22D1">
        <w:rPr>
          <w:lang w:val="fr-CA"/>
        </w:rPr>
        <w:t xml:space="preserve">la conception des systèmes, la </w:t>
      </w:r>
      <w:r w:rsidR="00D002F4" w:rsidRPr="00ED22D1">
        <w:rPr>
          <w:lang w:val="fr-CA"/>
        </w:rPr>
        <w:t>construction</w:t>
      </w:r>
      <w:r w:rsidR="004A6828" w:rsidRPr="00ED22D1">
        <w:rPr>
          <w:lang w:val="fr-CA"/>
        </w:rPr>
        <w:t xml:space="preserve"> et </w:t>
      </w:r>
      <w:r w:rsidR="00921C74" w:rsidRPr="00ED22D1">
        <w:rPr>
          <w:lang w:val="fr-CA"/>
        </w:rPr>
        <w:t>d’autres</w:t>
      </w:r>
      <w:r w:rsidR="00D002F4" w:rsidRPr="00ED22D1">
        <w:rPr>
          <w:lang w:val="fr-CA"/>
        </w:rPr>
        <w:t xml:space="preserve"> conditions</w:t>
      </w:r>
      <w:r w:rsidR="0031390F" w:rsidRPr="00ED22D1">
        <w:rPr>
          <w:lang w:val="fr-CA"/>
        </w:rPr>
        <w:t>. Le</w:t>
      </w:r>
      <w:r w:rsidR="00921C74" w:rsidRPr="00ED22D1">
        <w:rPr>
          <w:lang w:val="fr-CA"/>
        </w:rPr>
        <w:t xml:space="preserve">s règles de sécurité serviront de base à une utilisation générales des systèmes de réfrigération avec </w:t>
      </w:r>
      <w:r w:rsidR="00D002F4" w:rsidRPr="00ED22D1">
        <w:rPr>
          <w:lang w:val="fr-CA"/>
        </w:rPr>
        <w:t>CO</w:t>
      </w:r>
      <w:r w:rsidR="00D002F4" w:rsidRPr="00ED22D1">
        <w:rPr>
          <w:vertAlign w:val="subscript"/>
          <w:lang w:val="fr-CA"/>
        </w:rPr>
        <w:t>2</w:t>
      </w:r>
      <w:r w:rsidR="00D002F4" w:rsidRPr="00ED22D1">
        <w:rPr>
          <w:lang w:val="fr-CA"/>
        </w:rPr>
        <w:t xml:space="preserve"> </w:t>
      </w:r>
      <w:r w:rsidR="00181884" w:rsidRPr="00ED22D1">
        <w:rPr>
          <w:lang w:val="fr-CA"/>
        </w:rPr>
        <w:t>en Chine</w:t>
      </w:r>
      <w:r w:rsidR="00D002F4" w:rsidRPr="00ED22D1">
        <w:rPr>
          <w:lang w:val="fr-CA"/>
        </w:rPr>
        <w:t xml:space="preserve">; </w:t>
      </w:r>
    </w:p>
    <w:p w:rsidR="00D002F4" w:rsidRPr="00ED22D1" w:rsidRDefault="00DC2912" w:rsidP="00DC2912">
      <w:pPr>
        <w:pStyle w:val="Heading2"/>
        <w:numPr>
          <w:ilvl w:val="0"/>
          <w:numId w:val="0"/>
        </w:numPr>
        <w:ind w:left="1418" w:hanging="698"/>
        <w:rPr>
          <w:lang w:val="fr-CA"/>
        </w:rPr>
      </w:pPr>
      <w:r w:rsidRPr="00ED22D1">
        <w:rPr>
          <w:lang w:val="fr-CA"/>
        </w:rPr>
        <w:t>(c)</w:t>
      </w:r>
      <w:r w:rsidRPr="00ED22D1">
        <w:rPr>
          <w:lang w:val="fr-CA"/>
        </w:rPr>
        <w:tab/>
      </w:r>
      <w:r w:rsidR="00921C74" w:rsidRPr="00ED22D1">
        <w:rPr>
          <w:lang w:val="fr-CA"/>
        </w:rPr>
        <w:t xml:space="preserve">Un examen de la portée et de la </w:t>
      </w:r>
      <w:r w:rsidR="00D002F4" w:rsidRPr="00ED22D1">
        <w:rPr>
          <w:lang w:val="fr-CA"/>
        </w:rPr>
        <w:t xml:space="preserve">classification </w:t>
      </w:r>
      <w:r w:rsidR="00921C74" w:rsidRPr="00ED22D1">
        <w:rPr>
          <w:lang w:val="fr-CA"/>
        </w:rPr>
        <w:t>des produits de thermopompes à faible température de l’air ambiant</w:t>
      </w:r>
      <w:r w:rsidR="00D002F4" w:rsidRPr="00ED22D1">
        <w:rPr>
          <w:lang w:val="fr-CA"/>
        </w:rPr>
        <w:t>,</w:t>
      </w:r>
      <w:r w:rsidR="00921C74" w:rsidRPr="00ED22D1">
        <w:rPr>
          <w:lang w:val="fr-CA"/>
        </w:rPr>
        <w:t xml:space="preserve"> afin d’inclure des dispositions supplémentaires pour les</w:t>
      </w:r>
      <w:r w:rsidR="00451B0C">
        <w:rPr>
          <w:lang w:val="fr-CA"/>
        </w:rPr>
        <w:t> </w:t>
      </w:r>
      <w:r w:rsidR="00BB7CCB" w:rsidRPr="00ED22D1">
        <w:rPr>
          <w:lang w:val="fr-CA"/>
        </w:rPr>
        <w:t>technologies de remplacement</w:t>
      </w:r>
      <w:r w:rsidR="00D002F4" w:rsidRPr="00ED22D1">
        <w:rPr>
          <w:lang w:val="fr-CA"/>
        </w:rPr>
        <w:t xml:space="preserve">, </w:t>
      </w:r>
      <w:r w:rsidR="00921C74" w:rsidRPr="00ED22D1">
        <w:rPr>
          <w:lang w:val="fr-CA"/>
        </w:rPr>
        <w:t>une étude des méthodes d’essai de la performance</w:t>
      </w:r>
      <w:r w:rsidR="00D002F4" w:rsidRPr="00ED22D1">
        <w:rPr>
          <w:lang w:val="fr-CA"/>
        </w:rPr>
        <w:t>,</w:t>
      </w:r>
      <w:r w:rsidR="004A6828" w:rsidRPr="00ED22D1">
        <w:rPr>
          <w:lang w:val="fr-CA"/>
        </w:rPr>
        <w:t xml:space="preserve"> et</w:t>
      </w:r>
      <w:r w:rsidR="00451B0C">
        <w:rPr>
          <w:lang w:val="fr-CA"/>
        </w:rPr>
        <w:t> </w:t>
      </w:r>
      <w:r w:rsidR="00921C74" w:rsidRPr="00ED22D1">
        <w:rPr>
          <w:lang w:val="fr-CA"/>
        </w:rPr>
        <w:t>les changements aux exigences en matière de sécurité lors de l’utilisation des</w:t>
      </w:r>
      <w:r w:rsidR="00451B0C">
        <w:rPr>
          <w:lang w:val="fr-CA"/>
        </w:rPr>
        <w:t xml:space="preserve"> </w:t>
      </w:r>
      <w:r w:rsidR="00BB7CCB" w:rsidRPr="00ED22D1">
        <w:rPr>
          <w:lang w:val="fr-CA"/>
        </w:rPr>
        <w:t>technologies de remplacement</w:t>
      </w:r>
      <w:r w:rsidR="00D002F4" w:rsidRPr="00ED22D1">
        <w:rPr>
          <w:lang w:val="fr-CA"/>
        </w:rPr>
        <w:t xml:space="preserve">. </w:t>
      </w:r>
      <w:r w:rsidR="00921C74" w:rsidRPr="00ED22D1">
        <w:rPr>
          <w:lang w:val="fr-CA"/>
        </w:rPr>
        <w:t xml:space="preserve">Sur la base de l’examen et de l’étude, les normes seront révisées pour les ensembles de </w:t>
      </w:r>
      <w:r w:rsidR="001354A8" w:rsidRPr="00ED22D1">
        <w:rPr>
          <w:lang w:val="fr-CA"/>
        </w:rPr>
        <w:t>refroidisseur</w:t>
      </w:r>
      <w:r w:rsidR="00921C74" w:rsidRPr="00ED22D1">
        <w:rPr>
          <w:lang w:val="fr-CA"/>
        </w:rPr>
        <w:t>s</w:t>
      </w:r>
      <w:r w:rsidR="001354A8" w:rsidRPr="00ED22D1">
        <w:rPr>
          <w:lang w:val="fr-CA"/>
        </w:rPr>
        <w:t xml:space="preserve"> d’eau</w:t>
      </w:r>
      <w:r w:rsidR="00D002F4" w:rsidRPr="00ED22D1">
        <w:rPr>
          <w:lang w:val="fr-CA"/>
        </w:rPr>
        <w:t xml:space="preserve"> (</w:t>
      </w:r>
      <w:r w:rsidR="001354A8" w:rsidRPr="00ED22D1">
        <w:rPr>
          <w:lang w:val="fr-CA"/>
        </w:rPr>
        <w:t>thermopompe</w:t>
      </w:r>
      <w:r w:rsidR="00921C74" w:rsidRPr="00ED22D1">
        <w:rPr>
          <w:lang w:val="fr-CA"/>
        </w:rPr>
        <w:t>s</w:t>
      </w:r>
      <w:r w:rsidR="00D002F4" w:rsidRPr="00ED22D1">
        <w:rPr>
          <w:lang w:val="fr-CA"/>
        </w:rPr>
        <w:t xml:space="preserve">) </w:t>
      </w:r>
      <w:r w:rsidR="00921C74" w:rsidRPr="00ED22D1">
        <w:rPr>
          <w:lang w:val="fr-CA"/>
        </w:rPr>
        <w:t>avec un cycle de compression de la vapeur pour les applications industrielles, commerciales, et similaires</w:t>
      </w:r>
      <w:r w:rsidR="00D002F4" w:rsidRPr="00ED22D1">
        <w:rPr>
          <w:lang w:val="fr-CA"/>
        </w:rPr>
        <w:t xml:space="preserve"> (</w:t>
      </w:r>
      <w:r w:rsidR="00D002F4" w:rsidRPr="00ED22D1">
        <w:rPr>
          <w:color w:val="000000"/>
          <w:lang w:val="fr-CA"/>
        </w:rPr>
        <w:t>GB/T</w:t>
      </w:r>
      <w:r w:rsidR="00921C74" w:rsidRPr="00ED22D1">
        <w:rPr>
          <w:color w:val="000000"/>
          <w:lang w:val="fr-CA"/>
        </w:rPr>
        <w:t> </w:t>
      </w:r>
      <w:r w:rsidR="00D002F4" w:rsidRPr="00ED22D1">
        <w:rPr>
          <w:color w:val="000000"/>
          <w:lang w:val="fr-CA"/>
        </w:rPr>
        <w:t>1843</w:t>
      </w:r>
      <w:r w:rsidR="004A6828" w:rsidRPr="00ED22D1">
        <w:rPr>
          <w:color w:val="000000"/>
          <w:lang w:val="fr-CA"/>
        </w:rPr>
        <w:t>0</w:t>
      </w:r>
      <w:r w:rsidR="00921C74" w:rsidRPr="00ED22D1">
        <w:rPr>
          <w:color w:val="000000"/>
          <w:lang w:val="fr-CA"/>
        </w:rPr>
        <w:t>.</w:t>
      </w:r>
      <w:r w:rsidR="00D002F4" w:rsidRPr="00ED22D1">
        <w:rPr>
          <w:color w:val="000000"/>
          <w:lang w:val="fr-CA"/>
        </w:rPr>
        <w:t>1</w:t>
      </w:r>
      <w:r w:rsidR="00921C74" w:rsidRPr="00ED22D1">
        <w:rPr>
          <w:color w:val="000000"/>
          <w:lang w:val="fr-CA"/>
        </w:rPr>
        <w:noBreakHyphen/>
      </w:r>
      <w:r w:rsidR="00D002F4" w:rsidRPr="00ED22D1">
        <w:rPr>
          <w:color w:val="000000"/>
          <w:lang w:val="fr-CA"/>
        </w:rPr>
        <w:t>2007)</w:t>
      </w:r>
      <w:r w:rsidR="00D002F4" w:rsidRPr="00ED22D1">
        <w:rPr>
          <w:lang w:val="fr-CA"/>
        </w:rPr>
        <w:t>;</w:t>
      </w:r>
      <w:r w:rsidR="004A6828" w:rsidRPr="00ED22D1">
        <w:rPr>
          <w:color w:val="000000"/>
          <w:lang w:val="fr-CA"/>
        </w:rPr>
        <w:t xml:space="preserve"> et </w:t>
      </w:r>
      <w:r w:rsidR="00921C74" w:rsidRPr="00ED22D1">
        <w:rPr>
          <w:color w:val="000000"/>
          <w:lang w:val="fr-CA"/>
        </w:rPr>
        <w:t>les ensembles de thermopompes (refroidissement de l’eau) avec une source d’air à faible température ambiante pour application industrielle, commerciale et similaire</w:t>
      </w:r>
      <w:r w:rsidR="00D002F4" w:rsidRPr="00ED22D1">
        <w:rPr>
          <w:lang w:val="fr-CA"/>
        </w:rPr>
        <w:t xml:space="preserve"> (</w:t>
      </w:r>
      <w:r w:rsidR="00D002F4" w:rsidRPr="00ED22D1">
        <w:rPr>
          <w:color w:val="000000"/>
          <w:lang w:val="fr-CA"/>
        </w:rPr>
        <w:t>GB/T 2512</w:t>
      </w:r>
      <w:r w:rsidR="004A6828" w:rsidRPr="00ED22D1">
        <w:rPr>
          <w:color w:val="000000"/>
          <w:lang w:val="fr-CA"/>
        </w:rPr>
        <w:t>7</w:t>
      </w:r>
      <w:r w:rsidR="00921C74" w:rsidRPr="00ED22D1">
        <w:rPr>
          <w:color w:val="000000"/>
          <w:lang w:val="fr-CA"/>
        </w:rPr>
        <w:t>.</w:t>
      </w:r>
      <w:r w:rsidR="00D002F4" w:rsidRPr="00ED22D1">
        <w:rPr>
          <w:color w:val="000000"/>
          <w:lang w:val="fr-CA"/>
        </w:rPr>
        <w:t>1-2010</w:t>
      </w:r>
      <w:r w:rsidR="004A6828" w:rsidRPr="00ED22D1">
        <w:rPr>
          <w:color w:val="000000"/>
          <w:lang w:val="fr-CA"/>
        </w:rPr>
        <w:t xml:space="preserve"> et </w:t>
      </w:r>
      <w:r w:rsidR="00D002F4" w:rsidRPr="00ED22D1">
        <w:rPr>
          <w:lang w:val="fr-CA"/>
        </w:rPr>
        <w:t>GB/T 2512</w:t>
      </w:r>
      <w:r w:rsidR="004A6828" w:rsidRPr="00ED22D1">
        <w:rPr>
          <w:lang w:val="fr-CA"/>
        </w:rPr>
        <w:t>7</w:t>
      </w:r>
      <w:r w:rsidR="00921C74" w:rsidRPr="00ED22D1">
        <w:rPr>
          <w:lang w:val="fr-CA"/>
        </w:rPr>
        <w:t>.</w:t>
      </w:r>
      <w:r w:rsidR="00D002F4" w:rsidRPr="00ED22D1">
        <w:rPr>
          <w:lang w:val="fr-CA"/>
        </w:rPr>
        <w:t>2-2010);</w:t>
      </w:r>
    </w:p>
    <w:p w:rsidR="00EC3CCA" w:rsidRPr="00ED22D1" w:rsidRDefault="00EC3CCA" w:rsidP="00EC3CCA">
      <w:pPr>
        <w:rPr>
          <w:lang w:val="fr-CA"/>
        </w:rPr>
      </w:pPr>
    </w:p>
    <w:p w:rsidR="00D002F4" w:rsidRPr="00ED22D1" w:rsidRDefault="00DC2912" w:rsidP="00C80221">
      <w:pPr>
        <w:pStyle w:val="Heading2"/>
        <w:keepNext/>
        <w:keepLines/>
        <w:numPr>
          <w:ilvl w:val="0"/>
          <w:numId w:val="0"/>
        </w:numPr>
        <w:ind w:left="1417" w:hanging="697"/>
        <w:rPr>
          <w:lang w:val="fr-CA"/>
        </w:rPr>
      </w:pPr>
      <w:r w:rsidRPr="00ED22D1">
        <w:rPr>
          <w:lang w:val="fr-CA"/>
        </w:rPr>
        <w:lastRenderedPageBreak/>
        <w:t>(d)</w:t>
      </w:r>
      <w:r w:rsidRPr="00ED22D1">
        <w:rPr>
          <w:lang w:val="fr-CA"/>
        </w:rPr>
        <w:tab/>
      </w:r>
      <w:r w:rsidR="00921C74" w:rsidRPr="00ED22D1">
        <w:rPr>
          <w:lang w:val="fr-CA"/>
        </w:rPr>
        <w:t xml:space="preserve">Une </w:t>
      </w:r>
      <w:r w:rsidR="00E71388" w:rsidRPr="00ED22D1">
        <w:rPr>
          <w:lang w:val="fr-CA"/>
        </w:rPr>
        <w:t>démonstration</w:t>
      </w:r>
      <w:r w:rsidR="00D002F4" w:rsidRPr="00ED22D1">
        <w:rPr>
          <w:lang w:val="fr-CA"/>
        </w:rPr>
        <w:t xml:space="preserve"> </w:t>
      </w:r>
      <w:r w:rsidR="00921C74" w:rsidRPr="00ED22D1">
        <w:rPr>
          <w:lang w:val="fr-CA"/>
        </w:rPr>
        <w:t xml:space="preserve">de refroidisseurs avec </w:t>
      </w:r>
      <w:r w:rsidR="00D002F4" w:rsidRPr="00ED22D1">
        <w:rPr>
          <w:lang w:val="fr-CA"/>
        </w:rPr>
        <w:t xml:space="preserve">HC-290 </w:t>
      </w:r>
      <w:r w:rsidR="00921C74" w:rsidRPr="00ED22D1">
        <w:rPr>
          <w:lang w:val="fr-CA"/>
        </w:rPr>
        <w:t xml:space="preserve">afin de promouvoir leur utilisation dans l’industrie des produits laitiers et de </w:t>
      </w:r>
      <w:r w:rsidR="00616B46" w:rsidRPr="00ED22D1">
        <w:rPr>
          <w:lang w:val="fr-CA"/>
        </w:rPr>
        <w:t>traitement</w:t>
      </w:r>
      <w:r w:rsidR="00921C74" w:rsidRPr="00ED22D1">
        <w:rPr>
          <w:lang w:val="fr-CA"/>
        </w:rPr>
        <w:t xml:space="preserve"> de la viande</w:t>
      </w:r>
      <w:r w:rsidR="00D002F4" w:rsidRPr="00ED22D1">
        <w:rPr>
          <w:lang w:val="fr-CA"/>
        </w:rPr>
        <w:t xml:space="preserve">. </w:t>
      </w:r>
      <w:r w:rsidR="00921C74" w:rsidRPr="00ED22D1">
        <w:rPr>
          <w:lang w:val="fr-CA"/>
        </w:rPr>
        <w:t>Cette activité comprend la fabrication d’un prototype de refroidisseur et son installation dans un site de démonstration</w:t>
      </w:r>
      <w:r w:rsidR="00D002F4" w:rsidRPr="00ED22D1">
        <w:rPr>
          <w:lang w:val="fr-CA"/>
        </w:rPr>
        <w:t>;</w:t>
      </w:r>
      <w:r w:rsidR="00921C74" w:rsidRPr="00ED22D1">
        <w:rPr>
          <w:lang w:val="fr-CA"/>
        </w:rPr>
        <w:t xml:space="preserve"> la collecte de données et le suivi de son exploitation</w:t>
      </w:r>
      <w:r w:rsidR="00D002F4" w:rsidRPr="00ED22D1">
        <w:rPr>
          <w:lang w:val="fr-CA"/>
        </w:rPr>
        <w:t xml:space="preserve">; </w:t>
      </w:r>
      <w:r w:rsidR="00921C74" w:rsidRPr="00ED22D1">
        <w:rPr>
          <w:lang w:val="fr-CA"/>
        </w:rPr>
        <w:t>l’analyse de données et l’élaboration d’un rapport</w:t>
      </w:r>
      <w:r w:rsidR="00D002F4" w:rsidRPr="00ED22D1">
        <w:rPr>
          <w:lang w:val="fr-CA"/>
        </w:rPr>
        <w:t>;</w:t>
      </w:r>
      <w:r w:rsidR="004A6828" w:rsidRPr="00ED22D1">
        <w:rPr>
          <w:lang w:val="fr-CA"/>
        </w:rPr>
        <w:t xml:space="preserve"> et </w:t>
      </w:r>
      <w:r w:rsidR="00921C74" w:rsidRPr="00ED22D1">
        <w:rPr>
          <w:lang w:val="fr-CA"/>
        </w:rPr>
        <w:t xml:space="preserve">la dissémination des résultats de la </w:t>
      </w:r>
      <w:r w:rsidR="00E71388" w:rsidRPr="00ED22D1">
        <w:rPr>
          <w:lang w:val="fr-CA"/>
        </w:rPr>
        <w:t>démonstration</w:t>
      </w:r>
      <w:r w:rsidR="00B84F94" w:rsidRPr="00ED22D1">
        <w:rPr>
          <w:lang w:val="fr-CA"/>
        </w:rPr>
        <w:t xml:space="preserve">; et </w:t>
      </w:r>
    </w:p>
    <w:p w:rsidR="00D002F4" w:rsidRPr="00ED22D1" w:rsidRDefault="00DC2912" w:rsidP="00921C74">
      <w:pPr>
        <w:pStyle w:val="Heading2"/>
        <w:numPr>
          <w:ilvl w:val="0"/>
          <w:numId w:val="0"/>
        </w:numPr>
        <w:ind w:left="1418" w:hanging="698"/>
        <w:rPr>
          <w:lang w:val="fr-CA"/>
        </w:rPr>
      </w:pPr>
      <w:r w:rsidRPr="00ED22D1">
        <w:rPr>
          <w:lang w:val="fr-CA"/>
        </w:rPr>
        <w:t>(e)</w:t>
      </w:r>
      <w:r w:rsidRPr="00ED22D1">
        <w:rPr>
          <w:lang w:val="fr-CA"/>
        </w:rPr>
        <w:tab/>
      </w:r>
      <w:r w:rsidR="00921C74" w:rsidRPr="00ED22D1">
        <w:rPr>
          <w:lang w:val="fr-CA"/>
        </w:rPr>
        <w:t>Des a</w:t>
      </w:r>
      <w:r w:rsidR="00874624" w:rsidRPr="00ED22D1">
        <w:rPr>
          <w:lang w:val="fr-CA"/>
        </w:rPr>
        <w:t>teliers techniques</w:t>
      </w:r>
      <w:r w:rsidR="004A6828" w:rsidRPr="00ED22D1">
        <w:rPr>
          <w:lang w:val="fr-CA"/>
        </w:rPr>
        <w:t xml:space="preserve"> et </w:t>
      </w:r>
      <w:r w:rsidR="00921C74" w:rsidRPr="00ED22D1">
        <w:rPr>
          <w:lang w:val="fr-CA"/>
        </w:rPr>
        <w:t>l’</w:t>
      </w:r>
      <w:r w:rsidR="00005758" w:rsidRPr="00ED22D1">
        <w:rPr>
          <w:lang w:val="fr-CA"/>
        </w:rPr>
        <w:t xml:space="preserve">accroissement </w:t>
      </w:r>
      <w:r w:rsidR="00921C74" w:rsidRPr="00ED22D1">
        <w:rPr>
          <w:lang w:val="fr-CA"/>
        </w:rPr>
        <w:t xml:space="preserve">des activités </w:t>
      </w:r>
      <w:r w:rsidR="00005758" w:rsidRPr="00ED22D1">
        <w:rPr>
          <w:lang w:val="fr-CA"/>
        </w:rPr>
        <w:t>de sensibilisation</w:t>
      </w:r>
      <w:r w:rsidR="00D002F4" w:rsidRPr="00ED22D1">
        <w:rPr>
          <w:lang w:val="fr-CA"/>
        </w:rPr>
        <w:t xml:space="preserve"> </w:t>
      </w:r>
      <w:r w:rsidR="00921C74" w:rsidRPr="00ED22D1">
        <w:rPr>
          <w:lang w:val="fr-CA"/>
        </w:rPr>
        <w:t>chez les principaux intéressés, afin de traiter des problèmes de sécurité des utilisateurs finals en ce qui a trait à l’in</w:t>
      </w:r>
      <w:r w:rsidR="00D002F4" w:rsidRPr="00ED22D1">
        <w:rPr>
          <w:lang w:val="fr-CA"/>
        </w:rPr>
        <w:t>flammabilit</w:t>
      </w:r>
      <w:r w:rsidR="00921C74" w:rsidRPr="00ED22D1">
        <w:rPr>
          <w:lang w:val="fr-CA"/>
        </w:rPr>
        <w:t>é</w:t>
      </w:r>
      <w:r w:rsidR="00D002F4" w:rsidRPr="00ED22D1">
        <w:rPr>
          <w:lang w:val="fr-CA"/>
        </w:rPr>
        <w:t xml:space="preserve"> </w:t>
      </w:r>
      <w:r w:rsidR="00921C74" w:rsidRPr="00ED22D1">
        <w:rPr>
          <w:lang w:val="fr-CA"/>
        </w:rPr>
        <w:t xml:space="preserve">des unités avec </w:t>
      </w:r>
      <w:r w:rsidR="00451B0C">
        <w:rPr>
          <w:lang w:val="fr-CA"/>
        </w:rPr>
        <w:t xml:space="preserve">du </w:t>
      </w:r>
      <w:r w:rsidR="00D002F4" w:rsidRPr="00ED22D1">
        <w:rPr>
          <w:lang w:val="fr-CA"/>
        </w:rPr>
        <w:t>HFC-32</w:t>
      </w:r>
      <w:r w:rsidR="002D2C34" w:rsidRPr="00ED22D1">
        <w:rPr>
          <w:lang w:val="fr-CA"/>
        </w:rPr>
        <w:t xml:space="preserve"> </w:t>
      </w:r>
      <w:r w:rsidR="00921C74" w:rsidRPr="00ED22D1">
        <w:rPr>
          <w:lang w:val="fr-CA"/>
        </w:rPr>
        <w:t>produit dans les circuits reconvertis, afin d’accroître l’accepta</w:t>
      </w:r>
      <w:r w:rsidR="00616B46" w:rsidRPr="00ED22D1">
        <w:rPr>
          <w:lang w:val="fr-CA"/>
        </w:rPr>
        <w:t>tion</w:t>
      </w:r>
      <w:r w:rsidR="00921C74" w:rsidRPr="00ED22D1">
        <w:rPr>
          <w:lang w:val="fr-CA"/>
        </w:rPr>
        <w:t xml:space="preserve"> par les marchés des technologies avec </w:t>
      </w:r>
      <w:r w:rsidR="00D002F4" w:rsidRPr="00ED22D1">
        <w:rPr>
          <w:lang w:val="fr-CA"/>
        </w:rPr>
        <w:t xml:space="preserve">HFC-32 </w:t>
      </w:r>
      <w:r w:rsidR="00921C74" w:rsidRPr="00ED22D1">
        <w:rPr>
          <w:lang w:val="fr-CA"/>
        </w:rPr>
        <w:t xml:space="preserve">dans le secteur de la </w:t>
      </w:r>
      <w:r w:rsidR="00905638" w:rsidRPr="00ED22D1">
        <w:rPr>
          <w:lang w:val="fr-CA"/>
        </w:rPr>
        <w:t xml:space="preserve">climatisation et de </w:t>
      </w:r>
      <w:r w:rsidR="00921C74" w:rsidRPr="00ED22D1">
        <w:rPr>
          <w:lang w:val="fr-CA"/>
        </w:rPr>
        <w:t xml:space="preserve">la </w:t>
      </w:r>
      <w:r w:rsidR="00905638" w:rsidRPr="00ED22D1">
        <w:rPr>
          <w:lang w:val="fr-CA"/>
        </w:rPr>
        <w:t>réfrigération industrielle et commerciale</w:t>
      </w:r>
      <w:r w:rsidR="00733306" w:rsidRPr="00ED22D1">
        <w:rPr>
          <w:lang w:val="fr-CA"/>
        </w:rPr>
        <w:t>.</w:t>
      </w:r>
      <w:r w:rsidR="00D002F4" w:rsidRPr="00ED22D1">
        <w:rPr>
          <w:lang w:val="fr-CA"/>
        </w:rPr>
        <w:t xml:space="preserve"> </w:t>
      </w:r>
    </w:p>
    <w:p w:rsidR="00D002F4" w:rsidRPr="00ED22D1" w:rsidRDefault="00DC2912" w:rsidP="00DC2912">
      <w:pPr>
        <w:pStyle w:val="Heading1"/>
        <w:numPr>
          <w:ilvl w:val="0"/>
          <w:numId w:val="0"/>
        </w:numPr>
        <w:rPr>
          <w:lang w:val="fr-CA"/>
        </w:rPr>
      </w:pPr>
      <w:r w:rsidRPr="00ED22D1">
        <w:rPr>
          <w:lang w:val="fr-CA"/>
        </w:rPr>
        <w:t>84.</w:t>
      </w:r>
      <w:r w:rsidRPr="00ED22D1">
        <w:rPr>
          <w:lang w:val="fr-CA"/>
        </w:rPr>
        <w:tab/>
      </w:r>
      <w:r w:rsidR="00921C74" w:rsidRPr="00ED22D1">
        <w:rPr>
          <w:lang w:val="fr-CA"/>
        </w:rPr>
        <w:t>L’</w:t>
      </w:r>
      <w:r w:rsidR="00D002F4" w:rsidRPr="00ED22D1">
        <w:rPr>
          <w:lang w:val="fr-CA"/>
        </w:rPr>
        <w:t xml:space="preserve">IECO </w:t>
      </w:r>
      <w:r w:rsidR="00921C74" w:rsidRPr="00ED22D1">
        <w:rPr>
          <w:lang w:val="fr-CA"/>
        </w:rPr>
        <w:t xml:space="preserve">coordonnera, assurera le suivi et présentera un rapport sur les progrès de la </w:t>
      </w:r>
      <w:r w:rsidR="00C420BC" w:rsidRPr="00ED22D1">
        <w:rPr>
          <w:lang w:val="fr-CA"/>
        </w:rPr>
        <w:t>mise en oeuvre</w:t>
      </w:r>
      <w:r w:rsidR="0031390F" w:rsidRPr="00ED22D1">
        <w:rPr>
          <w:lang w:val="fr-CA"/>
        </w:rPr>
        <w:t>. Le</w:t>
      </w:r>
      <w:r w:rsidR="00921C74" w:rsidRPr="00ED22D1">
        <w:rPr>
          <w:lang w:val="fr-CA"/>
        </w:rPr>
        <w:t xml:space="preserve"> budget proposé pour </w:t>
      </w:r>
      <w:r w:rsidR="00874624" w:rsidRPr="00ED22D1">
        <w:rPr>
          <w:lang w:val="fr-CA"/>
        </w:rPr>
        <w:t>la troisième</w:t>
      </w:r>
      <w:r w:rsidR="00D002F4" w:rsidRPr="00ED22D1">
        <w:rPr>
          <w:lang w:val="fr-CA"/>
        </w:rPr>
        <w:t xml:space="preserve"> tranche</w:t>
      </w:r>
      <w:r w:rsidR="00903152" w:rsidRPr="00ED22D1">
        <w:rPr>
          <w:lang w:val="fr-CA"/>
        </w:rPr>
        <w:t xml:space="preserve"> est présenté</w:t>
      </w:r>
      <w:r w:rsidR="00D002F4" w:rsidRPr="00ED22D1">
        <w:rPr>
          <w:lang w:val="fr-CA"/>
        </w:rPr>
        <w:t xml:space="preserve"> </w:t>
      </w:r>
      <w:r w:rsidR="00921C74" w:rsidRPr="00ED22D1">
        <w:rPr>
          <w:lang w:val="fr-CA"/>
        </w:rPr>
        <w:t>au</w:t>
      </w:r>
      <w:r w:rsidR="00CE7FEC" w:rsidRPr="00ED22D1">
        <w:rPr>
          <w:lang w:val="fr-CA"/>
        </w:rPr>
        <w:t xml:space="preserve"> tableau </w:t>
      </w:r>
      <w:r w:rsidR="004A6828" w:rsidRPr="00ED22D1">
        <w:rPr>
          <w:lang w:val="fr-CA"/>
        </w:rPr>
        <w:t>4</w:t>
      </w:r>
      <w:r w:rsidR="00D05BD1" w:rsidRPr="00ED22D1">
        <w:rPr>
          <w:lang w:val="fr-CA"/>
        </w:rPr>
        <w:t>.</w:t>
      </w:r>
      <w:r w:rsidR="00D002F4" w:rsidRPr="00ED22D1">
        <w:rPr>
          <w:lang w:val="fr-CA"/>
        </w:rPr>
        <w:t xml:space="preserve"> </w:t>
      </w:r>
    </w:p>
    <w:p w:rsidR="00D002F4" w:rsidRPr="00ED22D1" w:rsidRDefault="00CE7FEC" w:rsidP="00D002F4">
      <w:pPr>
        <w:rPr>
          <w:b/>
          <w:lang w:val="fr-CA"/>
        </w:rPr>
      </w:pPr>
      <w:r w:rsidRPr="00ED22D1">
        <w:rPr>
          <w:b/>
          <w:lang w:val="fr-CA"/>
        </w:rPr>
        <w:t xml:space="preserve">Tableau </w:t>
      </w:r>
      <w:r w:rsidR="004A6828" w:rsidRPr="00ED22D1">
        <w:rPr>
          <w:b/>
          <w:lang w:val="fr-CA"/>
        </w:rPr>
        <w:t>4</w:t>
      </w:r>
      <w:r w:rsidR="00D05BD1" w:rsidRPr="00ED22D1">
        <w:rPr>
          <w:b/>
          <w:lang w:val="fr-CA"/>
        </w:rPr>
        <w:t>.</w:t>
      </w:r>
      <w:r w:rsidR="00D002F4" w:rsidRPr="00ED22D1">
        <w:rPr>
          <w:b/>
          <w:lang w:val="fr-CA"/>
        </w:rPr>
        <w:t xml:space="preserve"> </w:t>
      </w:r>
      <w:r w:rsidR="00572798" w:rsidRPr="00ED22D1">
        <w:rPr>
          <w:b/>
          <w:lang w:val="fr-CA"/>
        </w:rPr>
        <w:t>Budget p</w:t>
      </w:r>
      <w:r w:rsidR="00AA49F6" w:rsidRPr="00ED22D1">
        <w:rPr>
          <w:b/>
          <w:lang w:val="fr-CA"/>
        </w:rPr>
        <w:t>roposé</w:t>
      </w:r>
      <w:r w:rsidR="00D002F4" w:rsidRPr="00ED22D1">
        <w:rPr>
          <w:b/>
          <w:lang w:val="fr-CA"/>
        </w:rPr>
        <w:t xml:space="preserve"> </w:t>
      </w:r>
      <w:r w:rsidR="00921BDE" w:rsidRPr="00ED22D1">
        <w:rPr>
          <w:b/>
          <w:lang w:val="fr-CA"/>
        </w:rPr>
        <w:t xml:space="preserve">pour la mise en oeuvre </w:t>
      </w:r>
      <w:r w:rsidR="00572798" w:rsidRPr="00ED22D1">
        <w:rPr>
          <w:b/>
          <w:lang w:val="fr-CA"/>
        </w:rPr>
        <w:t xml:space="preserve">du </w:t>
      </w:r>
      <w:r w:rsidR="00D002F4" w:rsidRPr="00ED22D1">
        <w:rPr>
          <w:b/>
          <w:lang w:val="fr-CA"/>
        </w:rPr>
        <w:t xml:space="preserve">plan </w:t>
      </w:r>
      <w:r w:rsidR="00572798" w:rsidRPr="00ED22D1">
        <w:rPr>
          <w:b/>
          <w:lang w:val="fr-CA"/>
        </w:rPr>
        <w:t>de</w:t>
      </w:r>
      <w:r w:rsidR="00D002F4" w:rsidRPr="00ED22D1">
        <w:rPr>
          <w:b/>
          <w:lang w:val="fr-CA"/>
        </w:rPr>
        <w:t xml:space="preserve"> </w:t>
      </w:r>
      <w:r w:rsidR="00874624" w:rsidRPr="00ED22D1">
        <w:rPr>
          <w:b/>
          <w:lang w:val="fr-CA"/>
        </w:rPr>
        <w:t>la troisième</w:t>
      </w:r>
      <w:r w:rsidR="00D002F4" w:rsidRPr="00ED22D1">
        <w:rPr>
          <w:b/>
          <w:lang w:val="fr-CA"/>
        </w:rPr>
        <w:t xml:space="preserve"> tranche</w:t>
      </w:r>
    </w:p>
    <w:tbl>
      <w:tblPr>
        <w:tblW w:w="4941" w:type="pct"/>
        <w:tblInd w:w="108" w:type="dxa"/>
        <w:tblLook w:val="04A0" w:firstRow="1" w:lastRow="0" w:firstColumn="1" w:lastColumn="0" w:noHBand="0" w:noVBand="1"/>
      </w:tblPr>
      <w:tblGrid>
        <w:gridCol w:w="7646"/>
        <w:gridCol w:w="1817"/>
      </w:tblGrid>
      <w:tr w:rsidR="00D002F4" w:rsidRPr="00ED22D1" w:rsidTr="00A400A6">
        <w:trPr>
          <w:trHeight w:val="39"/>
        </w:trPr>
        <w:tc>
          <w:tcPr>
            <w:tcW w:w="4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2F4" w:rsidRPr="00ED22D1" w:rsidRDefault="001B45EC" w:rsidP="00D87C7D">
            <w:pPr>
              <w:jc w:val="center"/>
              <w:rPr>
                <w:b/>
                <w:color w:val="000000"/>
                <w:sz w:val="20"/>
                <w:szCs w:val="20"/>
                <w:lang w:val="fr-CA" w:eastAsia="zh-CN"/>
              </w:rPr>
            </w:pPr>
            <w:r w:rsidRPr="00ED22D1">
              <w:rPr>
                <w:b/>
                <w:color w:val="000000"/>
                <w:sz w:val="20"/>
                <w:szCs w:val="20"/>
                <w:lang w:val="fr-CA" w:eastAsia="zh-CN"/>
              </w:rPr>
              <w:t>Activités</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002F4" w:rsidRPr="00ED22D1" w:rsidRDefault="00D15079" w:rsidP="00D87C7D">
            <w:pPr>
              <w:jc w:val="center"/>
              <w:rPr>
                <w:b/>
                <w:color w:val="000000"/>
                <w:sz w:val="20"/>
                <w:szCs w:val="20"/>
                <w:lang w:val="fr-CA" w:eastAsia="zh-CN"/>
              </w:rPr>
            </w:pPr>
            <w:r w:rsidRPr="00ED22D1">
              <w:rPr>
                <w:b/>
                <w:color w:val="000000"/>
                <w:sz w:val="20"/>
                <w:szCs w:val="20"/>
                <w:lang w:val="fr-CA" w:eastAsia="zh-CN"/>
              </w:rPr>
              <w:t>Financement</w:t>
            </w:r>
            <w:r w:rsidR="00D002F4" w:rsidRPr="00ED22D1">
              <w:rPr>
                <w:b/>
                <w:color w:val="000000"/>
                <w:sz w:val="20"/>
                <w:szCs w:val="20"/>
                <w:lang w:val="fr-CA" w:eastAsia="zh-CN"/>
              </w:rPr>
              <w:t xml:space="preserve"> </w:t>
            </w:r>
            <w:r w:rsidR="00874624" w:rsidRPr="00ED22D1">
              <w:rPr>
                <w:b/>
                <w:color w:val="000000"/>
                <w:sz w:val="20"/>
                <w:szCs w:val="20"/>
                <w:lang w:val="fr-CA" w:eastAsia="zh-CN"/>
              </w:rPr>
              <w:t>($US)</w:t>
            </w:r>
          </w:p>
        </w:tc>
      </w:tr>
      <w:tr w:rsidR="00D002F4" w:rsidRPr="00ED22D1" w:rsidTr="00A400A6">
        <w:trPr>
          <w:trHeight w:val="125"/>
        </w:trPr>
        <w:tc>
          <w:tcPr>
            <w:tcW w:w="4040" w:type="pct"/>
            <w:tcBorders>
              <w:top w:val="nil"/>
              <w:left w:val="single" w:sz="4" w:space="0" w:color="auto"/>
              <w:bottom w:val="single" w:sz="4" w:space="0" w:color="auto"/>
              <w:right w:val="single" w:sz="4" w:space="0" w:color="auto"/>
            </w:tcBorders>
            <w:shd w:val="clear" w:color="auto" w:fill="auto"/>
            <w:hideMark/>
          </w:tcPr>
          <w:p w:rsidR="00D002F4" w:rsidRPr="00ED22D1" w:rsidRDefault="001354A8" w:rsidP="00D87C7D">
            <w:pPr>
              <w:jc w:val="left"/>
              <w:rPr>
                <w:color w:val="000000"/>
                <w:sz w:val="20"/>
                <w:szCs w:val="20"/>
                <w:lang w:val="fr-CA" w:eastAsia="zh-CN"/>
              </w:rPr>
            </w:pPr>
            <w:r w:rsidRPr="00ED22D1">
              <w:rPr>
                <w:color w:val="000000"/>
                <w:sz w:val="20"/>
                <w:szCs w:val="20"/>
                <w:lang w:val="fr-CA" w:eastAsia="zh-CN"/>
              </w:rPr>
              <w:t>Reconversion des circuits</w:t>
            </w:r>
            <w:r w:rsidR="00325FA0" w:rsidRPr="00ED22D1">
              <w:rPr>
                <w:color w:val="000000"/>
                <w:sz w:val="20"/>
                <w:szCs w:val="20"/>
                <w:lang w:val="fr-CA" w:eastAsia="zh-CN"/>
              </w:rPr>
              <w:t xml:space="preserve"> de fabrication</w:t>
            </w:r>
            <w:r w:rsidR="00D002F4" w:rsidRPr="00ED22D1">
              <w:rPr>
                <w:color w:val="000000"/>
                <w:sz w:val="20"/>
                <w:szCs w:val="20"/>
                <w:lang w:val="fr-CA" w:eastAsia="zh-CN"/>
              </w:rPr>
              <w:t xml:space="preserve"> </w:t>
            </w:r>
          </w:p>
        </w:tc>
        <w:tc>
          <w:tcPr>
            <w:tcW w:w="960" w:type="pct"/>
            <w:tcBorders>
              <w:top w:val="nil"/>
              <w:left w:val="nil"/>
              <w:bottom w:val="single" w:sz="4" w:space="0" w:color="auto"/>
              <w:right w:val="single" w:sz="4" w:space="0" w:color="auto"/>
            </w:tcBorders>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eastAsia="zh-CN"/>
              </w:rPr>
              <w:t>9 </w:t>
            </w:r>
            <w:r w:rsidR="00D002F4" w:rsidRPr="00ED22D1">
              <w:rPr>
                <w:color w:val="000000"/>
                <w:sz w:val="20"/>
                <w:szCs w:val="20"/>
                <w:lang w:val="fr-CA" w:eastAsia="zh-CN"/>
              </w:rPr>
              <w:t>00</w:t>
            </w:r>
            <w:r w:rsidRPr="00ED22D1">
              <w:rPr>
                <w:color w:val="000000"/>
                <w:sz w:val="20"/>
                <w:szCs w:val="20"/>
                <w:lang w:val="fr-CA" w:eastAsia="zh-CN"/>
              </w:rPr>
              <w:t>0 </w:t>
            </w:r>
            <w:r w:rsidR="00D002F4" w:rsidRPr="00ED22D1">
              <w:rPr>
                <w:color w:val="000000"/>
                <w:sz w:val="20"/>
                <w:szCs w:val="20"/>
                <w:lang w:val="fr-CA" w:eastAsia="zh-CN"/>
              </w:rPr>
              <w:t>000</w:t>
            </w:r>
          </w:p>
        </w:tc>
      </w:tr>
      <w:tr w:rsidR="00D002F4" w:rsidRPr="00ED22D1" w:rsidTr="00A400A6">
        <w:trPr>
          <w:trHeight w:val="46"/>
        </w:trPr>
        <w:tc>
          <w:tcPr>
            <w:tcW w:w="4040" w:type="pct"/>
            <w:tcBorders>
              <w:top w:val="nil"/>
              <w:left w:val="single" w:sz="4" w:space="0" w:color="auto"/>
              <w:bottom w:val="single" w:sz="4" w:space="0" w:color="auto"/>
              <w:right w:val="single" w:sz="4" w:space="0" w:color="auto"/>
            </w:tcBorders>
            <w:shd w:val="clear" w:color="auto" w:fill="auto"/>
            <w:hideMark/>
          </w:tcPr>
          <w:p w:rsidR="00D002F4" w:rsidRPr="00ED22D1" w:rsidRDefault="00921C74" w:rsidP="00921C74">
            <w:pPr>
              <w:jc w:val="left"/>
              <w:rPr>
                <w:color w:val="000000"/>
                <w:sz w:val="20"/>
                <w:szCs w:val="20"/>
                <w:lang w:val="fr-CA" w:eastAsia="zh-CN"/>
              </w:rPr>
            </w:pPr>
            <w:r w:rsidRPr="00ED22D1">
              <w:rPr>
                <w:color w:val="000000"/>
                <w:sz w:val="20"/>
                <w:szCs w:val="20"/>
                <w:lang w:val="fr-CA" w:eastAsia="zh-CN"/>
              </w:rPr>
              <w:t>Activités d’assistance technique</w:t>
            </w:r>
          </w:p>
        </w:tc>
        <w:tc>
          <w:tcPr>
            <w:tcW w:w="960" w:type="pct"/>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 xml:space="preserve"> </w:t>
            </w:r>
          </w:p>
        </w:tc>
      </w:tr>
      <w:tr w:rsidR="00D002F4" w:rsidRPr="00ED22D1" w:rsidTr="00A400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
          <w:tblHeader/>
        </w:trPr>
        <w:tc>
          <w:tcPr>
            <w:tcW w:w="4040" w:type="pct"/>
            <w:tcBorders>
              <w:right w:val="single" w:sz="4" w:space="0" w:color="auto"/>
            </w:tcBorders>
          </w:tcPr>
          <w:p w:rsidR="00D002F4" w:rsidRPr="00ED22D1" w:rsidRDefault="00921C74" w:rsidP="00921C74">
            <w:pPr>
              <w:keepLines/>
              <w:tabs>
                <w:tab w:val="left" w:pos="284"/>
              </w:tabs>
              <w:spacing w:line="0" w:lineRule="atLeast"/>
              <w:ind w:left="284"/>
              <w:jc w:val="left"/>
              <w:rPr>
                <w:sz w:val="20"/>
                <w:lang w:val="fr-CA"/>
              </w:rPr>
            </w:pPr>
            <w:r w:rsidRPr="00ED22D1">
              <w:rPr>
                <w:sz w:val="20"/>
                <w:lang w:val="fr-CA"/>
              </w:rPr>
              <w:t xml:space="preserve">Études et activités de recherche sur les produits de remplacement, la </w:t>
            </w:r>
            <w:r w:rsidR="00D002F4" w:rsidRPr="00ED22D1">
              <w:rPr>
                <w:sz w:val="20"/>
                <w:lang w:val="fr-CA"/>
              </w:rPr>
              <w:t>certification</w:t>
            </w:r>
            <w:r w:rsidR="004A6828" w:rsidRPr="00ED22D1">
              <w:rPr>
                <w:sz w:val="20"/>
                <w:lang w:val="fr-CA"/>
              </w:rPr>
              <w:t xml:space="preserve"> et </w:t>
            </w:r>
            <w:r w:rsidRPr="00ED22D1">
              <w:rPr>
                <w:sz w:val="20"/>
                <w:lang w:val="fr-CA"/>
              </w:rPr>
              <w:t>l’enlèvement des barrières</w:t>
            </w:r>
          </w:p>
        </w:tc>
        <w:tc>
          <w:tcPr>
            <w:tcW w:w="960" w:type="pct"/>
            <w:tcBorders>
              <w:left w:val="single" w:sz="4" w:space="0" w:color="auto"/>
            </w:tcBorders>
          </w:tcPr>
          <w:p w:rsidR="00D002F4" w:rsidRPr="00ED22D1" w:rsidRDefault="00D002F4" w:rsidP="00D87C7D">
            <w:pPr>
              <w:keepLines/>
              <w:tabs>
                <w:tab w:val="left" w:pos="284"/>
              </w:tabs>
              <w:spacing w:line="0" w:lineRule="atLeast"/>
              <w:jc w:val="right"/>
              <w:rPr>
                <w:sz w:val="20"/>
                <w:lang w:val="fr-CA"/>
              </w:rPr>
            </w:pPr>
            <w:r w:rsidRPr="00ED22D1">
              <w:rPr>
                <w:sz w:val="20"/>
                <w:lang w:val="fr-CA"/>
              </w:rPr>
              <w:t>80</w:t>
            </w:r>
            <w:r w:rsidR="004A6828" w:rsidRPr="00ED22D1">
              <w:rPr>
                <w:sz w:val="20"/>
                <w:lang w:val="fr-CA"/>
              </w:rPr>
              <w:t>0 </w:t>
            </w:r>
            <w:r w:rsidRPr="00ED22D1">
              <w:rPr>
                <w:sz w:val="20"/>
                <w:lang w:val="fr-CA"/>
              </w:rPr>
              <w:t>000</w:t>
            </w:r>
          </w:p>
        </w:tc>
      </w:tr>
      <w:tr w:rsidR="00D002F4" w:rsidRPr="00ED22D1" w:rsidTr="00A400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
          <w:tblHeader/>
        </w:trPr>
        <w:tc>
          <w:tcPr>
            <w:tcW w:w="4040" w:type="pct"/>
            <w:tcBorders>
              <w:right w:val="single" w:sz="4" w:space="0" w:color="auto"/>
            </w:tcBorders>
          </w:tcPr>
          <w:p w:rsidR="00D002F4" w:rsidRPr="00ED22D1" w:rsidRDefault="00921C74" w:rsidP="00921C74">
            <w:pPr>
              <w:keepLines/>
              <w:tabs>
                <w:tab w:val="left" w:pos="284"/>
              </w:tabs>
              <w:spacing w:line="0" w:lineRule="atLeast"/>
              <w:ind w:left="284"/>
              <w:jc w:val="left"/>
              <w:rPr>
                <w:sz w:val="20"/>
                <w:lang w:val="fr-CA"/>
              </w:rPr>
            </w:pPr>
            <w:r w:rsidRPr="00ED22D1">
              <w:rPr>
                <w:sz w:val="20"/>
                <w:lang w:val="fr-CA"/>
              </w:rPr>
              <w:t xml:space="preserve">Établissement de nouvelles </w:t>
            </w:r>
            <w:r w:rsidR="00DE118B" w:rsidRPr="00ED22D1">
              <w:rPr>
                <w:sz w:val="20"/>
                <w:lang w:val="fr-CA"/>
              </w:rPr>
              <w:t>normes</w:t>
            </w:r>
            <w:r w:rsidR="004A6828" w:rsidRPr="00ED22D1">
              <w:rPr>
                <w:sz w:val="20"/>
                <w:lang w:val="fr-CA"/>
              </w:rPr>
              <w:t xml:space="preserve"> et </w:t>
            </w:r>
            <w:r w:rsidRPr="00ED22D1">
              <w:rPr>
                <w:sz w:val="20"/>
                <w:lang w:val="fr-CA"/>
              </w:rPr>
              <w:t>révision des normes existantes</w:t>
            </w:r>
          </w:p>
        </w:tc>
        <w:tc>
          <w:tcPr>
            <w:tcW w:w="960" w:type="pct"/>
            <w:tcBorders>
              <w:left w:val="single" w:sz="4" w:space="0" w:color="auto"/>
            </w:tcBorders>
          </w:tcPr>
          <w:p w:rsidR="00D002F4" w:rsidRPr="00ED22D1" w:rsidRDefault="00D002F4" w:rsidP="00D87C7D">
            <w:pPr>
              <w:keepLines/>
              <w:tabs>
                <w:tab w:val="left" w:pos="284"/>
              </w:tabs>
              <w:spacing w:line="0" w:lineRule="atLeast"/>
              <w:jc w:val="right"/>
              <w:rPr>
                <w:sz w:val="20"/>
                <w:lang w:val="fr-CA"/>
              </w:rPr>
            </w:pPr>
            <w:r w:rsidRPr="00ED22D1">
              <w:rPr>
                <w:sz w:val="20"/>
                <w:lang w:val="fr-CA"/>
              </w:rPr>
              <w:t>40</w:t>
            </w:r>
            <w:r w:rsidR="004A6828" w:rsidRPr="00ED22D1">
              <w:rPr>
                <w:sz w:val="20"/>
                <w:lang w:val="fr-CA"/>
              </w:rPr>
              <w:t>0 </w:t>
            </w:r>
            <w:r w:rsidRPr="00ED22D1">
              <w:rPr>
                <w:sz w:val="20"/>
                <w:lang w:val="fr-CA"/>
              </w:rPr>
              <w:t>000</w:t>
            </w:r>
          </w:p>
        </w:tc>
      </w:tr>
      <w:tr w:rsidR="00D002F4" w:rsidRPr="00ED22D1" w:rsidTr="00A400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040" w:type="pct"/>
            <w:tcBorders>
              <w:right w:val="single" w:sz="4" w:space="0" w:color="auto"/>
            </w:tcBorders>
          </w:tcPr>
          <w:p w:rsidR="00D002F4" w:rsidRPr="00ED22D1" w:rsidRDefault="00921C74" w:rsidP="00921C74">
            <w:pPr>
              <w:keepLines/>
              <w:tabs>
                <w:tab w:val="left" w:pos="284"/>
              </w:tabs>
              <w:spacing w:line="0" w:lineRule="atLeast"/>
              <w:ind w:left="284"/>
              <w:jc w:val="left"/>
              <w:rPr>
                <w:sz w:val="20"/>
                <w:lang w:val="fr-CA"/>
              </w:rPr>
            </w:pPr>
            <w:r w:rsidRPr="00ED22D1">
              <w:rPr>
                <w:sz w:val="20"/>
                <w:lang w:val="fr-CA"/>
              </w:rPr>
              <w:t xml:space="preserve">Services de consultants techniques et </w:t>
            </w:r>
            <w:r w:rsidR="00921BDE" w:rsidRPr="00ED22D1">
              <w:rPr>
                <w:sz w:val="20"/>
                <w:lang w:val="fr-CA"/>
              </w:rPr>
              <w:t>vérification</w:t>
            </w:r>
          </w:p>
        </w:tc>
        <w:tc>
          <w:tcPr>
            <w:tcW w:w="960" w:type="pct"/>
            <w:tcBorders>
              <w:left w:val="single" w:sz="4" w:space="0" w:color="auto"/>
              <w:right w:val="single" w:sz="4" w:space="0" w:color="auto"/>
            </w:tcBorders>
          </w:tcPr>
          <w:p w:rsidR="00D002F4" w:rsidRPr="00ED22D1" w:rsidRDefault="00D002F4" w:rsidP="00D87C7D">
            <w:pPr>
              <w:keepLines/>
              <w:tabs>
                <w:tab w:val="left" w:pos="284"/>
              </w:tabs>
              <w:spacing w:line="0" w:lineRule="atLeast"/>
              <w:jc w:val="right"/>
              <w:rPr>
                <w:sz w:val="20"/>
                <w:lang w:val="fr-CA"/>
              </w:rPr>
            </w:pPr>
            <w:r w:rsidRPr="00ED22D1">
              <w:rPr>
                <w:sz w:val="20"/>
                <w:lang w:val="fr-CA"/>
              </w:rPr>
              <w:t>25</w:t>
            </w:r>
            <w:r w:rsidR="004A6828" w:rsidRPr="00ED22D1">
              <w:rPr>
                <w:sz w:val="20"/>
                <w:lang w:val="fr-CA"/>
              </w:rPr>
              <w:t>0 </w:t>
            </w:r>
            <w:r w:rsidRPr="00ED22D1">
              <w:rPr>
                <w:sz w:val="20"/>
                <w:lang w:val="fr-CA"/>
              </w:rPr>
              <w:t>000</w:t>
            </w:r>
          </w:p>
        </w:tc>
      </w:tr>
      <w:tr w:rsidR="00D002F4" w:rsidRPr="00ED22D1" w:rsidTr="00A400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040" w:type="pct"/>
            <w:tcBorders>
              <w:right w:val="single" w:sz="4" w:space="0" w:color="auto"/>
            </w:tcBorders>
          </w:tcPr>
          <w:p w:rsidR="00D002F4" w:rsidRPr="00ED22D1" w:rsidRDefault="00E71388" w:rsidP="00921C74">
            <w:pPr>
              <w:keepLines/>
              <w:tabs>
                <w:tab w:val="left" w:pos="284"/>
              </w:tabs>
              <w:spacing w:line="0" w:lineRule="atLeast"/>
              <w:ind w:left="284"/>
              <w:jc w:val="left"/>
              <w:rPr>
                <w:sz w:val="20"/>
                <w:lang w:val="fr-CA"/>
              </w:rPr>
            </w:pPr>
            <w:r w:rsidRPr="00ED22D1">
              <w:rPr>
                <w:sz w:val="20"/>
                <w:lang w:val="fr-CA"/>
              </w:rPr>
              <w:t>Démonstration</w:t>
            </w:r>
            <w:r w:rsidR="00D002F4" w:rsidRPr="00ED22D1">
              <w:rPr>
                <w:sz w:val="20"/>
                <w:lang w:val="fr-CA"/>
              </w:rPr>
              <w:t xml:space="preserve"> </w:t>
            </w:r>
            <w:r w:rsidR="00921C74" w:rsidRPr="00ED22D1">
              <w:rPr>
                <w:sz w:val="20"/>
                <w:lang w:val="fr-CA"/>
              </w:rPr>
              <w:t>de</w:t>
            </w:r>
            <w:r w:rsidR="00D002F4" w:rsidRPr="00ED22D1">
              <w:rPr>
                <w:sz w:val="20"/>
                <w:lang w:val="fr-CA"/>
              </w:rPr>
              <w:t xml:space="preserve"> produ</w:t>
            </w:r>
            <w:r w:rsidR="00921C74" w:rsidRPr="00ED22D1">
              <w:rPr>
                <w:sz w:val="20"/>
                <w:lang w:val="fr-CA"/>
              </w:rPr>
              <w:t>i</w:t>
            </w:r>
            <w:r w:rsidR="00D002F4" w:rsidRPr="00ED22D1">
              <w:rPr>
                <w:sz w:val="20"/>
                <w:lang w:val="fr-CA"/>
              </w:rPr>
              <w:t xml:space="preserve">ts </w:t>
            </w:r>
            <w:r w:rsidR="00B84F94" w:rsidRPr="00ED22D1">
              <w:rPr>
                <w:sz w:val="20"/>
                <w:lang w:val="fr-CA"/>
              </w:rPr>
              <w:t xml:space="preserve">avec </w:t>
            </w:r>
            <w:r w:rsidR="00BB7CCB" w:rsidRPr="00ED22D1">
              <w:rPr>
                <w:sz w:val="20"/>
                <w:lang w:val="fr-CA"/>
              </w:rPr>
              <w:t xml:space="preserve">technologies de remplacement </w:t>
            </w:r>
          </w:p>
        </w:tc>
        <w:tc>
          <w:tcPr>
            <w:tcW w:w="960" w:type="pct"/>
            <w:tcBorders>
              <w:left w:val="single" w:sz="4" w:space="0" w:color="auto"/>
              <w:right w:val="single" w:sz="4" w:space="0" w:color="auto"/>
            </w:tcBorders>
          </w:tcPr>
          <w:p w:rsidR="00D002F4" w:rsidRPr="00ED22D1" w:rsidRDefault="00D002F4" w:rsidP="00D87C7D">
            <w:pPr>
              <w:keepLines/>
              <w:tabs>
                <w:tab w:val="left" w:pos="284"/>
              </w:tabs>
              <w:spacing w:line="0" w:lineRule="atLeast"/>
              <w:jc w:val="right"/>
              <w:rPr>
                <w:sz w:val="20"/>
                <w:lang w:val="fr-CA"/>
              </w:rPr>
            </w:pPr>
            <w:r w:rsidRPr="00ED22D1">
              <w:rPr>
                <w:sz w:val="20"/>
                <w:lang w:val="fr-CA"/>
              </w:rPr>
              <w:t>70</w:t>
            </w:r>
            <w:r w:rsidR="004A6828" w:rsidRPr="00ED22D1">
              <w:rPr>
                <w:sz w:val="20"/>
                <w:lang w:val="fr-CA"/>
              </w:rPr>
              <w:t>0 </w:t>
            </w:r>
            <w:r w:rsidRPr="00ED22D1">
              <w:rPr>
                <w:sz w:val="20"/>
                <w:lang w:val="fr-CA"/>
              </w:rPr>
              <w:t>000</w:t>
            </w:r>
          </w:p>
        </w:tc>
      </w:tr>
      <w:tr w:rsidR="00D002F4" w:rsidRPr="00ED22D1" w:rsidTr="00A400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040" w:type="pct"/>
            <w:tcBorders>
              <w:right w:val="single" w:sz="4" w:space="0" w:color="auto"/>
            </w:tcBorders>
          </w:tcPr>
          <w:p w:rsidR="00D002F4" w:rsidRPr="00ED22D1" w:rsidRDefault="00DE118B" w:rsidP="00921C74">
            <w:pPr>
              <w:keepLines/>
              <w:tabs>
                <w:tab w:val="left" w:pos="284"/>
              </w:tabs>
              <w:spacing w:line="0" w:lineRule="atLeast"/>
              <w:ind w:left="284"/>
              <w:jc w:val="left"/>
              <w:rPr>
                <w:sz w:val="20"/>
                <w:lang w:val="fr-CA"/>
              </w:rPr>
            </w:pPr>
            <w:r w:rsidRPr="00ED22D1">
              <w:rPr>
                <w:sz w:val="20"/>
                <w:lang w:val="fr-CA"/>
              </w:rPr>
              <w:t>Communications techniques</w:t>
            </w:r>
            <w:r w:rsidR="004A6828" w:rsidRPr="00ED22D1">
              <w:rPr>
                <w:sz w:val="20"/>
                <w:lang w:val="fr-CA"/>
              </w:rPr>
              <w:t xml:space="preserve"> et </w:t>
            </w:r>
            <w:r w:rsidR="00921C74" w:rsidRPr="00ED22D1">
              <w:rPr>
                <w:sz w:val="20"/>
                <w:lang w:val="fr-CA"/>
              </w:rPr>
              <w:t>séminaires, y compris les frais de déplacement</w:t>
            </w:r>
          </w:p>
        </w:tc>
        <w:tc>
          <w:tcPr>
            <w:tcW w:w="960" w:type="pct"/>
            <w:tcBorders>
              <w:left w:val="single" w:sz="4" w:space="0" w:color="auto"/>
              <w:right w:val="single" w:sz="4" w:space="0" w:color="auto"/>
            </w:tcBorders>
          </w:tcPr>
          <w:p w:rsidR="00D002F4" w:rsidRPr="00ED22D1" w:rsidRDefault="00D002F4" w:rsidP="00D87C7D">
            <w:pPr>
              <w:keepLines/>
              <w:tabs>
                <w:tab w:val="left" w:pos="284"/>
              </w:tabs>
              <w:spacing w:line="0" w:lineRule="atLeast"/>
              <w:jc w:val="right"/>
              <w:rPr>
                <w:sz w:val="20"/>
                <w:lang w:val="fr-CA"/>
              </w:rPr>
            </w:pPr>
            <w:r w:rsidRPr="00ED22D1">
              <w:rPr>
                <w:sz w:val="20"/>
                <w:lang w:val="fr-CA"/>
              </w:rPr>
              <w:t>5</w:t>
            </w:r>
            <w:r w:rsidR="004A6828" w:rsidRPr="00ED22D1">
              <w:rPr>
                <w:sz w:val="20"/>
                <w:lang w:val="fr-CA"/>
              </w:rPr>
              <w:t>0 </w:t>
            </w:r>
            <w:r w:rsidRPr="00ED22D1">
              <w:rPr>
                <w:sz w:val="20"/>
                <w:lang w:val="fr-CA"/>
              </w:rPr>
              <w:t>000</w:t>
            </w:r>
          </w:p>
        </w:tc>
      </w:tr>
      <w:tr w:rsidR="00D002F4" w:rsidRPr="00ED22D1" w:rsidTr="00A400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040" w:type="pct"/>
            <w:tcBorders>
              <w:right w:val="single" w:sz="4" w:space="0" w:color="auto"/>
            </w:tcBorders>
          </w:tcPr>
          <w:p w:rsidR="00D002F4" w:rsidRPr="00ED22D1" w:rsidRDefault="002F6D48" w:rsidP="00921C74">
            <w:pPr>
              <w:keepLines/>
              <w:tabs>
                <w:tab w:val="left" w:pos="284"/>
              </w:tabs>
              <w:spacing w:line="0" w:lineRule="atLeast"/>
              <w:ind w:left="284"/>
              <w:jc w:val="left"/>
              <w:rPr>
                <w:sz w:val="20"/>
                <w:lang w:val="fr-CA"/>
              </w:rPr>
            </w:pPr>
            <w:r w:rsidRPr="00ED22D1">
              <w:rPr>
                <w:sz w:val="20"/>
                <w:lang w:val="fr-CA"/>
              </w:rPr>
              <w:t>Sensibilisation du public</w:t>
            </w:r>
            <w:r w:rsidR="004A6828" w:rsidRPr="00ED22D1">
              <w:rPr>
                <w:sz w:val="20"/>
                <w:lang w:val="fr-CA"/>
              </w:rPr>
              <w:t xml:space="preserve"> et </w:t>
            </w:r>
            <w:r w:rsidR="00921C74" w:rsidRPr="00ED22D1">
              <w:rPr>
                <w:sz w:val="20"/>
                <w:lang w:val="fr-CA"/>
              </w:rPr>
              <w:t xml:space="preserve">ateliers de </w:t>
            </w:r>
            <w:r w:rsidR="00DE118B" w:rsidRPr="00ED22D1">
              <w:rPr>
                <w:sz w:val="20"/>
                <w:lang w:val="fr-CA"/>
              </w:rPr>
              <w:t>formation</w:t>
            </w:r>
          </w:p>
        </w:tc>
        <w:tc>
          <w:tcPr>
            <w:tcW w:w="960" w:type="pct"/>
            <w:tcBorders>
              <w:left w:val="single" w:sz="4" w:space="0" w:color="auto"/>
              <w:right w:val="single" w:sz="4" w:space="0" w:color="auto"/>
            </w:tcBorders>
          </w:tcPr>
          <w:p w:rsidR="00D002F4" w:rsidRPr="00ED22D1" w:rsidRDefault="00D002F4" w:rsidP="00D87C7D">
            <w:pPr>
              <w:keepLines/>
              <w:tabs>
                <w:tab w:val="left" w:pos="284"/>
              </w:tabs>
              <w:spacing w:line="0" w:lineRule="atLeast"/>
              <w:jc w:val="right"/>
              <w:rPr>
                <w:sz w:val="20"/>
                <w:lang w:val="fr-CA"/>
              </w:rPr>
            </w:pPr>
            <w:r w:rsidRPr="00ED22D1">
              <w:rPr>
                <w:sz w:val="20"/>
                <w:lang w:val="fr-CA"/>
              </w:rPr>
              <w:t>4</w:t>
            </w:r>
            <w:r w:rsidR="004A6828" w:rsidRPr="00ED22D1">
              <w:rPr>
                <w:sz w:val="20"/>
                <w:lang w:val="fr-CA"/>
              </w:rPr>
              <w:t>5 </w:t>
            </w:r>
            <w:r w:rsidRPr="00ED22D1">
              <w:rPr>
                <w:sz w:val="20"/>
                <w:lang w:val="fr-CA"/>
              </w:rPr>
              <w:t>004</w:t>
            </w:r>
          </w:p>
        </w:tc>
      </w:tr>
      <w:tr w:rsidR="00D002F4" w:rsidRPr="00ED22D1" w:rsidTr="00A400A6">
        <w:trPr>
          <w:trHeight w:val="41"/>
        </w:trPr>
        <w:tc>
          <w:tcPr>
            <w:tcW w:w="4040" w:type="pct"/>
            <w:tcBorders>
              <w:top w:val="nil"/>
              <w:left w:val="single" w:sz="4" w:space="0" w:color="auto"/>
              <w:bottom w:val="single" w:sz="4" w:space="0" w:color="auto"/>
              <w:right w:val="single" w:sz="4" w:space="0" w:color="auto"/>
            </w:tcBorders>
            <w:shd w:val="clear" w:color="auto" w:fill="auto"/>
          </w:tcPr>
          <w:p w:rsidR="00D002F4" w:rsidRPr="00ED22D1" w:rsidRDefault="00921C74" w:rsidP="00921C74">
            <w:pPr>
              <w:jc w:val="left"/>
              <w:rPr>
                <w:color w:val="000000"/>
                <w:sz w:val="20"/>
                <w:szCs w:val="20"/>
                <w:lang w:val="fr-CA" w:eastAsia="zh-CN"/>
              </w:rPr>
            </w:pPr>
            <w:r w:rsidRPr="00ED22D1">
              <w:rPr>
                <w:color w:val="000000"/>
                <w:sz w:val="20"/>
                <w:szCs w:val="20"/>
                <w:lang w:val="fr-CA" w:eastAsia="zh-CN"/>
              </w:rPr>
              <w:t>Total partiel pour les activités d’</w:t>
            </w:r>
            <w:r w:rsidR="00872A2F" w:rsidRPr="00ED22D1">
              <w:rPr>
                <w:color w:val="000000"/>
                <w:sz w:val="20"/>
                <w:szCs w:val="20"/>
                <w:lang w:val="fr-CA" w:eastAsia="zh-CN"/>
              </w:rPr>
              <w:t>assistance technique</w:t>
            </w:r>
          </w:p>
        </w:tc>
        <w:tc>
          <w:tcPr>
            <w:tcW w:w="960" w:type="pct"/>
            <w:tcBorders>
              <w:top w:val="nil"/>
              <w:left w:val="nil"/>
              <w:bottom w:val="single" w:sz="4" w:space="0" w:color="auto"/>
              <w:right w:val="single" w:sz="4" w:space="0" w:color="auto"/>
            </w:tcBorders>
            <w:shd w:val="clear" w:color="auto" w:fill="auto"/>
          </w:tcPr>
          <w:p w:rsidR="00D002F4" w:rsidRPr="00ED22D1" w:rsidRDefault="004A6828" w:rsidP="00D87C7D">
            <w:pPr>
              <w:ind w:left="720"/>
              <w:jc w:val="right"/>
              <w:rPr>
                <w:color w:val="000000"/>
                <w:sz w:val="20"/>
                <w:szCs w:val="20"/>
                <w:highlight w:val="yellow"/>
                <w:lang w:val="fr-CA" w:eastAsia="zh-CN"/>
              </w:rPr>
            </w:pPr>
            <w:r w:rsidRPr="00ED22D1">
              <w:rPr>
                <w:color w:val="000000"/>
                <w:sz w:val="20"/>
                <w:szCs w:val="20"/>
                <w:lang w:val="fr-CA" w:eastAsia="zh-CN"/>
              </w:rPr>
              <w:t>2 </w:t>
            </w:r>
            <w:r w:rsidR="00D002F4" w:rsidRPr="00ED22D1">
              <w:rPr>
                <w:color w:val="000000"/>
                <w:sz w:val="20"/>
                <w:szCs w:val="20"/>
                <w:lang w:val="fr-CA" w:eastAsia="zh-CN"/>
              </w:rPr>
              <w:t>24</w:t>
            </w:r>
            <w:r w:rsidRPr="00ED22D1">
              <w:rPr>
                <w:color w:val="000000"/>
                <w:sz w:val="20"/>
                <w:szCs w:val="20"/>
                <w:lang w:val="fr-CA" w:eastAsia="zh-CN"/>
              </w:rPr>
              <w:t>5 </w:t>
            </w:r>
            <w:r w:rsidR="00D002F4" w:rsidRPr="00ED22D1">
              <w:rPr>
                <w:color w:val="000000"/>
                <w:sz w:val="20"/>
                <w:szCs w:val="20"/>
                <w:lang w:val="fr-CA" w:eastAsia="zh-CN"/>
              </w:rPr>
              <w:t>004</w:t>
            </w:r>
          </w:p>
        </w:tc>
      </w:tr>
      <w:tr w:rsidR="00D002F4" w:rsidRPr="00ED22D1" w:rsidTr="00A400A6">
        <w:trPr>
          <w:trHeight w:val="46"/>
        </w:trPr>
        <w:tc>
          <w:tcPr>
            <w:tcW w:w="4040" w:type="pct"/>
            <w:tcBorders>
              <w:top w:val="nil"/>
              <w:left w:val="single" w:sz="4" w:space="0" w:color="auto"/>
              <w:bottom w:val="single" w:sz="4" w:space="0" w:color="auto"/>
              <w:right w:val="single" w:sz="4" w:space="0" w:color="auto"/>
            </w:tcBorders>
            <w:shd w:val="clear" w:color="auto" w:fill="auto"/>
            <w:hideMark/>
          </w:tcPr>
          <w:p w:rsidR="00D002F4" w:rsidRPr="00ED22D1" w:rsidRDefault="00D002F4" w:rsidP="00D87C7D">
            <w:pPr>
              <w:jc w:val="left"/>
              <w:rPr>
                <w:color w:val="000000"/>
                <w:sz w:val="20"/>
                <w:szCs w:val="20"/>
                <w:lang w:val="fr-CA" w:eastAsia="zh-CN"/>
              </w:rPr>
            </w:pPr>
            <w:r w:rsidRPr="00ED22D1">
              <w:rPr>
                <w:color w:val="000000"/>
                <w:sz w:val="20"/>
                <w:szCs w:val="20"/>
                <w:lang w:val="fr-CA" w:eastAsia="zh-CN"/>
              </w:rPr>
              <w:t>PMU</w:t>
            </w:r>
          </w:p>
        </w:tc>
        <w:tc>
          <w:tcPr>
            <w:tcW w:w="960" w:type="pct"/>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eastAsia="zh-CN"/>
              </w:rPr>
              <w:t>75</w:t>
            </w:r>
            <w:r w:rsidR="004A6828" w:rsidRPr="00ED22D1">
              <w:rPr>
                <w:color w:val="000000"/>
                <w:sz w:val="20"/>
                <w:szCs w:val="20"/>
                <w:lang w:val="fr-CA" w:eastAsia="zh-CN"/>
              </w:rPr>
              <w:t>4 </w:t>
            </w:r>
            <w:r w:rsidRPr="00ED22D1">
              <w:rPr>
                <w:color w:val="000000"/>
                <w:sz w:val="20"/>
                <w:szCs w:val="20"/>
                <w:lang w:val="fr-CA" w:eastAsia="zh-CN"/>
              </w:rPr>
              <w:t>996</w:t>
            </w:r>
          </w:p>
        </w:tc>
      </w:tr>
      <w:tr w:rsidR="00D002F4" w:rsidRPr="00ED22D1" w:rsidTr="00A400A6">
        <w:trPr>
          <w:trHeight w:val="71"/>
        </w:trPr>
        <w:tc>
          <w:tcPr>
            <w:tcW w:w="4040" w:type="pct"/>
            <w:tcBorders>
              <w:top w:val="nil"/>
              <w:left w:val="single" w:sz="4" w:space="0" w:color="auto"/>
              <w:bottom w:val="single" w:sz="4" w:space="0" w:color="auto"/>
              <w:right w:val="single" w:sz="4" w:space="0" w:color="auto"/>
            </w:tcBorders>
            <w:shd w:val="clear" w:color="auto" w:fill="auto"/>
            <w:vAlign w:val="center"/>
            <w:hideMark/>
          </w:tcPr>
          <w:p w:rsidR="00D002F4" w:rsidRPr="00ED22D1" w:rsidRDefault="00D002F4" w:rsidP="00921C74">
            <w:pPr>
              <w:jc w:val="left"/>
              <w:rPr>
                <w:b/>
                <w:color w:val="000000"/>
                <w:sz w:val="20"/>
                <w:szCs w:val="20"/>
                <w:lang w:val="fr-CA" w:eastAsia="zh-CN"/>
              </w:rPr>
            </w:pPr>
            <w:r w:rsidRPr="00ED22D1">
              <w:rPr>
                <w:b/>
                <w:color w:val="000000"/>
                <w:sz w:val="20"/>
                <w:szCs w:val="20"/>
                <w:lang w:val="fr-CA" w:eastAsia="zh-CN"/>
              </w:rPr>
              <w:t>Total</w:t>
            </w:r>
          </w:p>
        </w:tc>
        <w:tc>
          <w:tcPr>
            <w:tcW w:w="960" w:type="pct"/>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b/>
                <w:color w:val="000000"/>
                <w:sz w:val="20"/>
                <w:szCs w:val="20"/>
                <w:lang w:val="fr-CA" w:eastAsia="zh-CN"/>
              </w:rPr>
            </w:pPr>
            <w:r w:rsidRPr="00ED22D1">
              <w:rPr>
                <w:b/>
                <w:color w:val="000000"/>
                <w:sz w:val="20"/>
                <w:szCs w:val="20"/>
                <w:lang w:val="fr-CA" w:eastAsia="zh-CN"/>
              </w:rPr>
              <w:t>1</w:t>
            </w:r>
            <w:r w:rsidR="004A6828" w:rsidRPr="00ED22D1">
              <w:rPr>
                <w:b/>
                <w:color w:val="000000"/>
                <w:sz w:val="20"/>
                <w:szCs w:val="20"/>
                <w:lang w:val="fr-CA" w:eastAsia="zh-CN"/>
              </w:rPr>
              <w:t>2 </w:t>
            </w:r>
            <w:r w:rsidRPr="00ED22D1">
              <w:rPr>
                <w:b/>
                <w:color w:val="000000"/>
                <w:sz w:val="20"/>
                <w:szCs w:val="20"/>
                <w:lang w:val="fr-CA" w:eastAsia="zh-CN"/>
              </w:rPr>
              <w:t>00</w:t>
            </w:r>
            <w:r w:rsidR="004A6828" w:rsidRPr="00ED22D1">
              <w:rPr>
                <w:b/>
                <w:color w:val="000000"/>
                <w:sz w:val="20"/>
                <w:szCs w:val="20"/>
                <w:lang w:val="fr-CA" w:eastAsia="zh-CN"/>
              </w:rPr>
              <w:t>0 </w:t>
            </w:r>
            <w:r w:rsidRPr="00ED22D1">
              <w:rPr>
                <w:b/>
                <w:color w:val="000000"/>
                <w:sz w:val="20"/>
                <w:szCs w:val="20"/>
                <w:lang w:val="fr-CA" w:eastAsia="zh-CN"/>
              </w:rPr>
              <w:t>000</w:t>
            </w:r>
          </w:p>
        </w:tc>
      </w:tr>
    </w:tbl>
    <w:p w:rsidR="00D002F4" w:rsidRPr="00ED22D1" w:rsidRDefault="00D002F4" w:rsidP="00D002F4">
      <w:pPr>
        <w:rPr>
          <w:lang w:val="fr-CA"/>
        </w:rPr>
      </w:pPr>
    </w:p>
    <w:p w:rsidR="00D002F4" w:rsidRPr="00ED22D1" w:rsidRDefault="001354A8" w:rsidP="00D002F4">
      <w:pPr>
        <w:keepNext/>
        <w:keepLines/>
        <w:widowControl w:val="0"/>
        <w:jc w:val="center"/>
        <w:rPr>
          <w:b/>
          <w:lang w:val="fr-CA"/>
        </w:rPr>
      </w:pPr>
      <w:r w:rsidRPr="00ED22D1">
        <w:rPr>
          <w:b/>
          <w:bCs/>
          <w:lang w:val="fr-CA"/>
        </w:rPr>
        <w:t>OBSERVATIONS ET RECOMMANDATION DU SECRÉTARIAT</w:t>
      </w:r>
    </w:p>
    <w:p w:rsidR="00D002F4" w:rsidRPr="00ED22D1" w:rsidRDefault="00D002F4" w:rsidP="00D002F4">
      <w:pPr>
        <w:keepNext/>
        <w:keepLines/>
        <w:widowControl w:val="0"/>
        <w:rPr>
          <w:b/>
          <w:lang w:val="fr-CA"/>
        </w:rPr>
      </w:pPr>
    </w:p>
    <w:p w:rsidR="001354A8" w:rsidRPr="00ED22D1" w:rsidRDefault="001354A8" w:rsidP="001354A8">
      <w:pPr>
        <w:rPr>
          <w:b/>
          <w:lang w:val="fr-CA"/>
        </w:rPr>
      </w:pPr>
      <w:r w:rsidRPr="00ED22D1">
        <w:rPr>
          <w:b/>
          <w:bCs/>
          <w:lang w:val="fr-CA"/>
        </w:rPr>
        <w:t>OBSERVATIONS</w:t>
      </w:r>
    </w:p>
    <w:p w:rsidR="00D002F4" w:rsidRPr="00ED22D1" w:rsidRDefault="00D002F4" w:rsidP="00D002F4">
      <w:pPr>
        <w:keepNext/>
        <w:keepLines/>
        <w:rPr>
          <w:lang w:val="fr-CA"/>
        </w:rPr>
      </w:pPr>
    </w:p>
    <w:p w:rsidR="00D002F4" w:rsidRPr="00ED22D1" w:rsidRDefault="00181884" w:rsidP="00D002F4">
      <w:pPr>
        <w:keepNext/>
        <w:keepLines/>
        <w:spacing w:after="240"/>
        <w:jc w:val="left"/>
        <w:rPr>
          <w:u w:val="single"/>
          <w:lang w:val="fr-CA"/>
        </w:rPr>
      </w:pPr>
      <w:r w:rsidRPr="00ED22D1">
        <w:rPr>
          <w:u w:val="single"/>
          <w:lang w:val="fr-CA"/>
        </w:rPr>
        <w:t>Consommation de HCFC</w:t>
      </w:r>
    </w:p>
    <w:p w:rsidR="00D002F4" w:rsidRPr="00ED22D1" w:rsidRDefault="00DC2912" w:rsidP="00DC2912">
      <w:pPr>
        <w:pStyle w:val="Heading1"/>
        <w:keepNext/>
        <w:keepLines/>
        <w:numPr>
          <w:ilvl w:val="0"/>
          <w:numId w:val="0"/>
        </w:numPr>
        <w:rPr>
          <w:lang w:val="fr-CA"/>
        </w:rPr>
      </w:pPr>
      <w:r w:rsidRPr="00ED22D1">
        <w:rPr>
          <w:lang w:val="fr-CA"/>
        </w:rPr>
        <w:t>85.</w:t>
      </w:r>
      <w:r w:rsidRPr="00ED22D1">
        <w:rPr>
          <w:lang w:val="fr-CA"/>
        </w:rPr>
        <w:tab/>
      </w:r>
      <w:r w:rsidR="00921C74" w:rsidRPr="00ED22D1">
        <w:rPr>
          <w:lang w:val="fr-CA"/>
        </w:rPr>
        <w:t>La c</w:t>
      </w:r>
      <w:r w:rsidR="00181884" w:rsidRPr="00ED22D1">
        <w:rPr>
          <w:lang w:val="fr-CA"/>
        </w:rPr>
        <w:t>onsommation de HCFC</w:t>
      </w:r>
      <w:r w:rsidR="00D002F4" w:rsidRPr="00ED22D1">
        <w:rPr>
          <w:lang w:val="fr-CA"/>
        </w:rPr>
        <w:t xml:space="preserve"> </w:t>
      </w:r>
      <w:r w:rsidR="00921C74" w:rsidRPr="00ED22D1">
        <w:rPr>
          <w:lang w:val="fr-CA"/>
        </w:rPr>
        <w:t xml:space="preserve">du secteur de la </w:t>
      </w:r>
      <w:r w:rsidR="00905638" w:rsidRPr="00ED22D1">
        <w:rPr>
          <w:lang w:val="fr-CA"/>
        </w:rPr>
        <w:t xml:space="preserve">climatisation et de </w:t>
      </w:r>
      <w:r w:rsidR="00921C74" w:rsidRPr="00ED22D1">
        <w:rPr>
          <w:lang w:val="fr-CA"/>
        </w:rPr>
        <w:t xml:space="preserve">la </w:t>
      </w:r>
      <w:r w:rsidR="00905638" w:rsidRPr="00ED22D1">
        <w:rPr>
          <w:lang w:val="fr-CA"/>
        </w:rPr>
        <w:t>réfrigération industrielle et commerciale</w:t>
      </w:r>
      <w:r w:rsidR="00D002F4" w:rsidRPr="00ED22D1">
        <w:rPr>
          <w:lang w:val="fr-CA"/>
        </w:rPr>
        <w:t xml:space="preserve"> </w:t>
      </w:r>
      <w:r w:rsidR="00921C74" w:rsidRPr="00ED22D1">
        <w:rPr>
          <w:lang w:val="fr-CA"/>
        </w:rPr>
        <w:t xml:space="preserve">a été de </w:t>
      </w:r>
      <w:r w:rsidR="00D002F4" w:rsidRPr="00ED22D1">
        <w:rPr>
          <w:lang w:val="fr-CA"/>
        </w:rPr>
        <w:t>3</w:t>
      </w:r>
      <w:r w:rsidR="004A6828" w:rsidRPr="00ED22D1">
        <w:rPr>
          <w:lang w:val="fr-CA"/>
        </w:rPr>
        <w:t>8 </w:t>
      </w:r>
      <w:r w:rsidR="00D002F4" w:rsidRPr="00ED22D1">
        <w:rPr>
          <w:lang w:val="fr-CA"/>
        </w:rPr>
        <w:t>234</w:t>
      </w:r>
      <w:r w:rsidR="004B666A" w:rsidRPr="00ED22D1">
        <w:rPr>
          <w:lang w:val="fr-CA"/>
        </w:rPr>
        <w:t xml:space="preserve"> tm </w:t>
      </w:r>
      <w:r w:rsidR="00D002F4" w:rsidRPr="00ED22D1">
        <w:rPr>
          <w:lang w:val="fr-CA"/>
        </w:rPr>
        <w:t>(</w:t>
      </w:r>
      <w:r w:rsidR="004A6828" w:rsidRPr="00ED22D1">
        <w:rPr>
          <w:lang w:val="fr-CA"/>
        </w:rPr>
        <w:t>2 </w:t>
      </w:r>
      <w:r w:rsidR="00D002F4" w:rsidRPr="00ED22D1">
        <w:rPr>
          <w:lang w:val="fr-CA"/>
        </w:rPr>
        <w:t>081</w:t>
      </w:r>
      <w:r w:rsidR="0052712E" w:rsidRPr="00ED22D1">
        <w:rPr>
          <w:lang w:val="fr-CA"/>
        </w:rPr>
        <w:t xml:space="preserve"> tonnes PAO)</w:t>
      </w:r>
      <w:r w:rsidR="00921C74" w:rsidRPr="00ED22D1">
        <w:rPr>
          <w:lang w:val="fr-CA"/>
        </w:rPr>
        <w:t xml:space="preserve"> en 2017</w:t>
      </w:r>
      <w:r w:rsidR="00D002F4" w:rsidRPr="00ED22D1">
        <w:rPr>
          <w:lang w:val="fr-CA"/>
        </w:rPr>
        <w:t>,</w:t>
      </w:r>
      <w:r w:rsidR="00921C74" w:rsidRPr="00ED22D1">
        <w:rPr>
          <w:lang w:val="fr-CA"/>
        </w:rPr>
        <w:t xml:space="preserve"> ce qui est inférieur à la </w:t>
      </w:r>
      <w:r w:rsidR="00616B46" w:rsidRPr="00ED22D1">
        <w:rPr>
          <w:lang w:val="fr-CA"/>
        </w:rPr>
        <w:t>consommation</w:t>
      </w:r>
      <w:r w:rsidR="00921C74" w:rsidRPr="00ED22D1">
        <w:rPr>
          <w:lang w:val="fr-CA"/>
        </w:rPr>
        <w:t xml:space="preserve"> admissible de </w:t>
      </w:r>
      <w:r w:rsidR="00D002F4" w:rsidRPr="00ED22D1">
        <w:rPr>
          <w:lang w:val="fr-CA"/>
        </w:rPr>
        <w:t>3</w:t>
      </w:r>
      <w:r w:rsidR="004A6828" w:rsidRPr="00ED22D1">
        <w:rPr>
          <w:lang w:val="fr-CA"/>
        </w:rPr>
        <w:t>9 </w:t>
      </w:r>
      <w:r w:rsidR="00D002F4" w:rsidRPr="00ED22D1">
        <w:rPr>
          <w:lang w:val="fr-CA"/>
        </w:rPr>
        <w:t>320</w:t>
      </w:r>
      <w:r w:rsidR="004B666A" w:rsidRPr="00ED22D1">
        <w:rPr>
          <w:lang w:val="fr-CA"/>
        </w:rPr>
        <w:t xml:space="preserve"> tm </w:t>
      </w:r>
      <w:r w:rsidR="00D002F4" w:rsidRPr="00ED22D1">
        <w:rPr>
          <w:lang w:val="fr-CA"/>
        </w:rPr>
        <w:t>(</w:t>
      </w:r>
      <w:r w:rsidR="004A6828" w:rsidRPr="00ED22D1">
        <w:rPr>
          <w:lang w:val="fr-CA"/>
        </w:rPr>
        <w:t>2 </w:t>
      </w:r>
      <w:r w:rsidR="00D002F4" w:rsidRPr="00ED22D1">
        <w:rPr>
          <w:lang w:val="fr-CA"/>
        </w:rPr>
        <w:t>163</w:t>
      </w:r>
      <w:r w:rsidR="0052712E" w:rsidRPr="00ED22D1">
        <w:rPr>
          <w:lang w:val="fr-CA"/>
        </w:rPr>
        <w:t xml:space="preserve"> tonnes PAO)</w:t>
      </w:r>
      <w:r w:rsidR="00D002F4" w:rsidRPr="00ED22D1">
        <w:rPr>
          <w:lang w:val="fr-CA"/>
        </w:rPr>
        <w:t xml:space="preserve"> </w:t>
      </w:r>
      <w:r w:rsidR="00921C74" w:rsidRPr="00ED22D1">
        <w:rPr>
          <w:lang w:val="fr-CA"/>
        </w:rPr>
        <w:t xml:space="preserve">dans </w:t>
      </w:r>
      <w:r w:rsidR="00CE7FEC" w:rsidRPr="00ED22D1">
        <w:rPr>
          <w:lang w:val="fr-CA"/>
        </w:rPr>
        <w:t>l’accord</w:t>
      </w:r>
      <w:r w:rsidR="00D002F4" w:rsidRPr="00ED22D1">
        <w:rPr>
          <w:lang w:val="fr-CA"/>
        </w:rPr>
        <w:t xml:space="preserve"> </w:t>
      </w:r>
      <w:r w:rsidR="004A6828" w:rsidRPr="00ED22D1">
        <w:rPr>
          <w:lang w:val="fr-CA"/>
        </w:rPr>
        <w:t>entre</w:t>
      </w:r>
      <w:r w:rsidR="00D002F4"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w:t>
      </w:r>
      <w:r w:rsidR="00451B0C">
        <w:rPr>
          <w:lang w:val="fr-CA"/>
        </w:rPr>
        <w:t> </w:t>
      </w:r>
      <w:r w:rsidR="00DD185D" w:rsidRPr="00ED22D1">
        <w:rPr>
          <w:lang w:val="fr-CA"/>
        </w:rPr>
        <w:t>Comité exécutif</w:t>
      </w:r>
      <w:r w:rsidR="00921C74" w:rsidRPr="00ED22D1">
        <w:rPr>
          <w:lang w:val="fr-CA"/>
        </w:rPr>
        <w:t xml:space="preserve"> (T</w:t>
      </w:r>
      <w:r w:rsidR="00CE7FEC" w:rsidRPr="00ED22D1">
        <w:rPr>
          <w:lang w:val="fr-CA"/>
        </w:rPr>
        <w:t xml:space="preserve">ableau </w:t>
      </w:r>
      <w:r w:rsidR="004A6828" w:rsidRPr="00ED22D1">
        <w:rPr>
          <w:lang w:val="fr-CA"/>
        </w:rPr>
        <w:t>5</w:t>
      </w:r>
      <w:r w:rsidR="00921C74" w:rsidRPr="00ED22D1">
        <w:rPr>
          <w:lang w:val="fr-CA"/>
        </w:rPr>
        <w:t>)</w:t>
      </w:r>
      <w:r w:rsidR="00D05BD1" w:rsidRPr="00ED22D1">
        <w:rPr>
          <w:lang w:val="fr-CA"/>
        </w:rPr>
        <w:t>.</w:t>
      </w:r>
      <w:r w:rsidR="00D002F4" w:rsidRPr="00ED22D1">
        <w:rPr>
          <w:lang w:val="fr-CA"/>
        </w:rPr>
        <w:t xml:space="preserve"> </w:t>
      </w:r>
    </w:p>
    <w:p w:rsidR="00C80221" w:rsidRDefault="00C80221">
      <w:pPr>
        <w:jc w:val="left"/>
        <w:rPr>
          <w:b/>
          <w:lang w:val="fr-CA"/>
        </w:rPr>
      </w:pPr>
      <w:r>
        <w:rPr>
          <w:b/>
          <w:lang w:val="fr-CA"/>
        </w:rPr>
        <w:br w:type="page"/>
      </w:r>
    </w:p>
    <w:p w:rsidR="00D002F4" w:rsidRPr="00ED22D1" w:rsidRDefault="00CE7FEC" w:rsidP="00D002F4">
      <w:pPr>
        <w:keepNext/>
        <w:jc w:val="left"/>
        <w:rPr>
          <w:b/>
          <w:lang w:val="fr-CA"/>
        </w:rPr>
      </w:pPr>
      <w:r w:rsidRPr="00ED22D1">
        <w:rPr>
          <w:b/>
          <w:lang w:val="fr-CA"/>
        </w:rPr>
        <w:lastRenderedPageBreak/>
        <w:t xml:space="preserve">Tableau </w:t>
      </w:r>
      <w:r w:rsidR="004A6828" w:rsidRPr="00ED22D1">
        <w:rPr>
          <w:b/>
          <w:lang w:val="fr-CA"/>
        </w:rPr>
        <w:t>5</w:t>
      </w:r>
      <w:r w:rsidR="00D05BD1" w:rsidRPr="00ED22D1">
        <w:rPr>
          <w:b/>
          <w:lang w:val="fr-CA"/>
        </w:rPr>
        <w:t>.</w:t>
      </w:r>
      <w:r w:rsidR="00D002F4" w:rsidRPr="00ED22D1">
        <w:rPr>
          <w:b/>
          <w:lang w:val="fr-CA"/>
        </w:rPr>
        <w:t xml:space="preserve"> </w:t>
      </w:r>
      <w:r w:rsidR="00181884" w:rsidRPr="00ED22D1">
        <w:rPr>
          <w:b/>
          <w:lang w:val="fr-CA"/>
        </w:rPr>
        <w:t>Consommation de HCFC</w:t>
      </w:r>
      <w:r w:rsidR="00D002F4" w:rsidRPr="00ED22D1">
        <w:rPr>
          <w:b/>
          <w:lang w:val="fr-CA"/>
        </w:rPr>
        <w:t xml:space="preserve"> </w:t>
      </w:r>
      <w:r w:rsidR="00005758" w:rsidRPr="00ED22D1">
        <w:rPr>
          <w:b/>
          <w:lang w:val="fr-CA"/>
        </w:rPr>
        <w:t xml:space="preserve">dans le secteur de la </w:t>
      </w:r>
      <w:r w:rsidR="00905638" w:rsidRPr="00ED22D1">
        <w:rPr>
          <w:b/>
          <w:lang w:val="fr-CA"/>
        </w:rPr>
        <w:t xml:space="preserve">climatisation et de </w:t>
      </w:r>
      <w:r w:rsidR="00005758" w:rsidRPr="00ED22D1">
        <w:rPr>
          <w:b/>
          <w:lang w:val="fr-CA"/>
        </w:rPr>
        <w:t xml:space="preserve">la </w:t>
      </w:r>
      <w:r w:rsidR="00905638" w:rsidRPr="00ED22D1">
        <w:rPr>
          <w:b/>
          <w:lang w:val="fr-CA"/>
        </w:rPr>
        <w:t>réfrigération industrielle et commerciale</w:t>
      </w:r>
    </w:p>
    <w:tbl>
      <w:tblPr>
        <w:tblW w:w="9820" w:type="dxa"/>
        <w:tblInd w:w="108" w:type="dxa"/>
        <w:tblLook w:val="04A0" w:firstRow="1" w:lastRow="0" w:firstColumn="1" w:lastColumn="0" w:noHBand="0" w:noVBand="1"/>
      </w:tblPr>
      <w:tblGrid>
        <w:gridCol w:w="3340"/>
        <w:gridCol w:w="1080"/>
        <w:gridCol w:w="1080"/>
        <w:gridCol w:w="1080"/>
        <w:gridCol w:w="1080"/>
        <w:gridCol w:w="1080"/>
        <w:gridCol w:w="1080"/>
      </w:tblGrid>
      <w:tr w:rsidR="00D002F4" w:rsidRPr="00ED22D1" w:rsidTr="00504625">
        <w:trPr>
          <w:trHeight w:val="242"/>
          <w:tblHeader/>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center"/>
              <w:rPr>
                <w:color w:val="000000"/>
                <w:sz w:val="20"/>
                <w:szCs w:val="20"/>
                <w:lang w:val="fr-CA" w:eastAsia="zh-CN"/>
              </w:rPr>
            </w:pP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2012</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2013</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2014</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2015</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2016</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D002F4" w:rsidP="00D87C7D">
            <w:pPr>
              <w:jc w:val="center"/>
              <w:rPr>
                <w:b/>
                <w:bCs/>
                <w:color w:val="000000"/>
                <w:sz w:val="20"/>
                <w:szCs w:val="20"/>
                <w:lang w:val="fr-CA" w:eastAsia="zh-CN"/>
              </w:rPr>
            </w:pPr>
            <w:r w:rsidRPr="00ED22D1">
              <w:rPr>
                <w:b/>
                <w:bCs/>
                <w:color w:val="000000"/>
                <w:sz w:val="20"/>
                <w:szCs w:val="20"/>
                <w:lang w:val="fr-CA" w:eastAsia="zh-CN"/>
              </w:rPr>
              <w:t>2017</w:t>
            </w:r>
          </w:p>
        </w:tc>
      </w:tr>
      <w:tr w:rsidR="00D002F4" w:rsidRPr="00ED22D1" w:rsidTr="00504625">
        <w:trPr>
          <w:trHeight w:val="350"/>
        </w:trPr>
        <w:tc>
          <w:tcPr>
            <w:tcW w:w="3340" w:type="dxa"/>
            <w:tcBorders>
              <w:top w:val="nil"/>
              <w:left w:val="single" w:sz="4" w:space="0" w:color="auto"/>
              <w:bottom w:val="single" w:sz="4" w:space="0" w:color="auto"/>
              <w:right w:val="single" w:sz="4" w:space="0" w:color="auto"/>
            </w:tcBorders>
            <w:shd w:val="clear" w:color="auto" w:fill="auto"/>
            <w:hideMark/>
          </w:tcPr>
          <w:p w:rsidR="00D002F4" w:rsidRPr="00ED22D1" w:rsidRDefault="001B45EC" w:rsidP="00D87C7D">
            <w:pPr>
              <w:jc w:val="left"/>
              <w:rPr>
                <w:color w:val="000000"/>
                <w:sz w:val="20"/>
                <w:szCs w:val="20"/>
                <w:lang w:val="fr-CA" w:eastAsia="zh-CN"/>
              </w:rPr>
            </w:pPr>
            <w:r w:rsidRPr="00ED22D1">
              <w:rPr>
                <w:color w:val="000000"/>
                <w:sz w:val="20"/>
                <w:szCs w:val="20"/>
                <w:lang w:val="fr-CA" w:eastAsia="zh-CN"/>
              </w:rPr>
              <w:t>Consommation maximale admissible</w:t>
            </w:r>
            <w:r w:rsidR="00D002F4" w:rsidRPr="00ED22D1">
              <w:rPr>
                <w:color w:val="000000"/>
                <w:sz w:val="20"/>
                <w:szCs w:val="20"/>
                <w:lang w:val="fr-CA" w:eastAsia="zh-CN"/>
              </w:rPr>
              <w:t xml:space="preserve"> </w:t>
            </w:r>
            <w:r w:rsidR="0052712E" w:rsidRPr="00ED22D1">
              <w:rPr>
                <w:color w:val="000000"/>
                <w:sz w:val="20"/>
                <w:szCs w:val="20"/>
                <w:lang w:val="fr-CA" w:eastAsia="zh-CN"/>
              </w:rPr>
              <w:t>(tonnes PAO)</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D002F4" w:rsidRPr="00ED22D1" w:rsidRDefault="00F12D89" w:rsidP="00D87C7D">
            <w:pPr>
              <w:jc w:val="right"/>
              <w:rPr>
                <w:color w:val="000000"/>
                <w:sz w:val="20"/>
                <w:szCs w:val="20"/>
                <w:lang w:val="fr-CA" w:eastAsia="zh-CN"/>
              </w:rPr>
            </w:pPr>
            <w:r w:rsidRPr="00ED22D1">
              <w:rPr>
                <w:color w:val="000000"/>
                <w:sz w:val="20"/>
                <w:szCs w:val="20"/>
                <w:lang w:val="fr-CA"/>
              </w:rPr>
              <w:t>s.o.</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403</w:t>
            </w:r>
          </w:p>
        </w:tc>
        <w:tc>
          <w:tcPr>
            <w:tcW w:w="1080" w:type="dxa"/>
            <w:tcBorders>
              <w:top w:val="single" w:sz="4" w:space="0" w:color="auto"/>
              <w:left w:val="nil"/>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403</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163</w:t>
            </w:r>
          </w:p>
        </w:tc>
        <w:tc>
          <w:tcPr>
            <w:tcW w:w="1080" w:type="dxa"/>
            <w:tcBorders>
              <w:top w:val="single" w:sz="4" w:space="0" w:color="auto"/>
              <w:left w:val="nil"/>
              <w:bottom w:val="single" w:sz="4" w:space="0" w:color="auto"/>
              <w:right w:val="single" w:sz="4" w:space="0" w:color="auto"/>
            </w:tcBorders>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163</w:t>
            </w:r>
          </w:p>
        </w:tc>
        <w:tc>
          <w:tcPr>
            <w:tcW w:w="1080" w:type="dxa"/>
            <w:tcBorders>
              <w:top w:val="single" w:sz="4" w:space="0" w:color="auto"/>
              <w:left w:val="nil"/>
              <w:bottom w:val="single" w:sz="4" w:space="0" w:color="auto"/>
              <w:right w:val="single" w:sz="4" w:space="0" w:color="auto"/>
            </w:tcBorders>
            <w:shd w:val="clear" w:color="auto" w:fill="auto"/>
            <w:noWrap/>
            <w:hideMark/>
          </w:tcPr>
          <w:p w:rsidR="00D002F4" w:rsidRPr="00ED22D1" w:rsidRDefault="004A6828" w:rsidP="00D87C7D">
            <w:pPr>
              <w:jc w:val="right"/>
              <w:rPr>
                <w:rFonts w:ascii="Calibri" w:hAnsi="Calibri" w:cs="Calibri"/>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163</w:t>
            </w:r>
          </w:p>
        </w:tc>
      </w:tr>
      <w:tr w:rsidR="00D002F4" w:rsidRPr="00ED22D1" w:rsidTr="00504625">
        <w:trPr>
          <w:trHeight w:val="242"/>
        </w:trPr>
        <w:tc>
          <w:tcPr>
            <w:tcW w:w="3340" w:type="dxa"/>
            <w:tcBorders>
              <w:top w:val="nil"/>
              <w:left w:val="single" w:sz="4" w:space="0" w:color="auto"/>
              <w:bottom w:val="single" w:sz="4" w:space="0" w:color="auto"/>
              <w:right w:val="single" w:sz="4" w:space="0" w:color="auto"/>
            </w:tcBorders>
            <w:shd w:val="clear" w:color="auto" w:fill="auto"/>
            <w:hideMark/>
          </w:tcPr>
          <w:p w:rsidR="00D002F4" w:rsidRPr="00ED22D1" w:rsidRDefault="001B45EC" w:rsidP="00921C74">
            <w:pPr>
              <w:jc w:val="left"/>
              <w:rPr>
                <w:color w:val="000000"/>
                <w:sz w:val="20"/>
                <w:szCs w:val="20"/>
                <w:lang w:val="fr-CA" w:eastAsia="zh-CN"/>
              </w:rPr>
            </w:pPr>
            <w:r w:rsidRPr="00ED22D1">
              <w:rPr>
                <w:color w:val="000000"/>
                <w:sz w:val="20"/>
                <w:szCs w:val="20"/>
                <w:lang w:val="fr-CA" w:eastAsia="zh-CN"/>
              </w:rPr>
              <w:t>Consommation maximale admissible</w:t>
            </w:r>
            <w:r w:rsidR="00D002F4" w:rsidRPr="00ED22D1">
              <w:rPr>
                <w:color w:val="000000"/>
                <w:sz w:val="20"/>
                <w:szCs w:val="20"/>
                <w:lang w:val="fr-CA" w:eastAsia="zh-CN"/>
              </w:rPr>
              <w:t xml:space="preserve"> (</w:t>
            </w:r>
            <w:r w:rsidR="001279D7" w:rsidRPr="00ED22D1">
              <w:rPr>
                <w:color w:val="000000"/>
                <w:sz w:val="20"/>
                <w:szCs w:val="20"/>
                <w:lang w:val="fr-CA" w:eastAsia="zh-CN"/>
              </w:rPr>
              <w:t>t</w:t>
            </w:r>
            <w:r w:rsidR="00921C74" w:rsidRPr="00ED22D1">
              <w:rPr>
                <w:color w:val="000000"/>
                <w:sz w:val="20"/>
                <w:szCs w:val="20"/>
                <w:lang w:val="fr-CA" w:eastAsia="zh-CN"/>
              </w:rPr>
              <w:t>onnes métriques</w:t>
            </w:r>
            <w:r w:rsidR="00D002F4" w:rsidRPr="00ED22D1">
              <w:rPr>
                <w:color w:val="000000"/>
                <w:sz w:val="20"/>
                <w:szCs w:val="20"/>
                <w:lang w:val="fr-CA" w:eastAsia="zh-CN"/>
              </w:rPr>
              <w:t>)</w:t>
            </w:r>
          </w:p>
        </w:tc>
        <w:tc>
          <w:tcPr>
            <w:tcW w:w="1080" w:type="dxa"/>
            <w:tcBorders>
              <w:top w:val="nil"/>
              <w:left w:val="single" w:sz="4" w:space="0" w:color="auto"/>
              <w:bottom w:val="single" w:sz="4" w:space="0" w:color="auto"/>
              <w:right w:val="single" w:sz="4" w:space="0" w:color="auto"/>
            </w:tcBorders>
            <w:shd w:val="clear" w:color="auto" w:fill="auto"/>
            <w:noWrap/>
            <w:hideMark/>
          </w:tcPr>
          <w:p w:rsidR="00D002F4" w:rsidRPr="00ED22D1" w:rsidRDefault="00F12D89" w:rsidP="00D87C7D">
            <w:pPr>
              <w:jc w:val="right"/>
              <w:rPr>
                <w:color w:val="000000"/>
                <w:sz w:val="20"/>
                <w:szCs w:val="20"/>
                <w:lang w:val="fr-CA" w:eastAsia="zh-CN"/>
              </w:rPr>
            </w:pPr>
            <w:r w:rsidRPr="00ED22D1">
              <w:rPr>
                <w:color w:val="000000"/>
                <w:sz w:val="20"/>
                <w:szCs w:val="20"/>
                <w:lang w:val="fr-CA"/>
              </w:rPr>
              <w:t>s.o.</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4</w:t>
            </w:r>
            <w:r w:rsidR="004A6828" w:rsidRPr="00ED22D1">
              <w:rPr>
                <w:color w:val="000000"/>
                <w:sz w:val="20"/>
                <w:szCs w:val="20"/>
                <w:lang w:val="fr-CA"/>
              </w:rPr>
              <w:t>3 </w:t>
            </w:r>
            <w:r w:rsidRPr="00ED22D1">
              <w:rPr>
                <w:color w:val="000000"/>
                <w:sz w:val="20"/>
                <w:szCs w:val="20"/>
                <w:lang w:val="fr-CA"/>
              </w:rPr>
              <w:t>925</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4</w:t>
            </w:r>
            <w:r w:rsidR="004A6828" w:rsidRPr="00ED22D1">
              <w:rPr>
                <w:color w:val="000000"/>
                <w:sz w:val="20"/>
                <w:szCs w:val="20"/>
                <w:lang w:val="fr-CA"/>
              </w:rPr>
              <w:t>3 </w:t>
            </w:r>
            <w:r w:rsidRPr="00ED22D1">
              <w:rPr>
                <w:color w:val="000000"/>
                <w:sz w:val="20"/>
                <w:szCs w:val="20"/>
                <w:lang w:val="fr-CA"/>
              </w:rPr>
              <w:t>925</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9 </w:t>
            </w:r>
            <w:r w:rsidRPr="00ED22D1">
              <w:rPr>
                <w:color w:val="000000"/>
                <w:sz w:val="20"/>
                <w:szCs w:val="20"/>
                <w:lang w:val="fr-CA"/>
              </w:rPr>
              <w:t>320</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9 </w:t>
            </w:r>
            <w:r w:rsidRPr="00ED22D1">
              <w:rPr>
                <w:color w:val="000000"/>
                <w:sz w:val="20"/>
                <w:szCs w:val="20"/>
                <w:lang w:val="fr-CA"/>
              </w:rPr>
              <w:t>320</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rFonts w:ascii="Calibri" w:hAnsi="Calibri" w:cs="Calibri"/>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9 </w:t>
            </w:r>
            <w:r w:rsidRPr="00ED22D1">
              <w:rPr>
                <w:color w:val="000000"/>
                <w:sz w:val="20"/>
                <w:szCs w:val="20"/>
                <w:lang w:val="fr-CA"/>
              </w:rPr>
              <w:t>320</w:t>
            </w:r>
          </w:p>
        </w:tc>
      </w:tr>
      <w:tr w:rsidR="00D002F4" w:rsidRPr="00ED22D1" w:rsidTr="00504625">
        <w:trPr>
          <w:trHeight w:val="314"/>
        </w:trPr>
        <w:tc>
          <w:tcPr>
            <w:tcW w:w="3340" w:type="dxa"/>
            <w:tcBorders>
              <w:top w:val="nil"/>
              <w:left w:val="single" w:sz="4" w:space="0" w:color="auto"/>
              <w:bottom w:val="single" w:sz="4" w:space="0" w:color="auto"/>
              <w:right w:val="single" w:sz="4" w:space="0" w:color="auto"/>
            </w:tcBorders>
            <w:shd w:val="clear" w:color="auto" w:fill="auto"/>
            <w:hideMark/>
          </w:tcPr>
          <w:p w:rsidR="00D002F4" w:rsidRPr="00ED22D1" w:rsidRDefault="00175077" w:rsidP="00175077">
            <w:pPr>
              <w:jc w:val="left"/>
              <w:rPr>
                <w:color w:val="000000"/>
                <w:sz w:val="20"/>
                <w:szCs w:val="20"/>
                <w:lang w:val="fr-CA" w:eastAsia="zh-CN"/>
              </w:rPr>
            </w:pPr>
            <w:r w:rsidRPr="00ED22D1">
              <w:rPr>
                <w:color w:val="000000"/>
                <w:sz w:val="20"/>
                <w:szCs w:val="20"/>
                <w:lang w:val="fr-CA" w:eastAsia="zh-CN"/>
              </w:rPr>
              <w:t>C</w:t>
            </w:r>
            <w:r w:rsidR="00181884" w:rsidRPr="00ED22D1">
              <w:rPr>
                <w:color w:val="000000"/>
                <w:sz w:val="20"/>
                <w:szCs w:val="20"/>
                <w:lang w:val="fr-CA" w:eastAsia="zh-CN"/>
              </w:rPr>
              <w:t>onsommation</w:t>
            </w:r>
            <w:r w:rsidR="00D002F4" w:rsidRPr="00ED22D1">
              <w:rPr>
                <w:color w:val="000000"/>
                <w:sz w:val="20"/>
                <w:szCs w:val="20"/>
                <w:lang w:val="fr-CA" w:eastAsia="zh-CN"/>
              </w:rPr>
              <w:t xml:space="preserve"> </w:t>
            </w:r>
            <w:r w:rsidRPr="00ED22D1">
              <w:rPr>
                <w:color w:val="000000"/>
                <w:sz w:val="20"/>
                <w:szCs w:val="20"/>
                <w:lang w:val="fr-CA" w:eastAsia="zh-CN"/>
              </w:rPr>
              <w:t xml:space="preserve">actuelle dans le secteur de la </w:t>
            </w:r>
            <w:r w:rsidR="00905638" w:rsidRPr="00ED22D1">
              <w:rPr>
                <w:color w:val="000000"/>
                <w:sz w:val="20"/>
                <w:szCs w:val="20"/>
                <w:lang w:val="fr-CA" w:eastAsia="zh-CN"/>
              </w:rPr>
              <w:t xml:space="preserve">climatisation et de </w:t>
            </w:r>
            <w:r w:rsidRPr="00ED22D1">
              <w:rPr>
                <w:color w:val="000000"/>
                <w:sz w:val="20"/>
                <w:szCs w:val="20"/>
                <w:lang w:val="fr-CA" w:eastAsia="zh-CN"/>
              </w:rPr>
              <w:t xml:space="preserve">la </w:t>
            </w:r>
            <w:r w:rsidR="00905638" w:rsidRPr="00ED22D1">
              <w:rPr>
                <w:color w:val="000000"/>
                <w:sz w:val="20"/>
                <w:szCs w:val="20"/>
                <w:lang w:val="fr-CA" w:eastAsia="zh-CN"/>
              </w:rPr>
              <w:t>réfrigération industrielle et commerciale</w:t>
            </w:r>
            <w:r w:rsidR="00733306" w:rsidRPr="00ED22D1">
              <w:rPr>
                <w:color w:val="000000"/>
                <w:sz w:val="20"/>
                <w:szCs w:val="20"/>
                <w:lang w:val="fr-CA" w:eastAsia="zh-CN"/>
              </w:rPr>
              <w:t xml:space="preserve"> </w:t>
            </w:r>
            <w:r w:rsidR="0052712E" w:rsidRPr="00ED22D1">
              <w:rPr>
                <w:color w:val="000000"/>
                <w:sz w:val="20"/>
                <w:szCs w:val="20"/>
                <w:lang w:val="fr-CA" w:eastAsia="zh-CN"/>
              </w:rPr>
              <w:t>(tonnes</w:t>
            </w:r>
            <w:r w:rsidRPr="00ED22D1">
              <w:rPr>
                <w:color w:val="000000"/>
                <w:sz w:val="20"/>
                <w:szCs w:val="20"/>
                <w:lang w:val="fr-CA" w:eastAsia="zh-CN"/>
              </w:rPr>
              <w:t> </w:t>
            </w:r>
            <w:r w:rsidR="0052712E" w:rsidRPr="00ED22D1">
              <w:rPr>
                <w:color w:val="000000"/>
                <w:sz w:val="20"/>
                <w:szCs w:val="20"/>
                <w:lang w:val="fr-CA" w:eastAsia="zh-CN"/>
              </w:rPr>
              <w:t>PAO)</w:t>
            </w:r>
            <w:r w:rsidR="00D002F4" w:rsidRPr="00ED22D1">
              <w:rPr>
                <w:color w:val="000000"/>
                <w:sz w:val="20"/>
                <w:szCs w:val="20"/>
                <w:lang w:val="fr-CA" w:eastAsia="zh-CN"/>
              </w:rPr>
              <w:t>*</w:t>
            </w:r>
          </w:p>
        </w:tc>
        <w:tc>
          <w:tcPr>
            <w:tcW w:w="1080" w:type="dxa"/>
            <w:tcBorders>
              <w:top w:val="nil"/>
              <w:left w:val="single" w:sz="4" w:space="0" w:color="auto"/>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61</w:t>
            </w:r>
            <w:r w:rsidRPr="00ED22D1">
              <w:rPr>
                <w:color w:val="000000"/>
                <w:sz w:val="20"/>
                <w:szCs w:val="20"/>
                <w:lang w:val="fr-CA"/>
              </w:rPr>
              <w:t>0,</w:t>
            </w:r>
            <w:r w:rsidR="00D002F4" w:rsidRPr="00ED22D1">
              <w:rPr>
                <w:color w:val="000000"/>
                <w:sz w:val="20"/>
                <w:szCs w:val="20"/>
                <w:lang w:val="fr-CA"/>
              </w:rPr>
              <w:t>47</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225</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219</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1 </w:t>
            </w:r>
            <w:r w:rsidR="00D002F4" w:rsidRPr="00ED22D1">
              <w:rPr>
                <w:color w:val="000000"/>
                <w:sz w:val="20"/>
                <w:szCs w:val="20"/>
                <w:lang w:val="fr-CA"/>
              </w:rPr>
              <w:t>982</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082</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rFonts w:ascii="Calibri" w:hAnsi="Calibri" w:cs="Calibri"/>
                <w:color w:val="000000"/>
                <w:sz w:val="20"/>
                <w:szCs w:val="20"/>
                <w:lang w:val="fr-CA" w:eastAsia="zh-CN"/>
              </w:rPr>
            </w:pPr>
            <w:r w:rsidRPr="00ED22D1">
              <w:rPr>
                <w:color w:val="000000"/>
                <w:sz w:val="20"/>
                <w:szCs w:val="20"/>
                <w:lang w:val="fr-CA"/>
              </w:rPr>
              <w:t>2 </w:t>
            </w:r>
            <w:r w:rsidR="00D002F4" w:rsidRPr="00ED22D1">
              <w:rPr>
                <w:color w:val="000000"/>
                <w:sz w:val="20"/>
                <w:szCs w:val="20"/>
                <w:lang w:val="fr-CA"/>
              </w:rPr>
              <w:t>081</w:t>
            </w:r>
          </w:p>
        </w:tc>
      </w:tr>
      <w:tr w:rsidR="00D002F4" w:rsidRPr="00ED22D1" w:rsidTr="00504625">
        <w:trPr>
          <w:trHeight w:val="287"/>
        </w:trPr>
        <w:tc>
          <w:tcPr>
            <w:tcW w:w="3340" w:type="dxa"/>
            <w:tcBorders>
              <w:top w:val="nil"/>
              <w:left w:val="single" w:sz="4" w:space="0" w:color="auto"/>
              <w:bottom w:val="single" w:sz="4" w:space="0" w:color="auto"/>
              <w:right w:val="single" w:sz="4" w:space="0" w:color="auto"/>
            </w:tcBorders>
            <w:shd w:val="clear" w:color="auto" w:fill="auto"/>
            <w:hideMark/>
          </w:tcPr>
          <w:p w:rsidR="00D002F4" w:rsidRPr="00ED22D1" w:rsidRDefault="00175077" w:rsidP="00D87C7D">
            <w:pPr>
              <w:jc w:val="left"/>
              <w:rPr>
                <w:color w:val="000000"/>
                <w:sz w:val="20"/>
                <w:szCs w:val="20"/>
                <w:lang w:val="fr-CA" w:eastAsia="zh-CN"/>
              </w:rPr>
            </w:pPr>
            <w:r w:rsidRPr="00ED22D1">
              <w:rPr>
                <w:color w:val="000000"/>
                <w:sz w:val="20"/>
                <w:szCs w:val="20"/>
                <w:lang w:val="fr-CA" w:eastAsia="zh-CN"/>
              </w:rPr>
              <w:t xml:space="preserve">Consommation actuelle dans le secteur de la climatisation et de la réfrigération industrielle et commerciale </w:t>
            </w:r>
            <w:r w:rsidR="00D002F4" w:rsidRPr="00ED22D1">
              <w:rPr>
                <w:color w:val="000000"/>
                <w:sz w:val="20"/>
                <w:szCs w:val="20"/>
                <w:lang w:val="fr-CA" w:eastAsia="zh-CN"/>
              </w:rPr>
              <w:t>(</w:t>
            </w:r>
            <w:r w:rsidR="001279D7" w:rsidRPr="00ED22D1">
              <w:rPr>
                <w:color w:val="000000"/>
                <w:sz w:val="20"/>
                <w:szCs w:val="20"/>
                <w:lang w:val="fr-CA" w:eastAsia="zh-CN"/>
              </w:rPr>
              <w:t>tm</w:t>
            </w:r>
            <w:r w:rsidR="00D002F4" w:rsidRPr="00ED22D1">
              <w:rPr>
                <w:color w:val="000000"/>
                <w:sz w:val="20"/>
                <w:szCs w:val="20"/>
                <w:lang w:val="fr-CA" w:eastAsia="zh-CN"/>
              </w:rPr>
              <w:t>)*</w:t>
            </w:r>
          </w:p>
        </w:tc>
        <w:tc>
          <w:tcPr>
            <w:tcW w:w="1080" w:type="dxa"/>
            <w:tcBorders>
              <w:top w:val="nil"/>
              <w:left w:val="single" w:sz="4" w:space="0" w:color="auto"/>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4</w:t>
            </w:r>
            <w:r w:rsidR="004A6828" w:rsidRPr="00ED22D1">
              <w:rPr>
                <w:color w:val="000000"/>
                <w:sz w:val="20"/>
                <w:szCs w:val="20"/>
                <w:lang w:val="fr-CA"/>
              </w:rPr>
              <w:t>7 </w:t>
            </w:r>
            <w:r w:rsidRPr="00ED22D1">
              <w:rPr>
                <w:color w:val="000000"/>
                <w:sz w:val="20"/>
                <w:szCs w:val="20"/>
                <w:lang w:val="fr-CA"/>
              </w:rPr>
              <w:t>46</w:t>
            </w:r>
            <w:r w:rsidR="004A6828" w:rsidRPr="00ED22D1">
              <w:rPr>
                <w:color w:val="000000"/>
                <w:sz w:val="20"/>
                <w:szCs w:val="20"/>
                <w:lang w:val="fr-CA"/>
              </w:rPr>
              <w:t>3,</w:t>
            </w:r>
            <w:r w:rsidRPr="00ED22D1">
              <w:rPr>
                <w:color w:val="000000"/>
                <w:sz w:val="20"/>
                <w:szCs w:val="20"/>
                <w:lang w:val="fr-CA"/>
              </w:rPr>
              <w:t>00</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4</w:t>
            </w:r>
            <w:r w:rsidR="004A6828" w:rsidRPr="00ED22D1">
              <w:rPr>
                <w:color w:val="000000"/>
                <w:sz w:val="20"/>
                <w:szCs w:val="20"/>
                <w:lang w:val="fr-CA"/>
              </w:rPr>
              <w:t>0 </w:t>
            </w:r>
            <w:r w:rsidRPr="00ED22D1">
              <w:rPr>
                <w:color w:val="000000"/>
                <w:sz w:val="20"/>
                <w:szCs w:val="20"/>
                <w:lang w:val="fr-CA"/>
              </w:rPr>
              <w:t>805</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4</w:t>
            </w:r>
            <w:r w:rsidR="004A6828" w:rsidRPr="00ED22D1">
              <w:rPr>
                <w:color w:val="000000"/>
                <w:sz w:val="20"/>
                <w:szCs w:val="20"/>
                <w:lang w:val="fr-CA"/>
              </w:rPr>
              <w:t>0 </w:t>
            </w:r>
            <w:r w:rsidRPr="00ED22D1">
              <w:rPr>
                <w:color w:val="000000"/>
                <w:sz w:val="20"/>
                <w:szCs w:val="20"/>
                <w:lang w:val="fr-CA"/>
              </w:rPr>
              <w:t>749</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6 </w:t>
            </w:r>
            <w:r w:rsidRPr="00ED22D1">
              <w:rPr>
                <w:color w:val="000000"/>
                <w:sz w:val="20"/>
                <w:szCs w:val="20"/>
                <w:lang w:val="fr-CA"/>
              </w:rPr>
              <w:t>385</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8 </w:t>
            </w:r>
            <w:r w:rsidRPr="00ED22D1">
              <w:rPr>
                <w:color w:val="000000"/>
                <w:sz w:val="20"/>
                <w:szCs w:val="20"/>
                <w:lang w:val="fr-CA"/>
              </w:rPr>
              <w:t>255</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rFonts w:ascii="Calibri" w:hAnsi="Calibri" w:cs="Calibri"/>
                <w:color w:val="000000"/>
                <w:sz w:val="20"/>
                <w:szCs w:val="20"/>
                <w:lang w:val="fr-CA" w:eastAsia="zh-CN"/>
              </w:rPr>
            </w:pPr>
            <w:r w:rsidRPr="00ED22D1">
              <w:rPr>
                <w:color w:val="000000"/>
                <w:sz w:val="20"/>
                <w:szCs w:val="20"/>
                <w:lang w:val="fr-CA"/>
              </w:rPr>
              <w:t>3</w:t>
            </w:r>
            <w:r w:rsidR="004A6828" w:rsidRPr="00ED22D1">
              <w:rPr>
                <w:color w:val="000000"/>
                <w:sz w:val="20"/>
                <w:szCs w:val="20"/>
                <w:lang w:val="fr-CA"/>
              </w:rPr>
              <w:t>8 </w:t>
            </w:r>
            <w:r w:rsidRPr="00ED22D1">
              <w:rPr>
                <w:color w:val="000000"/>
                <w:sz w:val="20"/>
                <w:szCs w:val="20"/>
                <w:lang w:val="fr-CA"/>
              </w:rPr>
              <w:t>234</w:t>
            </w:r>
          </w:p>
        </w:tc>
      </w:tr>
      <w:tr w:rsidR="00D002F4" w:rsidRPr="00ED22D1" w:rsidTr="00504625">
        <w:trPr>
          <w:trHeight w:val="35"/>
        </w:trPr>
        <w:tc>
          <w:tcPr>
            <w:tcW w:w="3340" w:type="dxa"/>
            <w:tcBorders>
              <w:top w:val="nil"/>
              <w:left w:val="single" w:sz="4" w:space="0" w:color="auto"/>
              <w:bottom w:val="single" w:sz="4" w:space="0" w:color="auto"/>
              <w:right w:val="single" w:sz="4" w:space="0" w:color="auto"/>
            </w:tcBorders>
            <w:shd w:val="clear" w:color="auto" w:fill="auto"/>
            <w:hideMark/>
          </w:tcPr>
          <w:p w:rsidR="00D002F4" w:rsidRPr="00ED22D1" w:rsidRDefault="00175077" w:rsidP="00D87C7D">
            <w:pPr>
              <w:jc w:val="left"/>
              <w:rPr>
                <w:color w:val="000000"/>
                <w:sz w:val="20"/>
                <w:szCs w:val="20"/>
                <w:lang w:val="fr-CA" w:eastAsia="zh-CN"/>
              </w:rPr>
            </w:pPr>
            <w:r w:rsidRPr="00ED22D1">
              <w:rPr>
                <w:color w:val="000000"/>
                <w:sz w:val="20"/>
                <w:szCs w:val="20"/>
                <w:lang w:val="fr-CA" w:eastAsia="zh-CN"/>
              </w:rPr>
              <w:t>Objectif de réduction établi dans le PGEH</w:t>
            </w:r>
            <w:r w:rsidR="00D002F4" w:rsidRPr="00ED22D1">
              <w:rPr>
                <w:color w:val="000000"/>
                <w:sz w:val="20"/>
                <w:szCs w:val="20"/>
                <w:lang w:val="fr-CA" w:eastAsia="zh-CN"/>
              </w:rPr>
              <w:t xml:space="preserve"> </w:t>
            </w:r>
            <w:r w:rsidR="0052712E" w:rsidRPr="00ED22D1">
              <w:rPr>
                <w:color w:val="000000"/>
                <w:sz w:val="20"/>
                <w:szCs w:val="20"/>
                <w:lang w:val="fr-CA" w:eastAsia="zh-CN"/>
              </w:rPr>
              <w:t>(tonnes PAO)</w:t>
            </w:r>
            <w:r w:rsidR="00D002F4" w:rsidRPr="00ED22D1">
              <w:rPr>
                <w:color w:val="000000"/>
                <w:sz w:val="20"/>
                <w:szCs w:val="20"/>
                <w:lang w:val="fr-CA" w:eastAsia="zh-CN"/>
              </w:rPr>
              <w:t>**</w:t>
            </w:r>
            <w:r w:rsidRPr="00ED22D1">
              <w:rPr>
                <w:color w:val="000000"/>
                <w:sz w:val="20"/>
                <w:szCs w:val="20"/>
                <w:lang w:val="fr-CA" w:eastAsia="zh-CN"/>
              </w:rPr>
              <w:t xml:space="preserve"> </w:t>
            </w:r>
          </w:p>
        </w:tc>
        <w:tc>
          <w:tcPr>
            <w:tcW w:w="1080" w:type="dxa"/>
            <w:tcBorders>
              <w:top w:val="nil"/>
              <w:left w:val="single" w:sz="4" w:space="0" w:color="auto"/>
              <w:bottom w:val="single" w:sz="4" w:space="0" w:color="auto"/>
              <w:right w:val="single" w:sz="4" w:space="0" w:color="auto"/>
            </w:tcBorders>
            <w:shd w:val="clear" w:color="auto" w:fill="auto"/>
            <w:noWrap/>
            <w:hideMark/>
          </w:tcPr>
          <w:p w:rsidR="00D002F4" w:rsidRPr="00ED22D1" w:rsidRDefault="00F12D89" w:rsidP="00D87C7D">
            <w:pPr>
              <w:jc w:val="right"/>
              <w:rPr>
                <w:color w:val="000000"/>
                <w:sz w:val="20"/>
                <w:szCs w:val="20"/>
                <w:lang w:val="fr-CA" w:eastAsia="zh-CN"/>
              </w:rPr>
            </w:pPr>
            <w:r w:rsidRPr="00ED22D1">
              <w:rPr>
                <w:color w:val="000000"/>
                <w:sz w:val="20"/>
                <w:szCs w:val="20"/>
                <w:lang w:val="fr-CA"/>
              </w:rPr>
              <w:t>s.o.</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225</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0</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240</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0</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rFonts w:ascii="Calibri" w:hAnsi="Calibri" w:cs="Calibri"/>
                <w:color w:val="000000"/>
                <w:sz w:val="20"/>
                <w:szCs w:val="20"/>
                <w:lang w:val="fr-CA" w:eastAsia="zh-CN"/>
              </w:rPr>
            </w:pPr>
            <w:r w:rsidRPr="00ED22D1">
              <w:rPr>
                <w:color w:val="000000"/>
                <w:sz w:val="20"/>
                <w:szCs w:val="20"/>
                <w:lang w:val="fr-CA"/>
              </w:rPr>
              <w:t>0</w:t>
            </w:r>
          </w:p>
        </w:tc>
      </w:tr>
      <w:tr w:rsidR="00D002F4" w:rsidRPr="00ED22D1" w:rsidTr="00504625">
        <w:trPr>
          <w:trHeight w:val="35"/>
        </w:trPr>
        <w:tc>
          <w:tcPr>
            <w:tcW w:w="3340" w:type="dxa"/>
            <w:tcBorders>
              <w:top w:val="nil"/>
              <w:left w:val="single" w:sz="4" w:space="0" w:color="auto"/>
              <w:bottom w:val="single" w:sz="4" w:space="0" w:color="auto"/>
              <w:right w:val="single" w:sz="4" w:space="0" w:color="auto"/>
            </w:tcBorders>
            <w:shd w:val="clear" w:color="auto" w:fill="auto"/>
            <w:hideMark/>
          </w:tcPr>
          <w:p w:rsidR="00D002F4" w:rsidRPr="00ED22D1" w:rsidRDefault="00175077" w:rsidP="00D87C7D">
            <w:pPr>
              <w:jc w:val="left"/>
              <w:rPr>
                <w:color w:val="000000"/>
                <w:sz w:val="20"/>
                <w:szCs w:val="20"/>
                <w:lang w:val="fr-CA" w:eastAsia="zh-CN"/>
              </w:rPr>
            </w:pPr>
            <w:r w:rsidRPr="00ED22D1">
              <w:rPr>
                <w:color w:val="000000"/>
                <w:sz w:val="20"/>
                <w:szCs w:val="20"/>
                <w:lang w:val="fr-CA" w:eastAsia="zh-CN"/>
              </w:rPr>
              <w:t>Objectif de réduction établi dans le PGEH</w:t>
            </w:r>
            <w:r w:rsidR="00D002F4" w:rsidRPr="00ED22D1">
              <w:rPr>
                <w:color w:val="000000"/>
                <w:sz w:val="20"/>
                <w:szCs w:val="20"/>
                <w:lang w:val="fr-CA" w:eastAsia="zh-CN"/>
              </w:rPr>
              <w:t xml:space="preserve"> (</w:t>
            </w:r>
            <w:r w:rsidR="001279D7" w:rsidRPr="00ED22D1">
              <w:rPr>
                <w:color w:val="000000"/>
                <w:sz w:val="20"/>
                <w:szCs w:val="20"/>
                <w:lang w:val="fr-CA" w:eastAsia="zh-CN"/>
              </w:rPr>
              <w:t>tm</w:t>
            </w:r>
            <w:r w:rsidR="00D002F4" w:rsidRPr="00ED22D1">
              <w:rPr>
                <w:color w:val="000000"/>
                <w:sz w:val="20"/>
                <w:szCs w:val="20"/>
                <w:lang w:val="fr-CA" w:eastAsia="zh-CN"/>
              </w:rPr>
              <w:t>)**</w:t>
            </w:r>
          </w:p>
        </w:tc>
        <w:tc>
          <w:tcPr>
            <w:tcW w:w="1080" w:type="dxa"/>
            <w:tcBorders>
              <w:top w:val="nil"/>
              <w:left w:val="single" w:sz="4" w:space="0" w:color="auto"/>
              <w:bottom w:val="single" w:sz="4" w:space="0" w:color="auto"/>
              <w:right w:val="single" w:sz="4" w:space="0" w:color="auto"/>
            </w:tcBorders>
            <w:shd w:val="clear" w:color="auto" w:fill="auto"/>
            <w:noWrap/>
            <w:hideMark/>
          </w:tcPr>
          <w:p w:rsidR="00D002F4" w:rsidRPr="00ED22D1" w:rsidRDefault="00F12D89" w:rsidP="00D87C7D">
            <w:pPr>
              <w:jc w:val="right"/>
              <w:rPr>
                <w:color w:val="000000"/>
                <w:sz w:val="20"/>
                <w:szCs w:val="20"/>
                <w:lang w:val="fr-CA" w:eastAsia="zh-CN"/>
              </w:rPr>
            </w:pPr>
            <w:r w:rsidRPr="00ED22D1">
              <w:rPr>
                <w:color w:val="000000"/>
                <w:sz w:val="20"/>
                <w:szCs w:val="20"/>
                <w:lang w:val="fr-CA"/>
              </w:rPr>
              <w:t>s.o.</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4 </w:t>
            </w:r>
            <w:r w:rsidR="00D002F4" w:rsidRPr="00ED22D1">
              <w:rPr>
                <w:color w:val="000000"/>
                <w:sz w:val="20"/>
                <w:szCs w:val="20"/>
                <w:lang w:val="fr-CA"/>
              </w:rPr>
              <w:t>080</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0</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4A6828" w:rsidP="00D87C7D">
            <w:pPr>
              <w:jc w:val="right"/>
              <w:rPr>
                <w:color w:val="000000"/>
                <w:sz w:val="20"/>
                <w:szCs w:val="20"/>
                <w:lang w:val="fr-CA" w:eastAsia="zh-CN"/>
              </w:rPr>
            </w:pPr>
            <w:r w:rsidRPr="00ED22D1">
              <w:rPr>
                <w:color w:val="000000"/>
                <w:sz w:val="20"/>
                <w:szCs w:val="20"/>
                <w:lang w:val="fr-CA"/>
              </w:rPr>
              <w:t>4 </w:t>
            </w:r>
            <w:r w:rsidR="00D002F4" w:rsidRPr="00ED22D1">
              <w:rPr>
                <w:color w:val="000000"/>
                <w:sz w:val="20"/>
                <w:szCs w:val="20"/>
                <w:lang w:val="fr-CA"/>
              </w:rPr>
              <w:t>370</w:t>
            </w:r>
          </w:p>
        </w:tc>
        <w:tc>
          <w:tcPr>
            <w:tcW w:w="1080" w:type="dxa"/>
            <w:tcBorders>
              <w:top w:val="nil"/>
              <w:left w:val="nil"/>
              <w:bottom w:val="single" w:sz="4" w:space="0" w:color="auto"/>
              <w:right w:val="single" w:sz="4" w:space="0" w:color="auto"/>
            </w:tcBorders>
            <w:shd w:val="clear" w:color="auto" w:fill="auto"/>
            <w:hideMark/>
          </w:tcPr>
          <w:p w:rsidR="00D002F4" w:rsidRPr="00ED22D1" w:rsidRDefault="00D002F4" w:rsidP="00D87C7D">
            <w:pPr>
              <w:jc w:val="right"/>
              <w:rPr>
                <w:color w:val="000000"/>
                <w:sz w:val="20"/>
                <w:szCs w:val="20"/>
                <w:lang w:val="fr-CA" w:eastAsia="zh-CN"/>
              </w:rPr>
            </w:pPr>
            <w:r w:rsidRPr="00ED22D1">
              <w:rPr>
                <w:color w:val="000000"/>
                <w:sz w:val="20"/>
                <w:szCs w:val="20"/>
                <w:lang w:val="fr-CA"/>
              </w:rPr>
              <w:t>0</w:t>
            </w:r>
          </w:p>
        </w:tc>
        <w:tc>
          <w:tcPr>
            <w:tcW w:w="1080" w:type="dxa"/>
            <w:tcBorders>
              <w:top w:val="nil"/>
              <w:left w:val="nil"/>
              <w:bottom w:val="single" w:sz="4" w:space="0" w:color="auto"/>
              <w:right w:val="single" w:sz="4" w:space="0" w:color="auto"/>
            </w:tcBorders>
            <w:shd w:val="clear" w:color="auto" w:fill="auto"/>
            <w:noWrap/>
            <w:hideMark/>
          </w:tcPr>
          <w:p w:rsidR="00D002F4" w:rsidRPr="00ED22D1" w:rsidRDefault="00D002F4" w:rsidP="00D87C7D">
            <w:pPr>
              <w:jc w:val="right"/>
              <w:rPr>
                <w:rFonts w:ascii="Calibri" w:hAnsi="Calibri" w:cs="Calibri"/>
                <w:color w:val="000000"/>
                <w:sz w:val="20"/>
                <w:szCs w:val="20"/>
                <w:lang w:val="fr-CA" w:eastAsia="zh-CN"/>
              </w:rPr>
            </w:pPr>
            <w:r w:rsidRPr="00ED22D1">
              <w:rPr>
                <w:color w:val="000000"/>
                <w:sz w:val="20"/>
                <w:szCs w:val="20"/>
                <w:lang w:val="fr-CA"/>
              </w:rPr>
              <w:t>0</w:t>
            </w:r>
          </w:p>
        </w:tc>
      </w:tr>
    </w:tbl>
    <w:p w:rsidR="00D002F4" w:rsidRPr="00ED22D1" w:rsidRDefault="00D002F4" w:rsidP="00D002F4">
      <w:pPr>
        <w:rPr>
          <w:sz w:val="16"/>
          <w:szCs w:val="16"/>
          <w:lang w:val="fr-CA"/>
        </w:rPr>
      </w:pPr>
      <w:r w:rsidRPr="00ED22D1">
        <w:rPr>
          <w:sz w:val="16"/>
          <w:szCs w:val="16"/>
          <w:lang w:val="fr-CA"/>
        </w:rPr>
        <w:t>*</w:t>
      </w:r>
      <w:r w:rsidR="00175077" w:rsidRPr="00ED22D1">
        <w:rPr>
          <w:sz w:val="16"/>
          <w:szCs w:val="16"/>
          <w:lang w:val="fr-CA"/>
        </w:rPr>
        <w:t xml:space="preserve">Selon le rapport de mise en oeuvre de la </w:t>
      </w:r>
      <w:r w:rsidR="00905638" w:rsidRPr="00ED22D1">
        <w:rPr>
          <w:sz w:val="16"/>
          <w:szCs w:val="16"/>
          <w:lang w:val="fr-CA"/>
        </w:rPr>
        <w:t xml:space="preserve">climatisation et de </w:t>
      </w:r>
      <w:r w:rsidR="00175077" w:rsidRPr="00ED22D1">
        <w:rPr>
          <w:sz w:val="16"/>
          <w:szCs w:val="16"/>
          <w:lang w:val="fr-CA"/>
        </w:rPr>
        <w:t xml:space="preserve">la </w:t>
      </w:r>
      <w:r w:rsidR="00905638" w:rsidRPr="00ED22D1">
        <w:rPr>
          <w:sz w:val="16"/>
          <w:szCs w:val="16"/>
          <w:lang w:val="fr-CA"/>
        </w:rPr>
        <w:t>réfrigération industrielle et commerciale</w:t>
      </w:r>
      <w:r w:rsidRPr="00ED22D1">
        <w:rPr>
          <w:sz w:val="16"/>
          <w:szCs w:val="16"/>
          <w:lang w:val="fr-CA"/>
        </w:rPr>
        <w:t>.</w:t>
      </w:r>
    </w:p>
    <w:p w:rsidR="00D002F4" w:rsidRPr="00ED22D1" w:rsidRDefault="00D002F4" w:rsidP="00D002F4">
      <w:pPr>
        <w:rPr>
          <w:sz w:val="16"/>
          <w:szCs w:val="16"/>
          <w:lang w:val="fr-CA"/>
        </w:rPr>
      </w:pPr>
      <w:r w:rsidRPr="00ED22D1">
        <w:rPr>
          <w:sz w:val="16"/>
          <w:szCs w:val="16"/>
          <w:lang w:val="fr-CA"/>
        </w:rPr>
        <w:t>**</w:t>
      </w:r>
      <w:r w:rsidR="00175077" w:rsidRPr="00ED22D1">
        <w:rPr>
          <w:sz w:val="16"/>
          <w:szCs w:val="16"/>
          <w:lang w:val="fr-CA"/>
        </w:rPr>
        <w:t>Selon</w:t>
      </w:r>
      <w:r w:rsidR="00350E4F" w:rsidRPr="00ED22D1">
        <w:rPr>
          <w:sz w:val="16"/>
          <w:szCs w:val="16"/>
          <w:lang w:val="fr-CA"/>
        </w:rPr>
        <w:t xml:space="preserve"> </w:t>
      </w:r>
      <w:r w:rsidR="00CE7FEC" w:rsidRPr="00ED22D1">
        <w:rPr>
          <w:sz w:val="16"/>
          <w:szCs w:val="16"/>
          <w:lang w:val="fr-CA"/>
        </w:rPr>
        <w:t>l’accord</w:t>
      </w:r>
      <w:r w:rsidR="00F320D6" w:rsidRPr="00ED22D1">
        <w:rPr>
          <w:sz w:val="16"/>
          <w:szCs w:val="16"/>
          <w:lang w:val="fr-CA"/>
        </w:rPr>
        <w:t xml:space="preserve"> signé</w:t>
      </w:r>
      <w:r w:rsidRPr="00ED22D1">
        <w:rPr>
          <w:sz w:val="16"/>
          <w:szCs w:val="16"/>
          <w:lang w:val="fr-CA"/>
        </w:rPr>
        <w:t xml:space="preserve"> </w:t>
      </w:r>
      <w:r w:rsidR="00733306" w:rsidRPr="00ED22D1">
        <w:rPr>
          <w:sz w:val="16"/>
          <w:szCs w:val="16"/>
          <w:lang w:val="fr-CA"/>
        </w:rPr>
        <w:t xml:space="preserve">à la </w:t>
      </w:r>
      <w:r w:rsidR="00175077" w:rsidRPr="00ED22D1">
        <w:rPr>
          <w:sz w:val="16"/>
          <w:szCs w:val="16"/>
          <w:lang w:val="fr-CA"/>
        </w:rPr>
        <w:t>6</w:t>
      </w:r>
      <w:r w:rsidRPr="00ED22D1">
        <w:rPr>
          <w:sz w:val="16"/>
          <w:szCs w:val="16"/>
          <w:lang w:val="fr-CA"/>
        </w:rPr>
        <w:t>7</w:t>
      </w:r>
      <w:r w:rsidR="00175077" w:rsidRPr="00ED22D1">
        <w:rPr>
          <w:sz w:val="16"/>
          <w:szCs w:val="16"/>
          <w:vertAlign w:val="superscript"/>
          <w:lang w:val="fr-CA"/>
        </w:rPr>
        <w:t>e</w:t>
      </w:r>
      <w:r w:rsidR="00175077"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175077" w:rsidRPr="00ED22D1">
        <w:rPr>
          <w:sz w:val="16"/>
          <w:szCs w:val="16"/>
          <w:lang w:val="fr-CA"/>
        </w:rPr>
        <w:t xml:space="preserve">pour la </w:t>
      </w:r>
      <w:r w:rsidR="004A6828" w:rsidRPr="00ED22D1">
        <w:rPr>
          <w:sz w:val="16"/>
          <w:szCs w:val="16"/>
          <w:lang w:val="fr-CA"/>
        </w:rPr>
        <w:t xml:space="preserve">phase </w:t>
      </w:r>
      <w:r w:rsidRPr="00ED22D1">
        <w:rPr>
          <w:sz w:val="16"/>
          <w:szCs w:val="16"/>
          <w:lang w:val="fr-CA"/>
        </w:rPr>
        <w:t xml:space="preserve">I </w:t>
      </w:r>
      <w:r w:rsidR="00175077" w:rsidRPr="00ED22D1">
        <w:rPr>
          <w:sz w:val="16"/>
          <w:szCs w:val="16"/>
          <w:lang w:val="fr-CA"/>
        </w:rPr>
        <w:t>jusqu’à</w:t>
      </w:r>
      <w:r w:rsidR="00387A9A" w:rsidRPr="00ED22D1">
        <w:rPr>
          <w:sz w:val="16"/>
          <w:szCs w:val="16"/>
          <w:lang w:val="fr-CA"/>
        </w:rPr>
        <w:t xml:space="preserve"> 20</w:t>
      </w:r>
      <w:r w:rsidRPr="00ED22D1">
        <w:rPr>
          <w:sz w:val="16"/>
          <w:szCs w:val="16"/>
          <w:lang w:val="fr-CA"/>
        </w:rPr>
        <w:t>1</w:t>
      </w:r>
      <w:r w:rsidR="004A6828" w:rsidRPr="00ED22D1">
        <w:rPr>
          <w:sz w:val="16"/>
          <w:szCs w:val="16"/>
          <w:lang w:val="fr-CA"/>
        </w:rPr>
        <w:t>5</w:t>
      </w:r>
      <w:r w:rsidR="00921C74" w:rsidRPr="00ED22D1">
        <w:rPr>
          <w:sz w:val="16"/>
          <w:szCs w:val="16"/>
          <w:lang w:val="fr-CA"/>
        </w:rPr>
        <w:t>,</w:t>
      </w:r>
      <w:r w:rsidR="004A6828" w:rsidRPr="00ED22D1">
        <w:rPr>
          <w:sz w:val="16"/>
          <w:szCs w:val="16"/>
          <w:lang w:val="fr-CA"/>
        </w:rPr>
        <w:t xml:space="preserve"> et </w:t>
      </w:r>
      <w:r w:rsidR="00175077" w:rsidRPr="00ED22D1">
        <w:rPr>
          <w:sz w:val="16"/>
          <w:szCs w:val="16"/>
          <w:lang w:val="fr-CA"/>
        </w:rPr>
        <w:t xml:space="preserve">selon </w:t>
      </w:r>
      <w:r w:rsidR="00CE7FEC" w:rsidRPr="00ED22D1">
        <w:rPr>
          <w:sz w:val="16"/>
          <w:szCs w:val="16"/>
          <w:lang w:val="fr-CA"/>
        </w:rPr>
        <w:t>l’accord</w:t>
      </w:r>
      <w:r w:rsidR="00F320D6" w:rsidRPr="00ED22D1">
        <w:rPr>
          <w:sz w:val="16"/>
          <w:szCs w:val="16"/>
          <w:lang w:val="fr-CA"/>
        </w:rPr>
        <w:t xml:space="preserve"> signé</w:t>
      </w:r>
      <w:r w:rsidRPr="00ED22D1">
        <w:rPr>
          <w:sz w:val="16"/>
          <w:szCs w:val="16"/>
          <w:lang w:val="fr-CA"/>
        </w:rPr>
        <w:t xml:space="preserve"> </w:t>
      </w:r>
      <w:r w:rsidR="00733306" w:rsidRPr="00ED22D1">
        <w:rPr>
          <w:sz w:val="16"/>
          <w:szCs w:val="16"/>
          <w:lang w:val="fr-CA"/>
        </w:rPr>
        <w:t xml:space="preserve">à la </w:t>
      </w:r>
      <w:r w:rsidR="00175077" w:rsidRPr="00ED22D1">
        <w:rPr>
          <w:sz w:val="16"/>
          <w:szCs w:val="16"/>
          <w:lang w:val="fr-CA"/>
        </w:rPr>
        <w:t>7</w:t>
      </w:r>
      <w:r w:rsidRPr="00ED22D1">
        <w:rPr>
          <w:sz w:val="16"/>
          <w:szCs w:val="16"/>
          <w:lang w:val="fr-CA"/>
        </w:rPr>
        <w:t>9</w:t>
      </w:r>
      <w:r w:rsidR="00175077" w:rsidRPr="00ED22D1">
        <w:rPr>
          <w:sz w:val="16"/>
          <w:szCs w:val="16"/>
          <w:vertAlign w:val="superscript"/>
          <w:lang w:val="fr-CA"/>
        </w:rPr>
        <w:t>e</w:t>
      </w:r>
      <w:r w:rsidR="00175077"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175077" w:rsidRPr="00ED22D1">
        <w:rPr>
          <w:sz w:val="16"/>
          <w:szCs w:val="16"/>
          <w:lang w:val="fr-CA"/>
        </w:rPr>
        <w:t>pour la</w:t>
      </w:r>
      <w:r w:rsidR="004A6828" w:rsidRPr="00ED22D1">
        <w:rPr>
          <w:sz w:val="16"/>
          <w:szCs w:val="16"/>
          <w:lang w:val="fr-CA"/>
        </w:rPr>
        <w:t xml:space="preserve"> phase </w:t>
      </w:r>
      <w:r w:rsidRPr="00ED22D1">
        <w:rPr>
          <w:sz w:val="16"/>
          <w:szCs w:val="16"/>
          <w:lang w:val="fr-CA"/>
        </w:rPr>
        <w:t xml:space="preserve">II </w:t>
      </w:r>
      <w:r w:rsidR="00175077" w:rsidRPr="00ED22D1">
        <w:rPr>
          <w:sz w:val="16"/>
          <w:szCs w:val="16"/>
          <w:lang w:val="fr-CA"/>
        </w:rPr>
        <w:t>pour</w:t>
      </w:r>
      <w:r w:rsidRPr="00ED22D1">
        <w:rPr>
          <w:sz w:val="16"/>
          <w:szCs w:val="16"/>
          <w:lang w:val="fr-CA"/>
        </w:rPr>
        <w:t xml:space="preserve"> 2016</w:t>
      </w:r>
      <w:r w:rsidR="004A6828" w:rsidRPr="00ED22D1">
        <w:rPr>
          <w:sz w:val="16"/>
          <w:szCs w:val="16"/>
          <w:lang w:val="fr-CA"/>
        </w:rPr>
        <w:t xml:space="preserve"> et </w:t>
      </w:r>
      <w:r w:rsidRPr="00ED22D1">
        <w:rPr>
          <w:sz w:val="16"/>
          <w:szCs w:val="16"/>
          <w:lang w:val="fr-CA"/>
        </w:rPr>
        <w:t>201</w:t>
      </w:r>
      <w:r w:rsidR="004A6828" w:rsidRPr="00ED22D1">
        <w:rPr>
          <w:sz w:val="16"/>
          <w:szCs w:val="16"/>
          <w:lang w:val="fr-CA"/>
        </w:rPr>
        <w:t>7</w:t>
      </w:r>
      <w:r w:rsidR="00175077" w:rsidRPr="00ED22D1">
        <w:rPr>
          <w:sz w:val="16"/>
          <w:szCs w:val="16"/>
          <w:lang w:val="fr-CA"/>
        </w:rPr>
        <w:t>.</w:t>
      </w:r>
    </w:p>
    <w:p w:rsidR="00D002F4" w:rsidRPr="00ED22D1" w:rsidRDefault="00D002F4" w:rsidP="00D002F4">
      <w:pPr>
        <w:widowControl w:val="0"/>
        <w:rPr>
          <w:lang w:val="fr-CA"/>
        </w:rPr>
      </w:pPr>
    </w:p>
    <w:p w:rsidR="00D002F4" w:rsidRPr="00ED22D1" w:rsidRDefault="00DC2912" w:rsidP="00DC2912">
      <w:pPr>
        <w:pStyle w:val="Heading1"/>
        <w:numPr>
          <w:ilvl w:val="0"/>
          <w:numId w:val="0"/>
        </w:numPr>
        <w:rPr>
          <w:lang w:val="fr-CA"/>
        </w:rPr>
      </w:pPr>
      <w:r w:rsidRPr="00ED22D1">
        <w:rPr>
          <w:lang w:val="fr-CA"/>
        </w:rPr>
        <w:t>86.</w:t>
      </w:r>
      <w:r w:rsidRPr="00ED22D1">
        <w:rPr>
          <w:lang w:val="fr-CA"/>
        </w:rPr>
        <w:tab/>
      </w:r>
      <w:r w:rsidR="00921C74" w:rsidRPr="00ED22D1">
        <w:rPr>
          <w:lang w:val="fr-CA"/>
        </w:rPr>
        <w:t xml:space="preserve">La </w:t>
      </w:r>
      <w:r w:rsidR="00921BDE" w:rsidRPr="00ED22D1">
        <w:rPr>
          <w:lang w:val="fr-CA"/>
        </w:rPr>
        <w:t>consommation de HCFC</w:t>
      </w:r>
      <w:r w:rsidR="00D002F4" w:rsidRPr="00ED22D1">
        <w:rPr>
          <w:lang w:val="fr-CA"/>
        </w:rPr>
        <w:t xml:space="preserve"> </w:t>
      </w:r>
      <w:r w:rsidR="00921C74" w:rsidRPr="00ED22D1">
        <w:rPr>
          <w:lang w:val="fr-CA"/>
        </w:rPr>
        <w:t xml:space="preserve">dans le secteur de la </w:t>
      </w:r>
      <w:r w:rsidR="00905638" w:rsidRPr="00ED22D1">
        <w:rPr>
          <w:lang w:val="fr-CA"/>
        </w:rPr>
        <w:t xml:space="preserve">climatisation et de </w:t>
      </w:r>
      <w:r w:rsidR="00921C74" w:rsidRPr="00ED22D1">
        <w:rPr>
          <w:lang w:val="fr-CA"/>
        </w:rPr>
        <w:t xml:space="preserve">la </w:t>
      </w:r>
      <w:r w:rsidR="00905638" w:rsidRPr="00ED22D1">
        <w:rPr>
          <w:lang w:val="fr-CA"/>
        </w:rPr>
        <w:t>réfrigération industrielle et commerciale</w:t>
      </w:r>
      <w:r w:rsidR="00D002F4" w:rsidRPr="00ED22D1">
        <w:rPr>
          <w:lang w:val="fr-CA"/>
        </w:rPr>
        <w:t xml:space="preserve"> </w:t>
      </w:r>
      <w:r w:rsidR="00921C74" w:rsidRPr="00ED22D1">
        <w:rPr>
          <w:lang w:val="fr-CA"/>
        </w:rPr>
        <w:t>en 2017</w:t>
      </w:r>
      <w:r w:rsidR="00733306" w:rsidRPr="00ED22D1">
        <w:rPr>
          <w:lang w:val="fr-CA"/>
        </w:rPr>
        <w:t xml:space="preserve"> </w:t>
      </w:r>
      <w:r w:rsidR="00921C74" w:rsidRPr="00ED22D1">
        <w:rPr>
          <w:lang w:val="fr-CA"/>
        </w:rPr>
        <w:t xml:space="preserve">demeure similaire à celle de </w:t>
      </w:r>
      <w:r w:rsidR="0052712E" w:rsidRPr="00ED22D1">
        <w:rPr>
          <w:lang w:val="fr-CA"/>
        </w:rPr>
        <w:t>20</w:t>
      </w:r>
      <w:r w:rsidR="00D002F4" w:rsidRPr="00ED22D1">
        <w:rPr>
          <w:lang w:val="fr-CA"/>
        </w:rPr>
        <w:t>1</w:t>
      </w:r>
      <w:r w:rsidR="004A6828" w:rsidRPr="00ED22D1">
        <w:rPr>
          <w:lang w:val="fr-CA"/>
        </w:rPr>
        <w:t>6</w:t>
      </w:r>
      <w:r w:rsidR="0031390F" w:rsidRPr="00ED22D1">
        <w:rPr>
          <w:lang w:val="fr-CA"/>
        </w:rPr>
        <w:t>. Le</w:t>
      </w:r>
      <w:r w:rsidR="001F19C1" w:rsidRPr="00ED22D1">
        <w:rPr>
          <w:lang w:val="fr-CA"/>
        </w:rPr>
        <w:t xml:space="preserve"> PNUD</w:t>
      </w:r>
      <w:r w:rsidR="004A6828" w:rsidRPr="00ED22D1">
        <w:rPr>
          <w:lang w:val="fr-CA"/>
        </w:rPr>
        <w:t xml:space="preserve"> et</w:t>
      </w:r>
      <w:r w:rsidR="00F320D6" w:rsidRPr="00ED22D1">
        <w:rPr>
          <w:lang w:val="fr-CA"/>
        </w:rPr>
        <w:t xml:space="preserve"> l’IECO</w:t>
      </w:r>
      <w:r w:rsidR="00D002F4" w:rsidRPr="00ED22D1">
        <w:rPr>
          <w:lang w:val="fr-CA"/>
        </w:rPr>
        <w:t xml:space="preserve"> </w:t>
      </w:r>
      <w:r w:rsidR="00921C74" w:rsidRPr="00ED22D1">
        <w:rPr>
          <w:lang w:val="fr-CA"/>
        </w:rPr>
        <w:t xml:space="preserve">continuent de promouvoir les </w:t>
      </w:r>
      <w:r w:rsidR="002D2C34" w:rsidRPr="00ED22D1">
        <w:rPr>
          <w:lang w:val="fr-CA"/>
        </w:rPr>
        <w:t>ventes</w:t>
      </w:r>
      <w:r w:rsidR="004A6828" w:rsidRPr="00ED22D1">
        <w:rPr>
          <w:lang w:val="fr-CA"/>
        </w:rPr>
        <w:t xml:space="preserve"> et </w:t>
      </w:r>
      <w:r w:rsidR="00921C74" w:rsidRPr="00ED22D1">
        <w:rPr>
          <w:lang w:val="fr-CA"/>
        </w:rPr>
        <w:t xml:space="preserve">l’adoption par le marché des </w:t>
      </w:r>
      <w:r w:rsidR="00BB7CCB" w:rsidRPr="00ED22D1">
        <w:rPr>
          <w:lang w:val="fr-CA"/>
        </w:rPr>
        <w:t xml:space="preserve">technologies de remplacement </w:t>
      </w:r>
      <w:r w:rsidR="004A6828" w:rsidRPr="00ED22D1">
        <w:rPr>
          <w:lang w:val="fr-CA"/>
        </w:rPr>
        <w:t xml:space="preserve">et </w:t>
      </w:r>
      <w:r w:rsidR="00921C74" w:rsidRPr="00ED22D1">
        <w:rPr>
          <w:lang w:val="fr-CA"/>
        </w:rPr>
        <w:t xml:space="preserve">des </w:t>
      </w:r>
      <w:r w:rsidR="00616B46" w:rsidRPr="00ED22D1">
        <w:rPr>
          <w:lang w:val="fr-CA"/>
        </w:rPr>
        <w:t>produits</w:t>
      </w:r>
      <w:r w:rsidR="00D002F4" w:rsidRPr="00ED22D1">
        <w:rPr>
          <w:lang w:val="fr-CA"/>
        </w:rPr>
        <w:t xml:space="preserve"> </w:t>
      </w:r>
      <w:r w:rsidR="00921C74" w:rsidRPr="00ED22D1">
        <w:rPr>
          <w:lang w:val="fr-CA"/>
        </w:rPr>
        <w:t xml:space="preserve">fabriqués par </w:t>
      </w:r>
      <w:r w:rsidR="00616B46" w:rsidRPr="00ED22D1">
        <w:rPr>
          <w:lang w:val="fr-CA"/>
        </w:rPr>
        <w:t>les</w:t>
      </w:r>
      <w:r w:rsidR="00921C74" w:rsidRPr="00ED22D1">
        <w:rPr>
          <w:lang w:val="fr-CA"/>
        </w:rPr>
        <w:t xml:space="preserve"> circuits </w:t>
      </w:r>
      <w:r w:rsidR="004B666A" w:rsidRPr="00ED22D1">
        <w:rPr>
          <w:lang w:val="fr-CA"/>
        </w:rPr>
        <w:t>reconverti</w:t>
      </w:r>
      <w:r w:rsidR="00D002F4" w:rsidRPr="00ED22D1">
        <w:rPr>
          <w:lang w:val="fr-CA"/>
        </w:rPr>
        <w:t xml:space="preserve">s </w:t>
      </w:r>
      <w:r w:rsidR="00921C74" w:rsidRPr="00ED22D1">
        <w:rPr>
          <w:lang w:val="fr-CA"/>
        </w:rPr>
        <w:t xml:space="preserve">à la </w:t>
      </w:r>
      <w:r w:rsidR="004A6828" w:rsidRPr="00ED22D1">
        <w:rPr>
          <w:lang w:val="fr-CA"/>
        </w:rPr>
        <w:t xml:space="preserve">phase </w:t>
      </w:r>
      <w:r w:rsidR="00D002F4" w:rsidRPr="00ED22D1">
        <w:rPr>
          <w:lang w:val="fr-CA"/>
        </w:rPr>
        <w:t>I</w:t>
      </w:r>
      <w:r w:rsidR="004A6828" w:rsidRPr="00ED22D1">
        <w:rPr>
          <w:lang w:val="fr-CA"/>
        </w:rPr>
        <w:t xml:space="preserve"> et </w:t>
      </w:r>
      <w:r w:rsidR="00921C74" w:rsidRPr="00ED22D1">
        <w:rPr>
          <w:lang w:val="fr-CA"/>
        </w:rPr>
        <w:t>à mettre en oeuvre les</w:t>
      </w:r>
      <w:r w:rsidR="00E71388" w:rsidRPr="00ED22D1">
        <w:rPr>
          <w:lang w:val="fr-CA"/>
        </w:rPr>
        <w:t xml:space="preserve"> projet</w:t>
      </w:r>
      <w:r w:rsidR="001B45EC" w:rsidRPr="00ED22D1">
        <w:rPr>
          <w:lang w:val="fr-CA"/>
        </w:rPr>
        <w:t>s de reconversion</w:t>
      </w:r>
      <w:r w:rsidR="00D002F4" w:rsidRPr="00ED22D1">
        <w:rPr>
          <w:lang w:val="fr-CA"/>
        </w:rPr>
        <w:t xml:space="preserve"> </w:t>
      </w:r>
      <w:r w:rsidR="00921C74" w:rsidRPr="00ED22D1">
        <w:rPr>
          <w:lang w:val="fr-CA"/>
        </w:rPr>
        <w:t>à la</w:t>
      </w:r>
      <w:r w:rsidR="004A6828" w:rsidRPr="00ED22D1">
        <w:rPr>
          <w:lang w:val="fr-CA"/>
        </w:rPr>
        <w:t xml:space="preserve"> phase </w:t>
      </w:r>
      <w:r w:rsidR="00D002F4" w:rsidRPr="00ED22D1">
        <w:rPr>
          <w:lang w:val="fr-CA"/>
        </w:rPr>
        <w:t xml:space="preserve">II </w:t>
      </w:r>
      <w:r w:rsidR="00921C74" w:rsidRPr="00ED22D1">
        <w:rPr>
          <w:lang w:val="fr-CA"/>
        </w:rPr>
        <w:t xml:space="preserve">afin de </w:t>
      </w:r>
      <w:r w:rsidR="00616B46" w:rsidRPr="00ED22D1">
        <w:rPr>
          <w:lang w:val="fr-CA"/>
        </w:rPr>
        <w:t>réduire</w:t>
      </w:r>
      <w:r w:rsidR="00921C74" w:rsidRPr="00ED22D1">
        <w:rPr>
          <w:lang w:val="fr-CA"/>
        </w:rPr>
        <w:t xml:space="preserve"> la </w:t>
      </w:r>
      <w:r w:rsidR="00733306" w:rsidRPr="00ED22D1">
        <w:rPr>
          <w:lang w:val="fr-CA"/>
        </w:rPr>
        <w:t>consommation</w:t>
      </w:r>
      <w:r w:rsidR="00921BDE" w:rsidRPr="00ED22D1">
        <w:rPr>
          <w:lang w:val="fr-CA"/>
        </w:rPr>
        <w:t xml:space="preserve"> de HCFC</w:t>
      </w:r>
      <w:r w:rsidR="00C420BC" w:rsidRPr="00ED22D1">
        <w:rPr>
          <w:lang w:val="fr-CA"/>
        </w:rPr>
        <w:t>. L’</w:t>
      </w:r>
      <w:r w:rsidR="00F320D6" w:rsidRPr="00ED22D1">
        <w:rPr>
          <w:lang w:val="fr-CA"/>
        </w:rPr>
        <w:t>IECO</w:t>
      </w:r>
      <w:r w:rsidR="00D002F4" w:rsidRPr="00ED22D1">
        <w:rPr>
          <w:lang w:val="fr-CA"/>
        </w:rPr>
        <w:t xml:space="preserve"> </w:t>
      </w:r>
      <w:r w:rsidR="00921C74" w:rsidRPr="00ED22D1">
        <w:rPr>
          <w:lang w:val="fr-CA"/>
        </w:rPr>
        <w:t xml:space="preserve">continue d’appliquer le contingent de production </w:t>
      </w:r>
      <w:r w:rsidR="008D5B5F" w:rsidRPr="00ED22D1">
        <w:rPr>
          <w:lang w:val="fr-CA"/>
        </w:rPr>
        <w:t>de HCFC</w:t>
      </w:r>
      <w:r w:rsidR="004A6828" w:rsidRPr="00ED22D1">
        <w:rPr>
          <w:lang w:val="fr-CA"/>
        </w:rPr>
        <w:t xml:space="preserve"> et </w:t>
      </w:r>
      <w:r w:rsidR="00921C74" w:rsidRPr="00ED22D1">
        <w:rPr>
          <w:lang w:val="fr-CA"/>
        </w:rPr>
        <w:t>le contingent de ventes domestiques pour chaque producteur</w:t>
      </w:r>
      <w:r w:rsidR="00D002F4" w:rsidRPr="00ED22D1">
        <w:rPr>
          <w:lang w:val="fr-CA"/>
        </w:rPr>
        <w:t xml:space="preserve">, </w:t>
      </w:r>
      <w:r w:rsidR="00921C74" w:rsidRPr="00ED22D1">
        <w:rPr>
          <w:lang w:val="fr-CA"/>
        </w:rPr>
        <w:t xml:space="preserve">ainsi que </w:t>
      </w:r>
      <w:r w:rsidR="0058010B" w:rsidRPr="00ED22D1">
        <w:rPr>
          <w:lang w:val="fr-CA"/>
        </w:rPr>
        <w:t>les</w:t>
      </w:r>
      <w:r w:rsidR="00B53D8B" w:rsidRPr="00ED22D1">
        <w:rPr>
          <w:lang w:val="fr-CA"/>
        </w:rPr>
        <w:t xml:space="preserve"> contingents </w:t>
      </w:r>
      <w:r w:rsidR="0058010B" w:rsidRPr="00ED22D1">
        <w:rPr>
          <w:lang w:val="fr-CA"/>
        </w:rPr>
        <w:t xml:space="preserve">de consommation </w:t>
      </w:r>
      <w:r w:rsidR="00B53D8B" w:rsidRPr="00ED22D1">
        <w:rPr>
          <w:lang w:val="fr-CA"/>
        </w:rPr>
        <w:t>de HCFC</w:t>
      </w:r>
      <w:r w:rsidR="00D002F4" w:rsidRPr="00ED22D1">
        <w:rPr>
          <w:lang w:val="fr-CA"/>
        </w:rPr>
        <w:t xml:space="preserve"> </w:t>
      </w:r>
      <w:r w:rsidR="0058010B" w:rsidRPr="00ED22D1">
        <w:rPr>
          <w:lang w:val="fr-CA"/>
        </w:rPr>
        <w:t xml:space="preserve">pour les entreprises de fabrication qui en utilisent plus de </w:t>
      </w:r>
      <w:r w:rsidR="00D002F4" w:rsidRPr="00ED22D1">
        <w:rPr>
          <w:lang w:val="fr-CA"/>
        </w:rPr>
        <w:t>100 </w:t>
      </w:r>
      <w:r w:rsidR="001279D7" w:rsidRPr="00ED22D1">
        <w:rPr>
          <w:lang w:val="fr-CA"/>
        </w:rPr>
        <w:t>tm</w:t>
      </w:r>
      <w:r w:rsidR="00D002F4" w:rsidRPr="00ED22D1">
        <w:rPr>
          <w:lang w:val="fr-CA"/>
        </w:rPr>
        <w:t>.</w:t>
      </w:r>
    </w:p>
    <w:p w:rsidR="00D002F4" w:rsidRPr="00ED22D1" w:rsidRDefault="00DC2912" w:rsidP="00DC2912">
      <w:pPr>
        <w:pStyle w:val="Heading1"/>
        <w:numPr>
          <w:ilvl w:val="0"/>
          <w:numId w:val="0"/>
        </w:numPr>
        <w:rPr>
          <w:lang w:val="fr-CA"/>
        </w:rPr>
      </w:pPr>
      <w:r w:rsidRPr="00ED22D1">
        <w:rPr>
          <w:lang w:val="fr-CA"/>
        </w:rPr>
        <w:t>87.</w:t>
      </w:r>
      <w:r w:rsidRPr="00ED22D1">
        <w:rPr>
          <w:lang w:val="fr-CA"/>
        </w:rPr>
        <w:tab/>
      </w:r>
      <w:r w:rsidR="0031390F" w:rsidRPr="00ED22D1">
        <w:rPr>
          <w:lang w:val="fr-CA"/>
        </w:rPr>
        <w:t xml:space="preserve">En prenant note que </w:t>
      </w:r>
      <w:r w:rsidR="00733306" w:rsidRPr="00ED22D1">
        <w:rPr>
          <w:lang w:val="fr-CA"/>
        </w:rPr>
        <w:t xml:space="preserve">la </w:t>
      </w:r>
      <w:r w:rsidR="001B45EC" w:rsidRPr="00ED22D1">
        <w:rPr>
          <w:lang w:val="fr-CA"/>
        </w:rPr>
        <w:t>consommation maximale admissible</w:t>
      </w:r>
      <w:r w:rsidR="00D002F4" w:rsidRPr="00ED22D1">
        <w:rPr>
          <w:lang w:val="fr-CA"/>
        </w:rPr>
        <w:t xml:space="preserve"> </w:t>
      </w:r>
      <w:r w:rsidR="0031390F" w:rsidRPr="00ED22D1">
        <w:rPr>
          <w:lang w:val="fr-CA"/>
        </w:rPr>
        <w:t>dans</w:t>
      </w:r>
      <w:r w:rsidR="00D002F4" w:rsidRPr="00ED22D1">
        <w:rPr>
          <w:lang w:val="fr-CA"/>
        </w:rPr>
        <w:t xml:space="preserve"> </w:t>
      </w:r>
      <w:r w:rsidR="00CE7FEC" w:rsidRPr="00ED22D1">
        <w:rPr>
          <w:lang w:val="fr-CA"/>
        </w:rPr>
        <w:t>l’accord</w:t>
      </w:r>
      <w:r w:rsidR="00D002F4" w:rsidRPr="00ED22D1">
        <w:rPr>
          <w:lang w:val="fr-CA"/>
        </w:rPr>
        <w:t xml:space="preserve"> </w:t>
      </w:r>
      <w:r w:rsidR="0031390F" w:rsidRPr="00ED22D1">
        <w:rPr>
          <w:lang w:val="fr-CA"/>
        </w:rPr>
        <w:t>de</w:t>
      </w:r>
      <w:r w:rsidR="00D002F4" w:rsidRPr="00ED22D1">
        <w:rPr>
          <w:lang w:val="fr-CA"/>
        </w:rPr>
        <w:t xml:space="preserve"> 2018 </w:t>
      </w:r>
      <w:r w:rsidR="0031390F" w:rsidRPr="00ED22D1">
        <w:rPr>
          <w:lang w:val="fr-CA"/>
        </w:rPr>
        <w:t>était de </w:t>
      </w:r>
      <w:r w:rsidR="004A6828" w:rsidRPr="00ED22D1">
        <w:rPr>
          <w:lang w:val="fr-CA"/>
        </w:rPr>
        <w:t>2 </w:t>
      </w:r>
      <w:r w:rsidR="00D002F4" w:rsidRPr="00ED22D1">
        <w:rPr>
          <w:lang w:val="fr-CA"/>
        </w:rPr>
        <w:t>04</w:t>
      </w:r>
      <w:r w:rsidR="004A6828" w:rsidRPr="00ED22D1">
        <w:rPr>
          <w:lang w:val="fr-CA"/>
        </w:rPr>
        <w:t>2,</w:t>
      </w:r>
      <w:r w:rsidR="00D002F4" w:rsidRPr="00ED22D1">
        <w:rPr>
          <w:lang w:val="fr-CA"/>
        </w:rPr>
        <w:t>4</w:t>
      </w:r>
      <w:r w:rsidR="00F96C70" w:rsidRPr="00ED22D1">
        <w:rPr>
          <w:lang w:val="fr-CA"/>
        </w:rPr>
        <w:t xml:space="preserve"> tonnes PAO</w:t>
      </w:r>
      <w:r w:rsidR="00D002F4" w:rsidRPr="00ED22D1">
        <w:rPr>
          <w:lang w:val="fr-CA"/>
        </w:rPr>
        <w:t>,</w:t>
      </w:r>
      <w:r w:rsidR="00DD185D" w:rsidRPr="00ED22D1">
        <w:rPr>
          <w:lang w:val="fr-CA"/>
        </w:rPr>
        <w:t xml:space="preserve"> le Secrétariat</w:t>
      </w:r>
      <w:r w:rsidR="00D002F4" w:rsidRPr="00ED22D1">
        <w:rPr>
          <w:lang w:val="fr-CA"/>
        </w:rPr>
        <w:t xml:space="preserve"> </w:t>
      </w:r>
      <w:r w:rsidR="0031390F" w:rsidRPr="00ED22D1">
        <w:rPr>
          <w:lang w:val="fr-CA"/>
        </w:rPr>
        <w:t xml:space="preserve">a demandé si </w:t>
      </w:r>
      <w:r w:rsidR="00AD0203" w:rsidRPr="00ED22D1">
        <w:rPr>
          <w:lang w:val="fr-CA"/>
        </w:rPr>
        <w:t>l</w:t>
      </w:r>
      <w:r w:rsidR="0031390F" w:rsidRPr="00ED22D1">
        <w:rPr>
          <w:lang w:val="fr-CA"/>
        </w:rPr>
        <w:t>es données sur l</w:t>
      </w:r>
      <w:r w:rsidR="00AD0203" w:rsidRPr="00ED22D1">
        <w:rPr>
          <w:lang w:val="fr-CA"/>
        </w:rPr>
        <w:t>a consommation</w:t>
      </w:r>
      <w:r w:rsidR="00921BDE" w:rsidRPr="00ED22D1">
        <w:rPr>
          <w:lang w:val="fr-CA"/>
        </w:rPr>
        <w:t xml:space="preserve"> de HCFC</w:t>
      </w:r>
      <w:r w:rsidR="00D002F4" w:rsidRPr="00ED22D1">
        <w:rPr>
          <w:lang w:val="fr-CA"/>
        </w:rPr>
        <w:t xml:space="preserve"> </w:t>
      </w:r>
      <w:r w:rsidR="0031390F" w:rsidRPr="00ED22D1">
        <w:rPr>
          <w:lang w:val="fr-CA"/>
        </w:rPr>
        <w:t>en</w:t>
      </w:r>
      <w:r w:rsidR="00D002F4" w:rsidRPr="00ED22D1">
        <w:rPr>
          <w:lang w:val="fr-CA"/>
        </w:rPr>
        <w:t xml:space="preserve"> 2018</w:t>
      </w:r>
      <w:r w:rsidR="0031390F" w:rsidRPr="00ED22D1">
        <w:rPr>
          <w:lang w:val="fr-CA"/>
        </w:rPr>
        <w:t xml:space="preserve"> étaient déjà </w:t>
      </w:r>
      <w:r w:rsidR="00393F6B" w:rsidRPr="00ED22D1">
        <w:rPr>
          <w:lang w:val="fr-CA"/>
        </w:rPr>
        <w:t>disponible</w:t>
      </w:r>
      <w:r w:rsidR="0031390F" w:rsidRPr="00ED22D1">
        <w:rPr>
          <w:lang w:val="fr-CA"/>
        </w:rPr>
        <w:t>s</w:t>
      </w:r>
      <w:r w:rsidR="004A6828" w:rsidRPr="00ED22D1">
        <w:rPr>
          <w:lang w:val="fr-CA"/>
        </w:rPr>
        <w:t xml:space="preserve"> et </w:t>
      </w:r>
      <w:r w:rsidR="0031390F" w:rsidRPr="00ED22D1">
        <w:rPr>
          <w:lang w:val="fr-CA"/>
        </w:rPr>
        <w:t>si le pays était en</w:t>
      </w:r>
      <w:r w:rsidR="00D002F4" w:rsidRPr="00ED22D1">
        <w:rPr>
          <w:lang w:val="fr-CA"/>
        </w:rPr>
        <w:t xml:space="preserve"> </w:t>
      </w:r>
      <w:r w:rsidR="00CE7FEC" w:rsidRPr="00ED22D1">
        <w:rPr>
          <w:lang w:val="fr-CA"/>
        </w:rPr>
        <w:t>conformité</w:t>
      </w:r>
      <w:r w:rsidR="00D002F4" w:rsidRPr="00ED22D1">
        <w:rPr>
          <w:lang w:val="fr-CA"/>
        </w:rPr>
        <w:t xml:space="preserve"> </w:t>
      </w:r>
      <w:r w:rsidR="00B84F94" w:rsidRPr="00ED22D1">
        <w:rPr>
          <w:lang w:val="fr-CA"/>
        </w:rPr>
        <w:t xml:space="preserve">avec </w:t>
      </w:r>
      <w:r w:rsidR="0031390F" w:rsidRPr="00ED22D1">
        <w:rPr>
          <w:lang w:val="fr-CA"/>
        </w:rPr>
        <w:t>l’objectif. Le</w:t>
      </w:r>
      <w:r w:rsidR="001F19C1" w:rsidRPr="00ED22D1">
        <w:rPr>
          <w:lang w:val="fr-CA"/>
        </w:rPr>
        <w:t xml:space="preserve"> PNUD</w:t>
      </w:r>
      <w:r w:rsidR="00D002F4" w:rsidRPr="00ED22D1">
        <w:rPr>
          <w:lang w:val="fr-CA"/>
        </w:rPr>
        <w:t xml:space="preserve"> </w:t>
      </w:r>
      <w:r w:rsidR="0031390F" w:rsidRPr="00ED22D1">
        <w:rPr>
          <w:lang w:val="fr-CA"/>
        </w:rPr>
        <w:t xml:space="preserve">a </w:t>
      </w:r>
      <w:r w:rsidR="002B7FD8" w:rsidRPr="00ED22D1">
        <w:rPr>
          <w:lang w:val="fr-CA"/>
        </w:rPr>
        <w:t>expliqué</w:t>
      </w:r>
      <w:r w:rsidR="00D002F4" w:rsidRPr="00ED22D1">
        <w:rPr>
          <w:lang w:val="fr-CA"/>
        </w:rPr>
        <w:t xml:space="preserve"> </w:t>
      </w:r>
      <w:r w:rsidR="0031390F" w:rsidRPr="00ED22D1">
        <w:rPr>
          <w:lang w:val="fr-CA"/>
        </w:rPr>
        <w:t xml:space="preserve">que la collecte des données et la </w:t>
      </w:r>
      <w:r w:rsidR="00921BDE" w:rsidRPr="00ED22D1">
        <w:rPr>
          <w:lang w:val="fr-CA"/>
        </w:rPr>
        <w:t>vérification</w:t>
      </w:r>
      <w:r w:rsidR="00D002F4" w:rsidRPr="00ED22D1">
        <w:rPr>
          <w:lang w:val="fr-CA"/>
        </w:rPr>
        <w:t xml:space="preserve"> </w:t>
      </w:r>
      <w:r w:rsidR="00DB7C5D" w:rsidRPr="00ED22D1">
        <w:rPr>
          <w:lang w:val="fr-CA"/>
        </w:rPr>
        <w:t>de</w:t>
      </w:r>
      <w:r w:rsidR="0031390F" w:rsidRPr="00ED22D1">
        <w:rPr>
          <w:lang w:val="fr-CA"/>
        </w:rPr>
        <w:t xml:space="preserve"> la production</w:t>
      </w:r>
      <w:r w:rsidR="00D002F4" w:rsidRPr="00ED22D1">
        <w:rPr>
          <w:lang w:val="fr-CA"/>
        </w:rPr>
        <w:t xml:space="preserve">, </w:t>
      </w:r>
      <w:r w:rsidR="0031390F" w:rsidRPr="00ED22D1">
        <w:rPr>
          <w:lang w:val="fr-CA"/>
        </w:rPr>
        <w:t xml:space="preserve">la </w:t>
      </w:r>
      <w:r w:rsidR="00181884" w:rsidRPr="00ED22D1">
        <w:rPr>
          <w:lang w:val="fr-CA"/>
        </w:rPr>
        <w:t>consommation</w:t>
      </w:r>
      <w:r w:rsidR="00D002F4" w:rsidRPr="00ED22D1">
        <w:rPr>
          <w:lang w:val="fr-CA"/>
        </w:rPr>
        <w:t xml:space="preserve">, </w:t>
      </w:r>
      <w:r w:rsidR="0031390F" w:rsidRPr="00ED22D1">
        <w:rPr>
          <w:lang w:val="fr-CA"/>
        </w:rPr>
        <w:t>l’</w:t>
      </w:r>
      <w:r w:rsidR="00D002F4" w:rsidRPr="00ED22D1">
        <w:rPr>
          <w:lang w:val="fr-CA"/>
        </w:rPr>
        <w:t>import</w:t>
      </w:r>
      <w:r w:rsidR="0031390F" w:rsidRPr="00ED22D1">
        <w:rPr>
          <w:lang w:val="fr-CA"/>
        </w:rPr>
        <w:t xml:space="preserve">ation </w:t>
      </w:r>
      <w:r w:rsidR="004A6828" w:rsidRPr="00ED22D1">
        <w:rPr>
          <w:lang w:val="fr-CA"/>
        </w:rPr>
        <w:t xml:space="preserve">et </w:t>
      </w:r>
      <w:r w:rsidR="0031390F" w:rsidRPr="00ED22D1">
        <w:rPr>
          <w:lang w:val="fr-CA"/>
        </w:rPr>
        <w:t>l’</w:t>
      </w:r>
      <w:r w:rsidR="00D002F4" w:rsidRPr="00ED22D1">
        <w:rPr>
          <w:lang w:val="fr-CA"/>
        </w:rPr>
        <w:t>export</w:t>
      </w:r>
      <w:r w:rsidR="0031390F" w:rsidRPr="00ED22D1">
        <w:rPr>
          <w:lang w:val="fr-CA"/>
        </w:rPr>
        <w:t xml:space="preserve">ation de HCFC s’effectuait actuellement et que les chiffres sur la </w:t>
      </w:r>
      <w:r w:rsidR="00921BDE" w:rsidRPr="00ED22D1">
        <w:rPr>
          <w:lang w:val="fr-CA"/>
        </w:rPr>
        <w:t>consommation de HCFC</w:t>
      </w:r>
      <w:r w:rsidR="00D002F4" w:rsidRPr="00ED22D1">
        <w:rPr>
          <w:lang w:val="fr-CA"/>
        </w:rPr>
        <w:t xml:space="preserve"> </w:t>
      </w:r>
      <w:r w:rsidR="0031390F" w:rsidRPr="00ED22D1">
        <w:rPr>
          <w:lang w:val="fr-CA"/>
        </w:rPr>
        <w:t xml:space="preserve">ne seraient disponibles qu’en </w:t>
      </w:r>
      <w:r w:rsidR="00921BDE" w:rsidRPr="00ED22D1">
        <w:rPr>
          <w:lang w:val="fr-CA"/>
        </w:rPr>
        <w:t>septembre</w:t>
      </w:r>
      <w:r w:rsidR="00D002F4" w:rsidRPr="00ED22D1">
        <w:rPr>
          <w:lang w:val="fr-CA"/>
        </w:rPr>
        <w:t xml:space="preserve"> 201</w:t>
      </w:r>
      <w:r w:rsidR="004A6828" w:rsidRPr="00ED22D1">
        <w:rPr>
          <w:lang w:val="fr-CA"/>
        </w:rPr>
        <w:t>9</w:t>
      </w:r>
      <w:r w:rsidR="0031390F" w:rsidRPr="00ED22D1">
        <w:rPr>
          <w:lang w:val="fr-CA"/>
        </w:rPr>
        <w:t>.</w:t>
      </w:r>
      <w:r w:rsidR="00D002F4" w:rsidRPr="00ED22D1">
        <w:rPr>
          <w:lang w:val="fr-CA"/>
        </w:rPr>
        <w:t xml:space="preserve"> </w:t>
      </w:r>
      <w:r w:rsidR="0031390F" w:rsidRPr="00ED22D1">
        <w:rPr>
          <w:lang w:val="fr-CA"/>
        </w:rPr>
        <w:t xml:space="preserve">Il a donc été difficile pour le gouvernement de fournir une estimation de </w:t>
      </w:r>
      <w:r w:rsidR="00AD0203" w:rsidRPr="00ED22D1">
        <w:rPr>
          <w:lang w:val="fr-CA"/>
        </w:rPr>
        <w:t>la consommation</w:t>
      </w:r>
      <w:r w:rsidR="00921BDE" w:rsidRPr="00ED22D1">
        <w:rPr>
          <w:lang w:val="fr-CA"/>
        </w:rPr>
        <w:t xml:space="preserve"> de HCFC</w:t>
      </w:r>
      <w:r w:rsidR="00D002F4" w:rsidRPr="00ED22D1">
        <w:rPr>
          <w:lang w:val="fr-CA"/>
        </w:rPr>
        <w:t xml:space="preserve"> </w:t>
      </w:r>
      <w:r w:rsidR="0031390F" w:rsidRPr="00ED22D1">
        <w:rPr>
          <w:lang w:val="fr-CA"/>
        </w:rPr>
        <w:t>à ce moment</w:t>
      </w:r>
      <w:r w:rsidR="00D002F4" w:rsidRPr="00ED22D1">
        <w:rPr>
          <w:lang w:val="fr-CA"/>
        </w:rPr>
        <w:t xml:space="preserve">. </w:t>
      </w:r>
    </w:p>
    <w:p w:rsidR="00D002F4" w:rsidRPr="00ED22D1" w:rsidRDefault="00DC2912" w:rsidP="00DC2912">
      <w:pPr>
        <w:pStyle w:val="Heading1"/>
        <w:numPr>
          <w:ilvl w:val="0"/>
          <w:numId w:val="0"/>
        </w:numPr>
        <w:rPr>
          <w:lang w:val="fr-CA"/>
        </w:rPr>
      </w:pPr>
      <w:r w:rsidRPr="00ED22D1">
        <w:rPr>
          <w:lang w:val="fr-CA"/>
        </w:rPr>
        <w:t>88.</w:t>
      </w:r>
      <w:r w:rsidRPr="00ED22D1">
        <w:rPr>
          <w:lang w:val="fr-CA"/>
        </w:rPr>
        <w:tab/>
      </w:r>
      <w:r w:rsidR="00E71388" w:rsidRPr="00ED22D1">
        <w:rPr>
          <w:lang w:val="fr-CA"/>
        </w:rPr>
        <w:t>Le Secré</w:t>
      </w:r>
      <w:r w:rsidR="00DD185D" w:rsidRPr="00ED22D1">
        <w:rPr>
          <w:lang w:val="fr-CA"/>
        </w:rPr>
        <w:t>tariat</w:t>
      </w:r>
      <w:r w:rsidR="00D002F4" w:rsidRPr="00ED22D1">
        <w:rPr>
          <w:lang w:val="fr-CA"/>
        </w:rPr>
        <w:t xml:space="preserve"> </w:t>
      </w:r>
      <w:r w:rsidR="0031390F" w:rsidRPr="00ED22D1">
        <w:rPr>
          <w:lang w:val="fr-CA"/>
        </w:rPr>
        <w:t xml:space="preserve">prend note que la demande actuelle de la </w:t>
      </w:r>
      <w:r w:rsidR="00D002F4" w:rsidRPr="00ED22D1">
        <w:rPr>
          <w:lang w:val="fr-CA"/>
        </w:rPr>
        <w:t xml:space="preserve">tranche </w:t>
      </w:r>
      <w:r w:rsidR="0031390F" w:rsidRPr="00ED22D1">
        <w:rPr>
          <w:lang w:val="fr-CA"/>
        </w:rPr>
        <w:t>était initialement</w:t>
      </w:r>
      <w:r w:rsidR="00D002F4" w:rsidRPr="00ED22D1">
        <w:rPr>
          <w:lang w:val="fr-CA"/>
        </w:rPr>
        <w:t xml:space="preserve"> </w:t>
      </w:r>
      <w:r w:rsidR="0031390F" w:rsidRPr="00ED22D1">
        <w:rPr>
          <w:lang w:val="fr-CA"/>
        </w:rPr>
        <w:t xml:space="preserve">prévue </w:t>
      </w:r>
      <w:r w:rsidR="0052712E" w:rsidRPr="00ED22D1">
        <w:rPr>
          <w:lang w:val="fr-CA"/>
        </w:rPr>
        <w:t>en 20</w:t>
      </w:r>
      <w:r w:rsidR="00D002F4" w:rsidRPr="00ED22D1">
        <w:rPr>
          <w:lang w:val="fr-CA"/>
        </w:rPr>
        <w:t>1</w:t>
      </w:r>
      <w:r w:rsidR="004A6828" w:rsidRPr="00ED22D1">
        <w:rPr>
          <w:lang w:val="fr-CA"/>
        </w:rPr>
        <w:t>8</w:t>
      </w:r>
      <w:r w:rsidR="0031390F" w:rsidRPr="00ED22D1">
        <w:rPr>
          <w:lang w:val="fr-CA"/>
        </w:rPr>
        <w:t xml:space="preserve">, pour laquelle l’objectif de consommation de </w:t>
      </w:r>
      <w:r w:rsidR="00D002F4" w:rsidRPr="00ED22D1">
        <w:rPr>
          <w:lang w:val="fr-CA"/>
        </w:rPr>
        <w:t xml:space="preserve">2017 </w:t>
      </w:r>
      <w:r w:rsidR="0031390F" w:rsidRPr="00ED22D1">
        <w:rPr>
          <w:lang w:val="fr-CA"/>
        </w:rPr>
        <w:t>a été réalisé</w:t>
      </w:r>
      <w:r w:rsidR="00D002F4" w:rsidRPr="00ED22D1">
        <w:rPr>
          <w:lang w:val="fr-CA"/>
        </w:rPr>
        <w:t xml:space="preserve">. </w:t>
      </w:r>
      <w:r w:rsidR="0031390F" w:rsidRPr="00ED22D1">
        <w:rPr>
          <w:lang w:val="fr-CA"/>
        </w:rPr>
        <w:t>Réaliser</w:t>
      </w:r>
      <w:r w:rsidR="00DA2788">
        <w:rPr>
          <w:lang w:val="fr-CA"/>
        </w:rPr>
        <w:t xml:space="preserve"> l’objectif de consommation de </w:t>
      </w:r>
      <w:r w:rsidR="00D002F4" w:rsidRPr="00ED22D1">
        <w:rPr>
          <w:lang w:val="fr-CA"/>
        </w:rPr>
        <w:t xml:space="preserve">2018 </w:t>
      </w:r>
      <w:r w:rsidR="0031390F" w:rsidRPr="00ED22D1">
        <w:rPr>
          <w:lang w:val="fr-CA"/>
        </w:rPr>
        <w:t xml:space="preserve">serait une condition préalable à la libération de la </w:t>
      </w:r>
      <w:r w:rsidR="00FB46BE" w:rsidRPr="00ED22D1">
        <w:rPr>
          <w:lang w:val="fr-CA"/>
        </w:rPr>
        <w:t>quatrième</w:t>
      </w:r>
      <w:r w:rsidR="00D002F4" w:rsidRPr="00ED22D1">
        <w:rPr>
          <w:lang w:val="fr-CA"/>
        </w:rPr>
        <w:t xml:space="preserve"> tranche </w:t>
      </w:r>
      <w:r w:rsidR="00733306" w:rsidRPr="00ED22D1">
        <w:rPr>
          <w:lang w:val="fr-CA"/>
        </w:rPr>
        <w:t xml:space="preserve">à la </w:t>
      </w:r>
      <w:r w:rsidR="0031390F" w:rsidRPr="00ED22D1">
        <w:rPr>
          <w:lang w:val="fr-CA"/>
        </w:rPr>
        <w:t>8</w:t>
      </w:r>
      <w:r w:rsidR="00D002F4" w:rsidRPr="00ED22D1">
        <w:rPr>
          <w:lang w:val="fr-CA"/>
        </w:rPr>
        <w:t>4</w:t>
      </w:r>
      <w:r w:rsidR="0031390F" w:rsidRPr="00ED22D1">
        <w:rPr>
          <w:vertAlign w:val="superscript"/>
          <w:lang w:val="fr-CA"/>
        </w:rPr>
        <w:t xml:space="preserve">e </w:t>
      </w:r>
      <w:r w:rsidR="0031390F" w:rsidRPr="00ED22D1">
        <w:rPr>
          <w:lang w:val="fr-CA"/>
        </w:rPr>
        <w:t>réunion, selon le calendrier d’allocation des tranches</w:t>
      </w:r>
      <w:r w:rsidR="00D002F4" w:rsidRPr="00ED22D1">
        <w:rPr>
          <w:lang w:val="fr-CA"/>
        </w:rPr>
        <w:t xml:space="preserve">. </w:t>
      </w:r>
    </w:p>
    <w:p w:rsidR="00D002F4" w:rsidRPr="00ED22D1" w:rsidRDefault="00BB7CCB" w:rsidP="00D002F4">
      <w:pPr>
        <w:rPr>
          <w:u w:val="single"/>
          <w:lang w:val="fr-CA"/>
        </w:rPr>
      </w:pPr>
      <w:r w:rsidRPr="00ED22D1">
        <w:rPr>
          <w:u w:val="single"/>
          <w:lang w:val="fr-CA"/>
        </w:rPr>
        <w:t xml:space="preserve">Technologies de remplacement </w:t>
      </w:r>
      <w:r w:rsidR="0031390F" w:rsidRPr="00ED22D1">
        <w:rPr>
          <w:u w:val="single"/>
          <w:lang w:val="fr-CA"/>
        </w:rPr>
        <w:t xml:space="preserve">utilisées dans les </w:t>
      </w:r>
      <w:r w:rsidR="001B45EC" w:rsidRPr="00ED22D1">
        <w:rPr>
          <w:u w:val="single"/>
          <w:lang w:val="fr-CA"/>
        </w:rPr>
        <w:t>projets de reconversion</w:t>
      </w:r>
    </w:p>
    <w:p w:rsidR="00D002F4" w:rsidRPr="00ED22D1" w:rsidRDefault="00D002F4" w:rsidP="00D002F4">
      <w:pPr>
        <w:rPr>
          <w:u w:val="single"/>
          <w:lang w:val="fr-CA"/>
        </w:rPr>
      </w:pPr>
    </w:p>
    <w:p w:rsidR="00D002F4" w:rsidRPr="00ED22D1" w:rsidRDefault="00DC2912" w:rsidP="00DC2912">
      <w:pPr>
        <w:pStyle w:val="Heading1"/>
        <w:numPr>
          <w:ilvl w:val="0"/>
          <w:numId w:val="0"/>
        </w:numPr>
        <w:rPr>
          <w:lang w:val="fr-CA"/>
        </w:rPr>
      </w:pPr>
      <w:r w:rsidRPr="00ED22D1">
        <w:rPr>
          <w:lang w:val="fr-CA"/>
        </w:rPr>
        <w:t>89.</w:t>
      </w:r>
      <w:r w:rsidRPr="00ED22D1">
        <w:rPr>
          <w:lang w:val="fr-CA"/>
        </w:rPr>
        <w:tab/>
      </w:r>
      <w:r w:rsidR="0031390F" w:rsidRPr="00ED22D1">
        <w:rPr>
          <w:lang w:val="fr-CA"/>
        </w:rPr>
        <w:t xml:space="preserve">La </w:t>
      </w:r>
      <w:r w:rsidR="004A6828" w:rsidRPr="00ED22D1">
        <w:rPr>
          <w:lang w:val="fr-CA"/>
        </w:rPr>
        <w:t>troisième</w:t>
      </w:r>
      <w:r w:rsidR="00D002F4" w:rsidRPr="00ED22D1">
        <w:rPr>
          <w:lang w:val="fr-CA"/>
        </w:rPr>
        <w:t xml:space="preserve"> tranche </w:t>
      </w:r>
      <w:r w:rsidR="0031390F" w:rsidRPr="00ED22D1">
        <w:rPr>
          <w:lang w:val="fr-CA"/>
        </w:rPr>
        <w:t xml:space="preserve">proposée comprend une demande de remplacement de la technologie avec </w:t>
      </w:r>
      <w:r w:rsidR="00D002F4" w:rsidRPr="00ED22D1">
        <w:rPr>
          <w:lang w:val="fr-CA"/>
        </w:rPr>
        <w:t>CO</w:t>
      </w:r>
      <w:r w:rsidR="00D002F4" w:rsidRPr="00ED22D1">
        <w:rPr>
          <w:vertAlign w:val="subscript"/>
          <w:lang w:val="fr-CA"/>
        </w:rPr>
        <w:t>2</w:t>
      </w:r>
      <w:r w:rsidR="00D002F4" w:rsidRPr="00ED22D1">
        <w:rPr>
          <w:lang w:val="fr-CA"/>
        </w:rPr>
        <w:t>/NH</w:t>
      </w:r>
      <w:r w:rsidR="00D002F4" w:rsidRPr="00ED22D1">
        <w:rPr>
          <w:vertAlign w:val="subscript"/>
          <w:lang w:val="fr-CA"/>
        </w:rPr>
        <w:t>3</w:t>
      </w:r>
      <w:r w:rsidR="00D002F4" w:rsidRPr="00ED22D1">
        <w:rPr>
          <w:lang w:val="fr-CA"/>
        </w:rPr>
        <w:t xml:space="preserve"> </w:t>
      </w:r>
      <w:r w:rsidR="0031390F" w:rsidRPr="00ED22D1">
        <w:rPr>
          <w:lang w:val="fr-CA"/>
        </w:rPr>
        <w:t>initialement</w:t>
      </w:r>
      <w:r w:rsidR="00D002F4" w:rsidRPr="00ED22D1">
        <w:rPr>
          <w:lang w:val="fr-CA"/>
        </w:rPr>
        <w:t xml:space="preserve"> </w:t>
      </w:r>
      <w:r w:rsidR="00AA6E77" w:rsidRPr="00ED22D1">
        <w:rPr>
          <w:lang w:val="fr-CA"/>
        </w:rPr>
        <w:t>approuvé</w:t>
      </w:r>
      <w:r w:rsidR="0031390F" w:rsidRPr="00ED22D1">
        <w:rPr>
          <w:lang w:val="fr-CA"/>
        </w:rPr>
        <w:t>e dans</w:t>
      </w:r>
      <w:r w:rsidR="001F19C1" w:rsidRPr="00ED22D1">
        <w:rPr>
          <w:lang w:val="fr-CA"/>
        </w:rPr>
        <w:t xml:space="preserve"> le PGEH</w:t>
      </w:r>
      <w:r w:rsidR="00D002F4" w:rsidRPr="00ED22D1">
        <w:rPr>
          <w:lang w:val="fr-CA"/>
        </w:rPr>
        <w:t xml:space="preserve"> </w:t>
      </w:r>
      <w:r w:rsidR="006767C5">
        <w:rPr>
          <w:lang w:val="fr-CA"/>
        </w:rPr>
        <w:t>par</w:t>
      </w:r>
      <w:r w:rsidR="00B84F94" w:rsidRPr="00ED22D1">
        <w:rPr>
          <w:lang w:val="fr-CA"/>
        </w:rPr>
        <w:t xml:space="preserve"> </w:t>
      </w:r>
      <w:r w:rsidR="0031390F" w:rsidRPr="00ED22D1">
        <w:rPr>
          <w:lang w:val="fr-CA"/>
        </w:rPr>
        <w:t xml:space="preserve">la technologie avec </w:t>
      </w:r>
      <w:r w:rsidR="00D002F4" w:rsidRPr="00ED22D1">
        <w:rPr>
          <w:lang w:val="fr-CA"/>
        </w:rPr>
        <w:t>CO</w:t>
      </w:r>
      <w:r w:rsidR="00D002F4" w:rsidRPr="00ED22D1">
        <w:rPr>
          <w:vertAlign w:val="subscript"/>
          <w:lang w:val="fr-CA"/>
        </w:rPr>
        <w:t>2</w:t>
      </w:r>
      <w:r w:rsidR="00D002F4" w:rsidRPr="00ED22D1">
        <w:rPr>
          <w:lang w:val="fr-CA"/>
        </w:rPr>
        <w:t xml:space="preserve">/HFC-134a </w:t>
      </w:r>
      <w:r w:rsidR="0031390F" w:rsidRPr="00ED22D1">
        <w:rPr>
          <w:lang w:val="fr-CA"/>
        </w:rPr>
        <w:t xml:space="preserve">dans </w:t>
      </w:r>
      <w:r w:rsidR="00921BDE" w:rsidRPr="00ED22D1">
        <w:rPr>
          <w:lang w:val="fr-CA"/>
        </w:rPr>
        <w:t xml:space="preserve">dix </w:t>
      </w:r>
      <w:r w:rsidR="00325FA0" w:rsidRPr="00ED22D1">
        <w:rPr>
          <w:lang w:val="fr-CA"/>
        </w:rPr>
        <w:t>circuits de fabrication</w:t>
      </w:r>
      <w:r w:rsidR="00D002F4" w:rsidRPr="00ED22D1">
        <w:rPr>
          <w:lang w:val="fr-CA"/>
        </w:rPr>
        <w:t xml:space="preserve"> </w:t>
      </w:r>
      <w:r w:rsidR="005901C1" w:rsidRPr="00ED22D1">
        <w:rPr>
          <w:lang w:val="fr-CA"/>
        </w:rPr>
        <w:t>de congélateurs et d</w:t>
      </w:r>
      <w:r w:rsidR="0031390F" w:rsidRPr="00ED22D1">
        <w:rPr>
          <w:lang w:val="fr-CA"/>
        </w:rPr>
        <w:t xml:space="preserve">’équipements </w:t>
      </w:r>
      <w:r w:rsidR="005901C1" w:rsidRPr="00ED22D1">
        <w:rPr>
          <w:lang w:val="fr-CA"/>
        </w:rPr>
        <w:t>de réfrigération</w:t>
      </w:r>
      <w:r w:rsidR="00D002F4" w:rsidRPr="00ED22D1">
        <w:rPr>
          <w:lang w:val="fr-CA"/>
        </w:rPr>
        <w:t xml:space="preserve"> </w:t>
      </w:r>
      <w:r w:rsidR="005901C1" w:rsidRPr="00ED22D1">
        <w:rPr>
          <w:lang w:val="fr-CA"/>
        </w:rPr>
        <w:t>pour l’entreposage réfrigéré</w:t>
      </w:r>
      <w:r w:rsidR="004A6828" w:rsidRPr="00ED22D1">
        <w:rPr>
          <w:lang w:val="fr-CA"/>
        </w:rPr>
        <w:t xml:space="preserve"> et</w:t>
      </w:r>
      <w:r w:rsidR="006767C5">
        <w:rPr>
          <w:lang w:val="fr-CA"/>
        </w:rPr>
        <w:t> </w:t>
      </w:r>
      <w:r w:rsidR="005901C1" w:rsidRPr="00ED22D1">
        <w:rPr>
          <w:lang w:val="fr-CA"/>
        </w:rPr>
        <w:t>le</w:t>
      </w:r>
      <w:r w:rsidR="006767C5">
        <w:rPr>
          <w:lang w:val="fr-CA"/>
        </w:rPr>
        <w:t> </w:t>
      </w:r>
      <w:r w:rsidR="005901C1" w:rsidRPr="00ED22D1">
        <w:rPr>
          <w:lang w:val="fr-CA"/>
        </w:rPr>
        <w:t>traitement des aliments</w:t>
      </w:r>
      <w:r w:rsidR="00D002F4" w:rsidRPr="00ED22D1">
        <w:rPr>
          <w:lang w:val="fr-CA"/>
        </w:rPr>
        <w:t xml:space="preserve">, </w:t>
      </w:r>
      <w:r w:rsidR="005901C1" w:rsidRPr="00ED22D1">
        <w:rPr>
          <w:lang w:val="fr-CA"/>
        </w:rPr>
        <w:t>la plupart dans de petites</w:t>
      </w:r>
      <w:r w:rsidR="00D002F4" w:rsidRPr="00ED22D1">
        <w:rPr>
          <w:lang w:val="fr-CA"/>
        </w:rPr>
        <w:t xml:space="preserve"> </w:t>
      </w:r>
      <w:r w:rsidR="00921BDE" w:rsidRPr="00ED22D1">
        <w:rPr>
          <w:lang w:val="fr-CA"/>
        </w:rPr>
        <w:t>entreprise</w:t>
      </w:r>
      <w:r w:rsidR="00D002F4" w:rsidRPr="00ED22D1">
        <w:rPr>
          <w:lang w:val="fr-CA"/>
        </w:rPr>
        <w:t xml:space="preserve">s </w:t>
      </w:r>
      <w:r w:rsidR="005901C1" w:rsidRPr="00ED22D1">
        <w:rPr>
          <w:lang w:val="fr-CA"/>
        </w:rPr>
        <w:t>consommant</w:t>
      </w:r>
      <w:r w:rsidR="00D002F4" w:rsidRPr="00ED22D1">
        <w:rPr>
          <w:lang w:val="fr-CA"/>
        </w:rPr>
        <w:t xml:space="preserve"> </w:t>
      </w:r>
      <w:r w:rsidR="005901C1" w:rsidRPr="00ED22D1">
        <w:rPr>
          <w:lang w:val="fr-CA"/>
        </w:rPr>
        <w:t>moins de</w:t>
      </w:r>
      <w:r w:rsidR="00D002F4" w:rsidRPr="00ED22D1">
        <w:rPr>
          <w:lang w:val="fr-CA"/>
        </w:rPr>
        <w:t xml:space="preserve"> 50 </w:t>
      </w:r>
      <w:r w:rsidR="001279D7" w:rsidRPr="00ED22D1">
        <w:rPr>
          <w:lang w:val="fr-CA"/>
        </w:rPr>
        <w:t>tm</w:t>
      </w:r>
      <w:r w:rsidR="0031390F" w:rsidRPr="00ED22D1">
        <w:rPr>
          <w:lang w:val="fr-CA"/>
        </w:rPr>
        <w:t>. Le</w:t>
      </w:r>
      <w:r w:rsidR="006767C5">
        <w:rPr>
          <w:lang w:val="fr-CA"/>
        </w:rPr>
        <w:t> </w:t>
      </w:r>
      <w:r w:rsidR="001F19C1" w:rsidRPr="00ED22D1">
        <w:rPr>
          <w:lang w:val="fr-CA"/>
        </w:rPr>
        <w:t>PNUD</w:t>
      </w:r>
      <w:r w:rsidR="00D002F4" w:rsidRPr="00ED22D1">
        <w:rPr>
          <w:lang w:val="fr-CA"/>
        </w:rPr>
        <w:t xml:space="preserve"> </w:t>
      </w:r>
      <w:r w:rsidR="005901C1" w:rsidRPr="00ED22D1">
        <w:rPr>
          <w:lang w:val="fr-CA"/>
        </w:rPr>
        <w:t xml:space="preserve">a </w:t>
      </w:r>
      <w:r w:rsidR="002B7FD8" w:rsidRPr="00ED22D1">
        <w:rPr>
          <w:lang w:val="fr-CA"/>
        </w:rPr>
        <w:t>expliqué</w:t>
      </w:r>
      <w:r w:rsidR="00D002F4" w:rsidRPr="00ED22D1">
        <w:rPr>
          <w:lang w:val="fr-CA"/>
        </w:rPr>
        <w:t xml:space="preserve"> </w:t>
      </w:r>
      <w:r w:rsidR="005901C1" w:rsidRPr="00ED22D1">
        <w:rPr>
          <w:lang w:val="fr-CA"/>
        </w:rPr>
        <w:t>que</w:t>
      </w:r>
      <w:r w:rsidR="00D002F4" w:rsidRPr="00ED22D1">
        <w:rPr>
          <w:lang w:val="fr-CA"/>
        </w:rPr>
        <w:t xml:space="preserve">, </w:t>
      </w:r>
      <w:r w:rsidR="005901C1" w:rsidRPr="00ED22D1">
        <w:rPr>
          <w:lang w:val="fr-CA"/>
        </w:rPr>
        <w:t xml:space="preserve">en raison de nombreuses </w:t>
      </w:r>
      <w:r w:rsidR="00D002F4" w:rsidRPr="00ED22D1">
        <w:rPr>
          <w:lang w:val="fr-CA"/>
        </w:rPr>
        <w:t xml:space="preserve">explosions </w:t>
      </w:r>
      <w:r w:rsidR="005901C1" w:rsidRPr="00ED22D1">
        <w:rPr>
          <w:lang w:val="fr-CA"/>
        </w:rPr>
        <w:t>liées à l’ammoniac</w:t>
      </w:r>
      <w:r w:rsidR="00D002F4" w:rsidRPr="00ED22D1">
        <w:rPr>
          <w:lang w:val="fr-CA"/>
        </w:rPr>
        <w:t xml:space="preserve"> </w:t>
      </w:r>
      <w:r w:rsidR="005901C1" w:rsidRPr="00ED22D1">
        <w:rPr>
          <w:lang w:val="fr-CA"/>
        </w:rPr>
        <w:t>au cours des dernières</w:t>
      </w:r>
      <w:r w:rsidR="00D002F4" w:rsidRPr="00ED22D1">
        <w:rPr>
          <w:lang w:val="fr-CA"/>
        </w:rPr>
        <w:t xml:space="preserve"> </w:t>
      </w:r>
      <w:r w:rsidR="0052712E" w:rsidRPr="00ED22D1">
        <w:rPr>
          <w:lang w:val="fr-CA"/>
        </w:rPr>
        <w:t>année</w:t>
      </w:r>
      <w:r w:rsidR="00D002F4" w:rsidRPr="00ED22D1">
        <w:rPr>
          <w:lang w:val="fr-CA"/>
        </w:rPr>
        <w:t xml:space="preserve">s, </w:t>
      </w:r>
      <w:r w:rsidR="00903152" w:rsidRPr="00ED22D1">
        <w:rPr>
          <w:lang w:val="fr-CA"/>
        </w:rPr>
        <w:t xml:space="preserve">le gouvernement </w:t>
      </w:r>
      <w:r w:rsidR="005901C1" w:rsidRPr="00ED22D1">
        <w:rPr>
          <w:lang w:val="fr-CA"/>
        </w:rPr>
        <w:t>a promulgué des lois et des règlements stricts sur l’utilisation de l’ammoniac</w:t>
      </w:r>
      <w:r w:rsidR="00D002F4" w:rsidRPr="00ED22D1">
        <w:rPr>
          <w:lang w:val="fr-CA"/>
        </w:rPr>
        <w:t xml:space="preserve">, </w:t>
      </w:r>
      <w:r w:rsidR="004B666A" w:rsidRPr="00ED22D1">
        <w:rPr>
          <w:lang w:val="fr-CA"/>
        </w:rPr>
        <w:t>y</w:t>
      </w:r>
      <w:r w:rsidR="006767C5">
        <w:rPr>
          <w:lang w:val="fr-CA"/>
        </w:rPr>
        <w:t> </w:t>
      </w:r>
      <w:r w:rsidR="004B666A" w:rsidRPr="00ED22D1">
        <w:rPr>
          <w:lang w:val="fr-CA"/>
        </w:rPr>
        <w:t>compris</w:t>
      </w:r>
      <w:r w:rsidR="00D002F4" w:rsidRPr="00ED22D1">
        <w:rPr>
          <w:lang w:val="fr-CA"/>
        </w:rPr>
        <w:t xml:space="preserve"> </w:t>
      </w:r>
      <w:r w:rsidR="005901C1" w:rsidRPr="00ED22D1">
        <w:rPr>
          <w:lang w:val="fr-CA"/>
        </w:rPr>
        <w:t>un code de sécurité pour l’entreposage réfrigéré</w:t>
      </w:r>
      <w:r w:rsidR="00D002F4" w:rsidRPr="00ED22D1">
        <w:rPr>
          <w:lang w:val="fr-CA"/>
        </w:rPr>
        <w:t xml:space="preserve"> (GB28009/2011); </w:t>
      </w:r>
      <w:r w:rsidR="005901C1" w:rsidRPr="00ED22D1">
        <w:rPr>
          <w:lang w:val="fr-CA"/>
        </w:rPr>
        <w:t>un code de conception pour l’entreposage réfrigéré</w:t>
      </w:r>
      <w:r w:rsidR="00D002F4" w:rsidRPr="00ED22D1">
        <w:rPr>
          <w:lang w:val="fr-CA"/>
        </w:rPr>
        <w:t xml:space="preserve"> (GB50072/2010);</w:t>
      </w:r>
      <w:r w:rsidR="004A6828" w:rsidRPr="00ED22D1">
        <w:rPr>
          <w:lang w:val="fr-CA"/>
        </w:rPr>
        <w:t xml:space="preserve"> et </w:t>
      </w:r>
      <w:r w:rsidR="005901C1" w:rsidRPr="00ED22D1">
        <w:rPr>
          <w:lang w:val="fr-CA"/>
        </w:rPr>
        <w:t>un code de construction et d’acceptation des installations des systèmes de réfrigération avec</w:t>
      </w:r>
      <w:r w:rsidR="00D002F4" w:rsidRPr="00ED22D1">
        <w:rPr>
          <w:lang w:val="fr-CA"/>
        </w:rPr>
        <w:t xml:space="preserve"> </w:t>
      </w:r>
      <w:r w:rsidR="005901C1" w:rsidRPr="00ED22D1">
        <w:rPr>
          <w:lang w:val="fr-CA"/>
        </w:rPr>
        <w:t>ammoniac</w:t>
      </w:r>
      <w:r w:rsidR="00D002F4" w:rsidRPr="00ED22D1">
        <w:rPr>
          <w:lang w:val="fr-CA"/>
        </w:rPr>
        <w:t xml:space="preserve"> (SBJ12/2011). </w:t>
      </w:r>
      <w:r w:rsidR="007A7944" w:rsidRPr="00ED22D1">
        <w:rPr>
          <w:lang w:val="fr-CA"/>
        </w:rPr>
        <w:t xml:space="preserve">Par conséquent, toutes les </w:t>
      </w:r>
      <w:r w:rsidR="00921BDE" w:rsidRPr="00ED22D1">
        <w:rPr>
          <w:bCs/>
          <w:lang w:val="fr-CA"/>
        </w:rPr>
        <w:t>entreprise</w:t>
      </w:r>
      <w:r w:rsidR="00D002F4" w:rsidRPr="00ED22D1">
        <w:rPr>
          <w:bCs/>
          <w:lang w:val="fr-CA"/>
        </w:rPr>
        <w:t>s</w:t>
      </w:r>
      <w:r w:rsidR="00053099" w:rsidRPr="00ED22D1">
        <w:rPr>
          <w:bCs/>
          <w:lang w:val="fr-CA"/>
        </w:rPr>
        <w:t xml:space="preserve"> utilisant </w:t>
      </w:r>
      <w:r w:rsidR="007A7944" w:rsidRPr="00ED22D1">
        <w:rPr>
          <w:bCs/>
          <w:lang w:val="fr-CA"/>
        </w:rPr>
        <w:t>de l’</w:t>
      </w:r>
      <w:r w:rsidR="005901C1" w:rsidRPr="00ED22D1">
        <w:rPr>
          <w:bCs/>
          <w:lang w:val="fr-CA"/>
        </w:rPr>
        <w:t>ammoniac</w:t>
      </w:r>
      <w:r w:rsidR="00903152" w:rsidRPr="00ED22D1">
        <w:rPr>
          <w:bCs/>
          <w:lang w:val="fr-CA"/>
        </w:rPr>
        <w:t xml:space="preserve"> ont </w:t>
      </w:r>
      <w:r w:rsidR="007A7944" w:rsidRPr="00ED22D1">
        <w:rPr>
          <w:bCs/>
          <w:lang w:val="fr-CA"/>
        </w:rPr>
        <w:t xml:space="preserve">à rectifier leurs systèmes de sécurité </w:t>
      </w:r>
      <w:r w:rsidR="004A6828" w:rsidRPr="00ED22D1">
        <w:rPr>
          <w:bCs/>
          <w:lang w:val="fr-CA"/>
        </w:rPr>
        <w:t xml:space="preserve">et </w:t>
      </w:r>
      <w:r w:rsidR="006767C5">
        <w:rPr>
          <w:bCs/>
          <w:lang w:val="fr-CA"/>
        </w:rPr>
        <w:t xml:space="preserve">à </w:t>
      </w:r>
      <w:r w:rsidR="007A7944" w:rsidRPr="00ED22D1">
        <w:rPr>
          <w:bCs/>
          <w:lang w:val="fr-CA"/>
        </w:rPr>
        <w:t xml:space="preserve">évaluer la gestion des risques en ce qui a trait au </w:t>
      </w:r>
      <w:r w:rsidR="007A7944" w:rsidRPr="00ED22D1">
        <w:rPr>
          <w:bCs/>
          <w:lang w:val="fr-CA"/>
        </w:rPr>
        <w:lastRenderedPageBreak/>
        <w:t xml:space="preserve">contrôle des sources de produits chimiques, au système de </w:t>
      </w:r>
      <w:r w:rsidR="0052712E" w:rsidRPr="00ED22D1">
        <w:rPr>
          <w:bCs/>
          <w:lang w:val="fr-CA"/>
        </w:rPr>
        <w:t>réfrigération</w:t>
      </w:r>
      <w:r w:rsidR="00D002F4" w:rsidRPr="00ED22D1">
        <w:rPr>
          <w:bCs/>
          <w:lang w:val="fr-CA"/>
        </w:rPr>
        <w:t xml:space="preserve">, </w:t>
      </w:r>
      <w:r w:rsidR="007A7944" w:rsidRPr="00ED22D1">
        <w:rPr>
          <w:bCs/>
          <w:lang w:val="fr-CA"/>
        </w:rPr>
        <w:t xml:space="preserve">à la </w:t>
      </w:r>
      <w:r w:rsidR="00D002F4" w:rsidRPr="00ED22D1">
        <w:rPr>
          <w:bCs/>
          <w:lang w:val="fr-CA"/>
        </w:rPr>
        <w:t xml:space="preserve">certification </w:t>
      </w:r>
      <w:r w:rsidR="007A7944" w:rsidRPr="00ED22D1">
        <w:rPr>
          <w:bCs/>
          <w:lang w:val="fr-CA"/>
        </w:rPr>
        <w:t>des opérateurs, et à la gestion des urgences</w:t>
      </w:r>
      <w:r w:rsidR="00D002F4" w:rsidRPr="00ED22D1">
        <w:rPr>
          <w:lang w:val="fr-CA"/>
        </w:rPr>
        <w:t>.</w:t>
      </w:r>
    </w:p>
    <w:p w:rsidR="00D002F4" w:rsidRPr="00ED22D1" w:rsidRDefault="00DC2912" w:rsidP="00DC2912">
      <w:pPr>
        <w:pStyle w:val="Heading1"/>
        <w:numPr>
          <w:ilvl w:val="0"/>
          <w:numId w:val="0"/>
        </w:numPr>
        <w:rPr>
          <w:lang w:val="fr-CA"/>
        </w:rPr>
      </w:pPr>
      <w:r w:rsidRPr="00ED22D1">
        <w:rPr>
          <w:lang w:val="fr-CA"/>
        </w:rPr>
        <w:t>90.</w:t>
      </w:r>
      <w:r w:rsidRPr="00ED22D1">
        <w:rPr>
          <w:lang w:val="fr-CA"/>
        </w:rPr>
        <w:tab/>
      </w:r>
      <w:r w:rsidR="007A7944" w:rsidRPr="00ED22D1">
        <w:rPr>
          <w:lang w:val="fr-CA"/>
        </w:rPr>
        <w:t xml:space="preserve">En raison de la capacité technique limitée de </w:t>
      </w:r>
      <w:r w:rsidR="00D002F4" w:rsidRPr="00ED22D1">
        <w:rPr>
          <w:lang w:val="fr-CA"/>
        </w:rPr>
        <w:t xml:space="preserve">10 </w:t>
      </w:r>
      <w:r w:rsidR="007A7944" w:rsidRPr="00ED22D1">
        <w:rPr>
          <w:lang w:val="fr-CA"/>
        </w:rPr>
        <w:t>petites et moyennes entreprises (P</w:t>
      </w:r>
      <w:r w:rsidR="00D002F4" w:rsidRPr="00ED22D1">
        <w:rPr>
          <w:lang w:val="fr-CA"/>
        </w:rPr>
        <w:t>ME</w:t>
      </w:r>
      <w:r w:rsidR="007A7944" w:rsidRPr="00ED22D1">
        <w:rPr>
          <w:lang w:val="fr-CA"/>
        </w:rPr>
        <w:t>)</w:t>
      </w:r>
      <w:r w:rsidR="004A6828" w:rsidRPr="00ED22D1">
        <w:rPr>
          <w:lang w:val="fr-CA"/>
        </w:rPr>
        <w:t xml:space="preserve"> et </w:t>
      </w:r>
      <w:r w:rsidR="007A7944" w:rsidRPr="00ED22D1">
        <w:rPr>
          <w:lang w:val="fr-CA"/>
        </w:rPr>
        <w:t>de la complexité et des défis à gérer la toxicité de l’</w:t>
      </w:r>
      <w:r w:rsidR="005901C1" w:rsidRPr="00ED22D1">
        <w:rPr>
          <w:lang w:val="fr-CA"/>
        </w:rPr>
        <w:t>ammoniac</w:t>
      </w:r>
      <w:r w:rsidR="00D002F4" w:rsidRPr="00ED22D1">
        <w:rPr>
          <w:lang w:val="fr-CA"/>
        </w:rPr>
        <w:t xml:space="preserve">, </w:t>
      </w:r>
      <w:r w:rsidR="006767C5">
        <w:rPr>
          <w:lang w:val="fr-CA"/>
        </w:rPr>
        <w:t>ces dernières</w:t>
      </w:r>
      <w:r w:rsidR="007A7944" w:rsidRPr="00ED22D1">
        <w:rPr>
          <w:lang w:val="fr-CA"/>
        </w:rPr>
        <w:t xml:space="preserve"> ont de la difficulté à respecter les exigences indiquées dans les lois et les règlements nationaux</w:t>
      </w:r>
      <w:r w:rsidR="00D002F4" w:rsidRPr="00ED22D1">
        <w:rPr>
          <w:lang w:val="fr-CA"/>
        </w:rPr>
        <w:t xml:space="preserve">, </w:t>
      </w:r>
      <w:r w:rsidR="007A7944" w:rsidRPr="00ED22D1">
        <w:rPr>
          <w:lang w:val="fr-CA"/>
        </w:rPr>
        <w:t>même avec l’</w:t>
      </w:r>
      <w:r w:rsidR="00872A2F" w:rsidRPr="00ED22D1">
        <w:rPr>
          <w:lang w:val="fr-CA"/>
        </w:rPr>
        <w:t xml:space="preserve">assistance technique </w:t>
      </w:r>
      <w:r w:rsidR="007A7944" w:rsidRPr="00ED22D1">
        <w:rPr>
          <w:lang w:val="fr-CA"/>
        </w:rPr>
        <w:t xml:space="preserve">fournie par le truchement de la mise en oeuvre du </w:t>
      </w:r>
      <w:r w:rsidR="001F19C1" w:rsidRPr="00ED22D1">
        <w:rPr>
          <w:lang w:val="fr-CA"/>
        </w:rPr>
        <w:t>PGEH</w:t>
      </w:r>
      <w:r w:rsidR="00D002F4" w:rsidRPr="00ED22D1">
        <w:rPr>
          <w:lang w:val="fr-CA"/>
        </w:rPr>
        <w:t xml:space="preserve"> </w:t>
      </w:r>
      <w:r w:rsidR="004A6828" w:rsidRPr="00ED22D1">
        <w:rPr>
          <w:lang w:val="fr-CA"/>
        </w:rPr>
        <w:t xml:space="preserve">et </w:t>
      </w:r>
      <w:r w:rsidR="007A7944" w:rsidRPr="00ED22D1">
        <w:rPr>
          <w:lang w:val="fr-CA"/>
        </w:rPr>
        <w:t xml:space="preserve">le financement supplémentaire de </w:t>
      </w:r>
      <w:r w:rsidR="00D002F4" w:rsidRPr="00ED22D1">
        <w:rPr>
          <w:lang w:val="fr-CA"/>
        </w:rPr>
        <w:t>25 </w:t>
      </w:r>
      <w:r w:rsidR="001B31BF" w:rsidRPr="00ED22D1">
        <w:rPr>
          <w:lang w:val="fr-CA"/>
        </w:rPr>
        <w:t>pour cent</w:t>
      </w:r>
      <w:r w:rsidR="00D002F4" w:rsidRPr="00ED22D1">
        <w:rPr>
          <w:lang w:val="fr-CA"/>
        </w:rPr>
        <w:t xml:space="preserve">. </w:t>
      </w:r>
      <w:r w:rsidR="00211FEC" w:rsidRPr="00ED22D1">
        <w:rPr>
          <w:lang w:val="fr-CA"/>
        </w:rPr>
        <w:t>En</w:t>
      </w:r>
      <w:r w:rsidR="00260E33">
        <w:rPr>
          <w:lang w:val="fr-CA"/>
        </w:rPr>
        <w:t> </w:t>
      </w:r>
      <w:r w:rsidR="00211FEC" w:rsidRPr="00ED22D1">
        <w:rPr>
          <w:lang w:val="fr-CA"/>
        </w:rPr>
        <w:t>raison de</w:t>
      </w:r>
      <w:r w:rsidR="007A7944" w:rsidRPr="00ED22D1">
        <w:rPr>
          <w:lang w:val="fr-CA"/>
        </w:rPr>
        <w:t xml:space="preserve"> ces contraintes, les PME </w:t>
      </w:r>
      <w:r w:rsidR="00211FEC" w:rsidRPr="00ED22D1">
        <w:rPr>
          <w:lang w:val="fr-CA"/>
        </w:rPr>
        <w:t xml:space="preserve">ne peuvent prendre de risques en matière de sécurité et </w:t>
      </w:r>
      <w:r w:rsidR="00616B46" w:rsidRPr="00ED22D1">
        <w:rPr>
          <w:lang w:val="fr-CA"/>
        </w:rPr>
        <w:t>choisissent</w:t>
      </w:r>
      <w:r w:rsidR="00211FEC" w:rsidRPr="00ED22D1">
        <w:rPr>
          <w:lang w:val="fr-CA"/>
        </w:rPr>
        <w:t xml:space="preserve"> d’utiliser la technologie en cascade avec </w:t>
      </w:r>
      <w:r w:rsidR="00D002F4" w:rsidRPr="00ED22D1">
        <w:rPr>
          <w:lang w:val="fr-CA"/>
        </w:rPr>
        <w:t>CO</w:t>
      </w:r>
      <w:r w:rsidR="00D002F4" w:rsidRPr="00ED22D1">
        <w:rPr>
          <w:vertAlign w:val="subscript"/>
          <w:lang w:val="fr-CA"/>
        </w:rPr>
        <w:t>2</w:t>
      </w:r>
      <w:r w:rsidR="00D002F4" w:rsidRPr="00ED22D1">
        <w:rPr>
          <w:lang w:val="fr-CA"/>
        </w:rPr>
        <w:t>/HFC</w:t>
      </w:r>
      <w:r w:rsidR="00D002F4" w:rsidRPr="00ED22D1">
        <w:rPr>
          <w:lang w:val="fr-CA"/>
        </w:rPr>
        <w:noBreakHyphen/>
        <w:t xml:space="preserve">134a </w:t>
      </w:r>
      <w:r w:rsidR="00211FEC" w:rsidRPr="00ED22D1">
        <w:rPr>
          <w:lang w:val="fr-CA"/>
        </w:rPr>
        <w:t>au lieu d</w:t>
      </w:r>
      <w:r w:rsidR="00260E33">
        <w:rPr>
          <w:lang w:val="fr-CA"/>
        </w:rPr>
        <w:t>e l</w:t>
      </w:r>
      <w:r w:rsidR="00211FEC" w:rsidRPr="00ED22D1">
        <w:rPr>
          <w:lang w:val="fr-CA"/>
        </w:rPr>
        <w:t>’</w:t>
      </w:r>
      <w:r w:rsidR="005901C1" w:rsidRPr="00ED22D1">
        <w:rPr>
          <w:lang w:val="fr-CA"/>
        </w:rPr>
        <w:t>ammoniac</w:t>
      </w:r>
      <w:r w:rsidR="00D002F4" w:rsidRPr="00ED22D1">
        <w:rPr>
          <w:lang w:val="fr-CA"/>
        </w:rPr>
        <w:t xml:space="preserve">. </w:t>
      </w:r>
    </w:p>
    <w:p w:rsidR="00D002F4" w:rsidRPr="00ED22D1" w:rsidRDefault="00DC2912" w:rsidP="00DC2912">
      <w:pPr>
        <w:pStyle w:val="Heading1"/>
        <w:keepNext/>
        <w:keepLines/>
        <w:numPr>
          <w:ilvl w:val="0"/>
          <w:numId w:val="0"/>
        </w:numPr>
        <w:rPr>
          <w:lang w:val="fr-CA"/>
        </w:rPr>
      </w:pPr>
      <w:r w:rsidRPr="00ED22D1">
        <w:rPr>
          <w:lang w:val="fr-CA"/>
        </w:rPr>
        <w:t>91.</w:t>
      </w:r>
      <w:r w:rsidRPr="00ED22D1">
        <w:rPr>
          <w:lang w:val="fr-CA"/>
        </w:rPr>
        <w:tab/>
      </w:r>
      <w:r w:rsidR="00211FEC" w:rsidRPr="00ED22D1">
        <w:rPr>
          <w:lang w:val="fr-CA"/>
        </w:rPr>
        <w:t xml:space="preserve">Après une demande de </w:t>
      </w:r>
      <w:r w:rsidR="00D002F4" w:rsidRPr="00ED22D1">
        <w:rPr>
          <w:lang w:val="fr-CA"/>
        </w:rPr>
        <w:t>clarification</w:t>
      </w:r>
      <w:r w:rsidR="001F19C1" w:rsidRPr="00ED22D1">
        <w:rPr>
          <w:lang w:val="fr-CA"/>
        </w:rPr>
        <w:t>, le PNUD</w:t>
      </w:r>
      <w:r w:rsidR="00D002F4" w:rsidRPr="00ED22D1">
        <w:rPr>
          <w:lang w:val="fr-CA"/>
        </w:rPr>
        <w:t xml:space="preserve"> </w:t>
      </w:r>
      <w:r w:rsidR="00211FEC" w:rsidRPr="00ED22D1">
        <w:rPr>
          <w:lang w:val="fr-CA"/>
        </w:rPr>
        <w:t xml:space="preserve">a </w:t>
      </w:r>
      <w:r w:rsidR="00D002F4" w:rsidRPr="00ED22D1">
        <w:rPr>
          <w:lang w:val="fr-CA"/>
        </w:rPr>
        <w:t>confirm</w:t>
      </w:r>
      <w:r w:rsidR="00211FEC" w:rsidRPr="00ED22D1">
        <w:rPr>
          <w:lang w:val="fr-CA"/>
        </w:rPr>
        <w:t>é</w:t>
      </w:r>
      <w:r w:rsidR="00D002F4" w:rsidRPr="00ED22D1">
        <w:rPr>
          <w:lang w:val="fr-CA"/>
        </w:rPr>
        <w:t xml:space="preserve"> </w:t>
      </w:r>
      <w:r w:rsidR="00211FEC" w:rsidRPr="00ED22D1">
        <w:rPr>
          <w:lang w:val="fr-CA"/>
        </w:rPr>
        <w:t xml:space="preserve">que les coûts liés à la </w:t>
      </w:r>
      <w:r w:rsidR="00FB1DC4" w:rsidRPr="00ED22D1">
        <w:rPr>
          <w:lang w:val="fr-CA"/>
        </w:rPr>
        <w:t>reconversion</w:t>
      </w:r>
      <w:r w:rsidR="00D002F4" w:rsidRPr="00ED22D1">
        <w:rPr>
          <w:lang w:val="fr-CA"/>
        </w:rPr>
        <w:t xml:space="preserve"> </w:t>
      </w:r>
      <w:r w:rsidR="00211FEC" w:rsidRPr="00ED22D1">
        <w:rPr>
          <w:lang w:val="fr-CA"/>
        </w:rPr>
        <w:t>au</w:t>
      </w:r>
      <w:r w:rsidR="00260E33">
        <w:rPr>
          <w:lang w:val="fr-CA"/>
        </w:rPr>
        <w:t> </w:t>
      </w:r>
      <w:r w:rsidR="00D002F4" w:rsidRPr="00ED22D1">
        <w:rPr>
          <w:lang w:val="fr-CA"/>
        </w:rPr>
        <w:t>HFC</w:t>
      </w:r>
      <w:r w:rsidR="00D002F4" w:rsidRPr="00ED22D1">
        <w:rPr>
          <w:lang w:val="fr-CA"/>
        </w:rPr>
        <w:noBreakHyphen/>
        <w:t>134a</w:t>
      </w:r>
      <w:r w:rsidR="00DE118B" w:rsidRPr="00ED22D1">
        <w:rPr>
          <w:lang w:val="fr-CA"/>
        </w:rPr>
        <w:t xml:space="preserve"> par </w:t>
      </w:r>
      <w:r w:rsidR="00BB7CCB" w:rsidRPr="00ED22D1">
        <w:rPr>
          <w:lang w:val="fr-CA"/>
        </w:rPr>
        <w:t xml:space="preserve">ces </w:t>
      </w:r>
      <w:r w:rsidR="00921BDE" w:rsidRPr="00ED22D1">
        <w:rPr>
          <w:lang w:val="fr-CA"/>
        </w:rPr>
        <w:t>entreprise</w:t>
      </w:r>
      <w:r w:rsidR="00D002F4" w:rsidRPr="00ED22D1">
        <w:rPr>
          <w:lang w:val="fr-CA"/>
        </w:rPr>
        <w:t xml:space="preserve">s </w:t>
      </w:r>
      <w:r w:rsidR="00211FEC" w:rsidRPr="00ED22D1">
        <w:rPr>
          <w:lang w:val="fr-CA"/>
        </w:rPr>
        <w:t>ne ser</w:t>
      </w:r>
      <w:r w:rsidR="00616B46" w:rsidRPr="00ED22D1">
        <w:rPr>
          <w:lang w:val="fr-CA"/>
        </w:rPr>
        <w:t>ont</w:t>
      </w:r>
      <w:r w:rsidR="00211FEC" w:rsidRPr="00ED22D1">
        <w:rPr>
          <w:lang w:val="fr-CA"/>
        </w:rPr>
        <w:t xml:space="preserve"> pas financé</w:t>
      </w:r>
      <w:r w:rsidR="00616B46" w:rsidRPr="00ED22D1">
        <w:rPr>
          <w:lang w:val="fr-CA"/>
        </w:rPr>
        <w:t>s</w:t>
      </w:r>
      <w:r w:rsidR="00DE118B" w:rsidRPr="00ED22D1">
        <w:rPr>
          <w:lang w:val="fr-CA"/>
        </w:rPr>
        <w:t xml:space="preserve"> par </w:t>
      </w:r>
      <w:r w:rsidR="00211FEC" w:rsidRPr="00ED22D1">
        <w:rPr>
          <w:lang w:val="fr-CA"/>
        </w:rPr>
        <w:t>le Fonds</w:t>
      </w:r>
      <w:r w:rsidR="004B666A" w:rsidRPr="00ED22D1">
        <w:rPr>
          <w:lang w:val="fr-CA"/>
        </w:rPr>
        <w:t xml:space="preserve"> multilatéral</w:t>
      </w:r>
      <w:r w:rsidR="00D002F4" w:rsidRPr="00ED22D1">
        <w:rPr>
          <w:lang w:val="fr-CA"/>
        </w:rPr>
        <w:t xml:space="preserve">. </w:t>
      </w:r>
    </w:p>
    <w:p w:rsidR="00D002F4" w:rsidRPr="00ED22D1" w:rsidRDefault="00DC2912" w:rsidP="00DC2912">
      <w:pPr>
        <w:pStyle w:val="Heading1"/>
        <w:numPr>
          <w:ilvl w:val="0"/>
          <w:numId w:val="0"/>
        </w:numPr>
        <w:rPr>
          <w:lang w:val="fr-CA"/>
        </w:rPr>
      </w:pPr>
      <w:r w:rsidRPr="00ED22D1">
        <w:rPr>
          <w:lang w:val="fr-CA"/>
        </w:rPr>
        <w:t>92.</w:t>
      </w:r>
      <w:r w:rsidRPr="00ED22D1">
        <w:rPr>
          <w:lang w:val="fr-CA"/>
        </w:rPr>
        <w:tab/>
      </w:r>
      <w:r w:rsidR="00E71388" w:rsidRPr="00ED22D1">
        <w:rPr>
          <w:lang w:val="fr-CA"/>
        </w:rPr>
        <w:t>Le Secré</w:t>
      </w:r>
      <w:r w:rsidR="00DD185D" w:rsidRPr="00ED22D1">
        <w:rPr>
          <w:lang w:val="fr-CA"/>
        </w:rPr>
        <w:t>tariat</w:t>
      </w:r>
      <w:r w:rsidR="00D002F4" w:rsidRPr="00ED22D1">
        <w:rPr>
          <w:lang w:val="fr-CA"/>
        </w:rPr>
        <w:t xml:space="preserve"> </w:t>
      </w:r>
      <w:r w:rsidR="00211FEC" w:rsidRPr="00ED22D1">
        <w:rPr>
          <w:lang w:val="fr-CA"/>
        </w:rPr>
        <w:t xml:space="preserve">a souligné que le manque de technologies viables à faible potentiel de réchauffement de la planète pour les petites et moyennes entreprises (SME) </w:t>
      </w:r>
      <w:r w:rsidR="00260E33">
        <w:rPr>
          <w:lang w:val="fr-CA"/>
        </w:rPr>
        <w:t>rend difficile</w:t>
      </w:r>
      <w:r w:rsidR="00211FEC" w:rsidRPr="00ED22D1">
        <w:rPr>
          <w:lang w:val="fr-CA"/>
        </w:rPr>
        <w:t xml:space="preserve"> </w:t>
      </w:r>
      <w:r w:rsidR="00733306" w:rsidRPr="00ED22D1">
        <w:rPr>
          <w:lang w:val="fr-CA"/>
        </w:rPr>
        <w:t>l’élimination</w:t>
      </w:r>
      <w:r w:rsidR="00D002F4" w:rsidRPr="00ED22D1">
        <w:rPr>
          <w:lang w:val="fr-CA"/>
        </w:rPr>
        <w:t xml:space="preserve"> </w:t>
      </w:r>
      <w:r w:rsidR="00DB7C5D" w:rsidRPr="00ED22D1">
        <w:rPr>
          <w:lang w:val="fr-CA"/>
        </w:rPr>
        <w:t>des HCFC</w:t>
      </w:r>
      <w:r w:rsidR="00D002F4" w:rsidRPr="00ED22D1">
        <w:rPr>
          <w:lang w:val="fr-CA"/>
        </w:rPr>
        <w:t xml:space="preserve"> </w:t>
      </w:r>
      <w:r w:rsidR="00211FEC" w:rsidRPr="00ED22D1">
        <w:rPr>
          <w:lang w:val="fr-CA"/>
        </w:rPr>
        <w:t xml:space="preserve">dans le secteur de la </w:t>
      </w:r>
      <w:r w:rsidR="00905638" w:rsidRPr="00ED22D1">
        <w:rPr>
          <w:lang w:val="fr-CA"/>
        </w:rPr>
        <w:t xml:space="preserve">climatisation et de </w:t>
      </w:r>
      <w:r w:rsidR="00211FEC" w:rsidRPr="00ED22D1">
        <w:rPr>
          <w:lang w:val="fr-CA"/>
        </w:rPr>
        <w:t xml:space="preserve">la </w:t>
      </w:r>
      <w:r w:rsidR="00905638" w:rsidRPr="00ED22D1">
        <w:rPr>
          <w:lang w:val="fr-CA"/>
        </w:rPr>
        <w:t>réfrigération industrielle et commerciale</w:t>
      </w:r>
      <w:r w:rsidR="00D002F4" w:rsidRPr="00ED22D1">
        <w:rPr>
          <w:lang w:val="fr-CA"/>
        </w:rPr>
        <w:t xml:space="preserve">. </w:t>
      </w:r>
      <w:r w:rsidR="00211FEC" w:rsidRPr="00ED22D1">
        <w:rPr>
          <w:lang w:val="fr-CA"/>
        </w:rPr>
        <w:t>Tel que l’a</w:t>
      </w:r>
      <w:r w:rsidR="00260E33">
        <w:rPr>
          <w:lang w:val="fr-CA"/>
        </w:rPr>
        <w:t> </w:t>
      </w:r>
      <w:r w:rsidR="00211FEC" w:rsidRPr="00ED22D1">
        <w:rPr>
          <w:lang w:val="fr-CA"/>
        </w:rPr>
        <w:t xml:space="preserve">déclaré </w:t>
      </w:r>
      <w:r w:rsidR="001F19C1" w:rsidRPr="00ED22D1">
        <w:rPr>
          <w:lang w:val="fr-CA"/>
        </w:rPr>
        <w:t>le PNUD</w:t>
      </w:r>
      <w:r w:rsidR="00D002F4" w:rsidRPr="00ED22D1">
        <w:rPr>
          <w:lang w:val="fr-CA"/>
        </w:rPr>
        <w:t xml:space="preserve">, </w:t>
      </w:r>
      <w:r w:rsidR="00211FEC" w:rsidRPr="00ED22D1">
        <w:rPr>
          <w:lang w:val="fr-CA"/>
        </w:rPr>
        <w:t xml:space="preserve">le remplacement d’une tonne métrique de </w:t>
      </w:r>
      <w:r w:rsidR="00DB7C5D" w:rsidRPr="00ED22D1">
        <w:rPr>
          <w:lang w:val="fr-CA"/>
        </w:rPr>
        <w:t>HCFC</w:t>
      </w:r>
      <w:r w:rsidR="00D002F4" w:rsidRPr="00ED22D1">
        <w:rPr>
          <w:lang w:val="fr-CA"/>
        </w:rPr>
        <w:t xml:space="preserve">-22 </w:t>
      </w:r>
      <w:r w:rsidR="00FD51A8" w:rsidRPr="00ED22D1">
        <w:rPr>
          <w:lang w:val="fr-CA"/>
        </w:rPr>
        <w:t xml:space="preserve">permettra de récupérer </w:t>
      </w:r>
      <w:r w:rsidR="004A6828" w:rsidRPr="00ED22D1">
        <w:rPr>
          <w:lang w:val="fr-CA"/>
        </w:rPr>
        <w:t>0,</w:t>
      </w:r>
      <w:r w:rsidR="00D002F4" w:rsidRPr="00ED22D1">
        <w:rPr>
          <w:lang w:val="fr-CA"/>
        </w:rPr>
        <w:t>85</w:t>
      </w:r>
      <w:r w:rsidR="004B666A" w:rsidRPr="00ED22D1">
        <w:rPr>
          <w:lang w:val="fr-CA"/>
        </w:rPr>
        <w:t xml:space="preserve"> tm </w:t>
      </w:r>
      <w:r w:rsidR="00FD51A8" w:rsidRPr="00ED22D1">
        <w:rPr>
          <w:lang w:val="fr-CA"/>
        </w:rPr>
        <w:t xml:space="preserve">de </w:t>
      </w:r>
      <w:r w:rsidR="00D002F4" w:rsidRPr="00ED22D1">
        <w:rPr>
          <w:lang w:val="fr-CA"/>
        </w:rPr>
        <w:t>CO</w:t>
      </w:r>
      <w:r w:rsidR="00D002F4" w:rsidRPr="00ED22D1">
        <w:rPr>
          <w:vertAlign w:val="subscript"/>
          <w:lang w:val="fr-CA"/>
        </w:rPr>
        <w:t>2</w:t>
      </w:r>
      <w:r w:rsidR="004A6828" w:rsidRPr="00ED22D1">
        <w:rPr>
          <w:lang w:val="fr-CA"/>
        </w:rPr>
        <w:t xml:space="preserve"> et 0,</w:t>
      </w:r>
      <w:r w:rsidR="00D002F4" w:rsidRPr="00ED22D1">
        <w:rPr>
          <w:lang w:val="fr-CA"/>
        </w:rPr>
        <w:t>15</w:t>
      </w:r>
      <w:r w:rsidR="004B666A" w:rsidRPr="00ED22D1">
        <w:rPr>
          <w:lang w:val="fr-CA"/>
        </w:rPr>
        <w:t xml:space="preserve"> tm </w:t>
      </w:r>
      <w:r w:rsidR="00FD51A8" w:rsidRPr="00ED22D1">
        <w:rPr>
          <w:lang w:val="fr-CA"/>
        </w:rPr>
        <w:t>de</w:t>
      </w:r>
      <w:r w:rsidR="00D002F4" w:rsidRPr="00ED22D1">
        <w:rPr>
          <w:lang w:val="fr-CA"/>
        </w:rPr>
        <w:t xml:space="preserve"> HFC-134a. </w:t>
      </w:r>
      <w:r w:rsidR="00FD51A8" w:rsidRPr="00ED22D1">
        <w:rPr>
          <w:lang w:val="fr-CA"/>
        </w:rPr>
        <w:t>La reconversion proposée de 10 circuits</w:t>
      </w:r>
      <w:r w:rsidR="00D002F4" w:rsidRPr="00ED22D1">
        <w:rPr>
          <w:lang w:val="fr-CA"/>
        </w:rPr>
        <w:t xml:space="preserve"> </w:t>
      </w:r>
      <w:r w:rsidR="00BD2F3B" w:rsidRPr="00ED22D1">
        <w:rPr>
          <w:lang w:val="fr-CA"/>
        </w:rPr>
        <w:t xml:space="preserve">éliminerait </w:t>
      </w:r>
      <w:r w:rsidR="00D002F4" w:rsidRPr="00ED22D1">
        <w:rPr>
          <w:lang w:val="fr-CA"/>
        </w:rPr>
        <w:t>427</w:t>
      </w:r>
      <w:r w:rsidR="00260E33">
        <w:rPr>
          <w:lang w:val="fr-CA"/>
        </w:rPr>
        <w:t> </w:t>
      </w:r>
      <w:r w:rsidR="004B666A" w:rsidRPr="00ED22D1">
        <w:rPr>
          <w:lang w:val="fr-CA"/>
        </w:rPr>
        <w:t xml:space="preserve">tm </w:t>
      </w:r>
      <w:r w:rsidR="00DB7C5D" w:rsidRPr="00ED22D1">
        <w:rPr>
          <w:lang w:val="fr-CA"/>
        </w:rPr>
        <w:t>de</w:t>
      </w:r>
      <w:r w:rsidR="00260E33">
        <w:rPr>
          <w:lang w:val="fr-CA"/>
        </w:rPr>
        <w:t> </w:t>
      </w:r>
      <w:r w:rsidR="00DB7C5D" w:rsidRPr="00ED22D1">
        <w:rPr>
          <w:lang w:val="fr-CA"/>
        </w:rPr>
        <w:t>HCFC</w:t>
      </w:r>
      <w:r w:rsidR="00260E33">
        <w:rPr>
          <w:lang w:val="fr-CA"/>
        </w:rPr>
        <w:noBreakHyphen/>
      </w:r>
      <w:r w:rsidR="00D002F4" w:rsidRPr="00ED22D1">
        <w:rPr>
          <w:lang w:val="fr-CA"/>
        </w:rPr>
        <w:t>22</w:t>
      </w:r>
      <w:r w:rsidR="004A6828" w:rsidRPr="00ED22D1">
        <w:rPr>
          <w:lang w:val="fr-CA"/>
        </w:rPr>
        <w:t xml:space="preserve"> et </w:t>
      </w:r>
      <w:r w:rsidR="00BD2F3B" w:rsidRPr="00ED22D1">
        <w:rPr>
          <w:lang w:val="fr-CA"/>
        </w:rPr>
        <w:t xml:space="preserve">récupérerait environ </w:t>
      </w:r>
      <w:r w:rsidR="00D002F4" w:rsidRPr="00ED22D1">
        <w:rPr>
          <w:lang w:val="fr-CA"/>
        </w:rPr>
        <w:t>64</w:t>
      </w:r>
      <w:r w:rsidR="004B666A" w:rsidRPr="00ED22D1">
        <w:rPr>
          <w:lang w:val="fr-CA"/>
        </w:rPr>
        <w:t xml:space="preserve"> tm </w:t>
      </w:r>
      <w:r w:rsidR="00BD2F3B" w:rsidRPr="00ED22D1">
        <w:rPr>
          <w:lang w:val="fr-CA"/>
        </w:rPr>
        <w:t>de</w:t>
      </w:r>
      <w:r w:rsidR="00D002F4" w:rsidRPr="00ED22D1">
        <w:rPr>
          <w:lang w:val="fr-CA"/>
        </w:rPr>
        <w:t xml:space="preserve"> HFC</w:t>
      </w:r>
      <w:r w:rsidR="00D002F4" w:rsidRPr="00ED22D1">
        <w:rPr>
          <w:lang w:val="fr-CA"/>
        </w:rPr>
        <w:noBreakHyphen/>
        <w:t xml:space="preserve">134a, </w:t>
      </w:r>
      <w:r w:rsidR="00BD2F3B" w:rsidRPr="00ED22D1">
        <w:rPr>
          <w:lang w:val="fr-CA"/>
        </w:rPr>
        <w:t>soit une réduction nette des émissions de gaz à</w:t>
      </w:r>
      <w:r w:rsidR="00260E33">
        <w:rPr>
          <w:lang w:val="fr-CA"/>
        </w:rPr>
        <w:t> </w:t>
      </w:r>
      <w:r w:rsidR="00BD2F3B" w:rsidRPr="00ED22D1">
        <w:rPr>
          <w:lang w:val="fr-CA"/>
        </w:rPr>
        <w:t>effet de serre</w:t>
      </w:r>
      <w:r w:rsidR="00D002F4" w:rsidRPr="00ED22D1">
        <w:rPr>
          <w:lang w:val="fr-CA"/>
        </w:rPr>
        <w:t xml:space="preserve"> </w:t>
      </w:r>
      <w:r w:rsidR="00BD2F3B" w:rsidRPr="00ED22D1">
        <w:rPr>
          <w:lang w:val="fr-CA"/>
        </w:rPr>
        <w:t>(GES)</w:t>
      </w:r>
      <w:r w:rsidR="009D5338" w:rsidRPr="00ED22D1">
        <w:rPr>
          <w:lang w:val="fr-CA"/>
        </w:rPr>
        <w:t xml:space="preserve"> </w:t>
      </w:r>
      <w:r w:rsidR="00BD2F3B" w:rsidRPr="00ED22D1">
        <w:rPr>
          <w:lang w:val="fr-CA"/>
        </w:rPr>
        <w:t>de</w:t>
      </w:r>
      <w:r w:rsidR="00D002F4" w:rsidRPr="00ED22D1">
        <w:rPr>
          <w:lang w:val="fr-CA"/>
        </w:rPr>
        <w:t xml:space="preserve"> 68</w:t>
      </w:r>
      <w:r w:rsidR="004A6828" w:rsidRPr="00ED22D1">
        <w:rPr>
          <w:lang w:val="fr-CA"/>
        </w:rPr>
        <w:t>0 </w:t>
      </w:r>
      <w:r w:rsidR="00D002F4" w:rsidRPr="00ED22D1">
        <w:rPr>
          <w:lang w:val="fr-CA"/>
        </w:rPr>
        <w:t>916 tCO</w:t>
      </w:r>
      <w:r w:rsidR="00D002F4" w:rsidRPr="00ED22D1">
        <w:rPr>
          <w:vertAlign w:val="subscript"/>
          <w:lang w:val="fr-CA"/>
        </w:rPr>
        <w:t>2</w:t>
      </w:r>
      <w:r w:rsidR="00D002F4" w:rsidRPr="00ED22D1">
        <w:rPr>
          <w:lang w:val="fr-CA"/>
        </w:rPr>
        <w:t xml:space="preserve">eq </w:t>
      </w:r>
      <w:r w:rsidR="00BD2F3B" w:rsidRPr="00ED22D1">
        <w:rPr>
          <w:lang w:val="fr-CA"/>
        </w:rPr>
        <w:t xml:space="preserve">du remplacement du </w:t>
      </w:r>
      <w:r w:rsidR="002F6D48" w:rsidRPr="00ED22D1">
        <w:rPr>
          <w:lang w:val="fr-CA"/>
        </w:rPr>
        <w:t>frigorigène</w:t>
      </w:r>
      <w:r w:rsidR="00D002F4" w:rsidRPr="00ED22D1">
        <w:rPr>
          <w:lang w:val="fr-CA"/>
        </w:rPr>
        <w:t xml:space="preserve"> (88 </w:t>
      </w:r>
      <w:r w:rsidR="001B31BF" w:rsidRPr="00ED22D1">
        <w:rPr>
          <w:lang w:val="fr-CA"/>
        </w:rPr>
        <w:t>pour cent</w:t>
      </w:r>
      <w:r w:rsidR="00D002F4" w:rsidRPr="00ED22D1">
        <w:rPr>
          <w:lang w:val="fr-CA"/>
        </w:rPr>
        <w:t xml:space="preserve"> </w:t>
      </w:r>
      <w:r w:rsidR="00BD2F3B" w:rsidRPr="00ED22D1">
        <w:rPr>
          <w:lang w:val="fr-CA"/>
        </w:rPr>
        <w:t>de la réduction des GES de la valeur de référence</w:t>
      </w:r>
      <w:r w:rsidR="00D002F4" w:rsidRPr="00ED22D1">
        <w:rPr>
          <w:lang w:val="fr-CA"/>
        </w:rPr>
        <w:t xml:space="preserve">). </w:t>
      </w:r>
      <w:r w:rsidR="00C57557" w:rsidRPr="00ED22D1">
        <w:rPr>
          <w:lang w:val="fr-CA"/>
        </w:rPr>
        <w:t>L’</w:t>
      </w:r>
      <w:r w:rsidR="00986C95" w:rsidRPr="00ED22D1">
        <w:rPr>
          <w:lang w:val="fr-CA"/>
        </w:rPr>
        <w:t>efficacité énergétique</w:t>
      </w:r>
      <w:r w:rsidR="00D002F4" w:rsidRPr="00ED22D1">
        <w:rPr>
          <w:lang w:val="fr-CA"/>
        </w:rPr>
        <w:t xml:space="preserve"> </w:t>
      </w:r>
      <w:r w:rsidR="00C57557" w:rsidRPr="00ED22D1">
        <w:rPr>
          <w:lang w:val="fr-CA"/>
        </w:rPr>
        <w:t xml:space="preserve">de la technologie avec </w:t>
      </w:r>
      <w:r w:rsidR="00D002F4" w:rsidRPr="00ED22D1">
        <w:rPr>
          <w:lang w:val="fr-CA"/>
        </w:rPr>
        <w:t>CO</w:t>
      </w:r>
      <w:r w:rsidR="00D002F4" w:rsidRPr="00ED22D1">
        <w:rPr>
          <w:vertAlign w:val="subscript"/>
          <w:lang w:val="fr-CA"/>
        </w:rPr>
        <w:t>2</w:t>
      </w:r>
      <w:r w:rsidR="00D002F4" w:rsidRPr="00ED22D1">
        <w:rPr>
          <w:lang w:val="fr-CA"/>
        </w:rPr>
        <w:t xml:space="preserve">/HFC-134a </w:t>
      </w:r>
      <w:r w:rsidR="00903152" w:rsidRPr="00ED22D1">
        <w:rPr>
          <w:lang w:val="fr-CA"/>
        </w:rPr>
        <w:t xml:space="preserve">est </w:t>
      </w:r>
      <w:r w:rsidR="00C57557" w:rsidRPr="00ED22D1">
        <w:rPr>
          <w:lang w:val="fr-CA"/>
        </w:rPr>
        <w:t xml:space="preserve">de </w:t>
      </w:r>
      <w:r w:rsidR="00D002F4" w:rsidRPr="00ED22D1">
        <w:rPr>
          <w:lang w:val="fr-CA"/>
        </w:rPr>
        <w:t xml:space="preserve">5 </w:t>
      </w:r>
      <w:r w:rsidR="00C57557" w:rsidRPr="00ED22D1">
        <w:rPr>
          <w:lang w:val="fr-CA"/>
        </w:rPr>
        <w:t>à</w:t>
      </w:r>
      <w:r w:rsidR="00D002F4" w:rsidRPr="00ED22D1">
        <w:rPr>
          <w:lang w:val="fr-CA"/>
        </w:rPr>
        <w:t xml:space="preserve"> 10 </w:t>
      </w:r>
      <w:r w:rsidR="001B31BF" w:rsidRPr="00ED22D1">
        <w:rPr>
          <w:lang w:val="fr-CA"/>
        </w:rPr>
        <w:t>pour cent</w:t>
      </w:r>
      <w:r w:rsidR="00D002F4" w:rsidRPr="00ED22D1">
        <w:rPr>
          <w:lang w:val="fr-CA"/>
        </w:rPr>
        <w:t xml:space="preserve"> </w:t>
      </w:r>
      <w:r w:rsidR="00C57557" w:rsidRPr="00ED22D1">
        <w:rPr>
          <w:lang w:val="fr-CA"/>
        </w:rPr>
        <w:t xml:space="preserve">supérieure à celle du système avec </w:t>
      </w:r>
      <w:r w:rsidR="00D002F4" w:rsidRPr="00ED22D1">
        <w:rPr>
          <w:lang w:val="fr-CA"/>
        </w:rPr>
        <w:t xml:space="preserve">HCFC-22, </w:t>
      </w:r>
      <w:r w:rsidR="00C57557" w:rsidRPr="00ED22D1">
        <w:rPr>
          <w:lang w:val="fr-CA"/>
        </w:rPr>
        <w:t>ce qui signifiera une réduction supplémentaire des émissions de gaz à effet de serre</w:t>
      </w:r>
      <w:r w:rsidR="00BD2F3B" w:rsidRPr="00ED22D1">
        <w:rPr>
          <w:lang w:val="fr-CA"/>
        </w:rPr>
        <w:t xml:space="preserve"> </w:t>
      </w:r>
      <w:r w:rsidR="00C57557" w:rsidRPr="00ED22D1">
        <w:rPr>
          <w:lang w:val="fr-CA"/>
        </w:rPr>
        <w:t>(</w:t>
      </w:r>
      <w:r w:rsidR="00BD2F3B" w:rsidRPr="00ED22D1">
        <w:rPr>
          <w:lang w:val="fr-CA"/>
        </w:rPr>
        <w:t>GES</w:t>
      </w:r>
      <w:r w:rsidR="00C57557" w:rsidRPr="00ED22D1">
        <w:rPr>
          <w:lang w:val="fr-CA"/>
        </w:rPr>
        <w:t>)</w:t>
      </w:r>
      <w:r w:rsidR="00D002F4" w:rsidRPr="00ED22D1">
        <w:rPr>
          <w:lang w:val="fr-CA"/>
        </w:rPr>
        <w:t xml:space="preserve">. </w:t>
      </w:r>
      <w:r w:rsidR="00C57557" w:rsidRPr="00ED22D1">
        <w:rPr>
          <w:lang w:val="fr-CA"/>
        </w:rPr>
        <w:t xml:space="preserve">Selon ce qui précède, </w:t>
      </w:r>
      <w:r w:rsidR="001B45EC" w:rsidRPr="00ED22D1">
        <w:rPr>
          <w:lang w:val="fr-CA"/>
        </w:rPr>
        <w:t>le Comité exécutif peut envisager</w:t>
      </w:r>
      <w:r w:rsidR="00D002F4" w:rsidRPr="00ED22D1">
        <w:rPr>
          <w:lang w:val="fr-CA"/>
        </w:rPr>
        <w:t xml:space="preserve"> </w:t>
      </w:r>
      <w:r w:rsidR="00C57557" w:rsidRPr="00ED22D1">
        <w:rPr>
          <w:lang w:val="fr-CA"/>
        </w:rPr>
        <w:t xml:space="preserve">de demander de remplacer la technologie avec </w:t>
      </w:r>
      <w:r w:rsidR="00D002F4" w:rsidRPr="00ED22D1">
        <w:rPr>
          <w:lang w:val="fr-CA"/>
        </w:rPr>
        <w:t>CO</w:t>
      </w:r>
      <w:r w:rsidR="00D002F4" w:rsidRPr="00ED22D1">
        <w:rPr>
          <w:vertAlign w:val="subscript"/>
          <w:lang w:val="fr-CA"/>
        </w:rPr>
        <w:t>2</w:t>
      </w:r>
      <w:r w:rsidR="00D002F4" w:rsidRPr="00ED22D1">
        <w:rPr>
          <w:lang w:val="fr-CA"/>
        </w:rPr>
        <w:t>/NH</w:t>
      </w:r>
      <w:r w:rsidR="00D002F4" w:rsidRPr="00ED22D1">
        <w:rPr>
          <w:vertAlign w:val="subscript"/>
          <w:lang w:val="fr-CA"/>
        </w:rPr>
        <w:t>3</w:t>
      </w:r>
      <w:r w:rsidR="00D002F4" w:rsidRPr="00ED22D1">
        <w:rPr>
          <w:lang w:val="fr-CA"/>
        </w:rPr>
        <w:t xml:space="preserve"> </w:t>
      </w:r>
      <w:r w:rsidR="00C57557" w:rsidRPr="00ED22D1">
        <w:rPr>
          <w:lang w:val="fr-CA"/>
        </w:rPr>
        <w:t>par la technologie</w:t>
      </w:r>
      <w:r w:rsidR="00260E33">
        <w:rPr>
          <w:lang w:val="fr-CA"/>
        </w:rPr>
        <w:t xml:space="preserve"> avec </w:t>
      </w:r>
      <w:r w:rsidR="00D002F4" w:rsidRPr="00ED22D1">
        <w:rPr>
          <w:lang w:val="fr-CA"/>
        </w:rPr>
        <w:t>CO</w:t>
      </w:r>
      <w:r w:rsidR="00D002F4" w:rsidRPr="00ED22D1">
        <w:rPr>
          <w:vertAlign w:val="subscript"/>
          <w:lang w:val="fr-CA"/>
        </w:rPr>
        <w:t>2</w:t>
      </w:r>
      <w:r w:rsidR="00D002F4" w:rsidRPr="00ED22D1">
        <w:rPr>
          <w:lang w:val="fr-CA"/>
        </w:rPr>
        <w:t>/HFC</w:t>
      </w:r>
      <w:r w:rsidR="00260E33">
        <w:rPr>
          <w:lang w:val="fr-CA"/>
        </w:rPr>
        <w:noBreakHyphen/>
      </w:r>
      <w:r w:rsidR="00D002F4" w:rsidRPr="00ED22D1">
        <w:rPr>
          <w:lang w:val="fr-CA"/>
        </w:rPr>
        <w:t xml:space="preserve">134a </w:t>
      </w:r>
      <w:r w:rsidR="00C57557" w:rsidRPr="00ED22D1">
        <w:rPr>
          <w:lang w:val="fr-CA"/>
        </w:rPr>
        <w:t xml:space="preserve">présentée </w:t>
      </w:r>
      <w:r w:rsidR="00DE118B" w:rsidRPr="00ED22D1">
        <w:rPr>
          <w:lang w:val="fr-CA"/>
        </w:rPr>
        <w:t xml:space="preserve">par </w:t>
      </w:r>
      <w:r w:rsidR="001F19C1" w:rsidRPr="00ED22D1">
        <w:rPr>
          <w:lang w:val="fr-CA"/>
        </w:rPr>
        <w:t>le PNUD</w:t>
      </w:r>
      <w:r w:rsidR="00D002F4" w:rsidRPr="00ED22D1">
        <w:rPr>
          <w:lang w:val="fr-CA"/>
        </w:rPr>
        <w:t xml:space="preserve"> </w:t>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D002F4" w:rsidRPr="00ED22D1">
        <w:rPr>
          <w:lang w:val="fr-CA"/>
        </w:rPr>
        <w:t>.</w:t>
      </w:r>
    </w:p>
    <w:p w:rsidR="00D002F4" w:rsidRPr="00ED22D1" w:rsidRDefault="00D002F4" w:rsidP="00D002F4">
      <w:pPr>
        <w:rPr>
          <w:u w:val="single"/>
          <w:lang w:val="fr-CA"/>
        </w:rPr>
      </w:pPr>
      <w:r w:rsidRPr="00ED22D1">
        <w:rPr>
          <w:u w:val="single"/>
          <w:lang w:val="fr-CA"/>
        </w:rPr>
        <w:t>R</w:t>
      </w:r>
      <w:r w:rsidR="00C57557" w:rsidRPr="00ED22D1">
        <w:rPr>
          <w:u w:val="single"/>
          <w:lang w:val="fr-CA"/>
        </w:rPr>
        <w:t xml:space="preserve">apport sur les dépenses du </w:t>
      </w:r>
      <w:r w:rsidRPr="00ED22D1">
        <w:rPr>
          <w:u w:val="single"/>
          <w:lang w:val="fr-CA"/>
        </w:rPr>
        <w:t xml:space="preserve">PMU </w:t>
      </w:r>
    </w:p>
    <w:p w:rsidR="00D002F4" w:rsidRPr="00ED22D1" w:rsidRDefault="00D002F4" w:rsidP="00D002F4">
      <w:pPr>
        <w:rPr>
          <w:u w:val="single"/>
          <w:lang w:val="fr-CA"/>
        </w:rPr>
      </w:pPr>
    </w:p>
    <w:p w:rsidR="00D002F4" w:rsidRPr="00ED22D1" w:rsidRDefault="00DC2912" w:rsidP="00DC2912">
      <w:pPr>
        <w:pStyle w:val="Heading1"/>
        <w:numPr>
          <w:ilvl w:val="0"/>
          <w:numId w:val="0"/>
        </w:numPr>
        <w:spacing w:before="120" w:after="120"/>
        <w:rPr>
          <w:lang w:val="fr-CA"/>
        </w:rPr>
      </w:pPr>
      <w:r w:rsidRPr="00ED22D1">
        <w:rPr>
          <w:lang w:val="fr-CA"/>
        </w:rPr>
        <w:t>93.</w:t>
      </w:r>
      <w:r w:rsidRPr="00ED22D1">
        <w:rPr>
          <w:lang w:val="fr-CA"/>
        </w:rPr>
        <w:tab/>
      </w:r>
      <w:r w:rsidR="007B6A35" w:rsidRPr="00ED22D1">
        <w:rPr>
          <w:lang w:val="fr-CA"/>
        </w:rPr>
        <w:t xml:space="preserve">À </w:t>
      </w:r>
      <w:r w:rsidR="00EC3CCA" w:rsidRPr="00ED22D1">
        <w:rPr>
          <w:lang w:val="fr-CA"/>
        </w:rPr>
        <w:t>une</w:t>
      </w:r>
      <w:r w:rsidR="007B6A35" w:rsidRPr="00ED22D1">
        <w:rPr>
          <w:lang w:val="fr-CA"/>
        </w:rPr>
        <w:t xml:space="preserve"> </w:t>
      </w:r>
      <w:r w:rsidR="00EC3CCA" w:rsidRPr="00ED22D1">
        <w:rPr>
          <w:lang w:val="fr-CA"/>
        </w:rPr>
        <w:t>question</w:t>
      </w:r>
      <w:r w:rsidR="007B6A35" w:rsidRPr="00ED22D1">
        <w:rPr>
          <w:lang w:val="fr-CA"/>
        </w:rPr>
        <w:t xml:space="preserve"> sur les dépenses du </w:t>
      </w:r>
      <w:r w:rsidR="00D002F4" w:rsidRPr="00ED22D1">
        <w:rPr>
          <w:lang w:val="fr-CA"/>
        </w:rPr>
        <w:t xml:space="preserve">PMU </w:t>
      </w:r>
      <w:r w:rsidR="007B6A35" w:rsidRPr="00ED22D1">
        <w:rPr>
          <w:lang w:val="fr-CA"/>
        </w:rPr>
        <w:t xml:space="preserve">en rapport avec la </w:t>
      </w:r>
      <w:r w:rsidR="00AA6E77" w:rsidRPr="00ED22D1">
        <w:rPr>
          <w:lang w:val="fr-CA"/>
        </w:rPr>
        <w:t>décision</w:t>
      </w:r>
      <w:r w:rsidR="00D002F4" w:rsidRPr="00ED22D1">
        <w:rPr>
          <w:lang w:val="fr-CA"/>
        </w:rPr>
        <w:t> 81/46(b)</w:t>
      </w:r>
      <w:r w:rsidR="001F19C1" w:rsidRPr="00ED22D1">
        <w:rPr>
          <w:lang w:val="fr-CA"/>
        </w:rPr>
        <w:t>, le PNUD</w:t>
      </w:r>
      <w:r w:rsidR="00D002F4" w:rsidRPr="00ED22D1">
        <w:rPr>
          <w:lang w:val="fr-CA"/>
        </w:rPr>
        <w:t xml:space="preserve"> </w:t>
      </w:r>
      <w:r w:rsidR="007B6A35" w:rsidRPr="00ED22D1">
        <w:rPr>
          <w:lang w:val="fr-CA"/>
        </w:rPr>
        <w:t xml:space="preserve">a fourni une ventilation estimative </w:t>
      </w:r>
      <w:r w:rsidR="00EC3CCA" w:rsidRPr="00ED22D1">
        <w:rPr>
          <w:lang w:val="fr-CA"/>
        </w:rPr>
        <w:t xml:space="preserve">de ces dépenses </w:t>
      </w:r>
      <w:r w:rsidR="007B6A35" w:rsidRPr="00ED22D1">
        <w:rPr>
          <w:lang w:val="fr-CA"/>
        </w:rPr>
        <w:t>T</w:t>
      </w:r>
      <w:r w:rsidR="00CE7FEC" w:rsidRPr="00ED22D1">
        <w:rPr>
          <w:lang w:val="fr-CA"/>
        </w:rPr>
        <w:t xml:space="preserve">ableau </w:t>
      </w:r>
      <w:r w:rsidR="004A6828" w:rsidRPr="00ED22D1">
        <w:rPr>
          <w:lang w:val="fr-CA"/>
        </w:rPr>
        <w:t>6</w:t>
      </w:r>
      <w:r w:rsidR="00D05BD1" w:rsidRPr="00ED22D1">
        <w:rPr>
          <w:lang w:val="fr-CA"/>
        </w:rPr>
        <w:t>.</w:t>
      </w:r>
    </w:p>
    <w:p w:rsidR="00D002F4" w:rsidRPr="00ED22D1" w:rsidRDefault="00CE7FEC" w:rsidP="00D002F4">
      <w:pPr>
        <w:rPr>
          <w:b/>
          <w:lang w:val="fr-CA"/>
        </w:rPr>
      </w:pPr>
      <w:r w:rsidRPr="00ED22D1">
        <w:rPr>
          <w:b/>
          <w:lang w:val="fr-CA"/>
        </w:rPr>
        <w:t xml:space="preserve">Tableau </w:t>
      </w:r>
      <w:r w:rsidR="004A6828" w:rsidRPr="00ED22D1">
        <w:rPr>
          <w:b/>
          <w:lang w:val="fr-CA"/>
        </w:rPr>
        <w:t>6</w:t>
      </w:r>
      <w:r w:rsidR="00D05BD1" w:rsidRPr="00ED22D1">
        <w:rPr>
          <w:b/>
          <w:lang w:val="fr-CA"/>
        </w:rPr>
        <w:t>.</w:t>
      </w:r>
      <w:r w:rsidR="00D002F4" w:rsidRPr="00ED22D1">
        <w:rPr>
          <w:b/>
          <w:lang w:val="fr-CA"/>
        </w:rPr>
        <w:t xml:space="preserve">  </w:t>
      </w:r>
      <w:r w:rsidR="007B6A35" w:rsidRPr="00ED22D1">
        <w:rPr>
          <w:b/>
          <w:lang w:val="fr-CA"/>
        </w:rPr>
        <w:t xml:space="preserve">Ventilation </w:t>
      </w:r>
      <w:r w:rsidR="00175077" w:rsidRPr="00ED22D1">
        <w:rPr>
          <w:b/>
          <w:lang w:val="fr-CA"/>
        </w:rPr>
        <w:t xml:space="preserve">des dépenses des </w:t>
      </w:r>
      <w:r w:rsidR="00D002F4" w:rsidRPr="00ED22D1">
        <w:rPr>
          <w:b/>
          <w:lang w:val="fr-CA"/>
        </w:rPr>
        <w:t xml:space="preserve">PMU </w:t>
      </w:r>
      <w:r w:rsidR="00175077" w:rsidRPr="00ED22D1">
        <w:rPr>
          <w:b/>
          <w:lang w:val="fr-CA"/>
        </w:rPr>
        <w:t xml:space="preserve">au </w:t>
      </w:r>
      <w:r w:rsidR="00D002F4" w:rsidRPr="00ED22D1">
        <w:rPr>
          <w:b/>
          <w:lang w:val="fr-CA"/>
        </w:rPr>
        <w:t>18</w:t>
      </w:r>
      <w:r w:rsidR="001C69F9" w:rsidRPr="00ED22D1">
        <w:rPr>
          <w:b/>
          <w:lang w:val="fr-CA"/>
        </w:rPr>
        <w:t xml:space="preserve"> mars </w:t>
      </w:r>
      <w:r w:rsidR="00D002F4" w:rsidRPr="00ED22D1">
        <w:rPr>
          <w:b/>
          <w:lang w:val="fr-CA"/>
        </w:rPr>
        <w:t xml:space="preserve">2019 </w:t>
      </w:r>
      <w:r w:rsidR="00874624" w:rsidRPr="00ED22D1">
        <w:rPr>
          <w:b/>
          <w:lang w:val="fr-CA"/>
        </w:rPr>
        <w:t>($US)</w:t>
      </w:r>
    </w:p>
    <w:tbl>
      <w:tblPr>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9"/>
        <w:gridCol w:w="5072"/>
        <w:gridCol w:w="997"/>
        <w:gridCol w:w="939"/>
        <w:gridCol w:w="1046"/>
      </w:tblGrid>
      <w:tr w:rsidR="00175077" w:rsidRPr="00ED22D1" w:rsidTr="000C69FD">
        <w:trPr>
          <w:trHeight w:val="39"/>
          <w:tblHeader/>
          <w:jc w:val="center"/>
        </w:trPr>
        <w:tc>
          <w:tcPr>
            <w:tcW w:w="1349" w:type="dxa"/>
            <w:vAlign w:val="center"/>
          </w:tcPr>
          <w:p w:rsidR="00D002F4" w:rsidRPr="00ED22D1" w:rsidRDefault="007B6A35" w:rsidP="007B6A35">
            <w:pPr>
              <w:tabs>
                <w:tab w:val="left" w:pos="284"/>
              </w:tabs>
              <w:jc w:val="center"/>
              <w:rPr>
                <w:b/>
                <w:kern w:val="36"/>
                <w:sz w:val="20"/>
                <w:szCs w:val="20"/>
                <w:lang w:val="fr-CA"/>
              </w:rPr>
            </w:pPr>
            <w:r w:rsidRPr="00ED22D1">
              <w:rPr>
                <w:b/>
                <w:kern w:val="36"/>
                <w:sz w:val="20"/>
                <w:szCs w:val="20"/>
                <w:lang w:val="fr-CA"/>
              </w:rPr>
              <w:t>Postes</w:t>
            </w:r>
          </w:p>
        </w:tc>
        <w:tc>
          <w:tcPr>
            <w:tcW w:w="5072" w:type="dxa"/>
            <w:tcBorders>
              <w:right w:val="single" w:sz="4" w:space="0" w:color="auto"/>
            </w:tcBorders>
            <w:vAlign w:val="center"/>
          </w:tcPr>
          <w:p w:rsidR="00D002F4" w:rsidRPr="00ED22D1" w:rsidRDefault="00D002F4" w:rsidP="00D87C7D">
            <w:pPr>
              <w:tabs>
                <w:tab w:val="left" w:pos="284"/>
              </w:tabs>
              <w:jc w:val="center"/>
              <w:rPr>
                <w:b/>
                <w:kern w:val="36"/>
                <w:sz w:val="20"/>
                <w:szCs w:val="20"/>
                <w:lang w:val="fr-CA"/>
              </w:rPr>
            </w:pPr>
            <w:r w:rsidRPr="00ED22D1">
              <w:rPr>
                <w:b/>
                <w:kern w:val="36"/>
                <w:sz w:val="20"/>
                <w:szCs w:val="20"/>
                <w:lang w:val="fr-CA"/>
              </w:rPr>
              <w:t>Description</w:t>
            </w:r>
          </w:p>
        </w:tc>
        <w:tc>
          <w:tcPr>
            <w:tcW w:w="997" w:type="dxa"/>
            <w:tcBorders>
              <w:right w:val="single" w:sz="4" w:space="0" w:color="auto"/>
            </w:tcBorders>
          </w:tcPr>
          <w:p w:rsidR="00D002F4" w:rsidRPr="00ED22D1" w:rsidRDefault="007B6A35" w:rsidP="007B6A35">
            <w:pPr>
              <w:tabs>
                <w:tab w:val="left" w:pos="284"/>
              </w:tabs>
              <w:jc w:val="center"/>
              <w:rPr>
                <w:b/>
                <w:kern w:val="36"/>
                <w:sz w:val="20"/>
                <w:szCs w:val="20"/>
                <w:lang w:val="fr-CA"/>
              </w:rPr>
            </w:pPr>
            <w:r w:rsidRPr="00ED22D1">
              <w:rPr>
                <w:b/>
                <w:kern w:val="36"/>
                <w:sz w:val="20"/>
                <w:szCs w:val="20"/>
                <w:lang w:val="fr-CA"/>
              </w:rPr>
              <w:t xml:space="preserve">Tranche </w:t>
            </w:r>
            <w:r w:rsidR="00D002F4" w:rsidRPr="00ED22D1">
              <w:rPr>
                <w:b/>
                <w:kern w:val="36"/>
                <w:sz w:val="20"/>
                <w:szCs w:val="20"/>
                <w:lang w:val="fr-CA"/>
              </w:rPr>
              <w:t xml:space="preserve">2016 </w:t>
            </w:r>
          </w:p>
        </w:tc>
        <w:tc>
          <w:tcPr>
            <w:tcW w:w="939" w:type="dxa"/>
            <w:tcBorders>
              <w:right w:val="single" w:sz="4" w:space="0" w:color="auto"/>
            </w:tcBorders>
          </w:tcPr>
          <w:p w:rsidR="00D002F4" w:rsidRPr="00ED22D1" w:rsidRDefault="007B6A35" w:rsidP="007B6A35">
            <w:pPr>
              <w:tabs>
                <w:tab w:val="left" w:pos="284"/>
              </w:tabs>
              <w:jc w:val="center"/>
              <w:rPr>
                <w:b/>
                <w:kern w:val="36"/>
                <w:sz w:val="20"/>
                <w:szCs w:val="20"/>
                <w:lang w:val="fr-CA"/>
              </w:rPr>
            </w:pPr>
            <w:r w:rsidRPr="00ED22D1">
              <w:rPr>
                <w:b/>
                <w:kern w:val="36"/>
                <w:sz w:val="20"/>
                <w:szCs w:val="20"/>
                <w:lang w:val="fr-CA"/>
              </w:rPr>
              <w:t xml:space="preserve">Tranche </w:t>
            </w:r>
            <w:r w:rsidR="00D002F4" w:rsidRPr="00ED22D1">
              <w:rPr>
                <w:b/>
                <w:kern w:val="36"/>
                <w:sz w:val="20"/>
                <w:szCs w:val="20"/>
                <w:lang w:val="fr-CA"/>
              </w:rPr>
              <w:t xml:space="preserve">2017 </w:t>
            </w:r>
          </w:p>
        </w:tc>
        <w:tc>
          <w:tcPr>
            <w:tcW w:w="1046" w:type="dxa"/>
            <w:tcBorders>
              <w:left w:val="single" w:sz="4" w:space="0" w:color="auto"/>
            </w:tcBorders>
            <w:vAlign w:val="center"/>
          </w:tcPr>
          <w:p w:rsidR="00D002F4" w:rsidRPr="00ED22D1" w:rsidRDefault="00D002F4" w:rsidP="00D87C7D">
            <w:pPr>
              <w:tabs>
                <w:tab w:val="left" w:pos="284"/>
              </w:tabs>
              <w:jc w:val="center"/>
              <w:rPr>
                <w:b/>
                <w:kern w:val="36"/>
                <w:sz w:val="20"/>
                <w:szCs w:val="20"/>
                <w:lang w:val="fr-CA"/>
              </w:rPr>
            </w:pPr>
            <w:r w:rsidRPr="00ED22D1">
              <w:rPr>
                <w:b/>
                <w:kern w:val="36"/>
                <w:sz w:val="20"/>
                <w:szCs w:val="20"/>
                <w:lang w:val="fr-CA"/>
              </w:rPr>
              <w:t>Total</w:t>
            </w:r>
          </w:p>
        </w:tc>
      </w:tr>
      <w:tr w:rsidR="00175077" w:rsidRPr="00ED22D1" w:rsidTr="000C69FD">
        <w:trPr>
          <w:trHeight w:val="39"/>
          <w:jc w:val="center"/>
        </w:trPr>
        <w:tc>
          <w:tcPr>
            <w:tcW w:w="1349" w:type="dxa"/>
            <w:vMerge w:val="restart"/>
            <w:vAlign w:val="center"/>
          </w:tcPr>
          <w:p w:rsidR="00D002F4" w:rsidRPr="00ED22D1" w:rsidRDefault="001B45EC" w:rsidP="00175077">
            <w:pPr>
              <w:tabs>
                <w:tab w:val="left" w:pos="284"/>
              </w:tabs>
              <w:jc w:val="left"/>
              <w:rPr>
                <w:kern w:val="36"/>
                <w:sz w:val="20"/>
                <w:szCs w:val="20"/>
                <w:lang w:val="fr-CA"/>
              </w:rPr>
            </w:pPr>
            <w:r w:rsidRPr="00ED22D1">
              <w:rPr>
                <w:kern w:val="36"/>
                <w:sz w:val="20"/>
                <w:szCs w:val="20"/>
                <w:lang w:val="fr-CA"/>
              </w:rPr>
              <w:t>P</w:t>
            </w:r>
            <w:r w:rsidR="00175077" w:rsidRPr="00ED22D1">
              <w:rPr>
                <w:kern w:val="36"/>
                <w:sz w:val="20"/>
                <w:szCs w:val="20"/>
                <w:lang w:val="fr-CA"/>
              </w:rPr>
              <w:t>ersonnel du projet</w:t>
            </w:r>
          </w:p>
        </w:tc>
        <w:tc>
          <w:tcPr>
            <w:tcW w:w="5072" w:type="dxa"/>
            <w:tcBorders>
              <w:right w:val="single" w:sz="4" w:space="0" w:color="auto"/>
            </w:tcBorders>
          </w:tcPr>
          <w:p w:rsidR="00D002F4" w:rsidRPr="00ED22D1" w:rsidRDefault="00D002F4" w:rsidP="00175077">
            <w:pPr>
              <w:tabs>
                <w:tab w:val="left" w:pos="284"/>
              </w:tabs>
              <w:rPr>
                <w:kern w:val="36"/>
                <w:sz w:val="20"/>
                <w:szCs w:val="20"/>
                <w:lang w:val="fr-CA"/>
              </w:rPr>
            </w:pPr>
            <w:r w:rsidRPr="00ED22D1">
              <w:rPr>
                <w:kern w:val="36"/>
                <w:sz w:val="20"/>
                <w:szCs w:val="20"/>
                <w:lang w:val="fr-CA"/>
              </w:rPr>
              <w:t>P</w:t>
            </w:r>
            <w:r w:rsidR="00175077" w:rsidRPr="00ED22D1">
              <w:rPr>
                <w:kern w:val="36"/>
                <w:sz w:val="20"/>
                <w:szCs w:val="20"/>
                <w:lang w:val="fr-CA"/>
              </w:rPr>
              <w:t>ersonnel de gestion du p</w:t>
            </w:r>
            <w:r w:rsidRPr="00ED22D1">
              <w:rPr>
                <w:kern w:val="36"/>
                <w:sz w:val="20"/>
                <w:szCs w:val="20"/>
                <w:lang w:val="fr-CA"/>
              </w:rPr>
              <w:t>rogramme</w:t>
            </w:r>
          </w:p>
        </w:tc>
        <w:tc>
          <w:tcPr>
            <w:tcW w:w="997"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20</w:t>
            </w:r>
            <w:r w:rsidR="004A6828" w:rsidRPr="00ED22D1">
              <w:rPr>
                <w:sz w:val="20"/>
                <w:szCs w:val="20"/>
                <w:lang w:val="fr-CA"/>
              </w:rPr>
              <w:t>8 </w:t>
            </w:r>
            <w:r w:rsidRPr="00ED22D1">
              <w:rPr>
                <w:sz w:val="20"/>
                <w:szCs w:val="20"/>
                <w:lang w:val="fr-CA"/>
              </w:rPr>
              <w:t xml:space="preserve">578 </w:t>
            </w:r>
          </w:p>
        </w:tc>
        <w:tc>
          <w:tcPr>
            <w:tcW w:w="939"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24</w:t>
            </w:r>
            <w:r w:rsidR="004A6828" w:rsidRPr="00ED22D1">
              <w:rPr>
                <w:sz w:val="20"/>
                <w:szCs w:val="20"/>
                <w:lang w:val="fr-CA"/>
              </w:rPr>
              <w:t>9 </w:t>
            </w:r>
            <w:r w:rsidRPr="00ED22D1">
              <w:rPr>
                <w:sz w:val="20"/>
                <w:szCs w:val="20"/>
                <w:lang w:val="fr-CA"/>
              </w:rPr>
              <w:t xml:space="preserve">631 </w:t>
            </w:r>
          </w:p>
        </w:tc>
        <w:tc>
          <w:tcPr>
            <w:tcW w:w="1046" w:type="dxa"/>
            <w:tcBorders>
              <w:lef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45</w:t>
            </w:r>
            <w:r w:rsidR="004A6828" w:rsidRPr="00ED22D1">
              <w:rPr>
                <w:sz w:val="20"/>
                <w:szCs w:val="20"/>
                <w:lang w:val="fr-CA"/>
              </w:rPr>
              <w:t>8 </w:t>
            </w:r>
            <w:r w:rsidRPr="00ED22D1">
              <w:rPr>
                <w:sz w:val="20"/>
                <w:szCs w:val="20"/>
                <w:lang w:val="fr-CA"/>
              </w:rPr>
              <w:t xml:space="preserve">209 </w:t>
            </w:r>
          </w:p>
        </w:tc>
      </w:tr>
      <w:tr w:rsidR="00175077" w:rsidRPr="00ED22D1" w:rsidTr="000C69FD">
        <w:trPr>
          <w:trHeight w:val="98"/>
          <w:jc w:val="center"/>
        </w:trPr>
        <w:tc>
          <w:tcPr>
            <w:tcW w:w="1349" w:type="dxa"/>
            <w:vMerge/>
            <w:vAlign w:val="center"/>
          </w:tcPr>
          <w:p w:rsidR="00D002F4" w:rsidRPr="00ED22D1" w:rsidRDefault="00D002F4" w:rsidP="00D87C7D">
            <w:pPr>
              <w:tabs>
                <w:tab w:val="left" w:pos="284"/>
              </w:tabs>
              <w:jc w:val="left"/>
              <w:rPr>
                <w:kern w:val="36"/>
                <w:sz w:val="20"/>
                <w:szCs w:val="20"/>
                <w:lang w:val="fr-CA"/>
              </w:rPr>
            </w:pPr>
          </w:p>
        </w:tc>
        <w:tc>
          <w:tcPr>
            <w:tcW w:w="5072" w:type="dxa"/>
            <w:tcBorders>
              <w:right w:val="single" w:sz="4" w:space="0" w:color="auto"/>
            </w:tcBorders>
          </w:tcPr>
          <w:p w:rsidR="00D002F4" w:rsidRPr="00ED22D1" w:rsidRDefault="00175077" w:rsidP="007B6A35">
            <w:pPr>
              <w:tabs>
                <w:tab w:val="left" w:pos="284"/>
              </w:tabs>
              <w:jc w:val="left"/>
              <w:rPr>
                <w:kern w:val="36"/>
                <w:sz w:val="20"/>
                <w:szCs w:val="20"/>
                <w:lang w:val="fr-CA"/>
              </w:rPr>
            </w:pPr>
            <w:r w:rsidRPr="00ED22D1">
              <w:rPr>
                <w:kern w:val="36"/>
                <w:sz w:val="20"/>
                <w:szCs w:val="20"/>
                <w:lang w:val="fr-CA"/>
              </w:rPr>
              <w:t>Autre personnel de soutien (finances, achats, soutien en droit)</w:t>
            </w:r>
          </w:p>
        </w:tc>
        <w:tc>
          <w:tcPr>
            <w:tcW w:w="997"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13</w:t>
            </w:r>
            <w:r w:rsidR="004A6828" w:rsidRPr="00ED22D1">
              <w:rPr>
                <w:sz w:val="20"/>
                <w:szCs w:val="20"/>
                <w:lang w:val="fr-CA"/>
              </w:rPr>
              <w:t>9 </w:t>
            </w:r>
            <w:r w:rsidRPr="00ED22D1">
              <w:rPr>
                <w:sz w:val="20"/>
                <w:szCs w:val="20"/>
                <w:lang w:val="fr-CA"/>
              </w:rPr>
              <w:t xml:space="preserve">053 </w:t>
            </w:r>
          </w:p>
        </w:tc>
        <w:tc>
          <w:tcPr>
            <w:tcW w:w="939"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16</w:t>
            </w:r>
            <w:r w:rsidR="004A6828" w:rsidRPr="00ED22D1">
              <w:rPr>
                <w:sz w:val="20"/>
                <w:szCs w:val="20"/>
                <w:lang w:val="fr-CA"/>
              </w:rPr>
              <w:t>6 </w:t>
            </w:r>
            <w:r w:rsidRPr="00ED22D1">
              <w:rPr>
                <w:sz w:val="20"/>
                <w:szCs w:val="20"/>
                <w:lang w:val="fr-CA"/>
              </w:rPr>
              <w:t xml:space="preserve">422 </w:t>
            </w:r>
          </w:p>
        </w:tc>
        <w:tc>
          <w:tcPr>
            <w:tcW w:w="1046" w:type="dxa"/>
            <w:tcBorders>
              <w:lef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30</w:t>
            </w:r>
            <w:r w:rsidR="004A6828" w:rsidRPr="00ED22D1">
              <w:rPr>
                <w:sz w:val="20"/>
                <w:szCs w:val="20"/>
                <w:lang w:val="fr-CA"/>
              </w:rPr>
              <w:t>5 </w:t>
            </w:r>
            <w:r w:rsidRPr="00ED22D1">
              <w:rPr>
                <w:sz w:val="20"/>
                <w:szCs w:val="20"/>
                <w:lang w:val="fr-CA"/>
              </w:rPr>
              <w:t xml:space="preserve">475 </w:t>
            </w:r>
          </w:p>
        </w:tc>
      </w:tr>
      <w:tr w:rsidR="00175077" w:rsidRPr="00ED22D1" w:rsidTr="000C69FD">
        <w:trPr>
          <w:jc w:val="center"/>
        </w:trPr>
        <w:tc>
          <w:tcPr>
            <w:tcW w:w="1349" w:type="dxa"/>
            <w:vAlign w:val="center"/>
          </w:tcPr>
          <w:p w:rsidR="00D002F4" w:rsidRPr="00ED22D1" w:rsidRDefault="00181884" w:rsidP="00175077">
            <w:pPr>
              <w:tabs>
                <w:tab w:val="left" w:pos="284"/>
              </w:tabs>
              <w:jc w:val="left"/>
              <w:rPr>
                <w:kern w:val="36"/>
                <w:sz w:val="20"/>
                <w:szCs w:val="20"/>
                <w:lang w:val="fr-CA"/>
              </w:rPr>
            </w:pPr>
            <w:r w:rsidRPr="00ED22D1">
              <w:rPr>
                <w:kern w:val="36"/>
                <w:sz w:val="20"/>
                <w:szCs w:val="20"/>
                <w:lang w:val="fr-CA"/>
              </w:rPr>
              <w:t>Agence</w:t>
            </w:r>
            <w:r w:rsidR="00D002F4" w:rsidRPr="00ED22D1">
              <w:rPr>
                <w:kern w:val="36"/>
                <w:sz w:val="20"/>
                <w:szCs w:val="20"/>
                <w:lang w:val="fr-CA"/>
              </w:rPr>
              <w:t xml:space="preserve"> </w:t>
            </w:r>
            <w:r w:rsidR="00175077" w:rsidRPr="00ED22D1">
              <w:rPr>
                <w:kern w:val="36"/>
                <w:sz w:val="20"/>
                <w:szCs w:val="20"/>
                <w:lang w:val="fr-CA"/>
              </w:rPr>
              <w:t>d’exploitation</w:t>
            </w:r>
          </w:p>
        </w:tc>
        <w:tc>
          <w:tcPr>
            <w:tcW w:w="5072" w:type="dxa"/>
            <w:tcBorders>
              <w:right w:val="single" w:sz="4" w:space="0" w:color="auto"/>
            </w:tcBorders>
          </w:tcPr>
          <w:p w:rsidR="00D002F4" w:rsidRPr="00ED22D1" w:rsidRDefault="00335D11" w:rsidP="007B6A35">
            <w:pPr>
              <w:tabs>
                <w:tab w:val="left" w:pos="284"/>
              </w:tabs>
              <w:rPr>
                <w:kern w:val="36"/>
                <w:sz w:val="20"/>
                <w:szCs w:val="20"/>
                <w:lang w:val="fr-CA"/>
              </w:rPr>
            </w:pPr>
            <w:r w:rsidRPr="00ED22D1">
              <w:rPr>
                <w:kern w:val="36"/>
                <w:sz w:val="20"/>
                <w:szCs w:val="20"/>
                <w:lang w:val="fr-CA"/>
              </w:rPr>
              <w:t>Dépenses d’exploitation quotidiennes (voyages au pays</w:t>
            </w:r>
            <w:r w:rsidR="007B6A35" w:rsidRPr="00ED22D1">
              <w:rPr>
                <w:kern w:val="36"/>
                <w:sz w:val="20"/>
                <w:szCs w:val="20"/>
                <w:lang w:val="fr-CA"/>
              </w:rPr>
              <w:t>,</w:t>
            </w:r>
            <w:r w:rsidRPr="00ED22D1">
              <w:rPr>
                <w:kern w:val="36"/>
                <w:sz w:val="20"/>
                <w:szCs w:val="20"/>
                <w:lang w:val="fr-CA"/>
              </w:rPr>
              <w:t xml:space="preserve"> </w:t>
            </w:r>
            <w:r w:rsidR="00DD185D" w:rsidRPr="00ED22D1">
              <w:rPr>
                <w:kern w:val="36"/>
                <w:sz w:val="20"/>
                <w:szCs w:val="20"/>
                <w:lang w:val="fr-CA"/>
              </w:rPr>
              <w:t>réunion</w:t>
            </w:r>
            <w:r w:rsidRPr="00ED22D1">
              <w:rPr>
                <w:kern w:val="36"/>
                <w:sz w:val="20"/>
                <w:szCs w:val="20"/>
                <w:lang w:val="fr-CA"/>
              </w:rPr>
              <w:t>s</w:t>
            </w:r>
            <w:r w:rsidR="00D002F4" w:rsidRPr="00ED22D1">
              <w:rPr>
                <w:kern w:val="36"/>
                <w:sz w:val="20"/>
                <w:szCs w:val="20"/>
                <w:lang w:val="fr-CA"/>
              </w:rPr>
              <w:t xml:space="preserve">, </w:t>
            </w:r>
            <w:r w:rsidRPr="00ED22D1">
              <w:rPr>
                <w:kern w:val="36"/>
                <w:sz w:val="20"/>
                <w:szCs w:val="20"/>
                <w:lang w:val="fr-CA"/>
              </w:rPr>
              <w:t>installations de bureaux</w:t>
            </w:r>
            <w:r w:rsidR="004A6828" w:rsidRPr="00ED22D1">
              <w:rPr>
                <w:kern w:val="36"/>
                <w:sz w:val="20"/>
                <w:szCs w:val="20"/>
                <w:lang w:val="fr-CA"/>
              </w:rPr>
              <w:t xml:space="preserve"> et </w:t>
            </w:r>
            <w:r w:rsidR="00921BDE" w:rsidRPr="00ED22D1">
              <w:rPr>
                <w:kern w:val="36"/>
                <w:sz w:val="20"/>
                <w:szCs w:val="20"/>
                <w:lang w:val="fr-CA"/>
              </w:rPr>
              <w:t>équipements</w:t>
            </w:r>
          </w:p>
        </w:tc>
        <w:tc>
          <w:tcPr>
            <w:tcW w:w="997"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17</w:t>
            </w:r>
            <w:r w:rsidR="004A6828" w:rsidRPr="00ED22D1">
              <w:rPr>
                <w:sz w:val="20"/>
                <w:szCs w:val="20"/>
                <w:lang w:val="fr-CA"/>
              </w:rPr>
              <w:t>5 </w:t>
            </w:r>
            <w:r w:rsidRPr="00ED22D1">
              <w:rPr>
                <w:sz w:val="20"/>
                <w:szCs w:val="20"/>
                <w:lang w:val="fr-CA"/>
              </w:rPr>
              <w:t xml:space="preserve">442 </w:t>
            </w:r>
          </w:p>
        </w:tc>
        <w:tc>
          <w:tcPr>
            <w:tcW w:w="939"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20</w:t>
            </w:r>
            <w:r w:rsidR="004A6828" w:rsidRPr="00ED22D1">
              <w:rPr>
                <w:sz w:val="20"/>
                <w:szCs w:val="20"/>
                <w:lang w:val="fr-CA"/>
              </w:rPr>
              <w:t>9 </w:t>
            </w:r>
            <w:r w:rsidRPr="00ED22D1">
              <w:rPr>
                <w:sz w:val="20"/>
                <w:szCs w:val="20"/>
                <w:lang w:val="fr-CA"/>
              </w:rPr>
              <w:t xml:space="preserve">972 </w:t>
            </w:r>
          </w:p>
        </w:tc>
        <w:tc>
          <w:tcPr>
            <w:tcW w:w="1046" w:type="dxa"/>
            <w:tcBorders>
              <w:lef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38</w:t>
            </w:r>
            <w:r w:rsidR="004A6828" w:rsidRPr="00ED22D1">
              <w:rPr>
                <w:sz w:val="20"/>
                <w:szCs w:val="20"/>
                <w:lang w:val="fr-CA"/>
              </w:rPr>
              <w:t>5 </w:t>
            </w:r>
            <w:r w:rsidRPr="00ED22D1">
              <w:rPr>
                <w:sz w:val="20"/>
                <w:szCs w:val="20"/>
                <w:lang w:val="fr-CA"/>
              </w:rPr>
              <w:t xml:space="preserve">414 </w:t>
            </w:r>
          </w:p>
        </w:tc>
      </w:tr>
      <w:tr w:rsidR="00175077" w:rsidRPr="00ED22D1" w:rsidTr="000C69FD">
        <w:trPr>
          <w:jc w:val="center"/>
        </w:trPr>
        <w:tc>
          <w:tcPr>
            <w:tcW w:w="1349" w:type="dxa"/>
            <w:vAlign w:val="center"/>
          </w:tcPr>
          <w:p w:rsidR="00D002F4" w:rsidRPr="00ED22D1" w:rsidRDefault="00175077" w:rsidP="00175077">
            <w:pPr>
              <w:tabs>
                <w:tab w:val="left" w:pos="284"/>
              </w:tabs>
              <w:jc w:val="left"/>
              <w:rPr>
                <w:kern w:val="36"/>
                <w:sz w:val="20"/>
                <w:szCs w:val="20"/>
                <w:lang w:val="fr-CA"/>
              </w:rPr>
            </w:pPr>
            <w:r w:rsidRPr="00ED22D1">
              <w:rPr>
                <w:kern w:val="36"/>
                <w:sz w:val="20"/>
                <w:szCs w:val="20"/>
                <w:lang w:val="fr-CA"/>
              </w:rPr>
              <w:t>Services de consultation</w:t>
            </w:r>
          </w:p>
        </w:tc>
        <w:tc>
          <w:tcPr>
            <w:tcW w:w="5072" w:type="dxa"/>
            <w:tcBorders>
              <w:right w:val="single" w:sz="4" w:space="0" w:color="auto"/>
            </w:tcBorders>
          </w:tcPr>
          <w:p w:rsidR="00D002F4" w:rsidRPr="00ED22D1" w:rsidRDefault="00335D11" w:rsidP="007B6A35">
            <w:pPr>
              <w:tabs>
                <w:tab w:val="left" w:pos="284"/>
              </w:tabs>
              <w:rPr>
                <w:kern w:val="36"/>
                <w:sz w:val="20"/>
                <w:szCs w:val="20"/>
                <w:lang w:val="fr-CA"/>
              </w:rPr>
            </w:pPr>
            <w:r w:rsidRPr="00ED22D1">
              <w:rPr>
                <w:kern w:val="36"/>
                <w:sz w:val="20"/>
                <w:szCs w:val="20"/>
                <w:lang w:val="fr-CA"/>
              </w:rPr>
              <w:t>Consultations d’institutions et de spécialistes embauchés pour l’évaluation des projets, vérification financière et technique, examen technique, évaluation des appels d’offres, soutien technique</w:t>
            </w:r>
            <w:r w:rsidR="00D002F4" w:rsidRPr="00ED22D1">
              <w:rPr>
                <w:kern w:val="36"/>
                <w:sz w:val="20"/>
                <w:szCs w:val="20"/>
                <w:lang w:val="fr-CA"/>
              </w:rPr>
              <w:t xml:space="preserve">, etc. </w:t>
            </w:r>
            <w:r w:rsidRPr="00ED22D1">
              <w:rPr>
                <w:kern w:val="36"/>
                <w:sz w:val="20"/>
                <w:szCs w:val="20"/>
                <w:lang w:val="fr-CA"/>
              </w:rPr>
              <w:t xml:space="preserve">Personnel à contrat pour </w:t>
            </w:r>
            <w:r w:rsidR="007B6A35" w:rsidRPr="00ED22D1">
              <w:rPr>
                <w:kern w:val="36"/>
                <w:sz w:val="20"/>
                <w:szCs w:val="20"/>
                <w:lang w:val="fr-CA"/>
              </w:rPr>
              <w:t>assistance lors de</w:t>
            </w:r>
            <w:r w:rsidRPr="00ED22D1">
              <w:rPr>
                <w:kern w:val="36"/>
                <w:sz w:val="20"/>
                <w:szCs w:val="20"/>
                <w:lang w:val="fr-CA"/>
              </w:rPr>
              <w:t xml:space="preserve"> charges de travail élevées ou d’événements spéciaux, comme des réunions</w:t>
            </w:r>
            <w:r w:rsidR="007B6A35" w:rsidRPr="00ED22D1">
              <w:rPr>
                <w:kern w:val="36"/>
                <w:sz w:val="20"/>
                <w:szCs w:val="20"/>
                <w:lang w:val="fr-CA"/>
              </w:rPr>
              <w:t xml:space="preserve"> et</w:t>
            </w:r>
            <w:r w:rsidRPr="00ED22D1">
              <w:rPr>
                <w:kern w:val="36"/>
                <w:sz w:val="20"/>
                <w:szCs w:val="20"/>
                <w:lang w:val="fr-CA"/>
              </w:rPr>
              <w:t xml:space="preserve"> des ateliers, et coûts de traduction</w:t>
            </w:r>
            <w:r w:rsidR="00D002F4" w:rsidRPr="00ED22D1">
              <w:rPr>
                <w:kern w:val="36"/>
                <w:sz w:val="20"/>
                <w:szCs w:val="20"/>
                <w:lang w:val="fr-CA"/>
              </w:rPr>
              <w:t>.</w:t>
            </w:r>
            <w:r w:rsidRPr="00ED22D1">
              <w:rPr>
                <w:kern w:val="36"/>
                <w:sz w:val="20"/>
                <w:szCs w:val="20"/>
                <w:lang w:val="fr-CA"/>
              </w:rPr>
              <w:t xml:space="preserve">  </w:t>
            </w:r>
          </w:p>
        </w:tc>
        <w:tc>
          <w:tcPr>
            <w:tcW w:w="997"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17</w:t>
            </w:r>
            <w:r w:rsidR="004A6828" w:rsidRPr="00ED22D1">
              <w:rPr>
                <w:sz w:val="20"/>
                <w:szCs w:val="20"/>
                <w:lang w:val="fr-CA"/>
              </w:rPr>
              <w:t>3 </w:t>
            </w:r>
            <w:r w:rsidRPr="00ED22D1">
              <w:rPr>
                <w:sz w:val="20"/>
                <w:szCs w:val="20"/>
                <w:lang w:val="fr-CA"/>
              </w:rPr>
              <w:t xml:space="preserve">492 </w:t>
            </w:r>
          </w:p>
        </w:tc>
        <w:tc>
          <w:tcPr>
            <w:tcW w:w="939" w:type="dxa"/>
            <w:tcBorders>
              <w:righ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20</w:t>
            </w:r>
            <w:r w:rsidR="004A6828" w:rsidRPr="00ED22D1">
              <w:rPr>
                <w:sz w:val="20"/>
                <w:szCs w:val="20"/>
                <w:lang w:val="fr-CA"/>
              </w:rPr>
              <w:t>7 </w:t>
            </w:r>
            <w:r w:rsidRPr="00ED22D1">
              <w:rPr>
                <w:sz w:val="20"/>
                <w:szCs w:val="20"/>
                <w:lang w:val="fr-CA"/>
              </w:rPr>
              <w:t xml:space="preserve">638 </w:t>
            </w:r>
          </w:p>
        </w:tc>
        <w:tc>
          <w:tcPr>
            <w:tcW w:w="1046" w:type="dxa"/>
            <w:tcBorders>
              <w:left w:val="single" w:sz="4" w:space="0" w:color="auto"/>
            </w:tcBorders>
            <w:shd w:val="clear" w:color="auto" w:fill="auto"/>
          </w:tcPr>
          <w:p w:rsidR="00D002F4" w:rsidRPr="00ED22D1" w:rsidRDefault="00D002F4" w:rsidP="00D87C7D">
            <w:pPr>
              <w:tabs>
                <w:tab w:val="left" w:pos="284"/>
              </w:tabs>
              <w:jc w:val="right"/>
              <w:rPr>
                <w:kern w:val="36"/>
                <w:sz w:val="20"/>
                <w:szCs w:val="20"/>
                <w:lang w:val="fr-CA"/>
              </w:rPr>
            </w:pPr>
            <w:r w:rsidRPr="00ED22D1">
              <w:rPr>
                <w:sz w:val="20"/>
                <w:szCs w:val="20"/>
                <w:lang w:val="fr-CA"/>
              </w:rPr>
              <w:t>38</w:t>
            </w:r>
            <w:r w:rsidR="004A6828" w:rsidRPr="00ED22D1">
              <w:rPr>
                <w:sz w:val="20"/>
                <w:szCs w:val="20"/>
                <w:lang w:val="fr-CA"/>
              </w:rPr>
              <w:t>1 </w:t>
            </w:r>
            <w:r w:rsidRPr="00ED22D1">
              <w:rPr>
                <w:sz w:val="20"/>
                <w:szCs w:val="20"/>
                <w:lang w:val="fr-CA"/>
              </w:rPr>
              <w:t xml:space="preserve">130 </w:t>
            </w:r>
          </w:p>
        </w:tc>
      </w:tr>
      <w:tr w:rsidR="00175077" w:rsidRPr="00ED22D1" w:rsidTr="000C69FD">
        <w:trPr>
          <w:jc w:val="center"/>
        </w:trPr>
        <w:tc>
          <w:tcPr>
            <w:tcW w:w="6421" w:type="dxa"/>
            <w:gridSpan w:val="2"/>
            <w:tcBorders>
              <w:right w:val="single" w:sz="4" w:space="0" w:color="auto"/>
            </w:tcBorders>
            <w:vAlign w:val="center"/>
          </w:tcPr>
          <w:p w:rsidR="00D002F4" w:rsidRPr="00ED22D1" w:rsidRDefault="00D002F4" w:rsidP="00D87C7D">
            <w:pPr>
              <w:tabs>
                <w:tab w:val="left" w:pos="284"/>
              </w:tabs>
              <w:rPr>
                <w:kern w:val="36"/>
                <w:sz w:val="20"/>
                <w:szCs w:val="20"/>
                <w:lang w:val="fr-CA"/>
              </w:rPr>
            </w:pPr>
            <w:r w:rsidRPr="00ED22D1">
              <w:rPr>
                <w:b/>
                <w:kern w:val="36"/>
                <w:sz w:val="20"/>
                <w:szCs w:val="20"/>
                <w:lang w:val="fr-CA"/>
              </w:rPr>
              <w:t xml:space="preserve">Total </w:t>
            </w:r>
            <w:r w:rsidR="00175077" w:rsidRPr="00ED22D1">
              <w:rPr>
                <w:b/>
                <w:kern w:val="36"/>
                <w:sz w:val="20"/>
                <w:szCs w:val="20"/>
                <w:lang w:val="fr-CA"/>
              </w:rPr>
              <w:t>des</w:t>
            </w:r>
            <w:r w:rsidR="00335D11" w:rsidRPr="00ED22D1">
              <w:rPr>
                <w:b/>
                <w:kern w:val="36"/>
                <w:sz w:val="20"/>
                <w:szCs w:val="20"/>
                <w:lang w:val="fr-CA"/>
              </w:rPr>
              <w:t xml:space="preserve"> dépenses des</w:t>
            </w:r>
            <w:r w:rsidR="00175077" w:rsidRPr="00ED22D1">
              <w:rPr>
                <w:b/>
                <w:kern w:val="36"/>
                <w:sz w:val="20"/>
                <w:szCs w:val="20"/>
                <w:lang w:val="fr-CA"/>
              </w:rPr>
              <w:t xml:space="preserve"> </w:t>
            </w:r>
            <w:r w:rsidRPr="00ED22D1">
              <w:rPr>
                <w:b/>
                <w:kern w:val="36"/>
                <w:sz w:val="20"/>
                <w:szCs w:val="20"/>
                <w:lang w:val="fr-CA"/>
              </w:rPr>
              <w:t>PMU</w:t>
            </w:r>
          </w:p>
        </w:tc>
        <w:tc>
          <w:tcPr>
            <w:tcW w:w="997" w:type="dxa"/>
            <w:tcBorders>
              <w:right w:val="single" w:sz="4" w:space="0" w:color="auto"/>
            </w:tcBorders>
            <w:shd w:val="clear" w:color="auto" w:fill="auto"/>
          </w:tcPr>
          <w:p w:rsidR="00D002F4" w:rsidRPr="00ED22D1" w:rsidRDefault="00D002F4" w:rsidP="00D87C7D">
            <w:pPr>
              <w:tabs>
                <w:tab w:val="left" w:pos="284"/>
              </w:tabs>
              <w:jc w:val="right"/>
              <w:rPr>
                <w:sz w:val="20"/>
                <w:szCs w:val="20"/>
                <w:lang w:val="fr-CA"/>
              </w:rPr>
            </w:pPr>
            <w:r w:rsidRPr="00ED22D1">
              <w:rPr>
                <w:b/>
                <w:kern w:val="36"/>
                <w:sz w:val="20"/>
                <w:szCs w:val="20"/>
                <w:lang w:val="fr-CA"/>
              </w:rPr>
              <w:t>69</w:t>
            </w:r>
            <w:r w:rsidR="004A6828" w:rsidRPr="00ED22D1">
              <w:rPr>
                <w:b/>
                <w:kern w:val="36"/>
                <w:sz w:val="20"/>
                <w:szCs w:val="20"/>
                <w:lang w:val="fr-CA"/>
              </w:rPr>
              <w:t>6 </w:t>
            </w:r>
            <w:r w:rsidRPr="00ED22D1">
              <w:rPr>
                <w:b/>
                <w:kern w:val="36"/>
                <w:sz w:val="20"/>
                <w:szCs w:val="20"/>
                <w:lang w:val="fr-CA"/>
              </w:rPr>
              <w:t>565</w:t>
            </w:r>
          </w:p>
        </w:tc>
        <w:tc>
          <w:tcPr>
            <w:tcW w:w="939" w:type="dxa"/>
            <w:tcBorders>
              <w:right w:val="single" w:sz="4" w:space="0" w:color="auto"/>
            </w:tcBorders>
            <w:shd w:val="clear" w:color="auto" w:fill="auto"/>
          </w:tcPr>
          <w:p w:rsidR="00D002F4" w:rsidRPr="00ED22D1" w:rsidRDefault="00D002F4" w:rsidP="00D87C7D">
            <w:pPr>
              <w:tabs>
                <w:tab w:val="left" w:pos="284"/>
              </w:tabs>
              <w:jc w:val="right"/>
              <w:rPr>
                <w:sz w:val="20"/>
                <w:szCs w:val="20"/>
                <w:lang w:val="fr-CA"/>
              </w:rPr>
            </w:pPr>
            <w:r w:rsidRPr="00ED22D1">
              <w:rPr>
                <w:b/>
                <w:kern w:val="36"/>
                <w:sz w:val="20"/>
                <w:szCs w:val="20"/>
                <w:lang w:val="fr-CA"/>
              </w:rPr>
              <w:t>83</w:t>
            </w:r>
            <w:r w:rsidR="004A6828" w:rsidRPr="00ED22D1">
              <w:rPr>
                <w:b/>
                <w:kern w:val="36"/>
                <w:sz w:val="20"/>
                <w:szCs w:val="20"/>
                <w:lang w:val="fr-CA"/>
              </w:rPr>
              <w:t>3 </w:t>
            </w:r>
            <w:r w:rsidRPr="00ED22D1">
              <w:rPr>
                <w:b/>
                <w:kern w:val="36"/>
                <w:sz w:val="20"/>
                <w:szCs w:val="20"/>
                <w:lang w:val="fr-CA"/>
              </w:rPr>
              <w:t>663</w:t>
            </w:r>
          </w:p>
        </w:tc>
        <w:tc>
          <w:tcPr>
            <w:tcW w:w="1046" w:type="dxa"/>
            <w:tcBorders>
              <w:left w:val="single" w:sz="4" w:space="0" w:color="auto"/>
            </w:tcBorders>
            <w:shd w:val="clear" w:color="auto" w:fill="auto"/>
          </w:tcPr>
          <w:p w:rsidR="00D002F4" w:rsidRPr="00ED22D1" w:rsidRDefault="004A6828" w:rsidP="00D87C7D">
            <w:pPr>
              <w:tabs>
                <w:tab w:val="left" w:pos="284"/>
              </w:tabs>
              <w:jc w:val="right"/>
              <w:rPr>
                <w:sz w:val="20"/>
                <w:szCs w:val="20"/>
                <w:lang w:val="fr-CA"/>
              </w:rPr>
            </w:pPr>
            <w:r w:rsidRPr="00ED22D1">
              <w:rPr>
                <w:b/>
                <w:bCs/>
                <w:sz w:val="20"/>
                <w:szCs w:val="20"/>
                <w:lang w:val="fr-CA"/>
              </w:rPr>
              <w:t>1 </w:t>
            </w:r>
            <w:r w:rsidR="00D002F4" w:rsidRPr="00ED22D1">
              <w:rPr>
                <w:b/>
                <w:bCs/>
                <w:sz w:val="20"/>
                <w:szCs w:val="20"/>
                <w:lang w:val="fr-CA"/>
              </w:rPr>
              <w:t>53</w:t>
            </w:r>
            <w:r w:rsidRPr="00ED22D1">
              <w:rPr>
                <w:b/>
                <w:bCs/>
                <w:sz w:val="20"/>
                <w:szCs w:val="20"/>
                <w:lang w:val="fr-CA"/>
              </w:rPr>
              <w:t>0 </w:t>
            </w:r>
            <w:r w:rsidR="00D002F4" w:rsidRPr="00ED22D1">
              <w:rPr>
                <w:b/>
                <w:bCs/>
                <w:sz w:val="20"/>
                <w:szCs w:val="20"/>
                <w:lang w:val="fr-CA"/>
              </w:rPr>
              <w:t>228</w:t>
            </w:r>
          </w:p>
        </w:tc>
      </w:tr>
    </w:tbl>
    <w:p w:rsidR="00D002F4" w:rsidRPr="00ED22D1" w:rsidRDefault="00D002F4" w:rsidP="00D002F4">
      <w:pPr>
        <w:outlineLvl w:val="1"/>
        <w:rPr>
          <w:kern w:val="36"/>
          <w:sz w:val="21"/>
          <w:lang w:val="fr-CA"/>
        </w:rPr>
      </w:pPr>
    </w:p>
    <w:p w:rsidR="00D002F4" w:rsidRPr="00ED22D1" w:rsidRDefault="00DB7C5D" w:rsidP="00D002F4">
      <w:pPr>
        <w:widowControl w:val="0"/>
        <w:rPr>
          <w:u w:val="single"/>
          <w:lang w:val="fr-CA"/>
        </w:rPr>
      </w:pPr>
      <w:r w:rsidRPr="00ED22D1">
        <w:rPr>
          <w:u w:val="single"/>
          <w:lang w:val="fr-CA"/>
        </w:rPr>
        <w:t>Intérêts</w:t>
      </w:r>
    </w:p>
    <w:p w:rsidR="00D002F4" w:rsidRPr="00ED22D1" w:rsidRDefault="00D002F4" w:rsidP="00D002F4">
      <w:pPr>
        <w:widowControl w:val="0"/>
        <w:rPr>
          <w:u w:val="single"/>
          <w:lang w:val="fr-CA"/>
        </w:rPr>
      </w:pPr>
    </w:p>
    <w:p w:rsidR="00D002F4" w:rsidRPr="00ED22D1" w:rsidRDefault="00DC2912" w:rsidP="00DC2912">
      <w:pPr>
        <w:pStyle w:val="Heading1"/>
        <w:numPr>
          <w:ilvl w:val="0"/>
          <w:numId w:val="0"/>
        </w:numPr>
        <w:rPr>
          <w:lang w:val="fr-CA"/>
        </w:rPr>
      </w:pPr>
      <w:r w:rsidRPr="00ED22D1">
        <w:rPr>
          <w:lang w:val="fr-CA"/>
        </w:rPr>
        <w:t>94.</w:t>
      </w:r>
      <w:r w:rsidRPr="00ED22D1">
        <w:rPr>
          <w:lang w:val="fr-CA"/>
        </w:rPr>
        <w:tab/>
      </w:r>
      <w:r w:rsidR="007B6A35" w:rsidRPr="00ED22D1">
        <w:rPr>
          <w:lang w:val="fr-CA"/>
        </w:rPr>
        <w:t>Des données sur les intérêts courus</w:t>
      </w:r>
      <w:r w:rsidR="00D002F4" w:rsidRPr="00ED22D1">
        <w:rPr>
          <w:lang w:val="fr-CA"/>
        </w:rPr>
        <w:t xml:space="preserve"> </w:t>
      </w:r>
      <w:r w:rsidR="007B6A35" w:rsidRPr="00ED22D1">
        <w:rPr>
          <w:lang w:val="fr-CA"/>
        </w:rPr>
        <w:t xml:space="preserve">sur </w:t>
      </w:r>
      <w:r w:rsidR="00393F6B" w:rsidRPr="00ED22D1">
        <w:rPr>
          <w:lang w:val="fr-CA"/>
        </w:rPr>
        <w:t>le financement</w:t>
      </w:r>
      <w:r w:rsidR="00D002F4" w:rsidRPr="00ED22D1">
        <w:rPr>
          <w:lang w:val="fr-CA"/>
        </w:rPr>
        <w:t xml:space="preserve"> </w:t>
      </w:r>
      <w:r w:rsidR="00AA6E77" w:rsidRPr="00ED22D1">
        <w:rPr>
          <w:lang w:val="fr-CA"/>
        </w:rPr>
        <w:t>approuvé</w:t>
      </w:r>
      <w:r w:rsidR="00D002F4" w:rsidRPr="00ED22D1">
        <w:rPr>
          <w:lang w:val="fr-CA"/>
        </w:rPr>
        <w:t xml:space="preserve"> </w:t>
      </w:r>
      <w:r w:rsidR="007B6A35" w:rsidRPr="00ED22D1">
        <w:rPr>
          <w:lang w:val="fr-CA"/>
        </w:rPr>
        <w:t>pour les</w:t>
      </w:r>
      <w:r w:rsidR="00D002F4" w:rsidRPr="00ED22D1">
        <w:rPr>
          <w:lang w:val="fr-CA"/>
        </w:rPr>
        <w:t xml:space="preserve"> </w:t>
      </w:r>
      <w:r w:rsidR="007B6A35" w:rsidRPr="00ED22D1">
        <w:rPr>
          <w:lang w:val="fr-CA"/>
        </w:rPr>
        <w:t>plans des secteurs</w:t>
      </w:r>
      <w:r w:rsidR="00D002F4" w:rsidRPr="00ED22D1">
        <w:rPr>
          <w:lang w:val="fr-CA"/>
        </w:rPr>
        <w:t xml:space="preserve"> </w:t>
      </w:r>
      <w:r w:rsidR="001F19C1" w:rsidRPr="00ED22D1">
        <w:rPr>
          <w:lang w:val="fr-CA"/>
        </w:rPr>
        <w:t>du</w:t>
      </w:r>
      <w:r w:rsidR="00260E33">
        <w:rPr>
          <w:lang w:val="fr-CA"/>
        </w:rPr>
        <w:t> </w:t>
      </w:r>
      <w:r w:rsidR="001F19C1" w:rsidRPr="00ED22D1">
        <w:rPr>
          <w:lang w:val="fr-CA"/>
        </w:rPr>
        <w:t>PGEH</w:t>
      </w:r>
      <w:r w:rsidR="00D002F4" w:rsidRPr="00ED22D1">
        <w:rPr>
          <w:lang w:val="fr-CA"/>
        </w:rPr>
        <w:t xml:space="preserve"> </w:t>
      </w:r>
      <w:r w:rsidR="001B31BF" w:rsidRPr="00ED22D1">
        <w:rPr>
          <w:lang w:val="fr-CA"/>
        </w:rPr>
        <w:t>de la Chine</w:t>
      </w:r>
      <w:r w:rsidR="00D002F4" w:rsidRPr="00ED22D1">
        <w:rPr>
          <w:lang w:val="fr-CA"/>
        </w:rPr>
        <w:t xml:space="preserve"> </w:t>
      </w:r>
      <w:r w:rsidR="007B6A35" w:rsidRPr="00ED22D1">
        <w:rPr>
          <w:lang w:val="fr-CA"/>
        </w:rPr>
        <w:t xml:space="preserve">ont été fournies à chaque dernière </w:t>
      </w:r>
      <w:r w:rsidR="00DD185D" w:rsidRPr="00ED22D1">
        <w:rPr>
          <w:lang w:val="fr-CA"/>
        </w:rPr>
        <w:t>réunion</w:t>
      </w:r>
      <w:r w:rsidR="00D002F4" w:rsidRPr="00ED22D1">
        <w:rPr>
          <w:lang w:val="fr-CA"/>
        </w:rPr>
        <w:t xml:space="preserve"> </w:t>
      </w:r>
      <w:r w:rsidR="007B6A35" w:rsidRPr="00ED22D1">
        <w:rPr>
          <w:lang w:val="fr-CA"/>
        </w:rPr>
        <w:t>de l’</w:t>
      </w:r>
      <w:r w:rsidR="0052712E" w:rsidRPr="00ED22D1">
        <w:rPr>
          <w:lang w:val="fr-CA"/>
        </w:rPr>
        <w:t>année</w:t>
      </w:r>
      <w:r w:rsidR="00D002F4" w:rsidRPr="00ED22D1">
        <w:rPr>
          <w:lang w:val="fr-CA"/>
        </w:rPr>
        <w:t xml:space="preserve"> </w:t>
      </w:r>
      <w:r w:rsidR="007B6A35" w:rsidRPr="00ED22D1">
        <w:rPr>
          <w:lang w:val="fr-CA"/>
        </w:rPr>
        <w:t>suivant une demande de vérification financière</w:t>
      </w:r>
      <w:r w:rsidR="00D002F4" w:rsidRPr="00ED22D1">
        <w:rPr>
          <w:lang w:val="fr-CA"/>
        </w:rPr>
        <w:t xml:space="preserve">. </w:t>
      </w:r>
      <w:r w:rsidR="002F66FA" w:rsidRPr="00ED22D1">
        <w:rPr>
          <w:lang w:val="fr-CA"/>
        </w:rPr>
        <w:t xml:space="preserve">Les données sur les </w:t>
      </w:r>
      <w:r w:rsidR="007B6A35" w:rsidRPr="00ED22D1">
        <w:rPr>
          <w:lang w:val="fr-CA"/>
        </w:rPr>
        <w:t>intérêts courus</w:t>
      </w:r>
      <w:r w:rsidR="00D002F4" w:rsidRPr="00ED22D1">
        <w:rPr>
          <w:lang w:val="fr-CA"/>
        </w:rPr>
        <w:t xml:space="preserve"> </w:t>
      </w:r>
      <w:r w:rsidR="0052712E" w:rsidRPr="00ED22D1">
        <w:rPr>
          <w:lang w:val="fr-CA"/>
        </w:rPr>
        <w:t>en 20</w:t>
      </w:r>
      <w:r w:rsidR="00D002F4" w:rsidRPr="00ED22D1">
        <w:rPr>
          <w:lang w:val="fr-CA"/>
        </w:rPr>
        <w:t xml:space="preserve">18 </w:t>
      </w:r>
      <w:r w:rsidR="002F66FA" w:rsidRPr="00ED22D1">
        <w:rPr>
          <w:lang w:val="fr-CA"/>
        </w:rPr>
        <w:t>seront donc présentées à la 8</w:t>
      </w:r>
      <w:r w:rsidR="00D002F4" w:rsidRPr="00ED22D1">
        <w:rPr>
          <w:lang w:val="fr-CA"/>
        </w:rPr>
        <w:t>4</w:t>
      </w:r>
      <w:r w:rsidR="002F66FA" w:rsidRPr="00ED22D1">
        <w:rPr>
          <w:vertAlign w:val="superscript"/>
          <w:lang w:val="fr-CA"/>
        </w:rPr>
        <w:t>e </w:t>
      </w:r>
      <w:r w:rsidR="00DD185D" w:rsidRPr="00ED22D1">
        <w:rPr>
          <w:lang w:val="fr-CA"/>
        </w:rPr>
        <w:t>réunion</w:t>
      </w:r>
      <w:r w:rsidR="00D002F4" w:rsidRPr="00ED22D1">
        <w:rPr>
          <w:lang w:val="fr-CA"/>
        </w:rPr>
        <w:t>.</w:t>
      </w:r>
    </w:p>
    <w:p w:rsidR="00D002F4" w:rsidRPr="00ED22D1" w:rsidRDefault="00B84F94" w:rsidP="00D002F4">
      <w:pPr>
        <w:keepNext/>
        <w:keepLines/>
        <w:rPr>
          <w:u w:val="single"/>
          <w:lang w:val="fr-CA"/>
        </w:rPr>
      </w:pPr>
      <w:r w:rsidRPr="00ED22D1">
        <w:rPr>
          <w:u w:val="single"/>
          <w:lang w:val="fr-CA"/>
        </w:rPr>
        <w:lastRenderedPageBreak/>
        <w:t>Durabilité</w:t>
      </w:r>
      <w:r w:rsidR="00D002F4" w:rsidRPr="00ED22D1">
        <w:rPr>
          <w:u w:val="single"/>
          <w:lang w:val="fr-CA"/>
        </w:rPr>
        <w:t xml:space="preserve"> </w:t>
      </w:r>
      <w:r w:rsidR="002F66FA" w:rsidRPr="00ED22D1">
        <w:rPr>
          <w:u w:val="single"/>
          <w:lang w:val="fr-CA"/>
        </w:rPr>
        <w:t xml:space="preserve">de l’élimination des </w:t>
      </w:r>
      <w:r w:rsidR="00D002F4" w:rsidRPr="00ED22D1">
        <w:rPr>
          <w:u w:val="single"/>
          <w:lang w:val="fr-CA"/>
        </w:rPr>
        <w:t xml:space="preserve">HCFC </w:t>
      </w:r>
    </w:p>
    <w:p w:rsidR="00D002F4" w:rsidRPr="00ED22D1" w:rsidRDefault="00D002F4" w:rsidP="00D002F4">
      <w:pPr>
        <w:keepNext/>
        <w:keepLines/>
        <w:rPr>
          <w:u w:val="single"/>
          <w:lang w:val="fr-CA"/>
        </w:rPr>
      </w:pPr>
    </w:p>
    <w:p w:rsidR="00D002F4" w:rsidRPr="00ED22D1" w:rsidRDefault="00DC2912" w:rsidP="00DC2912">
      <w:pPr>
        <w:pStyle w:val="Heading1"/>
        <w:keepNext/>
        <w:keepLines/>
        <w:numPr>
          <w:ilvl w:val="0"/>
          <w:numId w:val="0"/>
        </w:numPr>
        <w:rPr>
          <w:lang w:val="fr-CA"/>
        </w:rPr>
      </w:pPr>
      <w:r w:rsidRPr="00ED22D1">
        <w:rPr>
          <w:lang w:val="fr-CA"/>
        </w:rPr>
        <w:t>95.</w:t>
      </w:r>
      <w:r w:rsidRPr="00ED22D1">
        <w:rPr>
          <w:lang w:val="fr-CA"/>
        </w:rPr>
        <w:tab/>
      </w:r>
      <w:r w:rsidR="002F66FA" w:rsidRPr="00ED22D1">
        <w:rPr>
          <w:lang w:val="fr-CA"/>
        </w:rPr>
        <w:t>En expliquant comment le cadre des politiques et leur mise à exécution sera renforcé afin d’assurer l’</w:t>
      </w:r>
      <w:r w:rsidR="00616B46" w:rsidRPr="00ED22D1">
        <w:rPr>
          <w:lang w:val="fr-CA"/>
        </w:rPr>
        <w:t>élimination</w:t>
      </w:r>
      <w:r w:rsidR="002F66FA" w:rsidRPr="00ED22D1">
        <w:rPr>
          <w:lang w:val="fr-CA"/>
        </w:rPr>
        <w:t xml:space="preserve"> durable </w:t>
      </w:r>
      <w:r w:rsidR="00DB7C5D" w:rsidRPr="00ED22D1">
        <w:rPr>
          <w:lang w:val="fr-CA"/>
        </w:rPr>
        <w:t>des HCFC</w:t>
      </w:r>
      <w:r w:rsidR="00D002F4" w:rsidRPr="00ED22D1">
        <w:rPr>
          <w:lang w:val="fr-CA"/>
        </w:rPr>
        <w:t xml:space="preserve"> </w:t>
      </w:r>
      <w:r w:rsidR="002F66FA" w:rsidRPr="00ED22D1">
        <w:rPr>
          <w:lang w:val="fr-CA"/>
        </w:rPr>
        <w:t xml:space="preserve">dans le secteur de la </w:t>
      </w:r>
      <w:r w:rsidR="00905638" w:rsidRPr="00ED22D1">
        <w:rPr>
          <w:lang w:val="fr-CA"/>
        </w:rPr>
        <w:t>climatisation et de</w:t>
      </w:r>
      <w:r w:rsidR="002F66FA" w:rsidRPr="00ED22D1">
        <w:rPr>
          <w:lang w:val="fr-CA"/>
        </w:rPr>
        <w:t xml:space="preserve"> la</w:t>
      </w:r>
      <w:r w:rsidR="00905638" w:rsidRPr="00ED22D1">
        <w:rPr>
          <w:lang w:val="fr-CA"/>
        </w:rPr>
        <w:t xml:space="preserve"> réfrigération industrielle et commerciale</w:t>
      </w:r>
      <w:r w:rsidR="00733306" w:rsidRPr="00ED22D1">
        <w:rPr>
          <w:lang w:val="fr-CA"/>
        </w:rPr>
        <w:t>,</w:t>
      </w:r>
      <w:r w:rsidR="001F19C1" w:rsidRPr="00ED22D1">
        <w:rPr>
          <w:lang w:val="fr-CA"/>
        </w:rPr>
        <w:t xml:space="preserve"> le PNUD</w:t>
      </w:r>
      <w:r w:rsidR="00D002F4" w:rsidRPr="00ED22D1">
        <w:rPr>
          <w:lang w:val="fr-CA"/>
        </w:rPr>
        <w:t xml:space="preserve"> </w:t>
      </w:r>
      <w:r w:rsidR="002F66FA" w:rsidRPr="00ED22D1">
        <w:rPr>
          <w:lang w:val="fr-CA"/>
        </w:rPr>
        <w:t xml:space="preserve">a indiqué que, selon la </w:t>
      </w:r>
      <w:r w:rsidR="00AA6E77" w:rsidRPr="00ED22D1">
        <w:rPr>
          <w:lang w:val="fr-CA"/>
        </w:rPr>
        <w:t>décision</w:t>
      </w:r>
      <w:r w:rsidR="00D002F4" w:rsidRPr="00ED22D1">
        <w:rPr>
          <w:lang w:val="fr-CA"/>
        </w:rPr>
        <w:t> 82/6</w:t>
      </w:r>
      <w:r w:rsidR="004A6828" w:rsidRPr="00ED22D1">
        <w:rPr>
          <w:lang w:val="fr-CA"/>
        </w:rPr>
        <w:t>5</w:t>
      </w:r>
      <w:r w:rsidR="002F66FA" w:rsidRPr="00ED22D1">
        <w:rPr>
          <w:lang w:val="fr-CA"/>
        </w:rPr>
        <w:t>,</w:t>
      </w:r>
      <w:r w:rsidR="004A6828" w:rsidRPr="00ED22D1">
        <w:rPr>
          <w:lang w:val="fr-CA"/>
        </w:rPr>
        <w:t> </w:t>
      </w:r>
      <w:r w:rsidR="00921BDE" w:rsidRPr="00ED22D1">
        <w:rPr>
          <w:lang w:val="fr-CA"/>
        </w:rPr>
        <w:t>le gouvernement</w:t>
      </w:r>
      <w:r w:rsidR="001F19C1" w:rsidRPr="00ED22D1">
        <w:rPr>
          <w:lang w:val="fr-CA"/>
        </w:rPr>
        <w:t xml:space="preserve"> </w:t>
      </w:r>
      <w:r w:rsidR="00181884" w:rsidRPr="00ED22D1">
        <w:rPr>
          <w:lang w:val="fr-CA"/>
        </w:rPr>
        <w:t>de la Chine</w:t>
      </w:r>
      <w:r w:rsidR="00D002F4" w:rsidRPr="00ED22D1">
        <w:rPr>
          <w:lang w:val="fr-CA"/>
        </w:rPr>
        <w:t xml:space="preserve"> </w:t>
      </w:r>
      <w:r w:rsidR="002F66FA" w:rsidRPr="00ED22D1">
        <w:rPr>
          <w:lang w:val="fr-CA"/>
        </w:rPr>
        <w:t>a</w:t>
      </w:r>
      <w:r w:rsidR="00D002F4" w:rsidRPr="00ED22D1">
        <w:rPr>
          <w:lang w:val="fr-CA"/>
        </w:rPr>
        <w:t xml:space="preserve"> </w:t>
      </w:r>
      <w:r w:rsidR="00FB1DC4" w:rsidRPr="00ED22D1">
        <w:rPr>
          <w:lang w:val="fr-CA"/>
        </w:rPr>
        <w:t>présenté</w:t>
      </w:r>
      <w:r w:rsidR="00D002F4" w:rsidRPr="00ED22D1">
        <w:rPr>
          <w:lang w:val="fr-CA"/>
        </w:rPr>
        <w:t xml:space="preserve"> </w:t>
      </w:r>
      <w:r w:rsidR="002F66FA" w:rsidRPr="00ED22D1">
        <w:rPr>
          <w:lang w:val="fr-CA"/>
        </w:rPr>
        <w:t>à la présente</w:t>
      </w:r>
      <w:r w:rsidR="00DD185D" w:rsidRPr="00ED22D1">
        <w:rPr>
          <w:lang w:val="fr-CA"/>
        </w:rPr>
        <w:t xml:space="preserve"> réunion</w:t>
      </w:r>
      <w:r w:rsidR="00D002F4" w:rsidRPr="00ED22D1">
        <w:rPr>
          <w:lang w:val="fr-CA"/>
        </w:rPr>
        <w:t xml:space="preserve"> </w:t>
      </w:r>
      <w:r w:rsidR="002F66FA" w:rsidRPr="00ED22D1">
        <w:rPr>
          <w:lang w:val="fr-CA"/>
        </w:rPr>
        <w:t xml:space="preserve">la revue des systèmes actuels de suivi, de présentation de rapports, de </w:t>
      </w:r>
      <w:r w:rsidR="00921BDE" w:rsidRPr="00ED22D1">
        <w:rPr>
          <w:lang w:val="fr-CA"/>
        </w:rPr>
        <w:t>vérification</w:t>
      </w:r>
      <w:r w:rsidR="004A6828" w:rsidRPr="00ED22D1">
        <w:rPr>
          <w:lang w:val="fr-CA"/>
        </w:rPr>
        <w:t xml:space="preserve"> et </w:t>
      </w:r>
      <w:r w:rsidR="002F66FA" w:rsidRPr="00ED22D1">
        <w:rPr>
          <w:lang w:val="fr-CA"/>
        </w:rPr>
        <w:t>de mise à exécution selon les plans de gestion de l’élimination de la consommation et de la production de</w:t>
      </w:r>
      <w:r w:rsidR="00921BDE" w:rsidRPr="00ED22D1">
        <w:rPr>
          <w:lang w:val="fr-CA"/>
        </w:rPr>
        <w:t xml:space="preserve"> HCFC</w:t>
      </w:r>
      <w:r w:rsidR="004A6828" w:rsidRPr="00ED22D1">
        <w:rPr>
          <w:lang w:val="fr-CA"/>
        </w:rPr>
        <w:t xml:space="preserve"> </w:t>
      </w:r>
      <w:r w:rsidR="00D002F4" w:rsidRPr="00ED22D1">
        <w:rPr>
          <w:lang w:val="fr-CA"/>
        </w:rPr>
        <w:t>(</w:t>
      </w:r>
      <w:r w:rsidR="00DD185D" w:rsidRPr="00ED22D1">
        <w:rPr>
          <w:lang w:val="fr-CA"/>
        </w:rPr>
        <w:t>PGEH</w:t>
      </w:r>
      <w:r w:rsidR="004A6828" w:rsidRPr="00ED22D1">
        <w:rPr>
          <w:lang w:val="fr-CA"/>
        </w:rPr>
        <w:t xml:space="preserve"> et </w:t>
      </w:r>
      <w:r w:rsidR="00EB64A9" w:rsidRPr="00ED22D1">
        <w:rPr>
          <w:lang w:val="fr-CA"/>
        </w:rPr>
        <w:t>PGEPH</w:t>
      </w:r>
      <w:r w:rsidR="00D002F4" w:rsidRPr="00ED22D1">
        <w:rPr>
          <w:lang w:val="fr-CA"/>
        </w:rPr>
        <w:t>),</w:t>
      </w:r>
      <w:r w:rsidR="00D002F4" w:rsidRPr="00ED22D1">
        <w:rPr>
          <w:rStyle w:val="FootnoteReference"/>
          <w:lang w:val="fr-CA"/>
        </w:rPr>
        <w:footnoteReference w:id="15"/>
      </w:r>
      <w:r w:rsidR="00D002F4" w:rsidRPr="00ED22D1">
        <w:rPr>
          <w:lang w:val="fr-CA"/>
        </w:rPr>
        <w:t xml:space="preserve"> </w:t>
      </w:r>
      <w:r w:rsidR="004B666A" w:rsidRPr="00ED22D1">
        <w:rPr>
          <w:lang w:val="fr-CA"/>
        </w:rPr>
        <w:t>y compris</w:t>
      </w:r>
      <w:r w:rsidR="00D002F4" w:rsidRPr="00ED22D1">
        <w:rPr>
          <w:lang w:val="fr-CA"/>
        </w:rPr>
        <w:t xml:space="preserve"> </w:t>
      </w:r>
      <w:r w:rsidR="002F66FA" w:rsidRPr="00ED22D1">
        <w:rPr>
          <w:lang w:val="fr-CA"/>
        </w:rPr>
        <w:t>le plan d’action pour renforcer les mesures législatives et leur</w:t>
      </w:r>
      <w:r w:rsidR="00D002F4" w:rsidRPr="00ED22D1">
        <w:rPr>
          <w:lang w:val="fr-CA"/>
        </w:rPr>
        <w:t xml:space="preserve"> </w:t>
      </w:r>
      <w:r w:rsidR="00C420BC" w:rsidRPr="00ED22D1">
        <w:rPr>
          <w:lang w:val="fr-CA"/>
        </w:rPr>
        <w:t>mise en oeuvre</w:t>
      </w:r>
      <w:r w:rsidR="00D002F4" w:rsidRPr="00ED22D1">
        <w:rPr>
          <w:lang w:val="fr-CA"/>
        </w:rPr>
        <w:t>.</w:t>
      </w:r>
    </w:p>
    <w:p w:rsidR="00D002F4" w:rsidRPr="00ED22D1" w:rsidRDefault="00D002F4" w:rsidP="00D002F4">
      <w:pPr>
        <w:keepNext/>
        <w:keepLines/>
        <w:rPr>
          <w:lang w:val="fr-CA"/>
        </w:rPr>
      </w:pPr>
      <w:r w:rsidRPr="00ED22D1">
        <w:rPr>
          <w:u w:val="single"/>
          <w:lang w:val="fr-CA"/>
        </w:rPr>
        <w:t>Conclusion</w:t>
      </w:r>
      <w:r w:rsidRPr="00ED22D1">
        <w:rPr>
          <w:lang w:val="fr-CA"/>
        </w:rPr>
        <w:t xml:space="preserve"> </w:t>
      </w:r>
    </w:p>
    <w:p w:rsidR="00D002F4" w:rsidRPr="00ED22D1" w:rsidRDefault="00D002F4" w:rsidP="00D002F4">
      <w:pPr>
        <w:keepNext/>
        <w:keepLines/>
        <w:rPr>
          <w:u w:val="single"/>
          <w:lang w:val="fr-CA"/>
        </w:rPr>
      </w:pPr>
    </w:p>
    <w:p w:rsidR="00D002F4" w:rsidRPr="00ED22D1" w:rsidRDefault="00DC2912" w:rsidP="00DC2912">
      <w:pPr>
        <w:pStyle w:val="Heading1"/>
        <w:keepNext/>
        <w:keepLines/>
        <w:numPr>
          <w:ilvl w:val="0"/>
          <w:numId w:val="0"/>
        </w:numPr>
        <w:rPr>
          <w:lang w:val="fr-CA"/>
        </w:rPr>
      </w:pPr>
      <w:r w:rsidRPr="00ED22D1">
        <w:rPr>
          <w:lang w:val="fr-CA"/>
        </w:rPr>
        <w:t>96.</w:t>
      </w:r>
      <w:r w:rsidRPr="00ED22D1">
        <w:rPr>
          <w:lang w:val="fr-CA"/>
        </w:rPr>
        <w:tab/>
      </w:r>
      <w:r w:rsidR="00E71388" w:rsidRPr="00ED22D1">
        <w:rPr>
          <w:lang w:val="fr-CA"/>
        </w:rPr>
        <w:t>Le Secré</w:t>
      </w:r>
      <w:r w:rsidR="00DD185D" w:rsidRPr="00ED22D1">
        <w:rPr>
          <w:lang w:val="fr-CA"/>
        </w:rPr>
        <w:t>tariat</w:t>
      </w:r>
      <w:r w:rsidR="00D002F4" w:rsidRPr="00ED22D1">
        <w:rPr>
          <w:lang w:val="fr-CA"/>
        </w:rPr>
        <w:t xml:space="preserve"> </w:t>
      </w:r>
      <w:r w:rsidR="002F66FA" w:rsidRPr="00ED22D1">
        <w:rPr>
          <w:lang w:val="fr-CA"/>
        </w:rPr>
        <w:t xml:space="preserve">souligne que la </w:t>
      </w:r>
      <w:r w:rsidR="00921BDE" w:rsidRPr="00ED22D1">
        <w:rPr>
          <w:lang w:val="fr-CA"/>
        </w:rPr>
        <w:t xml:space="preserve">mise en oeuvre </w:t>
      </w:r>
      <w:r w:rsidR="002F66FA" w:rsidRPr="00ED22D1">
        <w:rPr>
          <w:lang w:val="fr-CA"/>
        </w:rPr>
        <w:t xml:space="preserve">de la </w:t>
      </w:r>
      <w:r w:rsidR="00921BDE" w:rsidRPr="00ED22D1">
        <w:rPr>
          <w:lang w:val="fr-CA"/>
        </w:rPr>
        <w:t>deuxième</w:t>
      </w:r>
      <w:r w:rsidR="00D002F4" w:rsidRPr="00ED22D1">
        <w:rPr>
          <w:lang w:val="fr-CA"/>
        </w:rPr>
        <w:t xml:space="preserve"> tranche </w:t>
      </w:r>
      <w:r w:rsidR="002F66FA" w:rsidRPr="00ED22D1">
        <w:rPr>
          <w:lang w:val="fr-CA"/>
        </w:rPr>
        <w:t>du plan</w:t>
      </w:r>
      <w:r w:rsidR="001354A8" w:rsidRPr="00ED22D1">
        <w:rPr>
          <w:lang w:val="fr-CA"/>
        </w:rPr>
        <w:t xml:space="preserve"> du secteur de la climatisation et de la réfrigération industrielle et commerciale </w:t>
      </w:r>
      <w:r w:rsidR="002F66FA" w:rsidRPr="00ED22D1">
        <w:rPr>
          <w:lang w:val="fr-CA"/>
        </w:rPr>
        <w:t>est en bonne voie d’exécution</w:t>
      </w:r>
      <w:r w:rsidR="00D002F4" w:rsidRPr="00ED22D1">
        <w:rPr>
          <w:lang w:val="fr-CA"/>
        </w:rPr>
        <w:t xml:space="preserve">. </w:t>
      </w:r>
      <w:r w:rsidR="002F66FA" w:rsidRPr="00ED22D1">
        <w:rPr>
          <w:lang w:val="fr-CA"/>
        </w:rPr>
        <w:t xml:space="preserve">Dix-huit contrats de </w:t>
      </w:r>
      <w:r w:rsidR="00FB1DC4" w:rsidRPr="00ED22D1">
        <w:rPr>
          <w:lang w:val="fr-CA"/>
        </w:rPr>
        <w:t>reconversion</w:t>
      </w:r>
      <w:r w:rsidR="00D002F4" w:rsidRPr="00ED22D1">
        <w:rPr>
          <w:lang w:val="fr-CA"/>
        </w:rPr>
        <w:t xml:space="preserve"> </w:t>
      </w:r>
      <w:r w:rsidR="00903152" w:rsidRPr="00ED22D1">
        <w:rPr>
          <w:lang w:val="fr-CA"/>
        </w:rPr>
        <w:t>ont été</w:t>
      </w:r>
      <w:r w:rsidR="00F320D6" w:rsidRPr="00ED22D1">
        <w:rPr>
          <w:lang w:val="fr-CA"/>
        </w:rPr>
        <w:t xml:space="preserve"> signé</w:t>
      </w:r>
      <w:r w:rsidR="002F66FA" w:rsidRPr="00ED22D1">
        <w:rPr>
          <w:lang w:val="fr-CA"/>
        </w:rPr>
        <w:t xml:space="preserve">s afin d’éliminer </w:t>
      </w:r>
      <w:r w:rsidR="004A6828" w:rsidRPr="00ED22D1">
        <w:rPr>
          <w:lang w:val="fr-CA"/>
        </w:rPr>
        <w:t>2 </w:t>
      </w:r>
      <w:r w:rsidR="00D002F4" w:rsidRPr="00ED22D1">
        <w:rPr>
          <w:lang w:val="fr-CA"/>
        </w:rPr>
        <w:t>55</w:t>
      </w:r>
      <w:r w:rsidR="004A6828" w:rsidRPr="00ED22D1">
        <w:rPr>
          <w:lang w:val="fr-CA"/>
        </w:rPr>
        <w:t>8,</w:t>
      </w:r>
      <w:r w:rsidR="00D002F4" w:rsidRPr="00ED22D1">
        <w:rPr>
          <w:lang w:val="fr-CA"/>
        </w:rPr>
        <w:t>18</w:t>
      </w:r>
      <w:r w:rsidR="004B666A" w:rsidRPr="00ED22D1">
        <w:rPr>
          <w:lang w:val="fr-CA"/>
        </w:rPr>
        <w:t xml:space="preserve"> tm </w:t>
      </w:r>
      <w:r w:rsidR="00DB7C5D" w:rsidRPr="00ED22D1">
        <w:rPr>
          <w:lang w:val="fr-CA"/>
        </w:rPr>
        <w:t>de HCFC</w:t>
      </w:r>
      <w:r w:rsidR="00D002F4" w:rsidRPr="00ED22D1">
        <w:rPr>
          <w:lang w:val="fr-CA"/>
        </w:rPr>
        <w:t>-2</w:t>
      </w:r>
      <w:r w:rsidR="004A6828" w:rsidRPr="00ED22D1">
        <w:rPr>
          <w:lang w:val="fr-CA"/>
        </w:rPr>
        <w:t>2</w:t>
      </w:r>
      <w:r w:rsidR="002F66FA" w:rsidRPr="00ED22D1">
        <w:rPr>
          <w:lang w:val="fr-CA"/>
        </w:rPr>
        <w:t xml:space="preserve">. De ce </w:t>
      </w:r>
      <w:r w:rsidR="00D21823">
        <w:rPr>
          <w:lang w:val="fr-CA"/>
        </w:rPr>
        <w:t>total</w:t>
      </w:r>
      <w:r w:rsidR="00D002F4" w:rsidRPr="00ED22D1">
        <w:rPr>
          <w:lang w:val="fr-CA"/>
        </w:rPr>
        <w:t>, 66 </w:t>
      </w:r>
      <w:r w:rsidR="001B31BF" w:rsidRPr="00ED22D1">
        <w:rPr>
          <w:lang w:val="fr-CA"/>
        </w:rPr>
        <w:t>pour cent</w:t>
      </w:r>
      <w:r w:rsidR="00D002F4" w:rsidRPr="00ED22D1">
        <w:rPr>
          <w:lang w:val="fr-CA"/>
        </w:rPr>
        <w:t xml:space="preserve"> </w:t>
      </w:r>
      <w:r w:rsidR="002F66FA" w:rsidRPr="00ED22D1">
        <w:rPr>
          <w:lang w:val="fr-CA"/>
        </w:rPr>
        <w:t>de</w:t>
      </w:r>
      <w:r w:rsidR="00D002F4" w:rsidRPr="00ED22D1">
        <w:rPr>
          <w:lang w:val="fr-CA"/>
        </w:rPr>
        <w:t xml:space="preserve"> </w:t>
      </w:r>
      <w:r w:rsidR="00181884" w:rsidRPr="00ED22D1">
        <w:rPr>
          <w:lang w:val="fr-CA"/>
        </w:rPr>
        <w:t>la consommation</w:t>
      </w:r>
      <w:r w:rsidR="00D002F4" w:rsidRPr="00ED22D1">
        <w:rPr>
          <w:lang w:val="fr-CA"/>
        </w:rPr>
        <w:t xml:space="preserve"> </w:t>
      </w:r>
      <w:r w:rsidR="002F66FA" w:rsidRPr="00ED22D1">
        <w:rPr>
          <w:lang w:val="fr-CA"/>
        </w:rPr>
        <w:t>sera</w:t>
      </w:r>
      <w:r w:rsidR="00D002F4" w:rsidRPr="00ED22D1">
        <w:rPr>
          <w:lang w:val="fr-CA"/>
        </w:rPr>
        <w:t xml:space="preserve"> </w:t>
      </w:r>
      <w:r w:rsidR="004B666A" w:rsidRPr="00ED22D1">
        <w:rPr>
          <w:lang w:val="fr-CA"/>
        </w:rPr>
        <w:t>reconverti</w:t>
      </w:r>
      <w:r w:rsidR="002F66FA" w:rsidRPr="00ED22D1">
        <w:rPr>
          <w:lang w:val="fr-CA"/>
        </w:rPr>
        <w:t>e</w:t>
      </w:r>
      <w:r w:rsidR="00D002F4" w:rsidRPr="00ED22D1">
        <w:rPr>
          <w:lang w:val="fr-CA"/>
        </w:rPr>
        <w:t xml:space="preserve"> </w:t>
      </w:r>
      <w:r w:rsidR="002F66FA" w:rsidRPr="00ED22D1">
        <w:rPr>
          <w:lang w:val="fr-CA"/>
        </w:rPr>
        <w:t xml:space="preserve">à des technologies avec </w:t>
      </w:r>
      <w:r w:rsidR="00D47B9E" w:rsidRPr="00ED22D1">
        <w:rPr>
          <w:lang w:val="fr-CA"/>
        </w:rPr>
        <w:t>peu ou pas de potentiel de réchauffement d</w:t>
      </w:r>
      <w:r w:rsidR="00D21823">
        <w:rPr>
          <w:lang w:val="fr-CA"/>
        </w:rPr>
        <w:t>e </w:t>
      </w:r>
      <w:r w:rsidR="00D47B9E" w:rsidRPr="00ED22D1">
        <w:rPr>
          <w:lang w:val="fr-CA"/>
        </w:rPr>
        <w:t xml:space="preserve">la planète autres que le </w:t>
      </w:r>
      <w:r w:rsidR="00D002F4" w:rsidRPr="00ED22D1">
        <w:rPr>
          <w:lang w:val="fr-CA"/>
        </w:rPr>
        <w:t>HFC-3</w:t>
      </w:r>
      <w:r w:rsidR="004A6828" w:rsidRPr="00ED22D1">
        <w:rPr>
          <w:lang w:val="fr-CA"/>
        </w:rPr>
        <w:t>2</w:t>
      </w:r>
      <w:r w:rsidR="00D47B9E" w:rsidRPr="00ED22D1">
        <w:rPr>
          <w:lang w:val="fr-CA"/>
        </w:rPr>
        <w:t>.</w:t>
      </w:r>
      <w:r w:rsidR="00D002F4" w:rsidRPr="00ED22D1">
        <w:rPr>
          <w:lang w:val="fr-CA"/>
        </w:rPr>
        <w:t xml:space="preserve"> </w:t>
      </w:r>
      <w:r w:rsidR="00D47B9E" w:rsidRPr="00ED22D1">
        <w:rPr>
          <w:lang w:val="fr-CA"/>
        </w:rPr>
        <w:t>La</w:t>
      </w:r>
      <w:r w:rsidR="00FB1DC4" w:rsidRPr="00ED22D1">
        <w:rPr>
          <w:lang w:val="fr-CA"/>
        </w:rPr>
        <w:t xml:space="preserve"> reconversion</w:t>
      </w:r>
      <w:r w:rsidR="00D002F4" w:rsidRPr="00ED22D1">
        <w:rPr>
          <w:lang w:val="fr-CA"/>
        </w:rPr>
        <w:t xml:space="preserve"> </w:t>
      </w:r>
      <w:r w:rsidR="00D47B9E" w:rsidRPr="00ED22D1">
        <w:rPr>
          <w:lang w:val="fr-CA"/>
        </w:rPr>
        <w:t>de la capacité de fabrication avance</w:t>
      </w:r>
      <w:r w:rsidR="00D002F4" w:rsidRPr="00ED22D1">
        <w:rPr>
          <w:lang w:val="fr-CA"/>
        </w:rPr>
        <w:t xml:space="preserve">. </w:t>
      </w:r>
      <w:r w:rsidR="00D47B9E" w:rsidRPr="00ED22D1">
        <w:rPr>
          <w:lang w:val="fr-CA"/>
        </w:rPr>
        <w:t>Des</w:t>
      </w:r>
      <w:r w:rsidR="00D002F4" w:rsidRPr="00ED22D1">
        <w:rPr>
          <w:lang w:val="fr-CA"/>
        </w:rPr>
        <w:t xml:space="preserve"> 18</w:t>
      </w:r>
      <w:r w:rsidR="00BD2F3B" w:rsidRPr="00ED22D1">
        <w:rPr>
          <w:lang w:val="fr-CA"/>
        </w:rPr>
        <w:t xml:space="preserve"> circuits </w:t>
      </w:r>
      <w:r w:rsidR="00D21823">
        <w:rPr>
          <w:lang w:val="fr-CA"/>
        </w:rPr>
        <w:t>pour lesquels on a</w:t>
      </w:r>
      <w:r w:rsidR="00903152" w:rsidRPr="00ED22D1">
        <w:rPr>
          <w:lang w:val="fr-CA"/>
        </w:rPr>
        <w:t xml:space="preserve"> </w:t>
      </w:r>
      <w:r w:rsidR="00F320D6" w:rsidRPr="00ED22D1">
        <w:rPr>
          <w:lang w:val="fr-CA"/>
        </w:rPr>
        <w:t>signé</w:t>
      </w:r>
      <w:r w:rsidR="00D002F4" w:rsidRPr="00ED22D1">
        <w:rPr>
          <w:lang w:val="fr-CA"/>
        </w:rPr>
        <w:t xml:space="preserve"> </w:t>
      </w:r>
      <w:r w:rsidR="00D21823">
        <w:rPr>
          <w:lang w:val="fr-CA"/>
        </w:rPr>
        <w:t>un</w:t>
      </w:r>
      <w:r w:rsidR="00D47B9E" w:rsidRPr="00ED22D1">
        <w:rPr>
          <w:lang w:val="fr-CA"/>
        </w:rPr>
        <w:t xml:space="preserve"> contrat de </w:t>
      </w:r>
      <w:r w:rsidR="00FB1DC4" w:rsidRPr="00ED22D1">
        <w:rPr>
          <w:lang w:val="fr-CA"/>
        </w:rPr>
        <w:t>reconversion</w:t>
      </w:r>
      <w:r w:rsidR="00D002F4" w:rsidRPr="00ED22D1">
        <w:rPr>
          <w:lang w:val="fr-CA"/>
        </w:rPr>
        <w:t>,</w:t>
      </w:r>
      <w:r w:rsidR="00921BDE" w:rsidRPr="00ED22D1">
        <w:rPr>
          <w:lang w:val="fr-CA"/>
        </w:rPr>
        <w:t xml:space="preserve"> dix</w:t>
      </w:r>
      <w:r w:rsidR="00BD2F3B" w:rsidRPr="00ED22D1">
        <w:rPr>
          <w:lang w:val="fr-CA"/>
        </w:rPr>
        <w:t xml:space="preserve"> </w:t>
      </w:r>
      <w:r w:rsidR="00903152" w:rsidRPr="00ED22D1">
        <w:rPr>
          <w:lang w:val="fr-CA"/>
        </w:rPr>
        <w:t xml:space="preserve">ont </w:t>
      </w:r>
      <w:r w:rsidR="002F6D48" w:rsidRPr="00ED22D1">
        <w:rPr>
          <w:lang w:val="fr-CA"/>
        </w:rPr>
        <w:t>achevé</w:t>
      </w:r>
      <w:r w:rsidR="00D002F4" w:rsidRPr="00ED22D1">
        <w:rPr>
          <w:lang w:val="fr-CA"/>
        </w:rPr>
        <w:t xml:space="preserve"> </w:t>
      </w:r>
      <w:r w:rsidR="00D47B9E" w:rsidRPr="00ED22D1">
        <w:rPr>
          <w:lang w:val="fr-CA"/>
        </w:rPr>
        <w:t xml:space="preserve">la fabrication d’un </w:t>
      </w:r>
      <w:r w:rsidR="00D002F4" w:rsidRPr="00ED22D1">
        <w:rPr>
          <w:lang w:val="fr-CA"/>
        </w:rPr>
        <w:t xml:space="preserve">prototype, </w:t>
      </w:r>
      <w:r w:rsidR="00D47B9E" w:rsidRPr="00ED22D1">
        <w:rPr>
          <w:lang w:val="fr-CA"/>
        </w:rPr>
        <w:t>la</w:t>
      </w:r>
      <w:r w:rsidR="00D21823">
        <w:rPr>
          <w:lang w:val="fr-CA"/>
        </w:rPr>
        <w:t> </w:t>
      </w:r>
      <w:r w:rsidR="00FB1DC4" w:rsidRPr="00ED22D1">
        <w:rPr>
          <w:lang w:val="fr-CA"/>
        </w:rPr>
        <w:t>reconversion</w:t>
      </w:r>
      <w:r w:rsidR="004A6828" w:rsidRPr="00ED22D1">
        <w:rPr>
          <w:lang w:val="fr-CA"/>
        </w:rPr>
        <w:t xml:space="preserve"> et </w:t>
      </w:r>
      <w:r w:rsidR="00D47B9E" w:rsidRPr="00ED22D1">
        <w:rPr>
          <w:lang w:val="fr-CA"/>
        </w:rPr>
        <w:t>les essais de rendement, et elles sont à l’étape de la production d’essais. D’autres</w:t>
      </w:r>
      <w:r w:rsidR="00BD2F3B" w:rsidRPr="00ED22D1">
        <w:rPr>
          <w:lang w:val="fr-CA"/>
        </w:rPr>
        <w:t xml:space="preserve"> circuits </w:t>
      </w:r>
      <w:r w:rsidR="00903152" w:rsidRPr="00ED22D1">
        <w:rPr>
          <w:lang w:val="fr-CA"/>
        </w:rPr>
        <w:t xml:space="preserve">sont </w:t>
      </w:r>
      <w:r w:rsidR="00D47B9E" w:rsidRPr="00ED22D1">
        <w:rPr>
          <w:lang w:val="fr-CA"/>
        </w:rPr>
        <w:t>à l’étape de la conception du produit et de l’achat d’</w:t>
      </w:r>
      <w:r w:rsidR="00921BDE" w:rsidRPr="00ED22D1">
        <w:rPr>
          <w:lang w:val="fr-CA"/>
        </w:rPr>
        <w:t>équipements</w:t>
      </w:r>
      <w:r w:rsidR="00D002F4" w:rsidRPr="00ED22D1">
        <w:rPr>
          <w:lang w:val="fr-CA"/>
        </w:rPr>
        <w:t xml:space="preserve">. </w:t>
      </w:r>
      <w:r w:rsidR="00D47B9E" w:rsidRPr="00ED22D1">
        <w:rPr>
          <w:lang w:val="fr-CA"/>
        </w:rPr>
        <w:t xml:space="preserve">Les PME qui ont adopté les technologies avec </w:t>
      </w:r>
      <w:r w:rsidR="00D002F4" w:rsidRPr="00ED22D1">
        <w:rPr>
          <w:lang w:val="fr-CA"/>
        </w:rPr>
        <w:t>CO</w:t>
      </w:r>
      <w:r w:rsidR="00D002F4" w:rsidRPr="00ED22D1">
        <w:rPr>
          <w:vertAlign w:val="subscript"/>
          <w:lang w:val="fr-CA"/>
        </w:rPr>
        <w:t>2</w:t>
      </w:r>
      <w:r w:rsidR="00D002F4" w:rsidRPr="00ED22D1">
        <w:rPr>
          <w:lang w:val="fr-CA"/>
        </w:rPr>
        <w:t xml:space="preserve">/HFC-134a </w:t>
      </w:r>
      <w:r w:rsidR="00D47B9E" w:rsidRPr="00ED22D1">
        <w:rPr>
          <w:lang w:val="fr-CA"/>
        </w:rPr>
        <w:t xml:space="preserve">ne demanderont pas de </w:t>
      </w:r>
      <w:r w:rsidR="00D15079" w:rsidRPr="00ED22D1">
        <w:rPr>
          <w:lang w:val="fr-CA"/>
        </w:rPr>
        <w:t>financement</w:t>
      </w:r>
      <w:r w:rsidR="00D002F4" w:rsidRPr="00ED22D1">
        <w:rPr>
          <w:lang w:val="fr-CA"/>
        </w:rPr>
        <w:t xml:space="preserve"> </w:t>
      </w:r>
      <w:r w:rsidR="00D21823">
        <w:rPr>
          <w:lang w:val="fr-CA"/>
        </w:rPr>
        <w:t>a</w:t>
      </w:r>
      <w:r w:rsidR="00D47B9E" w:rsidRPr="00ED22D1">
        <w:rPr>
          <w:lang w:val="fr-CA"/>
        </w:rPr>
        <w:t>u</w:t>
      </w:r>
      <w:r w:rsidR="00211FEC" w:rsidRPr="00ED22D1">
        <w:rPr>
          <w:lang w:val="fr-CA"/>
        </w:rPr>
        <w:t xml:space="preserve"> Fonds</w:t>
      </w:r>
      <w:r w:rsidR="004B666A" w:rsidRPr="00ED22D1">
        <w:rPr>
          <w:lang w:val="fr-CA"/>
        </w:rPr>
        <w:t xml:space="preserve"> multilatéral</w:t>
      </w:r>
      <w:r w:rsidR="00D002F4" w:rsidRPr="00ED22D1">
        <w:rPr>
          <w:lang w:val="fr-CA"/>
        </w:rPr>
        <w:t xml:space="preserve"> </w:t>
      </w:r>
      <w:r w:rsidR="00D47B9E" w:rsidRPr="00ED22D1">
        <w:rPr>
          <w:lang w:val="fr-CA"/>
        </w:rPr>
        <w:t xml:space="preserve">pour l’élimination future du </w:t>
      </w:r>
      <w:r w:rsidR="00D002F4" w:rsidRPr="00ED22D1">
        <w:rPr>
          <w:lang w:val="fr-CA"/>
        </w:rPr>
        <w:t xml:space="preserve">HFC-134a </w:t>
      </w:r>
      <w:r w:rsidR="00D47B9E" w:rsidRPr="00ED22D1">
        <w:rPr>
          <w:lang w:val="fr-CA"/>
        </w:rPr>
        <w:t xml:space="preserve">au cours de la reconversion de </w:t>
      </w:r>
      <w:r w:rsidR="00BB7CCB" w:rsidRPr="00ED22D1">
        <w:rPr>
          <w:lang w:val="fr-CA"/>
        </w:rPr>
        <w:t xml:space="preserve">ces </w:t>
      </w:r>
      <w:r w:rsidR="001B45EC" w:rsidRPr="00ED22D1">
        <w:rPr>
          <w:lang w:val="fr-CA"/>
        </w:rPr>
        <w:t>projets</w:t>
      </w:r>
      <w:r w:rsidR="00D002F4" w:rsidRPr="00ED22D1">
        <w:rPr>
          <w:lang w:val="fr-CA"/>
        </w:rPr>
        <w:t xml:space="preserve">. </w:t>
      </w:r>
      <w:r w:rsidR="00D47B9E" w:rsidRPr="00ED22D1">
        <w:rPr>
          <w:lang w:val="fr-CA"/>
        </w:rPr>
        <w:t xml:space="preserve">Plusieurs </w:t>
      </w:r>
      <w:r w:rsidR="004B666A" w:rsidRPr="00ED22D1">
        <w:rPr>
          <w:lang w:val="fr-CA"/>
        </w:rPr>
        <w:t>activités d’assistance technique</w:t>
      </w:r>
      <w:r w:rsidR="00903152" w:rsidRPr="00ED22D1">
        <w:rPr>
          <w:lang w:val="fr-CA"/>
        </w:rPr>
        <w:t xml:space="preserve"> ont été</w:t>
      </w:r>
      <w:r w:rsidR="00D002F4" w:rsidRPr="00ED22D1">
        <w:rPr>
          <w:lang w:val="fr-CA"/>
        </w:rPr>
        <w:t xml:space="preserve"> </w:t>
      </w:r>
      <w:r w:rsidR="00D47B9E" w:rsidRPr="00ED22D1">
        <w:rPr>
          <w:lang w:val="fr-CA"/>
        </w:rPr>
        <w:t xml:space="preserve">mises à jour, </w:t>
      </w:r>
      <w:r w:rsidR="004B666A" w:rsidRPr="00ED22D1">
        <w:rPr>
          <w:lang w:val="fr-CA"/>
        </w:rPr>
        <w:t>y compris</w:t>
      </w:r>
      <w:r w:rsidR="00D002F4" w:rsidRPr="00ED22D1">
        <w:rPr>
          <w:lang w:val="fr-CA"/>
        </w:rPr>
        <w:t xml:space="preserve"> </w:t>
      </w:r>
      <w:r w:rsidR="00D47B9E" w:rsidRPr="00ED22D1">
        <w:rPr>
          <w:lang w:val="fr-CA"/>
        </w:rPr>
        <w:t xml:space="preserve">les études </w:t>
      </w:r>
      <w:r w:rsidR="004B666A" w:rsidRPr="00ED22D1">
        <w:rPr>
          <w:lang w:val="fr-CA"/>
        </w:rPr>
        <w:t>technologi</w:t>
      </w:r>
      <w:r w:rsidR="00D47B9E" w:rsidRPr="00ED22D1">
        <w:rPr>
          <w:lang w:val="fr-CA"/>
        </w:rPr>
        <w:t>ques</w:t>
      </w:r>
      <w:r w:rsidR="00D002F4" w:rsidRPr="00ED22D1">
        <w:rPr>
          <w:lang w:val="fr-CA"/>
        </w:rPr>
        <w:t xml:space="preserve">, </w:t>
      </w:r>
      <w:r w:rsidR="00D47B9E" w:rsidRPr="00ED22D1">
        <w:rPr>
          <w:lang w:val="fr-CA"/>
        </w:rPr>
        <w:t>l’élaboration de</w:t>
      </w:r>
      <w:r w:rsidR="00D21823">
        <w:rPr>
          <w:lang w:val="fr-CA"/>
        </w:rPr>
        <w:t> </w:t>
      </w:r>
      <w:r w:rsidR="00D47B9E" w:rsidRPr="00ED22D1">
        <w:rPr>
          <w:lang w:val="fr-CA"/>
        </w:rPr>
        <w:t>directives techniques pour le respect des règlements de sécurité</w:t>
      </w:r>
      <w:r w:rsidR="00D002F4" w:rsidRPr="00ED22D1">
        <w:rPr>
          <w:lang w:val="fr-CA"/>
        </w:rPr>
        <w:t>,</w:t>
      </w:r>
      <w:r w:rsidR="004A6828" w:rsidRPr="00ED22D1">
        <w:rPr>
          <w:lang w:val="fr-CA"/>
        </w:rPr>
        <w:t xml:space="preserve"> et </w:t>
      </w:r>
      <w:r w:rsidR="00D47B9E" w:rsidRPr="00ED22D1">
        <w:rPr>
          <w:lang w:val="fr-CA"/>
        </w:rPr>
        <w:t xml:space="preserve">la révision de </w:t>
      </w:r>
      <w:r w:rsidR="00DE118B" w:rsidRPr="00ED22D1">
        <w:rPr>
          <w:lang w:val="fr-CA"/>
        </w:rPr>
        <w:t>normes</w:t>
      </w:r>
      <w:r w:rsidR="00D002F4" w:rsidRPr="00ED22D1">
        <w:rPr>
          <w:lang w:val="fr-CA"/>
        </w:rPr>
        <w:t xml:space="preserve"> </w:t>
      </w:r>
      <w:r w:rsidR="00D47B9E" w:rsidRPr="00ED22D1">
        <w:rPr>
          <w:lang w:val="fr-CA"/>
        </w:rPr>
        <w:t>pour aider à</w:t>
      </w:r>
      <w:r w:rsidR="00D21823">
        <w:rPr>
          <w:lang w:val="fr-CA"/>
        </w:rPr>
        <w:t> </w:t>
      </w:r>
      <w:r w:rsidR="00D47B9E" w:rsidRPr="00ED22D1">
        <w:rPr>
          <w:lang w:val="fr-CA"/>
        </w:rPr>
        <w:t xml:space="preserve">la </w:t>
      </w:r>
      <w:r w:rsidR="00FB1DC4" w:rsidRPr="00ED22D1">
        <w:rPr>
          <w:lang w:val="fr-CA"/>
        </w:rPr>
        <w:t>reconversion</w:t>
      </w:r>
      <w:r w:rsidR="00D002F4" w:rsidRPr="00ED22D1">
        <w:rPr>
          <w:lang w:val="fr-CA"/>
        </w:rPr>
        <w:t xml:space="preserve"> </w:t>
      </w:r>
      <w:r w:rsidR="00D47B9E" w:rsidRPr="00ED22D1">
        <w:rPr>
          <w:lang w:val="fr-CA"/>
        </w:rPr>
        <w:t xml:space="preserve">de la capacité de fabrication et soutenir l’adoption </w:t>
      </w:r>
      <w:r w:rsidR="00884920" w:rsidRPr="00ED22D1">
        <w:rPr>
          <w:lang w:val="fr-CA"/>
        </w:rPr>
        <w:t>des technologies de remplacement par les marchés</w:t>
      </w:r>
      <w:r w:rsidR="00D002F4" w:rsidRPr="00ED22D1">
        <w:rPr>
          <w:lang w:val="fr-CA"/>
        </w:rPr>
        <w:t xml:space="preserve">. </w:t>
      </w:r>
      <w:r w:rsidR="00884920" w:rsidRPr="00ED22D1">
        <w:rPr>
          <w:lang w:val="fr-CA"/>
        </w:rPr>
        <w:t xml:space="preserve">Étant donné les progrès réalisés et le </w:t>
      </w:r>
      <w:r w:rsidR="00616B46" w:rsidRPr="00ED22D1">
        <w:rPr>
          <w:lang w:val="fr-CA"/>
        </w:rPr>
        <w:t>décaissement</w:t>
      </w:r>
      <w:r w:rsidR="00884920" w:rsidRPr="00ED22D1">
        <w:rPr>
          <w:lang w:val="fr-CA"/>
        </w:rPr>
        <w:t xml:space="preserve"> global de </w:t>
      </w:r>
      <w:r w:rsidR="00D002F4" w:rsidRPr="00ED22D1">
        <w:rPr>
          <w:lang w:val="fr-CA"/>
        </w:rPr>
        <w:t>49 </w:t>
      </w:r>
      <w:r w:rsidR="001B31BF" w:rsidRPr="00ED22D1">
        <w:rPr>
          <w:lang w:val="fr-CA"/>
        </w:rPr>
        <w:t>pour cent</w:t>
      </w:r>
      <w:r w:rsidR="00884920" w:rsidRPr="00ED22D1">
        <w:rPr>
          <w:lang w:val="fr-CA"/>
        </w:rPr>
        <w:t xml:space="preserve"> du financement</w:t>
      </w:r>
      <w:r w:rsidR="00D002F4" w:rsidRPr="00ED22D1">
        <w:rPr>
          <w:lang w:val="fr-CA"/>
        </w:rPr>
        <w:t>,</w:t>
      </w:r>
      <w:r w:rsidR="00DD185D" w:rsidRPr="00ED22D1">
        <w:rPr>
          <w:lang w:val="fr-CA"/>
        </w:rPr>
        <w:t xml:space="preserve"> le Secrétariat</w:t>
      </w:r>
      <w:r w:rsidR="00D002F4" w:rsidRPr="00ED22D1">
        <w:rPr>
          <w:lang w:val="fr-CA"/>
        </w:rPr>
        <w:t xml:space="preserve"> recomm</w:t>
      </w:r>
      <w:r w:rsidR="00884920" w:rsidRPr="00ED22D1">
        <w:rPr>
          <w:lang w:val="fr-CA"/>
        </w:rPr>
        <w:t>a</w:t>
      </w:r>
      <w:r w:rsidR="00D002F4" w:rsidRPr="00ED22D1">
        <w:rPr>
          <w:lang w:val="fr-CA"/>
        </w:rPr>
        <w:t>nd</w:t>
      </w:r>
      <w:r w:rsidR="00884920" w:rsidRPr="00ED22D1">
        <w:rPr>
          <w:lang w:val="fr-CA"/>
        </w:rPr>
        <w:t>e</w:t>
      </w:r>
      <w:r w:rsidR="00CB2326" w:rsidRPr="00ED22D1">
        <w:rPr>
          <w:lang w:val="fr-CA"/>
        </w:rPr>
        <w:t xml:space="preserve"> </w:t>
      </w:r>
      <w:r w:rsidR="00884920" w:rsidRPr="00ED22D1">
        <w:rPr>
          <w:lang w:val="fr-CA"/>
        </w:rPr>
        <w:t>l’</w:t>
      </w:r>
      <w:r w:rsidR="00CB2326" w:rsidRPr="00ED22D1">
        <w:rPr>
          <w:lang w:val="fr-CA"/>
        </w:rPr>
        <w:t>approbation</w:t>
      </w:r>
      <w:r w:rsidR="00D002F4" w:rsidRPr="00ED22D1">
        <w:rPr>
          <w:lang w:val="fr-CA"/>
        </w:rPr>
        <w:t xml:space="preserve"> </w:t>
      </w:r>
      <w:r w:rsidR="00884920" w:rsidRPr="00ED22D1">
        <w:rPr>
          <w:lang w:val="fr-CA"/>
        </w:rPr>
        <w:t>de</w:t>
      </w:r>
      <w:r w:rsidR="00D002F4" w:rsidRPr="00ED22D1">
        <w:rPr>
          <w:lang w:val="fr-CA"/>
        </w:rPr>
        <w:t xml:space="preserve"> </w:t>
      </w:r>
      <w:r w:rsidR="00874624" w:rsidRPr="00ED22D1">
        <w:rPr>
          <w:lang w:val="fr-CA"/>
        </w:rPr>
        <w:t>la troisième</w:t>
      </w:r>
      <w:r w:rsidR="00D002F4" w:rsidRPr="00ED22D1">
        <w:rPr>
          <w:lang w:val="fr-CA"/>
        </w:rPr>
        <w:t xml:space="preserve"> tranche.</w:t>
      </w:r>
    </w:p>
    <w:p w:rsidR="00D002F4" w:rsidRPr="00ED22D1" w:rsidRDefault="001B45EC" w:rsidP="00D002F4">
      <w:pPr>
        <w:keepNext/>
        <w:keepLines/>
        <w:rPr>
          <w:b/>
          <w:lang w:val="fr-CA"/>
        </w:rPr>
      </w:pPr>
      <w:r w:rsidRPr="00ED22D1">
        <w:rPr>
          <w:b/>
          <w:lang w:val="fr-CA"/>
        </w:rPr>
        <w:t>RECOMMANDATION</w:t>
      </w:r>
    </w:p>
    <w:p w:rsidR="00D002F4" w:rsidRPr="00ED22D1" w:rsidRDefault="00D002F4" w:rsidP="00D002F4">
      <w:pPr>
        <w:keepNext/>
        <w:keepLines/>
        <w:rPr>
          <w:lang w:val="fr-CA"/>
        </w:rPr>
      </w:pPr>
    </w:p>
    <w:p w:rsidR="00D002F4" w:rsidRPr="00ED22D1" w:rsidRDefault="00DC2912" w:rsidP="00DC2912">
      <w:pPr>
        <w:pStyle w:val="Heading1"/>
        <w:keepNext/>
        <w:keepLines/>
        <w:numPr>
          <w:ilvl w:val="0"/>
          <w:numId w:val="0"/>
        </w:numPr>
        <w:rPr>
          <w:lang w:val="fr-CA"/>
        </w:rPr>
      </w:pPr>
      <w:r w:rsidRPr="00ED22D1">
        <w:rPr>
          <w:lang w:val="fr-CA"/>
        </w:rPr>
        <w:t>97.</w:t>
      </w:r>
      <w:r w:rsidRPr="00ED22D1">
        <w:rPr>
          <w:lang w:val="fr-CA"/>
        </w:rPr>
        <w:tab/>
      </w:r>
      <w:r w:rsidR="001B45EC" w:rsidRPr="00ED22D1">
        <w:rPr>
          <w:lang w:val="fr-CA"/>
        </w:rPr>
        <w:t>Le Comité exécutif peut envisager</w:t>
      </w:r>
      <w:r w:rsidR="00791BF7" w:rsidRPr="00ED22D1">
        <w:rPr>
          <w:lang w:val="fr-CA"/>
        </w:rPr>
        <w:t> :</w:t>
      </w:r>
      <w:r w:rsidR="00D002F4" w:rsidRPr="00ED22D1">
        <w:rPr>
          <w:lang w:val="fr-CA"/>
        </w:rPr>
        <w:t xml:space="preserve"> </w:t>
      </w:r>
    </w:p>
    <w:p w:rsidR="00D002F4" w:rsidRPr="00ED22D1" w:rsidRDefault="00DC2912" w:rsidP="00F9745C">
      <w:pPr>
        <w:pStyle w:val="Heading2"/>
        <w:keepNext/>
        <w:keepLines/>
        <w:numPr>
          <w:ilvl w:val="0"/>
          <w:numId w:val="0"/>
        </w:numPr>
        <w:ind w:left="1440" w:hanging="720"/>
        <w:rPr>
          <w:lang w:val="fr-CA"/>
        </w:rPr>
      </w:pPr>
      <w:r w:rsidRPr="00ED22D1">
        <w:rPr>
          <w:lang w:val="fr-CA"/>
        </w:rPr>
        <w:t>(a)</w:t>
      </w:r>
      <w:r w:rsidRPr="00ED22D1">
        <w:rPr>
          <w:lang w:val="fr-CA"/>
        </w:rPr>
        <w:tab/>
      </w:r>
      <w:r w:rsidR="005C2D6A" w:rsidRPr="00ED22D1">
        <w:rPr>
          <w:lang w:val="fr-CA"/>
        </w:rPr>
        <w:t>De prendre note du rapport périodique de</w:t>
      </w:r>
      <w:r w:rsidR="00D002F4" w:rsidRPr="00ED22D1">
        <w:rPr>
          <w:lang w:val="fr-CA"/>
        </w:rPr>
        <w:t xml:space="preserve"> 2018 </w:t>
      </w:r>
      <w:r w:rsidR="00921BDE" w:rsidRPr="00ED22D1">
        <w:rPr>
          <w:lang w:val="fr-CA"/>
        </w:rPr>
        <w:t>sur la mise en oeuvre de la deuxième</w:t>
      </w:r>
      <w:r w:rsidR="00D002F4" w:rsidRPr="00ED22D1">
        <w:rPr>
          <w:lang w:val="fr-CA"/>
        </w:rPr>
        <w:t xml:space="preserve"> tranche </w:t>
      </w:r>
      <w:r w:rsidR="0080736A" w:rsidRPr="00ED22D1">
        <w:rPr>
          <w:lang w:val="fr-CA"/>
        </w:rPr>
        <w:t xml:space="preserve">du le plan du secteur de la climatisation et de la réfrigération commerciale et industrielle (ICR) </w:t>
      </w:r>
      <w:r w:rsidR="00921BDE" w:rsidRPr="00ED22D1">
        <w:rPr>
          <w:lang w:val="fr-CA"/>
        </w:rPr>
        <w:t>de la phase</w:t>
      </w:r>
      <w:r w:rsidR="004A6828" w:rsidRPr="00ED22D1">
        <w:rPr>
          <w:lang w:val="fr-CA"/>
        </w:rPr>
        <w:t xml:space="preserve"> </w:t>
      </w:r>
      <w:r w:rsidR="00D002F4" w:rsidRPr="00ED22D1">
        <w:rPr>
          <w:lang w:val="fr-CA"/>
        </w:rPr>
        <w:t xml:space="preserve">II </w:t>
      </w:r>
      <w:r w:rsidR="00921BDE" w:rsidRPr="00ED22D1">
        <w:rPr>
          <w:lang w:val="fr-CA"/>
        </w:rPr>
        <w:t>du plan d’élimination</w:t>
      </w:r>
      <w:r w:rsidR="004A6828" w:rsidRPr="00ED22D1">
        <w:rPr>
          <w:lang w:val="fr-CA"/>
        </w:rPr>
        <w:t xml:space="preserve"> des HCFC</w:t>
      </w:r>
      <w:r w:rsidR="00D002F4" w:rsidRPr="00ED22D1">
        <w:rPr>
          <w:lang w:val="fr-CA"/>
        </w:rPr>
        <w:t xml:space="preserve"> (</w:t>
      </w:r>
      <w:r w:rsidR="00DD185D" w:rsidRPr="00ED22D1">
        <w:rPr>
          <w:lang w:val="fr-CA"/>
        </w:rPr>
        <w:t>PGEH</w:t>
      </w:r>
      <w:r w:rsidR="00D002F4" w:rsidRPr="00ED22D1">
        <w:rPr>
          <w:lang w:val="fr-CA"/>
        </w:rPr>
        <w:t xml:space="preserve">) </w:t>
      </w:r>
      <w:r w:rsidR="001B31BF" w:rsidRPr="00ED22D1">
        <w:rPr>
          <w:lang w:val="fr-CA"/>
        </w:rPr>
        <w:t>de la Chine</w:t>
      </w:r>
      <w:r w:rsidR="00D002F4" w:rsidRPr="00ED22D1">
        <w:rPr>
          <w:lang w:val="fr-CA"/>
        </w:rPr>
        <w:t>;</w:t>
      </w:r>
    </w:p>
    <w:p w:rsidR="00D002F4" w:rsidRPr="00ED22D1" w:rsidRDefault="005C2D6A" w:rsidP="00F9745C">
      <w:pPr>
        <w:pStyle w:val="Heading2"/>
        <w:keepNext/>
        <w:keepLines/>
        <w:widowControl/>
        <w:numPr>
          <w:ilvl w:val="0"/>
          <w:numId w:val="0"/>
        </w:numPr>
        <w:ind w:left="1440" w:hanging="720"/>
        <w:rPr>
          <w:lang w:val="fr-CA"/>
        </w:rPr>
      </w:pPr>
      <w:r w:rsidRPr="00ED22D1">
        <w:rPr>
          <w:lang w:val="fr-CA"/>
        </w:rPr>
        <w:t>(b)</w:t>
      </w:r>
      <w:r w:rsidRPr="00ED22D1">
        <w:rPr>
          <w:lang w:val="fr-CA"/>
        </w:rPr>
        <w:tab/>
        <w:t>D’approuver</w:t>
      </w:r>
      <w:r w:rsidR="00D002F4" w:rsidRPr="00ED22D1">
        <w:rPr>
          <w:lang w:val="fr-CA"/>
        </w:rPr>
        <w:t xml:space="preserve"> </w:t>
      </w:r>
      <w:r w:rsidR="00874624" w:rsidRPr="00ED22D1">
        <w:rPr>
          <w:lang w:val="fr-CA"/>
        </w:rPr>
        <w:t>la troisième</w:t>
      </w:r>
      <w:r w:rsidR="00D002F4" w:rsidRPr="00ED22D1">
        <w:rPr>
          <w:lang w:val="fr-CA"/>
        </w:rPr>
        <w:t xml:space="preserve"> tranche </w:t>
      </w:r>
      <w:r w:rsidRPr="00ED22D1">
        <w:rPr>
          <w:lang w:val="fr-CA"/>
        </w:rPr>
        <w:t xml:space="preserve">du plan du secteur de la </w:t>
      </w:r>
      <w:r w:rsidR="00905638" w:rsidRPr="00ED22D1">
        <w:rPr>
          <w:lang w:val="fr-CA"/>
        </w:rPr>
        <w:t xml:space="preserve">climatisation et de </w:t>
      </w:r>
      <w:r w:rsidRPr="00ED22D1">
        <w:rPr>
          <w:lang w:val="fr-CA"/>
        </w:rPr>
        <w:t>la r</w:t>
      </w:r>
      <w:r w:rsidR="00905638" w:rsidRPr="00ED22D1">
        <w:rPr>
          <w:lang w:val="fr-CA"/>
        </w:rPr>
        <w:t>éfrigération industrielle et commerciale</w:t>
      </w:r>
      <w:r w:rsidR="00D002F4" w:rsidRPr="00ED22D1">
        <w:rPr>
          <w:lang w:val="fr-CA"/>
        </w:rPr>
        <w:t xml:space="preserve"> </w:t>
      </w:r>
      <w:r w:rsidR="00921BDE" w:rsidRPr="00ED22D1">
        <w:rPr>
          <w:lang w:val="fr-CA"/>
        </w:rPr>
        <w:t>de la phase</w:t>
      </w:r>
      <w:r w:rsidR="004A6828" w:rsidRPr="00ED22D1">
        <w:rPr>
          <w:lang w:val="fr-CA"/>
        </w:rPr>
        <w:t xml:space="preserve"> </w:t>
      </w:r>
      <w:r w:rsidR="00D002F4" w:rsidRPr="00ED22D1">
        <w:rPr>
          <w:lang w:val="fr-CA"/>
        </w:rPr>
        <w:t xml:space="preserve">II </w:t>
      </w:r>
      <w:r w:rsidR="001F19C1" w:rsidRPr="00ED22D1">
        <w:rPr>
          <w:lang w:val="fr-CA"/>
        </w:rPr>
        <w:t>du PGEH</w:t>
      </w:r>
      <w:r w:rsidR="00D002F4" w:rsidRPr="00ED22D1">
        <w:rPr>
          <w:lang w:val="fr-CA"/>
        </w:rPr>
        <w:t xml:space="preserve"> </w:t>
      </w:r>
      <w:r w:rsidR="001B31BF" w:rsidRPr="00ED22D1">
        <w:rPr>
          <w:lang w:val="fr-CA"/>
        </w:rPr>
        <w:t>de la Chine</w:t>
      </w:r>
      <w:r w:rsidR="00D002F4" w:rsidRPr="00ED22D1">
        <w:rPr>
          <w:lang w:val="fr-CA"/>
        </w:rPr>
        <w:t>,</w:t>
      </w:r>
      <w:r w:rsidR="004A6828" w:rsidRPr="00ED22D1">
        <w:rPr>
          <w:lang w:val="fr-CA"/>
        </w:rPr>
        <w:t xml:space="preserve"> et </w:t>
      </w:r>
      <w:r w:rsidRPr="00ED22D1">
        <w:rPr>
          <w:lang w:val="fr-CA"/>
        </w:rPr>
        <w:t xml:space="preserve">le plan correspondant de mise en oeuvre de la tranche de </w:t>
      </w:r>
      <w:r w:rsidR="00D002F4" w:rsidRPr="00ED22D1">
        <w:rPr>
          <w:lang w:val="fr-CA"/>
        </w:rPr>
        <w:t xml:space="preserve">2019, </w:t>
      </w:r>
      <w:r w:rsidR="001B31BF" w:rsidRPr="00ED22D1">
        <w:rPr>
          <w:lang w:val="fr-CA"/>
        </w:rPr>
        <w:t xml:space="preserve">au montant de </w:t>
      </w:r>
      <w:r w:rsidR="00D002F4" w:rsidRPr="00ED22D1">
        <w:rPr>
          <w:lang w:val="fr-CA"/>
        </w:rPr>
        <w:t>1</w:t>
      </w:r>
      <w:r w:rsidR="004A6828" w:rsidRPr="00ED22D1">
        <w:rPr>
          <w:lang w:val="fr-CA"/>
        </w:rPr>
        <w:t>2 </w:t>
      </w:r>
      <w:r w:rsidR="00D002F4" w:rsidRPr="00ED22D1">
        <w:rPr>
          <w:lang w:val="fr-CA"/>
        </w:rPr>
        <w:t>00</w:t>
      </w:r>
      <w:r w:rsidR="004A6828" w:rsidRPr="00ED22D1">
        <w:rPr>
          <w:lang w:val="fr-CA"/>
        </w:rPr>
        <w:t>0</w:t>
      </w:r>
      <w:r w:rsidR="00BA42C0" w:rsidRPr="00ED22D1">
        <w:rPr>
          <w:lang w:val="fr-CA"/>
        </w:rPr>
        <w:t> 000 $US</w:t>
      </w:r>
      <w:r w:rsidRPr="00ED22D1">
        <w:rPr>
          <w:lang w:val="fr-CA"/>
        </w:rPr>
        <w:t>,</w:t>
      </w:r>
      <w:r w:rsidR="004A6828" w:rsidRPr="00ED22D1">
        <w:rPr>
          <w:lang w:val="fr-CA"/>
        </w:rPr>
        <w:t> </w:t>
      </w:r>
      <w:r w:rsidR="001B31BF" w:rsidRPr="00ED22D1">
        <w:rPr>
          <w:lang w:val="fr-CA"/>
        </w:rPr>
        <w:t>plus des coûts</w:t>
      </w:r>
      <w:r w:rsidR="00DD185D" w:rsidRPr="00ED22D1">
        <w:rPr>
          <w:lang w:val="fr-CA"/>
        </w:rPr>
        <w:t xml:space="preserve"> d’appui d’</w:t>
      </w:r>
      <w:r w:rsidR="001B31BF" w:rsidRPr="00ED22D1">
        <w:rPr>
          <w:lang w:val="fr-CA"/>
        </w:rPr>
        <w:t>agence de</w:t>
      </w:r>
      <w:r w:rsidR="00D002F4" w:rsidRPr="00ED22D1">
        <w:rPr>
          <w:lang w:val="fr-CA"/>
        </w:rPr>
        <w:t xml:space="preserve"> 84</w:t>
      </w:r>
      <w:r w:rsidR="004A6828" w:rsidRPr="00ED22D1">
        <w:rPr>
          <w:lang w:val="fr-CA"/>
        </w:rPr>
        <w:t>0</w:t>
      </w:r>
      <w:r w:rsidR="00BA42C0" w:rsidRPr="00ED22D1">
        <w:rPr>
          <w:lang w:val="fr-CA"/>
        </w:rPr>
        <w:t> 000 $US</w:t>
      </w:r>
      <w:r w:rsidR="00D002F4" w:rsidRPr="00ED22D1">
        <w:rPr>
          <w:lang w:val="fr-CA"/>
        </w:rPr>
        <w:t xml:space="preserve"> </w:t>
      </w:r>
      <w:r w:rsidR="00921BDE" w:rsidRPr="00ED22D1">
        <w:rPr>
          <w:lang w:val="fr-CA"/>
        </w:rPr>
        <w:t xml:space="preserve">pour le </w:t>
      </w:r>
      <w:r w:rsidR="001F19C1" w:rsidRPr="00ED22D1">
        <w:rPr>
          <w:lang w:val="fr-CA"/>
        </w:rPr>
        <w:t>PNUD</w:t>
      </w:r>
      <w:r w:rsidR="00D002F4" w:rsidRPr="00ED22D1">
        <w:rPr>
          <w:lang w:val="fr-CA"/>
        </w:rPr>
        <w:t xml:space="preserve">, </w:t>
      </w:r>
      <w:r w:rsidRPr="00ED22D1">
        <w:rPr>
          <w:lang w:val="fr-CA"/>
        </w:rPr>
        <w:t>en étant entendu que</w:t>
      </w:r>
      <w:r w:rsidR="00791BF7" w:rsidRPr="00ED22D1">
        <w:rPr>
          <w:lang w:val="fr-CA"/>
        </w:rPr>
        <w:t> :</w:t>
      </w:r>
      <w:r w:rsidR="00D002F4" w:rsidRPr="00ED22D1">
        <w:rPr>
          <w:lang w:val="fr-CA"/>
        </w:rPr>
        <w:t xml:space="preserve"> </w:t>
      </w:r>
    </w:p>
    <w:p w:rsidR="00D002F4" w:rsidRPr="00ED22D1" w:rsidRDefault="005C2D6A" w:rsidP="00D002F4">
      <w:pPr>
        <w:pStyle w:val="Heading3"/>
        <w:rPr>
          <w:lang w:val="fr-CA"/>
        </w:rPr>
      </w:pPr>
      <w:r w:rsidRPr="00ED22D1">
        <w:rPr>
          <w:lang w:val="fr-CA"/>
        </w:rPr>
        <w:t xml:space="preserve">De concert avec la </w:t>
      </w:r>
      <w:r w:rsidR="00AA6E77" w:rsidRPr="00ED22D1">
        <w:rPr>
          <w:lang w:val="fr-CA"/>
        </w:rPr>
        <w:t>décision</w:t>
      </w:r>
      <w:r w:rsidR="00D002F4" w:rsidRPr="00ED22D1">
        <w:rPr>
          <w:lang w:val="fr-CA"/>
        </w:rPr>
        <w:t> XXVIII/</w:t>
      </w:r>
      <w:r w:rsidR="004A6828" w:rsidRPr="00ED22D1">
        <w:rPr>
          <w:lang w:val="fr-CA"/>
        </w:rPr>
        <w:t>2</w:t>
      </w:r>
      <w:r w:rsidRPr="00ED22D1">
        <w:rPr>
          <w:lang w:val="fr-CA"/>
        </w:rPr>
        <w:t>,</w:t>
      </w:r>
      <w:r w:rsidR="004A6828" w:rsidRPr="00ED22D1">
        <w:rPr>
          <w:lang w:val="fr-CA"/>
        </w:rPr>
        <w:t> </w:t>
      </w:r>
      <w:r w:rsidR="00BB7CCB" w:rsidRPr="00ED22D1">
        <w:rPr>
          <w:lang w:val="fr-CA"/>
        </w:rPr>
        <w:t xml:space="preserve">ces </w:t>
      </w:r>
      <w:r w:rsidR="00325FA0" w:rsidRPr="00ED22D1">
        <w:rPr>
          <w:lang w:val="fr-CA"/>
        </w:rPr>
        <w:t>circuits de fabrication</w:t>
      </w:r>
      <w:r w:rsidR="00D002F4" w:rsidRPr="00ED22D1">
        <w:rPr>
          <w:lang w:val="fr-CA"/>
        </w:rPr>
        <w:t xml:space="preserve"> </w:t>
      </w:r>
      <w:r w:rsidRPr="00ED22D1">
        <w:rPr>
          <w:lang w:val="fr-CA"/>
        </w:rPr>
        <w:t xml:space="preserve">qui ont été reconvertis à la technologie avec </w:t>
      </w:r>
      <w:r w:rsidR="00D002F4" w:rsidRPr="00ED22D1">
        <w:rPr>
          <w:lang w:val="fr-CA"/>
        </w:rPr>
        <w:t>CO</w:t>
      </w:r>
      <w:r w:rsidR="00D002F4" w:rsidRPr="00ED22D1">
        <w:rPr>
          <w:vertAlign w:val="subscript"/>
          <w:lang w:val="fr-CA"/>
        </w:rPr>
        <w:t>2</w:t>
      </w:r>
      <w:r w:rsidR="00D002F4" w:rsidRPr="00ED22D1">
        <w:rPr>
          <w:lang w:val="fr-CA"/>
        </w:rPr>
        <w:t xml:space="preserve">/HFC-134a </w:t>
      </w:r>
      <w:r w:rsidRPr="00ED22D1">
        <w:rPr>
          <w:lang w:val="fr-CA"/>
        </w:rPr>
        <w:t>au cours de</w:t>
      </w:r>
      <w:r w:rsidR="00D002F4" w:rsidRPr="00ED22D1">
        <w:rPr>
          <w:lang w:val="fr-CA"/>
        </w:rPr>
        <w:t xml:space="preserve"> </w:t>
      </w:r>
      <w:r w:rsidR="00874624" w:rsidRPr="00ED22D1">
        <w:rPr>
          <w:lang w:val="fr-CA"/>
        </w:rPr>
        <w:t>la troisième</w:t>
      </w:r>
      <w:r w:rsidR="00D002F4" w:rsidRPr="00ED22D1">
        <w:rPr>
          <w:lang w:val="fr-CA"/>
        </w:rPr>
        <w:t xml:space="preserve"> tranche </w:t>
      </w:r>
      <w:r w:rsidRPr="00ED22D1">
        <w:rPr>
          <w:lang w:val="fr-CA"/>
        </w:rPr>
        <w:t xml:space="preserve">ne seraient pas admissibles à d’autre </w:t>
      </w:r>
      <w:r w:rsidR="00D15079" w:rsidRPr="00ED22D1">
        <w:rPr>
          <w:lang w:val="fr-CA"/>
        </w:rPr>
        <w:t>financement</w:t>
      </w:r>
      <w:r w:rsidR="00D002F4" w:rsidRPr="00ED22D1">
        <w:rPr>
          <w:lang w:val="fr-CA"/>
        </w:rPr>
        <w:t xml:space="preserve"> </w:t>
      </w:r>
      <w:r w:rsidRPr="00ED22D1">
        <w:rPr>
          <w:lang w:val="fr-CA"/>
        </w:rPr>
        <w:t xml:space="preserve">du </w:t>
      </w:r>
      <w:r w:rsidR="00211FEC" w:rsidRPr="00ED22D1">
        <w:rPr>
          <w:lang w:val="fr-CA"/>
        </w:rPr>
        <w:t>Fonds</w:t>
      </w:r>
      <w:r w:rsidR="004B666A" w:rsidRPr="00ED22D1">
        <w:rPr>
          <w:lang w:val="fr-CA"/>
        </w:rPr>
        <w:t xml:space="preserve"> multilatéral</w:t>
      </w:r>
      <w:r w:rsidR="00D002F4" w:rsidRPr="00ED22D1">
        <w:rPr>
          <w:lang w:val="fr-CA"/>
        </w:rPr>
        <w:t>;</w:t>
      </w:r>
      <w:r w:rsidR="004A6828" w:rsidRPr="00ED22D1">
        <w:rPr>
          <w:lang w:val="fr-CA"/>
        </w:rPr>
        <w:t xml:space="preserve"> et </w:t>
      </w:r>
    </w:p>
    <w:p w:rsidR="00D002F4" w:rsidRPr="00ED22D1" w:rsidRDefault="005C2D6A" w:rsidP="00D002F4">
      <w:pPr>
        <w:pStyle w:val="Heading3"/>
        <w:rPr>
          <w:lang w:val="fr-CA"/>
        </w:rPr>
      </w:pPr>
      <w:r w:rsidRPr="00ED22D1">
        <w:rPr>
          <w:lang w:val="fr-CA"/>
        </w:rPr>
        <w:t xml:space="preserve">Le niveau de financement fourni à ces </w:t>
      </w:r>
      <w:r w:rsidR="00325FA0" w:rsidRPr="00ED22D1">
        <w:rPr>
          <w:lang w:val="fr-CA"/>
        </w:rPr>
        <w:t>circuits de fabrication</w:t>
      </w:r>
      <w:r w:rsidR="00D002F4" w:rsidRPr="00ED22D1">
        <w:rPr>
          <w:lang w:val="fr-CA"/>
        </w:rPr>
        <w:t xml:space="preserve"> </w:t>
      </w:r>
      <w:r w:rsidRPr="00ED22D1">
        <w:rPr>
          <w:lang w:val="fr-CA"/>
        </w:rPr>
        <w:t>ne constituerait pas un précédent pour aucune telle reconversion future</w:t>
      </w:r>
      <w:r w:rsidR="00D002F4" w:rsidRPr="00ED22D1">
        <w:rPr>
          <w:lang w:val="fr-CA"/>
        </w:rPr>
        <w:t xml:space="preserve">.  </w:t>
      </w:r>
    </w:p>
    <w:p w:rsidR="003F747F" w:rsidRDefault="003F747F" w:rsidP="003F747F">
      <w:pPr>
        <w:rPr>
          <w:b/>
          <w:lang w:val="fr-CA"/>
        </w:rPr>
      </w:pPr>
      <w:r>
        <w:rPr>
          <w:b/>
          <w:lang w:val="fr-CA"/>
        </w:rPr>
        <w:br w:type="page"/>
      </w:r>
    </w:p>
    <w:p w:rsidR="005C2D6A" w:rsidRPr="00ED22D1" w:rsidRDefault="005C2D6A" w:rsidP="00FE3085">
      <w:pPr>
        <w:rPr>
          <w:b/>
          <w:lang w:val="fr-CA"/>
        </w:rPr>
      </w:pPr>
    </w:p>
    <w:p w:rsidR="000A787F" w:rsidRPr="00ED22D1" w:rsidRDefault="004822BF" w:rsidP="000A787F">
      <w:pPr>
        <w:jc w:val="center"/>
        <w:rPr>
          <w:b/>
          <w:lang w:val="fr-CA"/>
        </w:rPr>
      </w:pPr>
      <w:r w:rsidRPr="00ED22D1">
        <w:rPr>
          <w:b/>
          <w:bCs/>
          <w:lang w:val="fr-CA"/>
        </w:rPr>
        <w:t>FICHE D’ÉVALUATION DE PROJET - PROJETS PLURIANNUELS</w:t>
      </w:r>
    </w:p>
    <w:p w:rsidR="000A787F" w:rsidRPr="00ED22D1" w:rsidRDefault="000A787F" w:rsidP="000A787F">
      <w:pPr>
        <w:jc w:val="center"/>
        <w:rPr>
          <w:b/>
          <w:lang w:val="fr-CA"/>
        </w:rPr>
      </w:pPr>
    </w:p>
    <w:p w:rsidR="000A787F" w:rsidRPr="00ED22D1" w:rsidRDefault="00F12D89" w:rsidP="000A787F">
      <w:pPr>
        <w:jc w:val="center"/>
        <w:rPr>
          <w:b/>
          <w:lang w:val="fr-CA"/>
        </w:rPr>
      </w:pPr>
      <w:r w:rsidRPr="00ED22D1">
        <w:rPr>
          <w:b/>
          <w:lang w:val="fr-CA"/>
        </w:rPr>
        <w:t>CHINE</w:t>
      </w:r>
    </w:p>
    <w:p w:rsidR="000A787F" w:rsidRPr="00ED22D1" w:rsidRDefault="000A787F" w:rsidP="000A787F">
      <w:pPr>
        <w:jc w:val="center"/>
        <w:rPr>
          <w:lang w:val="fr-CA"/>
        </w:rPr>
      </w:pPr>
    </w:p>
    <w:tbl>
      <w:tblPr>
        <w:tblStyle w:val="TableGrid10"/>
        <w:tblW w:w="5000" w:type="pct"/>
        <w:tblLook w:val="04A0" w:firstRow="1" w:lastRow="0" w:firstColumn="1" w:lastColumn="0" w:noHBand="0" w:noVBand="1"/>
      </w:tblPr>
      <w:tblGrid>
        <w:gridCol w:w="3093"/>
        <w:gridCol w:w="2083"/>
        <w:gridCol w:w="2228"/>
        <w:gridCol w:w="2172"/>
      </w:tblGrid>
      <w:tr w:rsidR="004822BF" w:rsidRPr="00ED22D1" w:rsidTr="00F12D89">
        <w:trPr>
          <w:trHeight w:val="240"/>
        </w:trPr>
        <w:tc>
          <w:tcPr>
            <w:tcW w:w="1665" w:type="pct"/>
            <w:shd w:val="clear" w:color="auto" w:fill="auto"/>
          </w:tcPr>
          <w:p w:rsidR="004822BF" w:rsidRPr="00ED22D1" w:rsidRDefault="004822BF" w:rsidP="00EA1D72">
            <w:pPr>
              <w:spacing w:after="80"/>
              <w:jc w:val="left"/>
              <w:rPr>
                <w:b/>
                <w:sz w:val="20"/>
                <w:szCs w:val="24"/>
                <w:lang w:val="fr-CA"/>
              </w:rPr>
            </w:pPr>
            <w:r w:rsidRPr="00ED22D1">
              <w:rPr>
                <w:b/>
                <w:sz w:val="20"/>
                <w:szCs w:val="24"/>
                <w:lang w:val="fr-CA"/>
              </w:rPr>
              <w:t>(I) TITRE DU PROJET</w:t>
            </w:r>
          </w:p>
        </w:tc>
        <w:tc>
          <w:tcPr>
            <w:tcW w:w="1137" w:type="pct"/>
            <w:shd w:val="clear" w:color="auto" w:fill="auto"/>
          </w:tcPr>
          <w:p w:rsidR="004822BF" w:rsidRPr="00ED22D1" w:rsidRDefault="004822BF" w:rsidP="00EA1D72">
            <w:pPr>
              <w:spacing w:after="80"/>
              <w:jc w:val="center"/>
              <w:rPr>
                <w:b/>
                <w:sz w:val="20"/>
                <w:szCs w:val="24"/>
                <w:lang w:val="fr-CA"/>
              </w:rPr>
            </w:pPr>
            <w:r w:rsidRPr="00ED22D1">
              <w:rPr>
                <w:b/>
                <w:sz w:val="20"/>
                <w:szCs w:val="24"/>
                <w:lang w:val="fr-CA"/>
              </w:rPr>
              <w:t>AGENCE</w:t>
            </w:r>
          </w:p>
        </w:tc>
        <w:tc>
          <w:tcPr>
            <w:tcW w:w="1213" w:type="pct"/>
            <w:shd w:val="clear" w:color="auto" w:fill="auto"/>
          </w:tcPr>
          <w:p w:rsidR="004822BF" w:rsidRPr="00ED22D1" w:rsidRDefault="004822BF" w:rsidP="004822BF">
            <w:pPr>
              <w:spacing w:after="80"/>
              <w:jc w:val="center"/>
              <w:rPr>
                <w:b/>
                <w:sz w:val="20"/>
                <w:szCs w:val="24"/>
                <w:lang w:val="fr-CA"/>
              </w:rPr>
            </w:pPr>
            <w:r w:rsidRPr="00ED22D1">
              <w:rPr>
                <w:b/>
                <w:sz w:val="20"/>
                <w:szCs w:val="24"/>
                <w:lang w:val="fr-CA"/>
              </w:rPr>
              <w:t>RÉUNION APPROUVÉE</w:t>
            </w:r>
          </w:p>
        </w:tc>
        <w:tc>
          <w:tcPr>
            <w:tcW w:w="985" w:type="pct"/>
            <w:shd w:val="clear" w:color="auto" w:fill="auto"/>
          </w:tcPr>
          <w:p w:rsidR="004822BF" w:rsidRPr="00ED22D1" w:rsidRDefault="004822BF" w:rsidP="00EA1D72">
            <w:pPr>
              <w:spacing w:after="80"/>
              <w:jc w:val="center"/>
              <w:rPr>
                <w:b/>
                <w:sz w:val="20"/>
                <w:szCs w:val="24"/>
                <w:lang w:val="fr-CA"/>
              </w:rPr>
            </w:pPr>
            <w:r w:rsidRPr="00ED22D1">
              <w:rPr>
                <w:b/>
                <w:sz w:val="20"/>
                <w:szCs w:val="24"/>
                <w:lang w:val="fr-CA"/>
              </w:rPr>
              <w:t>MESURE DE RÉGLEMENTATION</w:t>
            </w:r>
          </w:p>
        </w:tc>
      </w:tr>
      <w:tr w:rsidR="000A787F" w:rsidRPr="00ED22D1" w:rsidTr="00F12D89">
        <w:trPr>
          <w:trHeight w:val="240"/>
        </w:trPr>
        <w:tc>
          <w:tcPr>
            <w:tcW w:w="1665" w:type="pct"/>
            <w:shd w:val="clear" w:color="auto" w:fill="auto"/>
          </w:tcPr>
          <w:p w:rsidR="000A787F" w:rsidRPr="00ED22D1" w:rsidRDefault="004822BF" w:rsidP="00F12D89">
            <w:pPr>
              <w:spacing w:after="80"/>
              <w:jc w:val="center"/>
              <w:rPr>
                <w:sz w:val="18"/>
                <w:szCs w:val="18"/>
                <w:lang w:val="fr-CA"/>
              </w:rPr>
            </w:pPr>
            <w:r w:rsidRPr="00ED22D1">
              <w:rPr>
                <w:sz w:val="18"/>
                <w:szCs w:val="18"/>
                <w:lang w:val="fr-CA"/>
              </w:rPr>
              <w:t>Plan d’élimination des HCFC</w:t>
            </w:r>
            <w:r w:rsidR="000A787F" w:rsidRPr="00ED22D1">
              <w:rPr>
                <w:sz w:val="18"/>
                <w:szCs w:val="18"/>
                <w:lang w:val="fr-CA"/>
              </w:rPr>
              <w:t xml:space="preserve"> </w:t>
            </w:r>
            <w:r w:rsidRPr="00ED22D1">
              <w:rPr>
                <w:sz w:val="18"/>
                <w:szCs w:val="18"/>
                <w:lang w:val="fr-CA"/>
              </w:rPr>
              <w:t>(phase</w:t>
            </w:r>
            <w:r w:rsidR="000A787F" w:rsidRPr="00ED22D1">
              <w:rPr>
                <w:sz w:val="18"/>
                <w:szCs w:val="18"/>
                <w:lang w:val="fr-CA"/>
              </w:rPr>
              <w:t xml:space="preserve"> II) </w:t>
            </w:r>
            <w:r w:rsidR="00181884" w:rsidRPr="00ED22D1">
              <w:rPr>
                <w:sz w:val="18"/>
                <w:szCs w:val="18"/>
                <w:lang w:val="fr-CA"/>
              </w:rPr>
              <w:t>entretien en réfrigération</w:t>
            </w:r>
            <w:r w:rsidR="00F51720" w:rsidRPr="00ED22D1">
              <w:rPr>
                <w:sz w:val="18"/>
                <w:szCs w:val="18"/>
                <w:lang w:val="fr-CA"/>
              </w:rPr>
              <w:t xml:space="preserve"> et </w:t>
            </w:r>
            <w:r w:rsidR="001B31BF" w:rsidRPr="00ED22D1">
              <w:rPr>
                <w:sz w:val="18"/>
                <w:szCs w:val="18"/>
                <w:lang w:val="fr-CA"/>
              </w:rPr>
              <w:t>programme habilitant</w:t>
            </w:r>
          </w:p>
        </w:tc>
        <w:tc>
          <w:tcPr>
            <w:tcW w:w="1137" w:type="pct"/>
            <w:shd w:val="clear" w:color="auto" w:fill="auto"/>
          </w:tcPr>
          <w:p w:rsidR="000A787F" w:rsidRPr="00ED22D1" w:rsidRDefault="0036650B" w:rsidP="00F51720">
            <w:pPr>
              <w:spacing w:after="80"/>
              <w:jc w:val="center"/>
              <w:rPr>
                <w:sz w:val="18"/>
                <w:szCs w:val="20"/>
                <w:lang w:val="fr-CA"/>
              </w:rPr>
            </w:pPr>
            <w:r w:rsidRPr="00ED22D1">
              <w:rPr>
                <w:sz w:val="18"/>
                <w:szCs w:val="20"/>
                <w:lang w:val="fr-CA"/>
              </w:rPr>
              <w:t>PNUE</w:t>
            </w:r>
            <w:r w:rsidR="000A787F" w:rsidRPr="00ED22D1">
              <w:rPr>
                <w:sz w:val="18"/>
                <w:szCs w:val="20"/>
                <w:lang w:val="fr-CA"/>
              </w:rPr>
              <w:t xml:space="preserve"> </w:t>
            </w:r>
            <w:r w:rsidR="0052712E" w:rsidRPr="00ED22D1">
              <w:rPr>
                <w:sz w:val="18"/>
                <w:szCs w:val="20"/>
                <w:lang w:val="fr-CA"/>
              </w:rPr>
              <w:t>(principale)</w:t>
            </w:r>
            <w:r w:rsidR="000A787F" w:rsidRPr="00ED22D1">
              <w:rPr>
                <w:sz w:val="18"/>
                <w:szCs w:val="20"/>
                <w:lang w:val="fr-CA"/>
              </w:rPr>
              <w:t xml:space="preserve">, </w:t>
            </w:r>
            <w:r w:rsidR="00F51720" w:rsidRPr="00ED22D1">
              <w:rPr>
                <w:sz w:val="18"/>
                <w:szCs w:val="20"/>
                <w:lang w:val="fr-CA"/>
              </w:rPr>
              <w:t>Allemagne et Japon</w:t>
            </w:r>
          </w:p>
        </w:tc>
        <w:tc>
          <w:tcPr>
            <w:tcW w:w="1213" w:type="pct"/>
            <w:shd w:val="clear" w:color="auto" w:fill="auto"/>
          </w:tcPr>
          <w:p w:rsidR="000A787F" w:rsidRPr="00ED22D1" w:rsidRDefault="000A787F" w:rsidP="00F51720">
            <w:pPr>
              <w:spacing w:after="80"/>
              <w:jc w:val="center"/>
              <w:rPr>
                <w:sz w:val="18"/>
                <w:szCs w:val="20"/>
                <w:lang w:val="fr-CA"/>
              </w:rPr>
            </w:pPr>
            <w:r w:rsidRPr="00ED22D1">
              <w:rPr>
                <w:sz w:val="18"/>
                <w:szCs w:val="20"/>
                <w:lang w:val="fr-CA"/>
              </w:rPr>
              <w:t>76</w:t>
            </w:r>
            <w:r w:rsidR="00F51720" w:rsidRPr="00ED22D1">
              <w:rPr>
                <w:sz w:val="18"/>
                <w:szCs w:val="20"/>
                <w:vertAlign w:val="superscript"/>
                <w:lang w:val="fr-CA"/>
              </w:rPr>
              <w:t>e</w:t>
            </w:r>
            <w:r w:rsidR="00F51720" w:rsidRPr="00ED22D1">
              <w:rPr>
                <w:sz w:val="18"/>
                <w:szCs w:val="20"/>
                <w:lang w:val="fr-CA"/>
              </w:rPr>
              <w:t xml:space="preserve"> </w:t>
            </w:r>
            <w:r w:rsidRPr="00ED22D1">
              <w:rPr>
                <w:sz w:val="18"/>
                <w:szCs w:val="20"/>
                <w:lang w:val="fr-CA"/>
              </w:rPr>
              <w:t xml:space="preserve"> </w:t>
            </w:r>
          </w:p>
        </w:tc>
        <w:tc>
          <w:tcPr>
            <w:tcW w:w="985" w:type="pct"/>
            <w:shd w:val="clear" w:color="auto" w:fill="auto"/>
          </w:tcPr>
          <w:p w:rsidR="000A787F" w:rsidRPr="00ED22D1" w:rsidRDefault="00F12D89" w:rsidP="00F12D89">
            <w:pPr>
              <w:spacing w:after="80"/>
              <w:jc w:val="center"/>
              <w:rPr>
                <w:sz w:val="18"/>
                <w:szCs w:val="20"/>
                <w:lang w:val="fr-CA"/>
              </w:rPr>
            </w:pPr>
            <w:r w:rsidRPr="00ED22D1">
              <w:rPr>
                <w:sz w:val="18"/>
                <w:szCs w:val="20"/>
                <w:lang w:val="fr-CA"/>
              </w:rPr>
              <w:t>s.o.</w:t>
            </w:r>
          </w:p>
        </w:tc>
      </w:tr>
    </w:tbl>
    <w:p w:rsidR="000A787F" w:rsidRPr="00ED22D1" w:rsidRDefault="000A787F" w:rsidP="000A787F">
      <w:pPr>
        <w:pStyle w:val="Title1"/>
        <w:rPr>
          <w:lang w:val="fr-CA"/>
        </w:rPr>
      </w:pPr>
    </w:p>
    <w:tbl>
      <w:tblPr>
        <w:tblStyle w:val="TableGrid20"/>
        <w:tblW w:w="5000" w:type="pct"/>
        <w:tblLook w:val="04A0" w:firstRow="1" w:lastRow="0" w:firstColumn="1" w:lastColumn="0" w:noHBand="0" w:noVBand="1"/>
      </w:tblPr>
      <w:tblGrid>
        <w:gridCol w:w="5211"/>
        <w:gridCol w:w="2268"/>
        <w:gridCol w:w="2097"/>
      </w:tblGrid>
      <w:tr w:rsidR="00103EB0" w:rsidRPr="00ED22D1" w:rsidTr="00103EB0">
        <w:trPr>
          <w:trHeight w:val="240"/>
        </w:trPr>
        <w:tc>
          <w:tcPr>
            <w:tcW w:w="2721" w:type="pct"/>
            <w:shd w:val="clear" w:color="auto" w:fill="auto"/>
          </w:tcPr>
          <w:p w:rsidR="00103EB0" w:rsidRPr="00ED22D1" w:rsidRDefault="00103EB0" w:rsidP="00103EB0">
            <w:pPr>
              <w:spacing w:after="60"/>
              <w:jc w:val="left"/>
              <w:rPr>
                <w:b/>
                <w:sz w:val="18"/>
                <w:szCs w:val="20"/>
                <w:lang w:val="fr-CA"/>
              </w:rPr>
            </w:pPr>
            <w:r w:rsidRPr="00ED22D1">
              <w:rPr>
                <w:b/>
                <w:sz w:val="18"/>
                <w:szCs w:val="20"/>
                <w:lang w:val="fr-CA"/>
              </w:rPr>
              <w:t xml:space="preserve">(II) </w:t>
            </w:r>
            <w:r w:rsidRPr="00ED22D1">
              <w:rPr>
                <w:b/>
                <w:sz w:val="20"/>
                <w:szCs w:val="24"/>
                <w:lang w:val="fr-CA"/>
              </w:rPr>
              <w:t xml:space="preserve">DERNIÈRES DONNÉES DE L’ARTICLE 7     </w:t>
            </w:r>
            <w:r w:rsidRPr="00ED22D1">
              <w:rPr>
                <w:b/>
                <w:sz w:val="18"/>
                <w:szCs w:val="20"/>
                <w:lang w:val="fr-CA"/>
              </w:rPr>
              <w:t>(Annexe C Groupe l)</w:t>
            </w:r>
          </w:p>
        </w:tc>
        <w:tc>
          <w:tcPr>
            <w:tcW w:w="1184" w:type="pct"/>
            <w:shd w:val="clear" w:color="auto" w:fill="auto"/>
          </w:tcPr>
          <w:p w:rsidR="00103EB0" w:rsidRPr="00ED22D1" w:rsidRDefault="00103EB0" w:rsidP="00103EB0">
            <w:pPr>
              <w:spacing w:after="60"/>
              <w:jc w:val="center"/>
              <w:rPr>
                <w:sz w:val="18"/>
                <w:szCs w:val="20"/>
                <w:lang w:val="fr-CA"/>
              </w:rPr>
            </w:pPr>
            <w:r w:rsidRPr="00ED22D1">
              <w:rPr>
                <w:sz w:val="18"/>
                <w:szCs w:val="20"/>
                <w:lang w:val="fr-CA"/>
              </w:rPr>
              <w:t>Année</w:t>
            </w:r>
            <w:r w:rsidR="00791BF7" w:rsidRPr="00ED22D1">
              <w:rPr>
                <w:sz w:val="18"/>
                <w:szCs w:val="20"/>
                <w:lang w:val="fr-CA"/>
              </w:rPr>
              <w:t> :</w:t>
            </w:r>
            <w:r w:rsidRPr="00ED22D1">
              <w:rPr>
                <w:sz w:val="18"/>
                <w:szCs w:val="20"/>
                <w:lang w:val="fr-CA"/>
              </w:rPr>
              <w:t xml:space="preserve"> 2017</w:t>
            </w:r>
          </w:p>
        </w:tc>
        <w:tc>
          <w:tcPr>
            <w:tcW w:w="1095" w:type="pct"/>
            <w:shd w:val="clear" w:color="auto" w:fill="auto"/>
          </w:tcPr>
          <w:p w:rsidR="00103EB0" w:rsidRPr="00ED22D1" w:rsidRDefault="00103EB0" w:rsidP="00103EB0">
            <w:pPr>
              <w:spacing w:after="60"/>
              <w:jc w:val="right"/>
              <w:rPr>
                <w:sz w:val="18"/>
                <w:szCs w:val="20"/>
                <w:lang w:val="fr-CA"/>
              </w:rPr>
            </w:pPr>
            <w:r w:rsidRPr="00ED22D1">
              <w:rPr>
                <w:sz w:val="18"/>
                <w:szCs w:val="20"/>
                <w:lang w:val="fr-CA"/>
              </w:rPr>
              <w:t>14 604,66 (tonnes PAO)</w:t>
            </w:r>
          </w:p>
        </w:tc>
      </w:tr>
    </w:tbl>
    <w:p w:rsidR="000A787F" w:rsidRPr="00ED22D1" w:rsidRDefault="000A787F" w:rsidP="000A787F">
      <w:pPr>
        <w:pStyle w:val="Title1"/>
        <w:rPr>
          <w:lang w:val="fr-CA"/>
        </w:rPr>
      </w:pPr>
    </w:p>
    <w:tbl>
      <w:tblPr>
        <w:tblStyle w:val="TableGrid30"/>
        <w:tblW w:w="5000" w:type="pct"/>
        <w:tblInd w:w="-34" w:type="dxa"/>
        <w:tblLayout w:type="fixed"/>
        <w:tblLook w:val="04A0" w:firstRow="1" w:lastRow="0" w:firstColumn="1" w:lastColumn="0" w:noHBand="0" w:noVBand="1"/>
      </w:tblPr>
      <w:tblGrid>
        <w:gridCol w:w="703"/>
        <w:gridCol w:w="847"/>
        <w:gridCol w:w="841"/>
        <w:gridCol w:w="871"/>
        <w:gridCol w:w="1105"/>
        <w:gridCol w:w="992"/>
        <w:gridCol w:w="737"/>
        <w:gridCol w:w="1235"/>
        <w:gridCol w:w="52"/>
        <w:gridCol w:w="940"/>
        <w:gridCol w:w="1253"/>
      </w:tblGrid>
      <w:tr w:rsidR="000A787F" w:rsidRPr="00ED22D1" w:rsidTr="0002005B">
        <w:trPr>
          <w:trHeight w:val="240"/>
        </w:trPr>
        <w:tc>
          <w:tcPr>
            <w:tcW w:w="3828" w:type="pct"/>
            <w:gridSpan w:val="8"/>
            <w:shd w:val="clear" w:color="auto" w:fill="auto"/>
          </w:tcPr>
          <w:p w:rsidR="000A787F" w:rsidRPr="00ED22D1" w:rsidRDefault="000A787F" w:rsidP="00103EB0">
            <w:pPr>
              <w:spacing w:after="60"/>
              <w:jc w:val="left"/>
              <w:rPr>
                <w:b/>
                <w:sz w:val="18"/>
                <w:szCs w:val="20"/>
                <w:lang w:val="fr-CA"/>
              </w:rPr>
            </w:pPr>
            <w:r w:rsidRPr="00ED22D1">
              <w:rPr>
                <w:b/>
                <w:sz w:val="18"/>
                <w:szCs w:val="20"/>
                <w:lang w:val="fr-CA"/>
              </w:rPr>
              <w:t xml:space="preserve">(III) </w:t>
            </w:r>
            <w:r w:rsidR="00103EB0" w:rsidRPr="00ED22D1">
              <w:rPr>
                <w:b/>
                <w:sz w:val="20"/>
                <w:szCs w:val="24"/>
                <w:lang w:val="fr-CA"/>
              </w:rPr>
              <w:t xml:space="preserve">DERNIÈRES DONNÉES SECTORIELLES DU PROGRAMME DE PAYS </w:t>
            </w:r>
            <w:r w:rsidR="0052712E" w:rsidRPr="00ED22D1">
              <w:rPr>
                <w:b/>
                <w:sz w:val="18"/>
                <w:szCs w:val="20"/>
                <w:lang w:val="fr-CA"/>
              </w:rPr>
              <w:t>(tonnes PAO)</w:t>
            </w:r>
          </w:p>
        </w:tc>
        <w:tc>
          <w:tcPr>
            <w:tcW w:w="1172" w:type="pct"/>
            <w:gridSpan w:val="3"/>
            <w:shd w:val="clear" w:color="auto" w:fill="auto"/>
          </w:tcPr>
          <w:p w:rsidR="000A787F" w:rsidRPr="00ED22D1" w:rsidRDefault="0052712E" w:rsidP="00F12D89">
            <w:pPr>
              <w:spacing w:after="60"/>
              <w:jc w:val="right"/>
              <w:rPr>
                <w:b/>
                <w:sz w:val="18"/>
                <w:szCs w:val="20"/>
                <w:lang w:val="fr-CA"/>
              </w:rPr>
            </w:pPr>
            <w:r w:rsidRPr="00ED22D1">
              <w:rPr>
                <w:b/>
                <w:sz w:val="18"/>
                <w:szCs w:val="20"/>
                <w:lang w:val="fr-CA"/>
              </w:rPr>
              <w:t>Année</w:t>
            </w:r>
            <w:r w:rsidR="00791BF7" w:rsidRPr="00ED22D1">
              <w:rPr>
                <w:b/>
                <w:sz w:val="18"/>
                <w:szCs w:val="20"/>
                <w:lang w:val="fr-CA"/>
              </w:rPr>
              <w:t> :</w:t>
            </w:r>
            <w:r w:rsidR="000A787F" w:rsidRPr="00ED22D1">
              <w:rPr>
                <w:b/>
                <w:sz w:val="18"/>
                <w:szCs w:val="20"/>
                <w:lang w:val="fr-CA"/>
              </w:rPr>
              <w:t xml:space="preserve"> 2017</w:t>
            </w:r>
          </w:p>
        </w:tc>
      </w:tr>
      <w:tr w:rsidR="001A012D" w:rsidRPr="00ED22D1" w:rsidTr="001A012D">
        <w:trPr>
          <w:trHeight w:val="240"/>
        </w:trPr>
        <w:tc>
          <w:tcPr>
            <w:tcW w:w="367" w:type="pct"/>
            <w:shd w:val="clear" w:color="auto" w:fill="auto"/>
          </w:tcPr>
          <w:p w:rsidR="00103EB0" w:rsidRPr="00ED22D1" w:rsidRDefault="00103EB0" w:rsidP="00EA1D72">
            <w:pPr>
              <w:spacing w:after="60"/>
              <w:jc w:val="center"/>
              <w:rPr>
                <w:sz w:val="16"/>
                <w:szCs w:val="16"/>
                <w:lang w:val="fr-CA"/>
              </w:rPr>
            </w:pPr>
            <w:r w:rsidRPr="00ED22D1">
              <w:rPr>
                <w:sz w:val="16"/>
                <w:szCs w:val="16"/>
                <w:lang w:val="fr-CA"/>
              </w:rPr>
              <w:t>Produit chimique</w:t>
            </w:r>
          </w:p>
        </w:tc>
        <w:tc>
          <w:tcPr>
            <w:tcW w:w="442" w:type="pct"/>
            <w:shd w:val="clear" w:color="auto" w:fill="auto"/>
          </w:tcPr>
          <w:p w:rsidR="00103EB0" w:rsidRPr="00ED22D1" w:rsidRDefault="00103EB0" w:rsidP="00EA1D72">
            <w:pPr>
              <w:spacing w:after="60"/>
              <w:jc w:val="center"/>
              <w:rPr>
                <w:sz w:val="16"/>
                <w:szCs w:val="16"/>
                <w:lang w:val="fr-CA"/>
              </w:rPr>
            </w:pPr>
            <w:r w:rsidRPr="00ED22D1">
              <w:rPr>
                <w:sz w:val="16"/>
                <w:szCs w:val="16"/>
                <w:lang w:val="fr-CA"/>
              </w:rPr>
              <w:t>Aérosol</w:t>
            </w:r>
          </w:p>
        </w:tc>
        <w:tc>
          <w:tcPr>
            <w:tcW w:w="439" w:type="pct"/>
            <w:shd w:val="clear" w:color="auto" w:fill="auto"/>
          </w:tcPr>
          <w:p w:rsidR="00103EB0" w:rsidRPr="00ED22D1" w:rsidRDefault="00103EB0" w:rsidP="00EA1D72">
            <w:pPr>
              <w:spacing w:after="60"/>
              <w:jc w:val="center"/>
              <w:rPr>
                <w:sz w:val="16"/>
                <w:szCs w:val="16"/>
                <w:lang w:val="fr-CA"/>
              </w:rPr>
            </w:pPr>
            <w:r w:rsidRPr="00ED22D1">
              <w:rPr>
                <w:sz w:val="16"/>
                <w:szCs w:val="16"/>
                <w:lang w:val="fr-CA"/>
              </w:rPr>
              <w:t>Mousse</w:t>
            </w:r>
          </w:p>
        </w:tc>
        <w:tc>
          <w:tcPr>
            <w:tcW w:w="454" w:type="pct"/>
            <w:shd w:val="clear" w:color="auto" w:fill="auto"/>
          </w:tcPr>
          <w:p w:rsidR="00103EB0" w:rsidRPr="00ED22D1" w:rsidRDefault="00103EB0" w:rsidP="00EA1D72">
            <w:pPr>
              <w:spacing w:after="60"/>
              <w:jc w:val="center"/>
              <w:rPr>
                <w:sz w:val="16"/>
                <w:szCs w:val="16"/>
                <w:lang w:val="fr-CA"/>
              </w:rPr>
            </w:pPr>
            <w:r w:rsidRPr="00ED22D1">
              <w:rPr>
                <w:sz w:val="16"/>
                <w:szCs w:val="16"/>
                <w:lang w:val="fr-CA"/>
              </w:rPr>
              <w:t xml:space="preserve">Lutte </w:t>
            </w:r>
            <w:r w:rsidR="00D21823">
              <w:rPr>
                <w:sz w:val="16"/>
                <w:szCs w:val="16"/>
                <w:lang w:val="fr-CA"/>
              </w:rPr>
              <w:t xml:space="preserve"> </w:t>
            </w:r>
            <w:r w:rsidRPr="00ED22D1">
              <w:rPr>
                <w:sz w:val="16"/>
                <w:szCs w:val="16"/>
                <w:lang w:val="fr-CA"/>
              </w:rPr>
              <w:t>contre l’incendie</w:t>
            </w:r>
          </w:p>
        </w:tc>
        <w:tc>
          <w:tcPr>
            <w:tcW w:w="1095" w:type="pct"/>
            <w:gridSpan w:val="2"/>
            <w:shd w:val="clear" w:color="auto" w:fill="auto"/>
          </w:tcPr>
          <w:p w:rsidR="00103EB0" w:rsidRPr="00ED22D1" w:rsidRDefault="00103EB0" w:rsidP="00EA1D72">
            <w:pPr>
              <w:spacing w:after="60"/>
              <w:jc w:val="center"/>
              <w:rPr>
                <w:sz w:val="16"/>
                <w:szCs w:val="16"/>
                <w:lang w:val="fr-CA"/>
              </w:rPr>
            </w:pPr>
            <w:r w:rsidRPr="00ED22D1">
              <w:rPr>
                <w:sz w:val="16"/>
                <w:szCs w:val="16"/>
                <w:lang w:val="fr-CA"/>
              </w:rPr>
              <w:t>Réfrigération</w:t>
            </w:r>
          </w:p>
        </w:tc>
        <w:tc>
          <w:tcPr>
            <w:tcW w:w="385" w:type="pct"/>
            <w:shd w:val="clear" w:color="auto" w:fill="auto"/>
          </w:tcPr>
          <w:p w:rsidR="00103EB0" w:rsidRPr="00ED22D1" w:rsidRDefault="00103EB0" w:rsidP="00EA1D72">
            <w:pPr>
              <w:spacing w:after="60"/>
              <w:jc w:val="center"/>
              <w:rPr>
                <w:sz w:val="16"/>
                <w:szCs w:val="16"/>
                <w:lang w:val="fr-CA"/>
              </w:rPr>
            </w:pPr>
            <w:r w:rsidRPr="00ED22D1">
              <w:rPr>
                <w:sz w:val="16"/>
                <w:szCs w:val="16"/>
                <w:lang w:val="fr-CA"/>
              </w:rPr>
              <w:t>Solvant</w:t>
            </w:r>
          </w:p>
        </w:tc>
        <w:tc>
          <w:tcPr>
            <w:tcW w:w="645" w:type="pct"/>
            <w:shd w:val="clear" w:color="auto" w:fill="auto"/>
          </w:tcPr>
          <w:p w:rsidR="00103EB0" w:rsidRPr="00ED22D1" w:rsidRDefault="00103EB0" w:rsidP="00D21823">
            <w:pPr>
              <w:spacing w:after="60"/>
              <w:jc w:val="center"/>
              <w:rPr>
                <w:sz w:val="16"/>
                <w:szCs w:val="16"/>
                <w:lang w:val="fr-CA"/>
              </w:rPr>
            </w:pPr>
            <w:r w:rsidRPr="00ED22D1">
              <w:rPr>
                <w:sz w:val="16"/>
                <w:szCs w:val="16"/>
                <w:lang w:val="fr-CA"/>
              </w:rPr>
              <w:t xml:space="preserve">Agent </w:t>
            </w:r>
            <w:r w:rsidR="00D21823">
              <w:rPr>
                <w:sz w:val="16"/>
                <w:szCs w:val="16"/>
                <w:lang w:val="fr-CA"/>
              </w:rPr>
              <w:t xml:space="preserve">             </w:t>
            </w:r>
            <w:r w:rsidRPr="00ED22D1">
              <w:rPr>
                <w:sz w:val="16"/>
                <w:szCs w:val="16"/>
                <w:lang w:val="fr-CA"/>
              </w:rPr>
              <w:t>de transformation</w:t>
            </w:r>
          </w:p>
        </w:tc>
        <w:tc>
          <w:tcPr>
            <w:tcW w:w="518" w:type="pct"/>
            <w:gridSpan w:val="2"/>
            <w:shd w:val="clear" w:color="auto" w:fill="auto"/>
          </w:tcPr>
          <w:p w:rsidR="00103EB0" w:rsidRPr="00ED22D1" w:rsidRDefault="00103EB0" w:rsidP="00EA1D72">
            <w:pPr>
              <w:spacing w:after="60"/>
              <w:jc w:val="center"/>
              <w:rPr>
                <w:sz w:val="16"/>
                <w:szCs w:val="16"/>
                <w:lang w:val="fr-CA"/>
              </w:rPr>
            </w:pPr>
            <w:r w:rsidRPr="00ED22D1">
              <w:rPr>
                <w:sz w:val="16"/>
                <w:szCs w:val="16"/>
                <w:lang w:val="fr-CA"/>
              </w:rPr>
              <w:t>Utilisation en laboratoire</w:t>
            </w:r>
          </w:p>
        </w:tc>
        <w:tc>
          <w:tcPr>
            <w:tcW w:w="654" w:type="pct"/>
            <w:shd w:val="clear" w:color="auto" w:fill="auto"/>
          </w:tcPr>
          <w:p w:rsidR="00103EB0" w:rsidRPr="00ED22D1" w:rsidRDefault="00103EB0" w:rsidP="00D21823">
            <w:pPr>
              <w:spacing w:after="60"/>
              <w:jc w:val="center"/>
              <w:rPr>
                <w:sz w:val="16"/>
                <w:szCs w:val="16"/>
                <w:lang w:val="fr-CA"/>
              </w:rPr>
            </w:pPr>
            <w:r w:rsidRPr="00ED22D1">
              <w:rPr>
                <w:sz w:val="16"/>
                <w:szCs w:val="16"/>
                <w:lang w:val="fr-CA"/>
              </w:rPr>
              <w:t>Consommation</w:t>
            </w:r>
            <w:r w:rsidR="00D21823">
              <w:rPr>
                <w:sz w:val="16"/>
                <w:szCs w:val="16"/>
                <w:lang w:val="fr-CA"/>
              </w:rPr>
              <w:t xml:space="preserve"> </w:t>
            </w:r>
            <w:r w:rsidRPr="00ED22D1">
              <w:rPr>
                <w:sz w:val="16"/>
                <w:szCs w:val="16"/>
                <w:lang w:val="fr-CA"/>
              </w:rPr>
              <w:t>totale</w:t>
            </w:r>
            <w:r w:rsidR="00D21823">
              <w:rPr>
                <w:sz w:val="16"/>
                <w:szCs w:val="16"/>
                <w:lang w:val="fr-CA"/>
              </w:rPr>
              <w:t xml:space="preserve">                </w:t>
            </w:r>
            <w:r w:rsidRPr="00ED22D1">
              <w:rPr>
                <w:sz w:val="16"/>
                <w:szCs w:val="16"/>
                <w:lang w:val="fr-CA"/>
              </w:rPr>
              <w:t>par secteur</w:t>
            </w:r>
          </w:p>
        </w:tc>
      </w:tr>
      <w:tr w:rsidR="00103EB0" w:rsidRPr="00ED22D1" w:rsidTr="001A012D">
        <w:trPr>
          <w:trHeight w:val="240"/>
        </w:trPr>
        <w:tc>
          <w:tcPr>
            <w:tcW w:w="1703" w:type="pct"/>
            <w:gridSpan w:val="4"/>
            <w:shd w:val="clear" w:color="auto" w:fill="auto"/>
          </w:tcPr>
          <w:p w:rsidR="000A787F" w:rsidRPr="00ED22D1" w:rsidRDefault="000A787F" w:rsidP="00F12D89">
            <w:pPr>
              <w:spacing w:after="60"/>
              <w:jc w:val="center"/>
              <w:rPr>
                <w:sz w:val="18"/>
                <w:szCs w:val="20"/>
                <w:lang w:val="fr-CA"/>
              </w:rPr>
            </w:pPr>
            <w:r w:rsidRPr="00ED22D1">
              <w:rPr>
                <w:sz w:val="18"/>
                <w:szCs w:val="20"/>
                <w:lang w:val="fr-CA"/>
              </w:rPr>
              <w:t xml:space="preserve"> </w:t>
            </w:r>
          </w:p>
        </w:tc>
        <w:tc>
          <w:tcPr>
            <w:tcW w:w="577" w:type="pct"/>
            <w:shd w:val="clear" w:color="auto" w:fill="auto"/>
          </w:tcPr>
          <w:p w:rsidR="000A787F" w:rsidRPr="00ED22D1" w:rsidRDefault="00103EB0" w:rsidP="00F12D89">
            <w:pPr>
              <w:spacing w:after="60"/>
              <w:jc w:val="center"/>
              <w:rPr>
                <w:sz w:val="16"/>
                <w:szCs w:val="16"/>
                <w:lang w:val="fr-CA"/>
              </w:rPr>
            </w:pPr>
            <w:r w:rsidRPr="00ED22D1">
              <w:rPr>
                <w:sz w:val="16"/>
                <w:szCs w:val="16"/>
                <w:lang w:val="fr-CA"/>
              </w:rPr>
              <w:t>Fabrication</w:t>
            </w:r>
          </w:p>
        </w:tc>
        <w:tc>
          <w:tcPr>
            <w:tcW w:w="518" w:type="pct"/>
            <w:shd w:val="clear" w:color="auto" w:fill="auto"/>
          </w:tcPr>
          <w:p w:rsidR="000A787F" w:rsidRPr="00ED22D1" w:rsidRDefault="001B31BF" w:rsidP="00F12D89">
            <w:pPr>
              <w:spacing w:after="60"/>
              <w:jc w:val="center"/>
              <w:rPr>
                <w:sz w:val="16"/>
                <w:szCs w:val="16"/>
                <w:lang w:val="fr-CA"/>
              </w:rPr>
            </w:pPr>
            <w:r w:rsidRPr="00ED22D1">
              <w:rPr>
                <w:sz w:val="16"/>
                <w:szCs w:val="16"/>
                <w:lang w:val="fr-CA"/>
              </w:rPr>
              <w:t>Entretien</w:t>
            </w:r>
          </w:p>
        </w:tc>
        <w:tc>
          <w:tcPr>
            <w:tcW w:w="2202" w:type="pct"/>
            <w:gridSpan w:val="5"/>
            <w:shd w:val="clear" w:color="auto" w:fill="auto"/>
          </w:tcPr>
          <w:p w:rsidR="000A787F" w:rsidRPr="00ED22D1" w:rsidRDefault="000A787F" w:rsidP="00F12D89">
            <w:pPr>
              <w:spacing w:after="60"/>
              <w:jc w:val="center"/>
              <w:rPr>
                <w:sz w:val="18"/>
                <w:szCs w:val="20"/>
                <w:lang w:val="fr-CA"/>
              </w:rPr>
            </w:pPr>
          </w:p>
        </w:tc>
      </w:tr>
      <w:tr w:rsidR="0002005B" w:rsidRPr="00ED22D1" w:rsidTr="001A012D">
        <w:trPr>
          <w:trHeight w:val="240"/>
        </w:trPr>
        <w:tc>
          <w:tcPr>
            <w:tcW w:w="367" w:type="pct"/>
            <w:shd w:val="clear" w:color="auto" w:fill="auto"/>
          </w:tcPr>
          <w:p w:rsidR="000A787F" w:rsidRPr="00ED22D1" w:rsidRDefault="000A787F" w:rsidP="00F12D89">
            <w:pPr>
              <w:spacing w:after="60"/>
              <w:rPr>
                <w:sz w:val="18"/>
                <w:szCs w:val="20"/>
                <w:lang w:val="fr-CA"/>
              </w:rPr>
            </w:pPr>
            <w:r w:rsidRPr="00ED22D1">
              <w:rPr>
                <w:sz w:val="18"/>
                <w:szCs w:val="20"/>
                <w:lang w:val="fr-CA"/>
              </w:rPr>
              <w:t>HCFC-22</w:t>
            </w:r>
          </w:p>
        </w:tc>
        <w:tc>
          <w:tcPr>
            <w:tcW w:w="442" w:type="pct"/>
            <w:shd w:val="clear" w:color="auto" w:fill="auto"/>
          </w:tcPr>
          <w:p w:rsidR="000A787F" w:rsidRPr="00ED22D1" w:rsidRDefault="000A787F" w:rsidP="00F12D89">
            <w:pPr>
              <w:spacing w:after="60"/>
              <w:jc w:val="right"/>
              <w:rPr>
                <w:sz w:val="18"/>
                <w:szCs w:val="20"/>
                <w:lang w:val="fr-CA"/>
              </w:rPr>
            </w:pPr>
          </w:p>
        </w:tc>
        <w:tc>
          <w:tcPr>
            <w:tcW w:w="439"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1</w:t>
            </w:r>
            <w:r w:rsidR="00F51720" w:rsidRPr="00ED22D1">
              <w:rPr>
                <w:sz w:val="18"/>
                <w:szCs w:val="20"/>
                <w:lang w:val="fr-CA"/>
              </w:rPr>
              <w:t> </w:t>
            </w:r>
            <w:r w:rsidRPr="00ED22D1">
              <w:rPr>
                <w:sz w:val="18"/>
                <w:szCs w:val="20"/>
                <w:lang w:val="fr-CA"/>
              </w:rPr>
              <w:t>595</w:t>
            </w:r>
            <w:r w:rsidR="00F51720" w:rsidRPr="00ED22D1">
              <w:rPr>
                <w:sz w:val="18"/>
                <w:szCs w:val="20"/>
                <w:lang w:val="fr-CA"/>
              </w:rPr>
              <w:t>,</w:t>
            </w:r>
            <w:r w:rsidRPr="00ED22D1">
              <w:rPr>
                <w:sz w:val="18"/>
                <w:szCs w:val="20"/>
                <w:lang w:val="fr-CA"/>
              </w:rPr>
              <w:t>00</w:t>
            </w:r>
          </w:p>
        </w:tc>
        <w:tc>
          <w:tcPr>
            <w:tcW w:w="454" w:type="pct"/>
            <w:shd w:val="clear" w:color="auto" w:fill="auto"/>
          </w:tcPr>
          <w:p w:rsidR="000A787F" w:rsidRPr="00ED22D1" w:rsidRDefault="000A787F" w:rsidP="00F12D89">
            <w:pPr>
              <w:spacing w:after="60"/>
              <w:jc w:val="right"/>
              <w:rPr>
                <w:sz w:val="18"/>
                <w:szCs w:val="20"/>
                <w:lang w:val="fr-CA"/>
              </w:rPr>
            </w:pPr>
          </w:p>
        </w:tc>
        <w:tc>
          <w:tcPr>
            <w:tcW w:w="577" w:type="pct"/>
            <w:shd w:val="clear" w:color="auto" w:fill="auto"/>
          </w:tcPr>
          <w:p w:rsidR="000A787F" w:rsidRPr="00ED22D1" w:rsidRDefault="000A787F" w:rsidP="00616B46">
            <w:pPr>
              <w:spacing w:after="60"/>
              <w:jc w:val="right"/>
              <w:rPr>
                <w:sz w:val="18"/>
                <w:szCs w:val="20"/>
                <w:lang w:val="fr-CA"/>
              </w:rPr>
            </w:pPr>
            <w:r w:rsidRPr="00ED22D1">
              <w:rPr>
                <w:sz w:val="18"/>
                <w:szCs w:val="20"/>
                <w:lang w:val="fr-CA"/>
              </w:rPr>
              <w:t>5</w:t>
            </w:r>
            <w:r w:rsidR="00616B46" w:rsidRPr="00ED22D1">
              <w:rPr>
                <w:sz w:val="18"/>
                <w:szCs w:val="20"/>
                <w:lang w:val="fr-CA"/>
              </w:rPr>
              <w:t> </w:t>
            </w:r>
            <w:r w:rsidRPr="00ED22D1">
              <w:rPr>
                <w:sz w:val="18"/>
                <w:szCs w:val="20"/>
                <w:lang w:val="fr-CA"/>
              </w:rPr>
              <w:t>087</w:t>
            </w:r>
            <w:r w:rsidR="00F51720" w:rsidRPr="00ED22D1">
              <w:rPr>
                <w:sz w:val="18"/>
                <w:szCs w:val="20"/>
                <w:lang w:val="fr-CA"/>
              </w:rPr>
              <w:t>,</w:t>
            </w:r>
            <w:r w:rsidRPr="00ED22D1">
              <w:rPr>
                <w:sz w:val="18"/>
                <w:szCs w:val="20"/>
                <w:lang w:val="fr-CA"/>
              </w:rPr>
              <w:t>50</w:t>
            </w:r>
          </w:p>
        </w:tc>
        <w:tc>
          <w:tcPr>
            <w:tcW w:w="518" w:type="pct"/>
            <w:shd w:val="clear" w:color="auto" w:fill="auto"/>
          </w:tcPr>
          <w:p w:rsidR="000A787F" w:rsidRPr="00ED22D1" w:rsidRDefault="000A787F" w:rsidP="00616B46">
            <w:pPr>
              <w:spacing w:after="60"/>
              <w:jc w:val="right"/>
              <w:rPr>
                <w:sz w:val="18"/>
                <w:szCs w:val="20"/>
                <w:lang w:val="fr-CA"/>
              </w:rPr>
            </w:pPr>
            <w:r w:rsidRPr="00ED22D1">
              <w:rPr>
                <w:sz w:val="18"/>
                <w:szCs w:val="20"/>
                <w:lang w:val="fr-CA"/>
              </w:rPr>
              <w:t>2</w:t>
            </w:r>
            <w:r w:rsidR="00616B46" w:rsidRPr="00ED22D1">
              <w:rPr>
                <w:sz w:val="18"/>
                <w:szCs w:val="20"/>
                <w:lang w:val="fr-CA"/>
              </w:rPr>
              <w:t> </w:t>
            </w:r>
            <w:r w:rsidRPr="00ED22D1">
              <w:rPr>
                <w:sz w:val="18"/>
                <w:szCs w:val="20"/>
                <w:lang w:val="fr-CA"/>
              </w:rPr>
              <w:t>831</w:t>
            </w:r>
            <w:r w:rsidR="00F51720" w:rsidRPr="00ED22D1">
              <w:rPr>
                <w:sz w:val="18"/>
                <w:szCs w:val="20"/>
                <w:lang w:val="fr-CA"/>
              </w:rPr>
              <w:t>,</w:t>
            </w:r>
            <w:r w:rsidRPr="00ED22D1">
              <w:rPr>
                <w:sz w:val="18"/>
                <w:szCs w:val="20"/>
                <w:lang w:val="fr-CA"/>
              </w:rPr>
              <w:t>55</w:t>
            </w:r>
          </w:p>
        </w:tc>
        <w:tc>
          <w:tcPr>
            <w:tcW w:w="385" w:type="pct"/>
            <w:shd w:val="clear" w:color="auto" w:fill="auto"/>
          </w:tcPr>
          <w:p w:rsidR="000A787F" w:rsidRPr="00ED22D1" w:rsidRDefault="000A787F" w:rsidP="00F12D89">
            <w:pPr>
              <w:spacing w:after="60"/>
              <w:jc w:val="right"/>
              <w:rPr>
                <w:sz w:val="18"/>
                <w:szCs w:val="20"/>
                <w:lang w:val="fr-CA"/>
              </w:rPr>
            </w:pPr>
          </w:p>
        </w:tc>
        <w:tc>
          <w:tcPr>
            <w:tcW w:w="672" w:type="pct"/>
            <w:gridSpan w:val="2"/>
            <w:shd w:val="clear" w:color="auto" w:fill="auto"/>
          </w:tcPr>
          <w:p w:rsidR="000A787F" w:rsidRPr="00ED22D1" w:rsidRDefault="000A787F" w:rsidP="00F12D89">
            <w:pPr>
              <w:spacing w:after="60"/>
              <w:jc w:val="right"/>
              <w:rPr>
                <w:sz w:val="18"/>
                <w:szCs w:val="20"/>
                <w:lang w:val="fr-CA"/>
              </w:rPr>
            </w:pPr>
          </w:p>
        </w:tc>
        <w:tc>
          <w:tcPr>
            <w:tcW w:w="491" w:type="pct"/>
            <w:shd w:val="clear" w:color="auto" w:fill="auto"/>
          </w:tcPr>
          <w:p w:rsidR="000A787F" w:rsidRPr="00ED22D1" w:rsidRDefault="000A787F" w:rsidP="00F12D89">
            <w:pPr>
              <w:spacing w:after="60"/>
              <w:jc w:val="right"/>
              <w:rPr>
                <w:sz w:val="18"/>
                <w:szCs w:val="20"/>
                <w:lang w:val="fr-CA"/>
              </w:rPr>
            </w:pPr>
          </w:p>
        </w:tc>
        <w:tc>
          <w:tcPr>
            <w:tcW w:w="654"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9</w:t>
            </w:r>
            <w:r w:rsidR="00F51720" w:rsidRPr="00ED22D1">
              <w:rPr>
                <w:sz w:val="18"/>
                <w:szCs w:val="20"/>
                <w:lang w:val="fr-CA"/>
              </w:rPr>
              <w:t> </w:t>
            </w:r>
            <w:r w:rsidRPr="00ED22D1">
              <w:rPr>
                <w:sz w:val="18"/>
                <w:szCs w:val="20"/>
                <w:lang w:val="fr-CA"/>
              </w:rPr>
              <w:t>514</w:t>
            </w:r>
            <w:r w:rsidR="00F51720" w:rsidRPr="00ED22D1">
              <w:rPr>
                <w:sz w:val="18"/>
                <w:szCs w:val="20"/>
                <w:lang w:val="fr-CA"/>
              </w:rPr>
              <w:t>,</w:t>
            </w:r>
            <w:r w:rsidRPr="00ED22D1">
              <w:rPr>
                <w:sz w:val="18"/>
                <w:szCs w:val="20"/>
                <w:lang w:val="fr-CA"/>
              </w:rPr>
              <w:t>05</w:t>
            </w:r>
          </w:p>
        </w:tc>
      </w:tr>
      <w:tr w:rsidR="0002005B" w:rsidRPr="00ED22D1" w:rsidTr="001A012D">
        <w:trPr>
          <w:trHeight w:val="240"/>
        </w:trPr>
        <w:tc>
          <w:tcPr>
            <w:tcW w:w="367" w:type="pct"/>
            <w:shd w:val="clear" w:color="auto" w:fill="auto"/>
          </w:tcPr>
          <w:p w:rsidR="000A787F" w:rsidRPr="00ED22D1" w:rsidRDefault="000A787F" w:rsidP="00F12D89">
            <w:pPr>
              <w:spacing w:after="60"/>
              <w:rPr>
                <w:sz w:val="18"/>
                <w:szCs w:val="20"/>
                <w:lang w:val="fr-CA"/>
              </w:rPr>
            </w:pPr>
            <w:r w:rsidRPr="00ED22D1">
              <w:rPr>
                <w:sz w:val="18"/>
                <w:szCs w:val="20"/>
                <w:lang w:val="fr-CA"/>
              </w:rPr>
              <w:t>HCFC-123</w:t>
            </w:r>
          </w:p>
        </w:tc>
        <w:tc>
          <w:tcPr>
            <w:tcW w:w="442" w:type="pct"/>
            <w:shd w:val="clear" w:color="auto" w:fill="auto"/>
          </w:tcPr>
          <w:p w:rsidR="000A787F" w:rsidRPr="00ED22D1" w:rsidRDefault="000A787F" w:rsidP="00F12D89">
            <w:pPr>
              <w:spacing w:after="60"/>
              <w:jc w:val="right"/>
              <w:rPr>
                <w:sz w:val="18"/>
                <w:szCs w:val="20"/>
                <w:lang w:val="fr-CA"/>
              </w:rPr>
            </w:pPr>
          </w:p>
        </w:tc>
        <w:tc>
          <w:tcPr>
            <w:tcW w:w="439" w:type="pct"/>
            <w:shd w:val="clear" w:color="auto" w:fill="auto"/>
          </w:tcPr>
          <w:p w:rsidR="000A787F" w:rsidRPr="00ED22D1" w:rsidRDefault="000A787F" w:rsidP="00F12D89">
            <w:pPr>
              <w:spacing w:after="60"/>
              <w:jc w:val="right"/>
              <w:rPr>
                <w:sz w:val="18"/>
                <w:szCs w:val="20"/>
                <w:lang w:val="fr-CA"/>
              </w:rPr>
            </w:pPr>
          </w:p>
        </w:tc>
        <w:tc>
          <w:tcPr>
            <w:tcW w:w="454" w:type="pct"/>
            <w:shd w:val="clear" w:color="auto" w:fill="auto"/>
          </w:tcPr>
          <w:p w:rsidR="000A787F" w:rsidRPr="00ED22D1" w:rsidRDefault="000A787F" w:rsidP="00F12D89">
            <w:pPr>
              <w:spacing w:after="60"/>
              <w:jc w:val="right"/>
              <w:rPr>
                <w:sz w:val="18"/>
                <w:szCs w:val="20"/>
                <w:lang w:val="fr-CA"/>
              </w:rPr>
            </w:pPr>
          </w:p>
        </w:tc>
        <w:tc>
          <w:tcPr>
            <w:tcW w:w="577"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12</w:t>
            </w:r>
            <w:r w:rsidR="00F51720" w:rsidRPr="00ED22D1">
              <w:rPr>
                <w:sz w:val="18"/>
                <w:szCs w:val="20"/>
                <w:lang w:val="fr-CA"/>
              </w:rPr>
              <w:t>,</w:t>
            </w:r>
            <w:r w:rsidRPr="00ED22D1">
              <w:rPr>
                <w:sz w:val="18"/>
                <w:szCs w:val="20"/>
                <w:lang w:val="fr-CA"/>
              </w:rPr>
              <w:t>88</w:t>
            </w:r>
          </w:p>
        </w:tc>
        <w:tc>
          <w:tcPr>
            <w:tcW w:w="518"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6</w:t>
            </w:r>
            <w:r w:rsidR="00F51720" w:rsidRPr="00ED22D1">
              <w:rPr>
                <w:sz w:val="18"/>
                <w:szCs w:val="20"/>
                <w:lang w:val="fr-CA"/>
              </w:rPr>
              <w:t>,</w:t>
            </w:r>
            <w:r w:rsidRPr="00ED22D1">
              <w:rPr>
                <w:sz w:val="18"/>
                <w:szCs w:val="20"/>
                <w:lang w:val="fr-CA"/>
              </w:rPr>
              <w:t>95</w:t>
            </w:r>
          </w:p>
        </w:tc>
        <w:tc>
          <w:tcPr>
            <w:tcW w:w="385" w:type="pct"/>
            <w:shd w:val="clear" w:color="auto" w:fill="auto"/>
          </w:tcPr>
          <w:p w:rsidR="000A787F" w:rsidRPr="00ED22D1" w:rsidRDefault="000A787F" w:rsidP="00F12D89">
            <w:pPr>
              <w:spacing w:after="60"/>
              <w:jc w:val="right"/>
              <w:rPr>
                <w:sz w:val="18"/>
                <w:szCs w:val="20"/>
                <w:lang w:val="fr-CA"/>
              </w:rPr>
            </w:pPr>
          </w:p>
        </w:tc>
        <w:tc>
          <w:tcPr>
            <w:tcW w:w="672" w:type="pct"/>
            <w:gridSpan w:val="2"/>
            <w:shd w:val="clear" w:color="auto" w:fill="auto"/>
          </w:tcPr>
          <w:p w:rsidR="000A787F" w:rsidRPr="00ED22D1" w:rsidRDefault="000A787F" w:rsidP="00F12D89">
            <w:pPr>
              <w:spacing w:after="60"/>
              <w:jc w:val="right"/>
              <w:rPr>
                <w:sz w:val="18"/>
                <w:szCs w:val="20"/>
                <w:lang w:val="fr-CA"/>
              </w:rPr>
            </w:pPr>
          </w:p>
        </w:tc>
        <w:tc>
          <w:tcPr>
            <w:tcW w:w="491" w:type="pct"/>
            <w:shd w:val="clear" w:color="auto" w:fill="auto"/>
          </w:tcPr>
          <w:p w:rsidR="000A787F" w:rsidRPr="00ED22D1" w:rsidRDefault="000A787F" w:rsidP="00F12D89">
            <w:pPr>
              <w:spacing w:after="60"/>
              <w:jc w:val="right"/>
              <w:rPr>
                <w:sz w:val="18"/>
                <w:szCs w:val="20"/>
                <w:lang w:val="fr-CA"/>
              </w:rPr>
            </w:pPr>
          </w:p>
        </w:tc>
        <w:tc>
          <w:tcPr>
            <w:tcW w:w="654"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19</w:t>
            </w:r>
            <w:r w:rsidR="00F51720" w:rsidRPr="00ED22D1">
              <w:rPr>
                <w:sz w:val="18"/>
                <w:szCs w:val="20"/>
                <w:lang w:val="fr-CA"/>
              </w:rPr>
              <w:t>,</w:t>
            </w:r>
            <w:r w:rsidRPr="00ED22D1">
              <w:rPr>
                <w:sz w:val="18"/>
                <w:szCs w:val="20"/>
                <w:lang w:val="fr-CA"/>
              </w:rPr>
              <w:t>83</w:t>
            </w:r>
          </w:p>
        </w:tc>
      </w:tr>
      <w:tr w:rsidR="0002005B" w:rsidRPr="00ED22D1" w:rsidTr="001A012D">
        <w:trPr>
          <w:trHeight w:val="240"/>
        </w:trPr>
        <w:tc>
          <w:tcPr>
            <w:tcW w:w="367" w:type="pct"/>
            <w:shd w:val="clear" w:color="auto" w:fill="auto"/>
          </w:tcPr>
          <w:p w:rsidR="000A787F" w:rsidRPr="00ED22D1" w:rsidRDefault="000A787F" w:rsidP="00F12D89">
            <w:pPr>
              <w:spacing w:after="60"/>
              <w:rPr>
                <w:sz w:val="18"/>
                <w:szCs w:val="20"/>
                <w:lang w:val="fr-CA"/>
              </w:rPr>
            </w:pPr>
            <w:r w:rsidRPr="00ED22D1">
              <w:rPr>
                <w:sz w:val="18"/>
                <w:szCs w:val="20"/>
                <w:lang w:val="fr-CA"/>
              </w:rPr>
              <w:t>HCFC-124</w:t>
            </w:r>
          </w:p>
        </w:tc>
        <w:tc>
          <w:tcPr>
            <w:tcW w:w="442" w:type="pct"/>
            <w:shd w:val="clear" w:color="auto" w:fill="auto"/>
          </w:tcPr>
          <w:p w:rsidR="000A787F" w:rsidRPr="00ED22D1" w:rsidRDefault="000A787F" w:rsidP="00F12D89">
            <w:pPr>
              <w:spacing w:after="60"/>
              <w:jc w:val="right"/>
              <w:rPr>
                <w:sz w:val="18"/>
                <w:szCs w:val="20"/>
                <w:lang w:val="fr-CA"/>
              </w:rPr>
            </w:pPr>
          </w:p>
        </w:tc>
        <w:tc>
          <w:tcPr>
            <w:tcW w:w="439" w:type="pct"/>
            <w:shd w:val="clear" w:color="auto" w:fill="auto"/>
          </w:tcPr>
          <w:p w:rsidR="000A787F" w:rsidRPr="00ED22D1" w:rsidRDefault="000A787F" w:rsidP="00F12D89">
            <w:pPr>
              <w:spacing w:after="60"/>
              <w:jc w:val="right"/>
              <w:rPr>
                <w:sz w:val="18"/>
                <w:szCs w:val="20"/>
                <w:lang w:val="fr-CA"/>
              </w:rPr>
            </w:pPr>
          </w:p>
        </w:tc>
        <w:tc>
          <w:tcPr>
            <w:tcW w:w="454" w:type="pct"/>
            <w:shd w:val="clear" w:color="auto" w:fill="auto"/>
          </w:tcPr>
          <w:p w:rsidR="000A787F" w:rsidRPr="00ED22D1" w:rsidRDefault="000A787F" w:rsidP="00F12D89">
            <w:pPr>
              <w:spacing w:after="60"/>
              <w:jc w:val="right"/>
              <w:rPr>
                <w:sz w:val="18"/>
                <w:szCs w:val="20"/>
                <w:lang w:val="fr-CA"/>
              </w:rPr>
            </w:pPr>
          </w:p>
        </w:tc>
        <w:tc>
          <w:tcPr>
            <w:tcW w:w="577" w:type="pct"/>
            <w:shd w:val="clear" w:color="auto" w:fill="auto"/>
          </w:tcPr>
          <w:p w:rsidR="000A787F" w:rsidRPr="00ED22D1" w:rsidRDefault="000A787F" w:rsidP="00F12D89">
            <w:pPr>
              <w:spacing w:after="60"/>
              <w:jc w:val="right"/>
              <w:rPr>
                <w:sz w:val="18"/>
                <w:szCs w:val="20"/>
                <w:lang w:val="fr-CA"/>
              </w:rPr>
            </w:pPr>
          </w:p>
        </w:tc>
        <w:tc>
          <w:tcPr>
            <w:tcW w:w="518"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-0</w:t>
            </w:r>
            <w:r w:rsidR="00F51720" w:rsidRPr="00ED22D1">
              <w:rPr>
                <w:sz w:val="18"/>
                <w:szCs w:val="20"/>
                <w:lang w:val="fr-CA"/>
              </w:rPr>
              <w:t>,</w:t>
            </w:r>
            <w:r w:rsidRPr="00ED22D1">
              <w:rPr>
                <w:sz w:val="18"/>
                <w:szCs w:val="20"/>
                <w:lang w:val="fr-CA"/>
              </w:rPr>
              <w:t>13</w:t>
            </w:r>
          </w:p>
        </w:tc>
        <w:tc>
          <w:tcPr>
            <w:tcW w:w="385" w:type="pct"/>
            <w:shd w:val="clear" w:color="auto" w:fill="auto"/>
          </w:tcPr>
          <w:p w:rsidR="000A787F" w:rsidRPr="00ED22D1" w:rsidRDefault="000A787F" w:rsidP="00F12D89">
            <w:pPr>
              <w:spacing w:after="60"/>
              <w:jc w:val="right"/>
              <w:rPr>
                <w:sz w:val="18"/>
                <w:szCs w:val="20"/>
                <w:lang w:val="fr-CA"/>
              </w:rPr>
            </w:pPr>
          </w:p>
        </w:tc>
        <w:tc>
          <w:tcPr>
            <w:tcW w:w="672" w:type="pct"/>
            <w:gridSpan w:val="2"/>
            <w:shd w:val="clear" w:color="auto" w:fill="auto"/>
          </w:tcPr>
          <w:p w:rsidR="000A787F" w:rsidRPr="00ED22D1" w:rsidRDefault="000A787F" w:rsidP="00F12D89">
            <w:pPr>
              <w:spacing w:after="60"/>
              <w:jc w:val="right"/>
              <w:rPr>
                <w:sz w:val="18"/>
                <w:szCs w:val="20"/>
                <w:lang w:val="fr-CA"/>
              </w:rPr>
            </w:pPr>
          </w:p>
        </w:tc>
        <w:tc>
          <w:tcPr>
            <w:tcW w:w="491" w:type="pct"/>
            <w:shd w:val="clear" w:color="auto" w:fill="auto"/>
          </w:tcPr>
          <w:p w:rsidR="000A787F" w:rsidRPr="00ED22D1" w:rsidRDefault="000A787F" w:rsidP="00F12D89">
            <w:pPr>
              <w:spacing w:after="60"/>
              <w:jc w:val="right"/>
              <w:rPr>
                <w:sz w:val="18"/>
                <w:szCs w:val="20"/>
                <w:lang w:val="fr-CA"/>
              </w:rPr>
            </w:pPr>
          </w:p>
        </w:tc>
        <w:tc>
          <w:tcPr>
            <w:tcW w:w="654"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-0</w:t>
            </w:r>
            <w:r w:rsidR="00F51720" w:rsidRPr="00ED22D1">
              <w:rPr>
                <w:sz w:val="18"/>
                <w:szCs w:val="20"/>
                <w:lang w:val="fr-CA"/>
              </w:rPr>
              <w:t>,</w:t>
            </w:r>
            <w:r w:rsidRPr="00ED22D1">
              <w:rPr>
                <w:sz w:val="18"/>
                <w:szCs w:val="20"/>
                <w:lang w:val="fr-CA"/>
              </w:rPr>
              <w:t>13</w:t>
            </w:r>
          </w:p>
        </w:tc>
      </w:tr>
      <w:tr w:rsidR="0002005B" w:rsidRPr="00ED22D1" w:rsidTr="001A012D">
        <w:trPr>
          <w:trHeight w:val="240"/>
        </w:trPr>
        <w:tc>
          <w:tcPr>
            <w:tcW w:w="367" w:type="pct"/>
            <w:shd w:val="clear" w:color="auto" w:fill="auto"/>
          </w:tcPr>
          <w:p w:rsidR="000A787F" w:rsidRPr="00ED22D1" w:rsidRDefault="000A787F" w:rsidP="00F12D89">
            <w:pPr>
              <w:spacing w:after="60"/>
              <w:rPr>
                <w:sz w:val="18"/>
                <w:szCs w:val="20"/>
                <w:lang w:val="fr-CA"/>
              </w:rPr>
            </w:pPr>
            <w:r w:rsidRPr="00ED22D1">
              <w:rPr>
                <w:sz w:val="18"/>
                <w:szCs w:val="20"/>
                <w:lang w:val="fr-CA"/>
              </w:rPr>
              <w:t>HCFC-141b</w:t>
            </w:r>
          </w:p>
        </w:tc>
        <w:tc>
          <w:tcPr>
            <w:tcW w:w="442" w:type="pct"/>
            <w:shd w:val="clear" w:color="auto" w:fill="auto"/>
          </w:tcPr>
          <w:p w:rsidR="000A787F" w:rsidRPr="00ED22D1" w:rsidRDefault="000A787F" w:rsidP="00F12D89">
            <w:pPr>
              <w:spacing w:after="60"/>
              <w:jc w:val="right"/>
              <w:rPr>
                <w:sz w:val="18"/>
                <w:szCs w:val="20"/>
                <w:lang w:val="fr-CA"/>
              </w:rPr>
            </w:pPr>
          </w:p>
        </w:tc>
        <w:tc>
          <w:tcPr>
            <w:tcW w:w="439"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4</w:t>
            </w:r>
            <w:r w:rsidR="00F51720" w:rsidRPr="00ED22D1">
              <w:rPr>
                <w:sz w:val="18"/>
                <w:szCs w:val="20"/>
                <w:lang w:val="fr-CA"/>
              </w:rPr>
              <w:t> </w:t>
            </w:r>
            <w:r w:rsidRPr="00ED22D1">
              <w:rPr>
                <w:sz w:val="18"/>
                <w:szCs w:val="20"/>
                <w:lang w:val="fr-CA"/>
              </w:rPr>
              <w:t>008</w:t>
            </w:r>
            <w:r w:rsidR="00F51720" w:rsidRPr="00ED22D1">
              <w:rPr>
                <w:sz w:val="18"/>
                <w:szCs w:val="20"/>
                <w:lang w:val="fr-CA"/>
              </w:rPr>
              <w:t>,</w:t>
            </w:r>
            <w:r w:rsidRPr="00ED22D1">
              <w:rPr>
                <w:sz w:val="18"/>
                <w:szCs w:val="20"/>
                <w:lang w:val="fr-CA"/>
              </w:rPr>
              <w:t>26</w:t>
            </w:r>
          </w:p>
        </w:tc>
        <w:tc>
          <w:tcPr>
            <w:tcW w:w="454" w:type="pct"/>
            <w:shd w:val="clear" w:color="auto" w:fill="auto"/>
          </w:tcPr>
          <w:p w:rsidR="000A787F" w:rsidRPr="00ED22D1" w:rsidRDefault="000A787F" w:rsidP="00F12D89">
            <w:pPr>
              <w:spacing w:after="60"/>
              <w:jc w:val="right"/>
              <w:rPr>
                <w:sz w:val="18"/>
                <w:szCs w:val="20"/>
                <w:lang w:val="fr-CA"/>
              </w:rPr>
            </w:pPr>
          </w:p>
        </w:tc>
        <w:tc>
          <w:tcPr>
            <w:tcW w:w="577" w:type="pct"/>
            <w:shd w:val="clear" w:color="auto" w:fill="auto"/>
          </w:tcPr>
          <w:p w:rsidR="000A787F" w:rsidRPr="00ED22D1" w:rsidRDefault="000A787F" w:rsidP="00F12D89">
            <w:pPr>
              <w:spacing w:after="60"/>
              <w:jc w:val="right"/>
              <w:rPr>
                <w:sz w:val="18"/>
                <w:szCs w:val="20"/>
                <w:lang w:val="fr-CA"/>
              </w:rPr>
            </w:pPr>
          </w:p>
        </w:tc>
        <w:tc>
          <w:tcPr>
            <w:tcW w:w="518" w:type="pct"/>
            <w:shd w:val="clear" w:color="auto" w:fill="auto"/>
          </w:tcPr>
          <w:p w:rsidR="000A787F" w:rsidRPr="00ED22D1" w:rsidRDefault="000A787F" w:rsidP="00F12D89">
            <w:pPr>
              <w:spacing w:after="60"/>
              <w:jc w:val="right"/>
              <w:rPr>
                <w:sz w:val="18"/>
                <w:szCs w:val="20"/>
                <w:lang w:val="fr-CA"/>
              </w:rPr>
            </w:pPr>
          </w:p>
        </w:tc>
        <w:tc>
          <w:tcPr>
            <w:tcW w:w="385"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396</w:t>
            </w:r>
            <w:r w:rsidR="00F51720" w:rsidRPr="00ED22D1">
              <w:rPr>
                <w:sz w:val="18"/>
                <w:szCs w:val="20"/>
                <w:lang w:val="fr-CA"/>
              </w:rPr>
              <w:t>,</w:t>
            </w:r>
            <w:r w:rsidRPr="00ED22D1">
              <w:rPr>
                <w:sz w:val="18"/>
                <w:szCs w:val="20"/>
                <w:lang w:val="fr-CA"/>
              </w:rPr>
              <w:t>00</w:t>
            </w:r>
          </w:p>
        </w:tc>
        <w:tc>
          <w:tcPr>
            <w:tcW w:w="672" w:type="pct"/>
            <w:gridSpan w:val="2"/>
            <w:shd w:val="clear" w:color="auto" w:fill="auto"/>
          </w:tcPr>
          <w:p w:rsidR="000A787F" w:rsidRPr="00ED22D1" w:rsidRDefault="000A787F" w:rsidP="00F12D89">
            <w:pPr>
              <w:spacing w:after="60"/>
              <w:jc w:val="right"/>
              <w:rPr>
                <w:sz w:val="18"/>
                <w:szCs w:val="20"/>
                <w:lang w:val="fr-CA"/>
              </w:rPr>
            </w:pPr>
          </w:p>
        </w:tc>
        <w:tc>
          <w:tcPr>
            <w:tcW w:w="491" w:type="pct"/>
            <w:shd w:val="clear" w:color="auto" w:fill="auto"/>
          </w:tcPr>
          <w:p w:rsidR="000A787F" w:rsidRPr="00ED22D1" w:rsidRDefault="000A787F" w:rsidP="00F12D89">
            <w:pPr>
              <w:spacing w:after="60"/>
              <w:jc w:val="right"/>
              <w:rPr>
                <w:sz w:val="18"/>
                <w:szCs w:val="20"/>
                <w:lang w:val="fr-CA"/>
              </w:rPr>
            </w:pPr>
          </w:p>
        </w:tc>
        <w:tc>
          <w:tcPr>
            <w:tcW w:w="654"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4</w:t>
            </w:r>
            <w:r w:rsidR="00F51720" w:rsidRPr="00ED22D1">
              <w:rPr>
                <w:sz w:val="18"/>
                <w:szCs w:val="20"/>
                <w:lang w:val="fr-CA"/>
              </w:rPr>
              <w:t> </w:t>
            </w:r>
            <w:r w:rsidRPr="00ED22D1">
              <w:rPr>
                <w:sz w:val="18"/>
                <w:szCs w:val="20"/>
                <w:lang w:val="fr-CA"/>
              </w:rPr>
              <w:t>404</w:t>
            </w:r>
            <w:r w:rsidR="00F51720" w:rsidRPr="00ED22D1">
              <w:rPr>
                <w:sz w:val="18"/>
                <w:szCs w:val="20"/>
                <w:lang w:val="fr-CA"/>
              </w:rPr>
              <w:t>,</w:t>
            </w:r>
            <w:r w:rsidRPr="00ED22D1">
              <w:rPr>
                <w:sz w:val="18"/>
                <w:szCs w:val="20"/>
                <w:lang w:val="fr-CA"/>
              </w:rPr>
              <w:t>26</w:t>
            </w:r>
          </w:p>
        </w:tc>
      </w:tr>
      <w:tr w:rsidR="0002005B" w:rsidRPr="00ED22D1" w:rsidTr="001A012D">
        <w:trPr>
          <w:trHeight w:val="240"/>
        </w:trPr>
        <w:tc>
          <w:tcPr>
            <w:tcW w:w="367" w:type="pct"/>
            <w:shd w:val="clear" w:color="auto" w:fill="auto"/>
          </w:tcPr>
          <w:p w:rsidR="000A787F" w:rsidRPr="00ED22D1" w:rsidRDefault="000A787F" w:rsidP="00F12D89">
            <w:pPr>
              <w:spacing w:after="60"/>
              <w:rPr>
                <w:sz w:val="18"/>
                <w:szCs w:val="20"/>
                <w:lang w:val="fr-CA"/>
              </w:rPr>
            </w:pPr>
            <w:r w:rsidRPr="00ED22D1">
              <w:rPr>
                <w:sz w:val="18"/>
                <w:szCs w:val="20"/>
                <w:lang w:val="fr-CA"/>
              </w:rPr>
              <w:t>HCFC-142b</w:t>
            </w:r>
          </w:p>
        </w:tc>
        <w:tc>
          <w:tcPr>
            <w:tcW w:w="442" w:type="pct"/>
            <w:shd w:val="clear" w:color="auto" w:fill="auto"/>
          </w:tcPr>
          <w:p w:rsidR="000A787F" w:rsidRPr="00ED22D1" w:rsidRDefault="000A787F" w:rsidP="00F12D89">
            <w:pPr>
              <w:spacing w:after="60"/>
              <w:jc w:val="right"/>
              <w:rPr>
                <w:sz w:val="18"/>
                <w:szCs w:val="20"/>
                <w:lang w:val="fr-CA"/>
              </w:rPr>
            </w:pPr>
          </w:p>
        </w:tc>
        <w:tc>
          <w:tcPr>
            <w:tcW w:w="439"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617</w:t>
            </w:r>
            <w:r w:rsidR="00F51720" w:rsidRPr="00ED22D1">
              <w:rPr>
                <w:sz w:val="18"/>
                <w:szCs w:val="20"/>
                <w:lang w:val="fr-CA"/>
              </w:rPr>
              <w:t>,</w:t>
            </w:r>
            <w:r w:rsidRPr="00ED22D1">
              <w:rPr>
                <w:sz w:val="18"/>
                <w:szCs w:val="20"/>
                <w:lang w:val="fr-CA"/>
              </w:rPr>
              <w:t>50</w:t>
            </w:r>
          </w:p>
        </w:tc>
        <w:tc>
          <w:tcPr>
            <w:tcW w:w="454" w:type="pct"/>
            <w:shd w:val="clear" w:color="auto" w:fill="auto"/>
          </w:tcPr>
          <w:p w:rsidR="000A787F" w:rsidRPr="00ED22D1" w:rsidRDefault="000A787F" w:rsidP="00F12D89">
            <w:pPr>
              <w:spacing w:after="60"/>
              <w:jc w:val="right"/>
              <w:rPr>
                <w:sz w:val="18"/>
                <w:szCs w:val="20"/>
                <w:lang w:val="fr-CA"/>
              </w:rPr>
            </w:pPr>
          </w:p>
        </w:tc>
        <w:tc>
          <w:tcPr>
            <w:tcW w:w="577"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5</w:t>
            </w:r>
            <w:r w:rsidR="00F51720" w:rsidRPr="00ED22D1">
              <w:rPr>
                <w:sz w:val="18"/>
                <w:szCs w:val="20"/>
                <w:lang w:val="fr-CA"/>
              </w:rPr>
              <w:t>,</w:t>
            </w:r>
            <w:r w:rsidRPr="00ED22D1">
              <w:rPr>
                <w:sz w:val="18"/>
                <w:szCs w:val="20"/>
                <w:lang w:val="fr-CA"/>
              </w:rPr>
              <w:t>85</w:t>
            </w:r>
          </w:p>
        </w:tc>
        <w:tc>
          <w:tcPr>
            <w:tcW w:w="518"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43</w:t>
            </w:r>
            <w:r w:rsidR="00F51720" w:rsidRPr="00ED22D1">
              <w:rPr>
                <w:sz w:val="18"/>
                <w:szCs w:val="20"/>
                <w:lang w:val="fr-CA"/>
              </w:rPr>
              <w:t>,</w:t>
            </w:r>
            <w:r w:rsidRPr="00ED22D1">
              <w:rPr>
                <w:sz w:val="18"/>
                <w:szCs w:val="20"/>
                <w:lang w:val="fr-CA"/>
              </w:rPr>
              <w:t>06</w:t>
            </w:r>
          </w:p>
        </w:tc>
        <w:tc>
          <w:tcPr>
            <w:tcW w:w="385" w:type="pct"/>
            <w:shd w:val="clear" w:color="auto" w:fill="auto"/>
          </w:tcPr>
          <w:p w:rsidR="000A787F" w:rsidRPr="00ED22D1" w:rsidRDefault="000A787F" w:rsidP="00F12D89">
            <w:pPr>
              <w:spacing w:after="60"/>
              <w:jc w:val="right"/>
              <w:rPr>
                <w:sz w:val="18"/>
                <w:szCs w:val="20"/>
                <w:lang w:val="fr-CA"/>
              </w:rPr>
            </w:pPr>
          </w:p>
        </w:tc>
        <w:tc>
          <w:tcPr>
            <w:tcW w:w="672" w:type="pct"/>
            <w:gridSpan w:val="2"/>
            <w:shd w:val="clear" w:color="auto" w:fill="auto"/>
          </w:tcPr>
          <w:p w:rsidR="000A787F" w:rsidRPr="00ED22D1" w:rsidRDefault="000A787F" w:rsidP="00F12D89">
            <w:pPr>
              <w:spacing w:after="60"/>
              <w:jc w:val="right"/>
              <w:rPr>
                <w:sz w:val="18"/>
                <w:szCs w:val="20"/>
                <w:lang w:val="fr-CA"/>
              </w:rPr>
            </w:pPr>
          </w:p>
        </w:tc>
        <w:tc>
          <w:tcPr>
            <w:tcW w:w="491" w:type="pct"/>
            <w:shd w:val="clear" w:color="auto" w:fill="auto"/>
          </w:tcPr>
          <w:p w:rsidR="000A787F" w:rsidRPr="00ED22D1" w:rsidRDefault="000A787F" w:rsidP="00F12D89">
            <w:pPr>
              <w:spacing w:after="60"/>
              <w:jc w:val="right"/>
              <w:rPr>
                <w:sz w:val="18"/>
                <w:szCs w:val="20"/>
                <w:lang w:val="fr-CA"/>
              </w:rPr>
            </w:pPr>
          </w:p>
        </w:tc>
        <w:tc>
          <w:tcPr>
            <w:tcW w:w="654"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666</w:t>
            </w:r>
            <w:r w:rsidR="00F51720" w:rsidRPr="00ED22D1">
              <w:rPr>
                <w:sz w:val="18"/>
                <w:szCs w:val="20"/>
                <w:lang w:val="fr-CA"/>
              </w:rPr>
              <w:t>,</w:t>
            </w:r>
            <w:r w:rsidRPr="00ED22D1">
              <w:rPr>
                <w:sz w:val="18"/>
                <w:szCs w:val="20"/>
                <w:lang w:val="fr-CA"/>
              </w:rPr>
              <w:t>41</w:t>
            </w:r>
          </w:p>
        </w:tc>
      </w:tr>
      <w:tr w:rsidR="0002005B" w:rsidRPr="00ED22D1" w:rsidTr="001A012D">
        <w:trPr>
          <w:trHeight w:val="240"/>
        </w:trPr>
        <w:tc>
          <w:tcPr>
            <w:tcW w:w="367" w:type="pct"/>
            <w:shd w:val="clear" w:color="auto" w:fill="auto"/>
          </w:tcPr>
          <w:p w:rsidR="000A787F" w:rsidRPr="00ED22D1" w:rsidRDefault="000A787F" w:rsidP="00F12D89">
            <w:pPr>
              <w:spacing w:after="60"/>
              <w:rPr>
                <w:sz w:val="18"/>
                <w:szCs w:val="20"/>
                <w:lang w:val="fr-CA"/>
              </w:rPr>
            </w:pPr>
            <w:r w:rsidRPr="00ED22D1">
              <w:rPr>
                <w:sz w:val="18"/>
                <w:szCs w:val="20"/>
                <w:lang w:val="fr-CA"/>
              </w:rPr>
              <w:t>HCFC-225ca</w:t>
            </w:r>
          </w:p>
        </w:tc>
        <w:tc>
          <w:tcPr>
            <w:tcW w:w="442" w:type="pct"/>
            <w:shd w:val="clear" w:color="auto" w:fill="auto"/>
          </w:tcPr>
          <w:p w:rsidR="000A787F" w:rsidRPr="00ED22D1" w:rsidRDefault="000A787F" w:rsidP="00F12D89">
            <w:pPr>
              <w:spacing w:after="60"/>
              <w:jc w:val="right"/>
              <w:rPr>
                <w:sz w:val="18"/>
                <w:szCs w:val="20"/>
                <w:lang w:val="fr-CA"/>
              </w:rPr>
            </w:pPr>
          </w:p>
        </w:tc>
        <w:tc>
          <w:tcPr>
            <w:tcW w:w="439" w:type="pct"/>
            <w:shd w:val="clear" w:color="auto" w:fill="auto"/>
          </w:tcPr>
          <w:p w:rsidR="000A787F" w:rsidRPr="00ED22D1" w:rsidRDefault="000A787F" w:rsidP="00F12D89">
            <w:pPr>
              <w:spacing w:after="60"/>
              <w:jc w:val="right"/>
              <w:rPr>
                <w:sz w:val="18"/>
                <w:szCs w:val="20"/>
                <w:lang w:val="fr-CA"/>
              </w:rPr>
            </w:pPr>
          </w:p>
        </w:tc>
        <w:tc>
          <w:tcPr>
            <w:tcW w:w="454" w:type="pct"/>
            <w:shd w:val="clear" w:color="auto" w:fill="auto"/>
          </w:tcPr>
          <w:p w:rsidR="000A787F" w:rsidRPr="00ED22D1" w:rsidRDefault="000A787F" w:rsidP="00F12D89">
            <w:pPr>
              <w:spacing w:after="60"/>
              <w:jc w:val="right"/>
              <w:rPr>
                <w:sz w:val="18"/>
                <w:szCs w:val="20"/>
                <w:lang w:val="fr-CA"/>
              </w:rPr>
            </w:pPr>
          </w:p>
        </w:tc>
        <w:tc>
          <w:tcPr>
            <w:tcW w:w="577" w:type="pct"/>
            <w:shd w:val="clear" w:color="auto" w:fill="auto"/>
          </w:tcPr>
          <w:p w:rsidR="000A787F" w:rsidRPr="00ED22D1" w:rsidRDefault="000A787F" w:rsidP="00F12D89">
            <w:pPr>
              <w:spacing w:after="60"/>
              <w:jc w:val="right"/>
              <w:rPr>
                <w:sz w:val="18"/>
                <w:szCs w:val="20"/>
                <w:lang w:val="fr-CA"/>
              </w:rPr>
            </w:pPr>
          </w:p>
        </w:tc>
        <w:tc>
          <w:tcPr>
            <w:tcW w:w="518" w:type="pct"/>
            <w:shd w:val="clear" w:color="auto" w:fill="auto"/>
          </w:tcPr>
          <w:p w:rsidR="000A787F" w:rsidRPr="00ED22D1" w:rsidRDefault="000A787F" w:rsidP="00F12D89">
            <w:pPr>
              <w:spacing w:after="60"/>
              <w:jc w:val="right"/>
              <w:rPr>
                <w:sz w:val="18"/>
                <w:szCs w:val="20"/>
                <w:lang w:val="fr-CA"/>
              </w:rPr>
            </w:pPr>
          </w:p>
        </w:tc>
        <w:tc>
          <w:tcPr>
            <w:tcW w:w="385"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0</w:t>
            </w:r>
            <w:r w:rsidR="00F51720" w:rsidRPr="00ED22D1">
              <w:rPr>
                <w:sz w:val="18"/>
                <w:szCs w:val="20"/>
                <w:lang w:val="fr-CA"/>
              </w:rPr>
              <w:t>,</w:t>
            </w:r>
            <w:r w:rsidRPr="00ED22D1">
              <w:rPr>
                <w:sz w:val="18"/>
                <w:szCs w:val="20"/>
                <w:lang w:val="fr-CA"/>
              </w:rPr>
              <w:t>96</w:t>
            </w:r>
          </w:p>
        </w:tc>
        <w:tc>
          <w:tcPr>
            <w:tcW w:w="672" w:type="pct"/>
            <w:gridSpan w:val="2"/>
            <w:shd w:val="clear" w:color="auto" w:fill="auto"/>
          </w:tcPr>
          <w:p w:rsidR="000A787F" w:rsidRPr="00ED22D1" w:rsidRDefault="000A787F" w:rsidP="00F12D89">
            <w:pPr>
              <w:spacing w:after="60"/>
              <w:jc w:val="right"/>
              <w:rPr>
                <w:sz w:val="18"/>
                <w:szCs w:val="20"/>
                <w:lang w:val="fr-CA"/>
              </w:rPr>
            </w:pPr>
          </w:p>
        </w:tc>
        <w:tc>
          <w:tcPr>
            <w:tcW w:w="491" w:type="pct"/>
            <w:shd w:val="clear" w:color="auto" w:fill="auto"/>
          </w:tcPr>
          <w:p w:rsidR="000A787F" w:rsidRPr="00ED22D1" w:rsidRDefault="000A787F" w:rsidP="00F12D89">
            <w:pPr>
              <w:spacing w:after="60"/>
              <w:jc w:val="right"/>
              <w:rPr>
                <w:sz w:val="18"/>
                <w:szCs w:val="20"/>
                <w:lang w:val="fr-CA"/>
              </w:rPr>
            </w:pPr>
          </w:p>
        </w:tc>
        <w:tc>
          <w:tcPr>
            <w:tcW w:w="654"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0</w:t>
            </w:r>
            <w:r w:rsidR="00F51720" w:rsidRPr="00ED22D1">
              <w:rPr>
                <w:sz w:val="18"/>
                <w:szCs w:val="20"/>
                <w:lang w:val="fr-CA"/>
              </w:rPr>
              <w:t>,</w:t>
            </w:r>
            <w:r w:rsidRPr="00ED22D1">
              <w:rPr>
                <w:sz w:val="18"/>
                <w:szCs w:val="20"/>
                <w:lang w:val="fr-CA"/>
              </w:rPr>
              <w:t>96</w:t>
            </w:r>
          </w:p>
        </w:tc>
      </w:tr>
    </w:tbl>
    <w:p w:rsidR="000A787F" w:rsidRPr="00ED22D1" w:rsidRDefault="000A787F" w:rsidP="000A787F">
      <w:pPr>
        <w:pStyle w:val="Title1"/>
        <w:rPr>
          <w:lang w:val="fr-CA"/>
        </w:rPr>
      </w:pPr>
    </w:p>
    <w:tbl>
      <w:tblPr>
        <w:tblStyle w:val="TableGrid40"/>
        <w:tblW w:w="5000" w:type="pct"/>
        <w:tblLook w:val="04A0" w:firstRow="1" w:lastRow="0" w:firstColumn="1" w:lastColumn="0" w:noHBand="0" w:noVBand="1"/>
      </w:tblPr>
      <w:tblGrid>
        <w:gridCol w:w="2291"/>
        <w:gridCol w:w="1210"/>
        <w:gridCol w:w="4865"/>
        <w:gridCol w:w="1210"/>
      </w:tblGrid>
      <w:tr w:rsidR="000A787F" w:rsidRPr="00C80221" w:rsidTr="00F12D89">
        <w:trPr>
          <w:trHeight w:val="240"/>
        </w:trPr>
        <w:tc>
          <w:tcPr>
            <w:tcW w:w="5000" w:type="pct"/>
            <w:gridSpan w:val="4"/>
            <w:shd w:val="clear" w:color="auto" w:fill="auto"/>
          </w:tcPr>
          <w:p w:rsidR="000A787F" w:rsidRPr="00ED22D1" w:rsidRDefault="000A787F" w:rsidP="00F12D89">
            <w:pPr>
              <w:spacing w:after="60"/>
              <w:rPr>
                <w:b/>
                <w:sz w:val="18"/>
                <w:szCs w:val="20"/>
                <w:lang w:val="fr-CA"/>
              </w:rPr>
            </w:pPr>
            <w:r w:rsidRPr="00ED22D1">
              <w:rPr>
                <w:b/>
                <w:sz w:val="18"/>
                <w:szCs w:val="20"/>
                <w:lang w:val="fr-CA"/>
              </w:rPr>
              <w:t xml:space="preserve">(IV) </w:t>
            </w:r>
            <w:r w:rsidR="00103EB0" w:rsidRPr="00ED22D1">
              <w:rPr>
                <w:b/>
                <w:sz w:val="20"/>
                <w:szCs w:val="24"/>
                <w:lang w:val="fr-CA"/>
              </w:rPr>
              <w:t xml:space="preserve">DONNÉES SUR LA CONSOMMATION </w:t>
            </w:r>
            <w:r w:rsidR="0052712E" w:rsidRPr="00ED22D1">
              <w:rPr>
                <w:b/>
                <w:sz w:val="18"/>
                <w:szCs w:val="20"/>
                <w:lang w:val="fr-CA"/>
              </w:rPr>
              <w:t>(tonnes PAO)</w:t>
            </w:r>
            <w:r w:rsidR="00103EB0" w:rsidRPr="00ED22D1">
              <w:rPr>
                <w:b/>
                <w:sz w:val="18"/>
                <w:szCs w:val="20"/>
                <w:lang w:val="fr-CA"/>
              </w:rPr>
              <w:t xml:space="preserve"> </w:t>
            </w:r>
          </w:p>
        </w:tc>
      </w:tr>
      <w:tr w:rsidR="000A787F" w:rsidRPr="00ED22D1" w:rsidTr="00F12D89">
        <w:trPr>
          <w:trHeight w:val="240"/>
        </w:trPr>
        <w:tc>
          <w:tcPr>
            <w:tcW w:w="1196" w:type="pct"/>
            <w:shd w:val="clear" w:color="auto" w:fill="auto"/>
          </w:tcPr>
          <w:p w:rsidR="000A787F" w:rsidRPr="00ED22D1" w:rsidRDefault="00103EB0" w:rsidP="00103EB0">
            <w:pPr>
              <w:spacing w:after="60"/>
              <w:jc w:val="center"/>
              <w:rPr>
                <w:sz w:val="18"/>
                <w:szCs w:val="20"/>
                <w:lang w:val="fr-CA"/>
              </w:rPr>
            </w:pPr>
            <w:r w:rsidRPr="00ED22D1">
              <w:rPr>
                <w:sz w:val="18"/>
                <w:szCs w:val="20"/>
                <w:lang w:val="fr-CA"/>
              </w:rPr>
              <w:t xml:space="preserve">Référence </w:t>
            </w:r>
            <w:r w:rsidR="000A787F" w:rsidRPr="00ED22D1">
              <w:rPr>
                <w:sz w:val="18"/>
                <w:szCs w:val="20"/>
                <w:lang w:val="fr-CA"/>
              </w:rPr>
              <w:t xml:space="preserve">2009 </w:t>
            </w:r>
            <w:r w:rsidRPr="00ED22D1">
              <w:rPr>
                <w:sz w:val="18"/>
                <w:szCs w:val="20"/>
                <w:lang w:val="fr-CA"/>
              </w:rPr>
              <w:t>–</w:t>
            </w:r>
            <w:r w:rsidR="000A787F" w:rsidRPr="00ED22D1">
              <w:rPr>
                <w:sz w:val="18"/>
                <w:szCs w:val="20"/>
                <w:lang w:val="fr-CA"/>
              </w:rPr>
              <w:t xml:space="preserve"> 2010</w:t>
            </w:r>
            <w:r w:rsidR="00791BF7" w:rsidRPr="00ED22D1">
              <w:rPr>
                <w:sz w:val="18"/>
                <w:szCs w:val="20"/>
                <w:lang w:val="fr-CA"/>
              </w:rPr>
              <w:t> :</w:t>
            </w:r>
          </w:p>
        </w:tc>
        <w:tc>
          <w:tcPr>
            <w:tcW w:w="632"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19</w:t>
            </w:r>
            <w:r w:rsidR="00F51720" w:rsidRPr="00ED22D1">
              <w:rPr>
                <w:sz w:val="18"/>
                <w:szCs w:val="20"/>
                <w:lang w:val="fr-CA"/>
              </w:rPr>
              <w:t> </w:t>
            </w:r>
            <w:r w:rsidRPr="00ED22D1">
              <w:rPr>
                <w:sz w:val="18"/>
                <w:szCs w:val="20"/>
                <w:lang w:val="fr-CA"/>
              </w:rPr>
              <w:t>269</w:t>
            </w:r>
            <w:r w:rsidR="00F51720" w:rsidRPr="00ED22D1">
              <w:rPr>
                <w:sz w:val="18"/>
                <w:szCs w:val="20"/>
                <w:lang w:val="fr-CA"/>
              </w:rPr>
              <w:t>,</w:t>
            </w:r>
            <w:r w:rsidRPr="00ED22D1">
              <w:rPr>
                <w:sz w:val="18"/>
                <w:szCs w:val="20"/>
                <w:lang w:val="fr-CA"/>
              </w:rPr>
              <w:t>0</w:t>
            </w:r>
          </w:p>
        </w:tc>
        <w:tc>
          <w:tcPr>
            <w:tcW w:w="2540" w:type="pct"/>
            <w:shd w:val="clear" w:color="auto" w:fill="auto"/>
          </w:tcPr>
          <w:p w:rsidR="000A787F" w:rsidRPr="00ED22D1" w:rsidRDefault="00103EB0" w:rsidP="00F12D89">
            <w:pPr>
              <w:spacing w:after="60"/>
              <w:jc w:val="center"/>
              <w:rPr>
                <w:sz w:val="18"/>
                <w:szCs w:val="18"/>
                <w:lang w:val="fr-CA"/>
              </w:rPr>
            </w:pPr>
            <w:r w:rsidRPr="00ED22D1">
              <w:rPr>
                <w:sz w:val="18"/>
                <w:szCs w:val="18"/>
                <w:lang w:val="fr-CA"/>
              </w:rPr>
              <w:t>Point de départ des réductions globales durables</w:t>
            </w:r>
            <w:r w:rsidR="00791BF7" w:rsidRPr="00ED22D1">
              <w:rPr>
                <w:sz w:val="18"/>
                <w:szCs w:val="18"/>
                <w:lang w:val="fr-CA"/>
              </w:rPr>
              <w:t> :</w:t>
            </w:r>
          </w:p>
        </w:tc>
        <w:tc>
          <w:tcPr>
            <w:tcW w:w="632"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18</w:t>
            </w:r>
            <w:r w:rsidR="00F51720" w:rsidRPr="00ED22D1">
              <w:rPr>
                <w:sz w:val="18"/>
                <w:szCs w:val="20"/>
                <w:lang w:val="fr-CA"/>
              </w:rPr>
              <w:t> </w:t>
            </w:r>
            <w:r w:rsidRPr="00ED22D1">
              <w:rPr>
                <w:sz w:val="18"/>
                <w:szCs w:val="20"/>
                <w:lang w:val="fr-CA"/>
              </w:rPr>
              <w:t>865</w:t>
            </w:r>
            <w:r w:rsidR="00F51720" w:rsidRPr="00ED22D1">
              <w:rPr>
                <w:sz w:val="18"/>
                <w:szCs w:val="20"/>
                <w:lang w:val="fr-CA"/>
              </w:rPr>
              <w:t>,</w:t>
            </w:r>
            <w:r w:rsidRPr="00ED22D1">
              <w:rPr>
                <w:sz w:val="18"/>
                <w:szCs w:val="20"/>
                <w:lang w:val="fr-CA"/>
              </w:rPr>
              <w:t>44</w:t>
            </w:r>
          </w:p>
        </w:tc>
      </w:tr>
      <w:tr w:rsidR="000A787F" w:rsidRPr="00C80221" w:rsidTr="00F12D89">
        <w:trPr>
          <w:trHeight w:val="240"/>
        </w:trPr>
        <w:tc>
          <w:tcPr>
            <w:tcW w:w="5000" w:type="pct"/>
            <w:gridSpan w:val="4"/>
            <w:shd w:val="clear" w:color="auto" w:fill="auto"/>
          </w:tcPr>
          <w:p w:rsidR="000A787F" w:rsidRPr="00ED22D1" w:rsidRDefault="00103EB0" w:rsidP="00F12D89">
            <w:pPr>
              <w:spacing w:after="60"/>
              <w:jc w:val="center"/>
              <w:rPr>
                <w:b/>
                <w:sz w:val="18"/>
                <w:szCs w:val="20"/>
                <w:lang w:val="fr-CA"/>
              </w:rPr>
            </w:pPr>
            <w:r w:rsidRPr="00ED22D1">
              <w:rPr>
                <w:b/>
                <w:sz w:val="18"/>
                <w:szCs w:val="18"/>
                <w:lang w:val="fr-CA"/>
              </w:rPr>
              <w:t>CONSOMMATION ADMISSIBLE AU FINANCEMENT</w:t>
            </w:r>
            <w:r w:rsidRPr="00ED22D1">
              <w:rPr>
                <w:b/>
                <w:sz w:val="20"/>
                <w:szCs w:val="24"/>
                <w:lang w:val="fr-CA"/>
              </w:rPr>
              <w:t xml:space="preserve"> </w:t>
            </w:r>
            <w:r w:rsidR="0052712E" w:rsidRPr="00ED22D1">
              <w:rPr>
                <w:b/>
                <w:sz w:val="18"/>
                <w:szCs w:val="20"/>
                <w:lang w:val="fr-CA"/>
              </w:rPr>
              <w:t>(tonnes PAO)</w:t>
            </w:r>
          </w:p>
        </w:tc>
      </w:tr>
      <w:tr w:rsidR="000A787F" w:rsidRPr="00ED22D1" w:rsidTr="00F12D89">
        <w:trPr>
          <w:trHeight w:val="240"/>
        </w:trPr>
        <w:tc>
          <w:tcPr>
            <w:tcW w:w="1196" w:type="pct"/>
            <w:shd w:val="clear" w:color="auto" w:fill="auto"/>
          </w:tcPr>
          <w:p w:rsidR="000A787F" w:rsidRPr="00ED22D1" w:rsidRDefault="00921BDE" w:rsidP="00F12D89">
            <w:pPr>
              <w:spacing w:after="60"/>
              <w:jc w:val="center"/>
              <w:rPr>
                <w:sz w:val="18"/>
                <w:szCs w:val="20"/>
                <w:lang w:val="fr-CA"/>
              </w:rPr>
            </w:pPr>
            <w:r w:rsidRPr="00ED22D1">
              <w:rPr>
                <w:sz w:val="18"/>
                <w:szCs w:val="20"/>
                <w:lang w:val="fr-CA"/>
              </w:rPr>
              <w:t>Déjà</w:t>
            </w:r>
            <w:r w:rsidR="000A787F" w:rsidRPr="00ED22D1">
              <w:rPr>
                <w:sz w:val="18"/>
                <w:szCs w:val="20"/>
                <w:lang w:val="fr-CA"/>
              </w:rPr>
              <w:t xml:space="preserve"> </w:t>
            </w:r>
            <w:r w:rsidR="00F51720" w:rsidRPr="00ED22D1">
              <w:rPr>
                <w:sz w:val="18"/>
                <w:szCs w:val="20"/>
                <w:lang w:val="fr-CA"/>
              </w:rPr>
              <w:t>approuvé</w:t>
            </w:r>
            <w:r w:rsidR="00D21823">
              <w:rPr>
                <w:sz w:val="18"/>
                <w:szCs w:val="20"/>
                <w:lang w:val="fr-CA"/>
              </w:rPr>
              <w:t>e</w:t>
            </w:r>
            <w:r w:rsidR="00791BF7" w:rsidRPr="00ED22D1">
              <w:rPr>
                <w:sz w:val="18"/>
                <w:szCs w:val="20"/>
                <w:lang w:val="fr-CA"/>
              </w:rPr>
              <w:t> :</w:t>
            </w:r>
          </w:p>
        </w:tc>
        <w:tc>
          <w:tcPr>
            <w:tcW w:w="632"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12</w:t>
            </w:r>
            <w:r w:rsidR="00F51720" w:rsidRPr="00ED22D1">
              <w:rPr>
                <w:sz w:val="18"/>
                <w:szCs w:val="20"/>
                <w:lang w:val="fr-CA"/>
              </w:rPr>
              <w:t> </w:t>
            </w:r>
            <w:r w:rsidRPr="00ED22D1">
              <w:rPr>
                <w:sz w:val="18"/>
                <w:szCs w:val="20"/>
                <w:lang w:val="fr-CA"/>
              </w:rPr>
              <w:t>161</w:t>
            </w:r>
            <w:r w:rsidR="00F51720" w:rsidRPr="00ED22D1">
              <w:rPr>
                <w:sz w:val="18"/>
                <w:szCs w:val="20"/>
                <w:lang w:val="fr-CA"/>
              </w:rPr>
              <w:t>,</w:t>
            </w:r>
            <w:r w:rsidRPr="00ED22D1">
              <w:rPr>
                <w:sz w:val="18"/>
                <w:szCs w:val="20"/>
                <w:lang w:val="fr-CA"/>
              </w:rPr>
              <w:t>02</w:t>
            </w:r>
          </w:p>
        </w:tc>
        <w:tc>
          <w:tcPr>
            <w:tcW w:w="2540" w:type="pct"/>
            <w:shd w:val="clear" w:color="auto" w:fill="auto"/>
          </w:tcPr>
          <w:p w:rsidR="000A787F" w:rsidRPr="00ED22D1" w:rsidRDefault="000A787F" w:rsidP="00103EB0">
            <w:pPr>
              <w:spacing w:after="60"/>
              <w:jc w:val="center"/>
              <w:rPr>
                <w:sz w:val="18"/>
                <w:szCs w:val="20"/>
                <w:lang w:val="fr-CA"/>
              </w:rPr>
            </w:pPr>
            <w:r w:rsidRPr="00ED22D1">
              <w:rPr>
                <w:sz w:val="18"/>
                <w:szCs w:val="20"/>
                <w:lang w:val="fr-CA"/>
              </w:rPr>
              <w:t>Re</w:t>
            </w:r>
            <w:r w:rsidR="00103EB0" w:rsidRPr="00ED22D1">
              <w:rPr>
                <w:sz w:val="18"/>
                <w:szCs w:val="20"/>
                <w:lang w:val="fr-CA"/>
              </w:rPr>
              <w:t>stante</w:t>
            </w:r>
            <w:r w:rsidR="00791BF7" w:rsidRPr="00ED22D1">
              <w:rPr>
                <w:sz w:val="18"/>
                <w:szCs w:val="20"/>
                <w:lang w:val="fr-CA"/>
              </w:rPr>
              <w:t> :</w:t>
            </w:r>
          </w:p>
        </w:tc>
        <w:tc>
          <w:tcPr>
            <w:tcW w:w="632" w:type="pct"/>
            <w:shd w:val="clear" w:color="auto" w:fill="auto"/>
          </w:tcPr>
          <w:p w:rsidR="000A787F" w:rsidRPr="00ED22D1" w:rsidRDefault="000A787F" w:rsidP="00F51720">
            <w:pPr>
              <w:spacing w:after="60"/>
              <w:jc w:val="right"/>
              <w:rPr>
                <w:sz w:val="18"/>
                <w:szCs w:val="20"/>
                <w:lang w:val="fr-CA"/>
              </w:rPr>
            </w:pPr>
            <w:r w:rsidRPr="00ED22D1">
              <w:rPr>
                <w:sz w:val="18"/>
                <w:szCs w:val="20"/>
                <w:lang w:val="fr-CA"/>
              </w:rPr>
              <w:t>6</w:t>
            </w:r>
            <w:r w:rsidR="00F51720" w:rsidRPr="00ED22D1">
              <w:rPr>
                <w:sz w:val="18"/>
                <w:szCs w:val="20"/>
                <w:lang w:val="fr-CA"/>
              </w:rPr>
              <w:t> </w:t>
            </w:r>
            <w:r w:rsidRPr="00ED22D1">
              <w:rPr>
                <w:sz w:val="18"/>
                <w:szCs w:val="20"/>
                <w:lang w:val="fr-CA"/>
              </w:rPr>
              <w:t>704</w:t>
            </w:r>
            <w:r w:rsidR="00F51720" w:rsidRPr="00ED22D1">
              <w:rPr>
                <w:sz w:val="18"/>
                <w:szCs w:val="20"/>
                <w:lang w:val="fr-CA"/>
              </w:rPr>
              <w:t>,</w:t>
            </w:r>
            <w:r w:rsidRPr="00ED22D1">
              <w:rPr>
                <w:sz w:val="18"/>
                <w:szCs w:val="20"/>
                <w:lang w:val="fr-CA"/>
              </w:rPr>
              <w:t>42</w:t>
            </w:r>
          </w:p>
        </w:tc>
      </w:tr>
    </w:tbl>
    <w:p w:rsidR="000A787F" w:rsidRPr="00ED22D1" w:rsidRDefault="000A787F" w:rsidP="000A787F">
      <w:pPr>
        <w:pStyle w:val="Title1"/>
        <w:rPr>
          <w:lang w:val="fr-CA"/>
        </w:rPr>
      </w:pPr>
    </w:p>
    <w:tbl>
      <w:tblPr>
        <w:tblStyle w:val="TableGrid"/>
        <w:tblW w:w="5000" w:type="pct"/>
        <w:tblLook w:val="04A0" w:firstRow="1" w:lastRow="0" w:firstColumn="1" w:lastColumn="0" w:noHBand="0" w:noVBand="1"/>
      </w:tblPr>
      <w:tblGrid>
        <w:gridCol w:w="1188"/>
        <w:gridCol w:w="3156"/>
        <w:gridCol w:w="1308"/>
        <w:gridCol w:w="1308"/>
        <w:gridCol w:w="1308"/>
        <w:gridCol w:w="1308"/>
      </w:tblGrid>
      <w:tr w:rsidR="000A787F" w:rsidRPr="00ED22D1" w:rsidTr="00791BF7">
        <w:trPr>
          <w:trHeight w:val="240"/>
        </w:trPr>
        <w:tc>
          <w:tcPr>
            <w:tcW w:w="2268" w:type="pct"/>
            <w:gridSpan w:val="2"/>
            <w:shd w:val="clear" w:color="auto" w:fill="auto"/>
          </w:tcPr>
          <w:p w:rsidR="000A787F" w:rsidRPr="00ED22D1" w:rsidRDefault="000A787F" w:rsidP="00F12D89">
            <w:pPr>
              <w:pStyle w:val="StyleHeader4Para4Left0Firstline0"/>
              <w:numPr>
                <w:ilvl w:val="0"/>
                <w:numId w:val="0"/>
              </w:numPr>
              <w:spacing w:after="60"/>
              <w:jc w:val="left"/>
              <w:rPr>
                <w:b/>
                <w:sz w:val="18"/>
                <w:lang w:val="fr-CA"/>
              </w:rPr>
            </w:pPr>
            <w:r w:rsidRPr="00ED22D1">
              <w:rPr>
                <w:b/>
                <w:sz w:val="18"/>
                <w:lang w:val="fr-CA"/>
              </w:rPr>
              <w:t xml:space="preserve">(V) </w:t>
            </w:r>
            <w:r w:rsidR="00103EB0" w:rsidRPr="00ED22D1">
              <w:rPr>
                <w:b/>
                <w:sz w:val="18"/>
                <w:szCs w:val="18"/>
                <w:lang w:val="fr-CA"/>
              </w:rPr>
              <w:t>PLAN D’ACTIVITÉS</w:t>
            </w:r>
          </w:p>
        </w:tc>
        <w:tc>
          <w:tcPr>
            <w:tcW w:w="683" w:type="pct"/>
            <w:shd w:val="clear" w:color="auto" w:fill="auto"/>
          </w:tcPr>
          <w:p w:rsidR="000A787F" w:rsidRPr="00ED22D1" w:rsidRDefault="000A787F" w:rsidP="00F12D89">
            <w:pPr>
              <w:pStyle w:val="StyleHeader4Para4Left0Firstline0"/>
              <w:numPr>
                <w:ilvl w:val="0"/>
                <w:numId w:val="0"/>
              </w:numPr>
              <w:spacing w:after="60"/>
              <w:jc w:val="center"/>
              <w:rPr>
                <w:b/>
                <w:sz w:val="18"/>
                <w:lang w:val="fr-CA"/>
              </w:rPr>
            </w:pPr>
            <w:r w:rsidRPr="00ED22D1">
              <w:rPr>
                <w:b/>
                <w:sz w:val="18"/>
                <w:lang w:val="fr-CA"/>
              </w:rPr>
              <w:t>2019</w:t>
            </w:r>
          </w:p>
        </w:tc>
        <w:tc>
          <w:tcPr>
            <w:tcW w:w="683" w:type="pct"/>
            <w:shd w:val="clear" w:color="auto" w:fill="auto"/>
          </w:tcPr>
          <w:p w:rsidR="000A787F" w:rsidRPr="00ED22D1" w:rsidRDefault="000A787F" w:rsidP="00F12D89">
            <w:pPr>
              <w:pStyle w:val="StyleHeader4Para4Left0Firstline0"/>
              <w:numPr>
                <w:ilvl w:val="0"/>
                <w:numId w:val="0"/>
              </w:numPr>
              <w:spacing w:after="60"/>
              <w:jc w:val="center"/>
              <w:rPr>
                <w:b/>
                <w:sz w:val="18"/>
                <w:lang w:val="fr-CA"/>
              </w:rPr>
            </w:pPr>
            <w:r w:rsidRPr="00ED22D1">
              <w:rPr>
                <w:b/>
                <w:sz w:val="18"/>
                <w:lang w:val="fr-CA"/>
              </w:rPr>
              <w:t>2020</w:t>
            </w:r>
          </w:p>
        </w:tc>
        <w:tc>
          <w:tcPr>
            <w:tcW w:w="683" w:type="pct"/>
          </w:tcPr>
          <w:p w:rsidR="000A787F" w:rsidRPr="00ED22D1" w:rsidRDefault="000A787F" w:rsidP="00F12D89">
            <w:pPr>
              <w:pStyle w:val="StyleHeader4Para4Left0Firstline0"/>
              <w:numPr>
                <w:ilvl w:val="0"/>
                <w:numId w:val="0"/>
              </w:numPr>
              <w:spacing w:after="60"/>
              <w:jc w:val="center"/>
              <w:rPr>
                <w:b/>
                <w:sz w:val="18"/>
                <w:lang w:val="fr-CA"/>
              </w:rPr>
            </w:pPr>
            <w:r w:rsidRPr="00ED22D1">
              <w:rPr>
                <w:b/>
                <w:sz w:val="18"/>
                <w:lang w:val="fr-CA"/>
              </w:rPr>
              <w:t>2021</w:t>
            </w:r>
          </w:p>
        </w:tc>
        <w:tc>
          <w:tcPr>
            <w:tcW w:w="683" w:type="pct"/>
            <w:shd w:val="clear" w:color="auto" w:fill="auto"/>
          </w:tcPr>
          <w:p w:rsidR="000A787F" w:rsidRPr="00ED22D1" w:rsidRDefault="000A787F" w:rsidP="00F12D89">
            <w:pPr>
              <w:pStyle w:val="StyleHeader4Para4Left0Firstline0"/>
              <w:numPr>
                <w:ilvl w:val="0"/>
                <w:numId w:val="0"/>
              </w:numPr>
              <w:spacing w:after="60"/>
              <w:jc w:val="center"/>
              <w:rPr>
                <w:b/>
                <w:sz w:val="18"/>
                <w:lang w:val="fr-CA"/>
              </w:rPr>
            </w:pPr>
            <w:r w:rsidRPr="00ED22D1">
              <w:rPr>
                <w:b/>
                <w:sz w:val="18"/>
                <w:lang w:val="fr-CA"/>
              </w:rPr>
              <w:t>Total</w:t>
            </w:r>
          </w:p>
        </w:tc>
      </w:tr>
      <w:tr w:rsidR="00791BF7" w:rsidRPr="00ED22D1" w:rsidTr="00791BF7">
        <w:trPr>
          <w:trHeight w:val="240"/>
        </w:trPr>
        <w:tc>
          <w:tcPr>
            <w:tcW w:w="620" w:type="pct"/>
            <w:vMerge w:val="restart"/>
            <w:shd w:val="clear" w:color="auto" w:fill="auto"/>
          </w:tcPr>
          <w:p w:rsidR="00791BF7" w:rsidRPr="00ED22D1" w:rsidRDefault="00791BF7" w:rsidP="00F12D89">
            <w:pPr>
              <w:pStyle w:val="StyleHeader4Para4Left0Firstline0"/>
              <w:numPr>
                <w:ilvl w:val="0"/>
                <w:numId w:val="0"/>
              </w:numPr>
              <w:spacing w:after="60"/>
              <w:jc w:val="center"/>
              <w:rPr>
                <w:sz w:val="18"/>
                <w:lang w:val="fr-CA"/>
              </w:rPr>
            </w:pPr>
            <w:r w:rsidRPr="00ED22D1">
              <w:rPr>
                <w:sz w:val="18"/>
                <w:lang w:val="fr-CA"/>
              </w:rPr>
              <w:t>Japon</w:t>
            </w:r>
          </w:p>
        </w:tc>
        <w:tc>
          <w:tcPr>
            <w:tcW w:w="1648" w:type="pct"/>
            <w:shd w:val="clear" w:color="auto" w:fill="auto"/>
          </w:tcPr>
          <w:p w:rsidR="00791BF7" w:rsidRPr="00ED22D1" w:rsidRDefault="00791BF7" w:rsidP="00EA1D72">
            <w:pPr>
              <w:spacing w:after="60"/>
              <w:jc w:val="left"/>
              <w:rPr>
                <w:sz w:val="18"/>
                <w:szCs w:val="18"/>
                <w:lang w:val="fr-CA"/>
              </w:rPr>
            </w:pPr>
            <w:r w:rsidRPr="00ED22D1">
              <w:rPr>
                <w:sz w:val="18"/>
                <w:szCs w:val="18"/>
                <w:lang w:val="fr-CA"/>
              </w:rPr>
              <w:t>Élimination des SAO (tonnes PAO)</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2,89</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2,89</w:t>
            </w:r>
          </w:p>
        </w:tc>
        <w:tc>
          <w:tcPr>
            <w:tcW w:w="683" w:type="pct"/>
          </w:tcPr>
          <w:p w:rsidR="00791BF7" w:rsidRPr="00ED22D1" w:rsidRDefault="00791BF7" w:rsidP="00616B46">
            <w:pPr>
              <w:pStyle w:val="StyleHeader4Para4Left0Firstline0"/>
              <w:numPr>
                <w:ilvl w:val="0"/>
                <w:numId w:val="0"/>
              </w:numPr>
              <w:spacing w:after="60"/>
              <w:jc w:val="right"/>
              <w:rPr>
                <w:sz w:val="18"/>
                <w:lang w:val="fr-CA"/>
              </w:rPr>
            </w:pPr>
            <w:r w:rsidRPr="00ED22D1">
              <w:rPr>
                <w:sz w:val="18"/>
                <w:lang w:val="fr-CA"/>
              </w:rPr>
              <w:t>2,89</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8,67</w:t>
            </w:r>
          </w:p>
        </w:tc>
      </w:tr>
      <w:tr w:rsidR="00791BF7" w:rsidRPr="00ED22D1" w:rsidTr="00791BF7">
        <w:trPr>
          <w:trHeight w:val="240"/>
        </w:trPr>
        <w:tc>
          <w:tcPr>
            <w:tcW w:w="620" w:type="pct"/>
            <w:vMerge/>
            <w:shd w:val="clear" w:color="auto" w:fill="auto"/>
          </w:tcPr>
          <w:p w:rsidR="00791BF7" w:rsidRPr="00ED22D1" w:rsidRDefault="00791BF7" w:rsidP="00F12D89">
            <w:pPr>
              <w:pStyle w:val="StyleHeader4Para4Left0Firstline0"/>
              <w:numPr>
                <w:ilvl w:val="0"/>
                <w:numId w:val="0"/>
              </w:numPr>
              <w:spacing w:after="60"/>
              <w:jc w:val="center"/>
              <w:rPr>
                <w:sz w:val="18"/>
                <w:lang w:val="fr-CA"/>
              </w:rPr>
            </w:pPr>
          </w:p>
        </w:tc>
        <w:tc>
          <w:tcPr>
            <w:tcW w:w="1648" w:type="pct"/>
            <w:shd w:val="clear" w:color="auto" w:fill="auto"/>
          </w:tcPr>
          <w:p w:rsidR="00791BF7" w:rsidRPr="00ED22D1" w:rsidRDefault="00791BF7" w:rsidP="00EA1D72">
            <w:pPr>
              <w:spacing w:after="60"/>
              <w:jc w:val="left"/>
              <w:rPr>
                <w:sz w:val="18"/>
                <w:szCs w:val="18"/>
                <w:lang w:val="fr-CA"/>
              </w:rPr>
            </w:pPr>
            <w:r w:rsidRPr="00ED22D1">
              <w:rPr>
                <w:sz w:val="18"/>
                <w:szCs w:val="18"/>
                <w:lang w:val="fr-CA"/>
              </w:rPr>
              <w:t>Financement ($US)</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90 400</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90 400</w:t>
            </w:r>
          </w:p>
        </w:tc>
        <w:tc>
          <w:tcPr>
            <w:tcW w:w="683" w:type="pct"/>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90 400</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271 200</w:t>
            </w:r>
          </w:p>
        </w:tc>
      </w:tr>
      <w:tr w:rsidR="00791BF7" w:rsidRPr="00ED22D1" w:rsidTr="00791BF7">
        <w:trPr>
          <w:trHeight w:val="240"/>
        </w:trPr>
        <w:tc>
          <w:tcPr>
            <w:tcW w:w="620" w:type="pct"/>
            <w:vMerge w:val="restart"/>
            <w:shd w:val="clear" w:color="auto" w:fill="auto"/>
          </w:tcPr>
          <w:p w:rsidR="00791BF7" w:rsidRPr="00ED22D1" w:rsidRDefault="00791BF7" w:rsidP="00F51720">
            <w:pPr>
              <w:pStyle w:val="StyleHeader4Para4Left0Firstline0"/>
              <w:numPr>
                <w:ilvl w:val="0"/>
                <w:numId w:val="0"/>
              </w:numPr>
              <w:spacing w:after="60"/>
              <w:jc w:val="center"/>
              <w:rPr>
                <w:sz w:val="18"/>
                <w:lang w:val="fr-CA"/>
              </w:rPr>
            </w:pPr>
            <w:r w:rsidRPr="00ED22D1">
              <w:rPr>
                <w:sz w:val="18"/>
                <w:lang w:val="fr-CA"/>
              </w:rPr>
              <w:t>PNUE</w:t>
            </w:r>
          </w:p>
        </w:tc>
        <w:tc>
          <w:tcPr>
            <w:tcW w:w="1648" w:type="pct"/>
            <w:shd w:val="clear" w:color="auto" w:fill="auto"/>
          </w:tcPr>
          <w:p w:rsidR="00791BF7" w:rsidRPr="00ED22D1" w:rsidRDefault="00791BF7" w:rsidP="00EA1D72">
            <w:pPr>
              <w:spacing w:after="60"/>
              <w:jc w:val="left"/>
              <w:rPr>
                <w:sz w:val="18"/>
                <w:szCs w:val="18"/>
                <w:lang w:val="fr-CA"/>
              </w:rPr>
            </w:pPr>
            <w:r w:rsidRPr="00ED22D1">
              <w:rPr>
                <w:sz w:val="18"/>
                <w:szCs w:val="18"/>
                <w:lang w:val="fr-CA"/>
              </w:rPr>
              <w:t>Élimination des SAO (tonnes PAO)</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118,29</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121,91</w:t>
            </w:r>
          </w:p>
        </w:tc>
        <w:tc>
          <w:tcPr>
            <w:tcW w:w="683" w:type="pct"/>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129,15</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369,35</w:t>
            </w:r>
          </w:p>
        </w:tc>
      </w:tr>
      <w:tr w:rsidR="00791BF7" w:rsidRPr="00ED22D1" w:rsidTr="00791BF7">
        <w:trPr>
          <w:trHeight w:val="240"/>
        </w:trPr>
        <w:tc>
          <w:tcPr>
            <w:tcW w:w="620" w:type="pct"/>
            <w:vMerge/>
            <w:shd w:val="clear" w:color="auto" w:fill="auto"/>
          </w:tcPr>
          <w:p w:rsidR="00791BF7" w:rsidRPr="00ED22D1" w:rsidRDefault="00791BF7" w:rsidP="00F12D89">
            <w:pPr>
              <w:pStyle w:val="StyleHeader4Para4Left0Firstline0"/>
              <w:numPr>
                <w:ilvl w:val="0"/>
                <w:numId w:val="0"/>
              </w:numPr>
              <w:spacing w:after="60"/>
              <w:jc w:val="center"/>
              <w:rPr>
                <w:sz w:val="18"/>
                <w:lang w:val="fr-CA"/>
              </w:rPr>
            </w:pPr>
          </w:p>
        </w:tc>
        <w:tc>
          <w:tcPr>
            <w:tcW w:w="1648" w:type="pct"/>
            <w:shd w:val="clear" w:color="auto" w:fill="auto"/>
          </w:tcPr>
          <w:p w:rsidR="00791BF7" w:rsidRPr="00ED22D1" w:rsidRDefault="00791BF7" w:rsidP="00EA1D72">
            <w:pPr>
              <w:spacing w:after="60"/>
              <w:jc w:val="left"/>
              <w:rPr>
                <w:sz w:val="18"/>
                <w:szCs w:val="18"/>
                <w:lang w:val="fr-CA"/>
              </w:rPr>
            </w:pPr>
            <w:r w:rsidRPr="00ED22D1">
              <w:rPr>
                <w:sz w:val="18"/>
                <w:szCs w:val="18"/>
                <w:lang w:val="fr-CA"/>
              </w:rPr>
              <w:t>Financement ($US)</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3 631 431</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3 742 484</w:t>
            </w:r>
          </w:p>
        </w:tc>
        <w:tc>
          <w:tcPr>
            <w:tcW w:w="683" w:type="pct"/>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3 964, 90</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11 338 505</w:t>
            </w:r>
          </w:p>
        </w:tc>
      </w:tr>
      <w:tr w:rsidR="00791BF7" w:rsidRPr="00ED22D1" w:rsidTr="00791BF7">
        <w:trPr>
          <w:trHeight w:val="240"/>
        </w:trPr>
        <w:tc>
          <w:tcPr>
            <w:tcW w:w="620" w:type="pct"/>
            <w:vMerge w:val="restart"/>
            <w:shd w:val="clear" w:color="auto" w:fill="auto"/>
          </w:tcPr>
          <w:p w:rsidR="00791BF7" w:rsidRPr="00ED22D1" w:rsidRDefault="00791BF7" w:rsidP="00F12D89">
            <w:pPr>
              <w:pStyle w:val="StyleHeader4Para4Left0Firstline0"/>
              <w:numPr>
                <w:ilvl w:val="0"/>
                <w:numId w:val="0"/>
              </w:numPr>
              <w:spacing w:after="60"/>
              <w:jc w:val="center"/>
              <w:rPr>
                <w:sz w:val="18"/>
                <w:lang w:val="fr-CA"/>
              </w:rPr>
            </w:pPr>
            <w:r w:rsidRPr="00ED22D1">
              <w:rPr>
                <w:sz w:val="18"/>
                <w:lang w:val="fr-CA"/>
              </w:rPr>
              <w:t>Allemagne</w:t>
            </w:r>
          </w:p>
        </w:tc>
        <w:tc>
          <w:tcPr>
            <w:tcW w:w="1648" w:type="pct"/>
            <w:shd w:val="clear" w:color="auto" w:fill="auto"/>
          </w:tcPr>
          <w:p w:rsidR="00791BF7" w:rsidRPr="00ED22D1" w:rsidRDefault="00791BF7" w:rsidP="00EA1D72">
            <w:pPr>
              <w:spacing w:after="60"/>
              <w:jc w:val="left"/>
              <w:rPr>
                <w:sz w:val="18"/>
                <w:szCs w:val="18"/>
                <w:lang w:val="fr-CA"/>
              </w:rPr>
            </w:pPr>
            <w:r w:rsidRPr="00ED22D1">
              <w:rPr>
                <w:sz w:val="18"/>
                <w:szCs w:val="18"/>
                <w:lang w:val="fr-CA"/>
              </w:rPr>
              <w:t>Élimination des SAO (tonnes PAO)</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10,85</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7,24</w:t>
            </w:r>
          </w:p>
        </w:tc>
        <w:tc>
          <w:tcPr>
            <w:tcW w:w="683" w:type="pct"/>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0,00</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18,09</w:t>
            </w:r>
          </w:p>
        </w:tc>
      </w:tr>
      <w:tr w:rsidR="00791BF7" w:rsidRPr="00ED22D1" w:rsidTr="00791BF7">
        <w:trPr>
          <w:trHeight w:val="240"/>
        </w:trPr>
        <w:tc>
          <w:tcPr>
            <w:tcW w:w="620" w:type="pct"/>
            <w:vMerge/>
            <w:shd w:val="clear" w:color="auto" w:fill="auto"/>
          </w:tcPr>
          <w:p w:rsidR="00791BF7" w:rsidRPr="00ED22D1" w:rsidRDefault="00791BF7" w:rsidP="00F12D89">
            <w:pPr>
              <w:pStyle w:val="StyleHeader4Para4Left0Firstline0"/>
              <w:numPr>
                <w:ilvl w:val="0"/>
                <w:numId w:val="0"/>
              </w:numPr>
              <w:spacing w:after="60"/>
              <w:jc w:val="center"/>
              <w:rPr>
                <w:sz w:val="18"/>
                <w:lang w:val="fr-CA"/>
              </w:rPr>
            </w:pPr>
          </w:p>
        </w:tc>
        <w:tc>
          <w:tcPr>
            <w:tcW w:w="1648" w:type="pct"/>
            <w:shd w:val="clear" w:color="auto" w:fill="auto"/>
          </w:tcPr>
          <w:p w:rsidR="00791BF7" w:rsidRPr="00ED22D1" w:rsidRDefault="00791BF7" w:rsidP="00EA1D72">
            <w:pPr>
              <w:spacing w:after="60"/>
              <w:jc w:val="left"/>
              <w:rPr>
                <w:sz w:val="18"/>
                <w:szCs w:val="18"/>
                <w:lang w:val="fr-CA"/>
              </w:rPr>
            </w:pPr>
            <w:r w:rsidRPr="00ED22D1">
              <w:rPr>
                <w:sz w:val="18"/>
                <w:szCs w:val="18"/>
                <w:lang w:val="fr-CA"/>
              </w:rPr>
              <w:t>Financement ($US)</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336 000</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224 000</w:t>
            </w:r>
          </w:p>
        </w:tc>
        <w:tc>
          <w:tcPr>
            <w:tcW w:w="683" w:type="pct"/>
          </w:tcPr>
          <w:p w:rsidR="00791BF7" w:rsidRPr="00ED22D1" w:rsidRDefault="00791BF7" w:rsidP="00F12D89">
            <w:pPr>
              <w:pStyle w:val="StyleHeader4Para4Left0Firstline0"/>
              <w:numPr>
                <w:ilvl w:val="0"/>
                <w:numId w:val="0"/>
              </w:numPr>
              <w:spacing w:after="60"/>
              <w:jc w:val="right"/>
              <w:rPr>
                <w:sz w:val="18"/>
                <w:lang w:val="fr-CA"/>
              </w:rPr>
            </w:pPr>
            <w:r w:rsidRPr="00ED22D1">
              <w:rPr>
                <w:sz w:val="18"/>
                <w:lang w:val="fr-CA"/>
              </w:rPr>
              <w:t>0</w:t>
            </w:r>
          </w:p>
        </w:tc>
        <w:tc>
          <w:tcPr>
            <w:tcW w:w="683" w:type="pct"/>
            <w:shd w:val="clear" w:color="auto" w:fill="auto"/>
          </w:tcPr>
          <w:p w:rsidR="00791BF7" w:rsidRPr="00ED22D1" w:rsidRDefault="00791BF7" w:rsidP="00F51720">
            <w:pPr>
              <w:pStyle w:val="StyleHeader4Para4Left0Firstline0"/>
              <w:numPr>
                <w:ilvl w:val="0"/>
                <w:numId w:val="0"/>
              </w:numPr>
              <w:spacing w:after="60"/>
              <w:jc w:val="right"/>
              <w:rPr>
                <w:sz w:val="18"/>
                <w:lang w:val="fr-CA"/>
              </w:rPr>
            </w:pPr>
            <w:r w:rsidRPr="00ED22D1">
              <w:rPr>
                <w:sz w:val="18"/>
                <w:lang w:val="fr-CA"/>
              </w:rPr>
              <w:t>560 000</w:t>
            </w:r>
          </w:p>
        </w:tc>
      </w:tr>
    </w:tbl>
    <w:p w:rsidR="000A787F" w:rsidRPr="00ED22D1" w:rsidRDefault="000A787F" w:rsidP="000A787F">
      <w:pPr>
        <w:rPr>
          <w:lang w:val="fr-CA"/>
        </w:rPr>
      </w:pPr>
    </w:p>
    <w:p w:rsidR="000A787F" w:rsidRPr="00ED22D1" w:rsidRDefault="000A787F" w:rsidP="000A787F">
      <w:pPr>
        <w:pStyle w:val="StyleHeader4Para4Left0Firstline0"/>
        <w:numPr>
          <w:ilvl w:val="0"/>
          <w:numId w:val="0"/>
        </w:numPr>
        <w:rPr>
          <w:lang w:val="fr-CA"/>
        </w:rPr>
        <w:sectPr w:rsidR="000A787F" w:rsidRPr="00ED22D1" w:rsidSect="00F12D89">
          <w:headerReference w:type="default" r:id="rId32"/>
          <w:footerReference w:type="even" r:id="rId33"/>
          <w:footerReference w:type="default" r:id="rId34"/>
          <w:headerReference w:type="first" r:id="rId35"/>
          <w:footerReference w:type="first" r:id="rId36"/>
          <w:pgSz w:w="12240" w:h="15840" w:code="1"/>
          <w:pgMar w:top="720" w:right="1440" w:bottom="864" w:left="1440" w:header="720" w:footer="475" w:gutter="0"/>
          <w:cols w:space="720"/>
          <w:docGrid w:linePitch="299"/>
        </w:sectPr>
      </w:pPr>
    </w:p>
    <w:tbl>
      <w:tblPr>
        <w:tblStyle w:val="TableGrid50"/>
        <w:tblW w:w="5000" w:type="pct"/>
        <w:tblLook w:val="04A0" w:firstRow="1" w:lastRow="0" w:firstColumn="1" w:lastColumn="0" w:noHBand="0" w:noVBand="1"/>
      </w:tblPr>
      <w:tblGrid>
        <w:gridCol w:w="1146"/>
        <w:gridCol w:w="1010"/>
        <w:gridCol w:w="845"/>
        <w:gridCol w:w="987"/>
        <w:gridCol w:w="987"/>
        <w:gridCol w:w="1077"/>
        <w:gridCol w:w="1117"/>
        <w:gridCol w:w="984"/>
        <w:gridCol w:w="987"/>
        <w:gridCol w:w="889"/>
        <w:gridCol w:w="889"/>
        <w:gridCol w:w="889"/>
        <w:gridCol w:w="790"/>
        <w:gridCol w:w="790"/>
        <w:gridCol w:w="1085"/>
      </w:tblGrid>
      <w:tr w:rsidR="000A787F" w:rsidRPr="00ED22D1" w:rsidTr="00F96C70">
        <w:tc>
          <w:tcPr>
            <w:tcW w:w="1037" w:type="pct"/>
            <w:gridSpan w:val="3"/>
            <w:shd w:val="clear" w:color="auto" w:fill="auto"/>
          </w:tcPr>
          <w:p w:rsidR="000A787F" w:rsidRPr="00ED22D1" w:rsidRDefault="000A787F" w:rsidP="00F96C70">
            <w:pPr>
              <w:spacing w:after="60"/>
              <w:rPr>
                <w:b/>
                <w:sz w:val="18"/>
                <w:szCs w:val="18"/>
                <w:lang w:val="fr-CA"/>
              </w:rPr>
            </w:pPr>
            <w:r w:rsidRPr="00ED22D1">
              <w:rPr>
                <w:b/>
                <w:sz w:val="18"/>
                <w:szCs w:val="18"/>
                <w:lang w:val="fr-CA"/>
              </w:rPr>
              <w:lastRenderedPageBreak/>
              <w:t xml:space="preserve">(VI) </w:t>
            </w:r>
            <w:r w:rsidR="00F96C70" w:rsidRPr="00ED22D1">
              <w:rPr>
                <w:b/>
                <w:sz w:val="18"/>
                <w:szCs w:val="18"/>
                <w:lang w:val="fr-CA"/>
              </w:rPr>
              <w:t>DONNÉES DU PROJET</w:t>
            </w:r>
          </w:p>
        </w:tc>
        <w:tc>
          <w:tcPr>
            <w:tcW w:w="341" w:type="pct"/>
            <w:shd w:val="clear" w:color="auto" w:fill="auto"/>
          </w:tcPr>
          <w:p w:rsidR="000A787F" w:rsidRPr="00ED22D1" w:rsidRDefault="000A787F" w:rsidP="00F12D89">
            <w:pPr>
              <w:jc w:val="center"/>
              <w:rPr>
                <w:b/>
                <w:bCs/>
                <w:sz w:val="18"/>
                <w:szCs w:val="18"/>
                <w:lang w:val="fr-CA"/>
              </w:rPr>
            </w:pPr>
            <w:r w:rsidRPr="00ED22D1">
              <w:rPr>
                <w:b/>
                <w:bCs/>
                <w:sz w:val="18"/>
                <w:szCs w:val="18"/>
                <w:lang w:val="fr-CA"/>
              </w:rPr>
              <w:t>2016</w:t>
            </w:r>
          </w:p>
        </w:tc>
        <w:tc>
          <w:tcPr>
            <w:tcW w:w="341" w:type="pct"/>
            <w:shd w:val="clear" w:color="auto" w:fill="auto"/>
          </w:tcPr>
          <w:p w:rsidR="000A787F" w:rsidRPr="00ED22D1" w:rsidRDefault="000A787F" w:rsidP="00F12D89">
            <w:pPr>
              <w:jc w:val="center"/>
              <w:rPr>
                <w:b/>
                <w:bCs/>
                <w:sz w:val="18"/>
                <w:szCs w:val="18"/>
                <w:lang w:val="fr-CA"/>
              </w:rPr>
            </w:pPr>
            <w:r w:rsidRPr="00ED22D1">
              <w:rPr>
                <w:b/>
                <w:bCs/>
                <w:sz w:val="18"/>
                <w:szCs w:val="18"/>
                <w:lang w:val="fr-CA"/>
              </w:rPr>
              <w:t>2017</w:t>
            </w:r>
          </w:p>
        </w:tc>
        <w:tc>
          <w:tcPr>
            <w:tcW w:w="372" w:type="pct"/>
            <w:shd w:val="clear" w:color="auto" w:fill="auto"/>
          </w:tcPr>
          <w:p w:rsidR="000A787F" w:rsidRPr="00ED22D1" w:rsidRDefault="000A787F" w:rsidP="00F12D89">
            <w:pPr>
              <w:jc w:val="center"/>
              <w:rPr>
                <w:b/>
                <w:bCs/>
                <w:sz w:val="18"/>
                <w:szCs w:val="18"/>
                <w:lang w:val="fr-CA"/>
              </w:rPr>
            </w:pPr>
            <w:r w:rsidRPr="00ED22D1">
              <w:rPr>
                <w:b/>
                <w:bCs/>
                <w:sz w:val="18"/>
                <w:szCs w:val="18"/>
                <w:lang w:val="fr-CA"/>
              </w:rPr>
              <w:t>2018</w:t>
            </w:r>
          </w:p>
        </w:tc>
        <w:tc>
          <w:tcPr>
            <w:tcW w:w="386" w:type="pct"/>
            <w:shd w:val="clear" w:color="auto" w:fill="auto"/>
          </w:tcPr>
          <w:p w:rsidR="000A787F" w:rsidRPr="00ED22D1" w:rsidRDefault="000A787F" w:rsidP="00F12D89">
            <w:pPr>
              <w:jc w:val="center"/>
              <w:rPr>
                <w:b/>
                <w:bCs/>
                <w:sz w:val="18"/>
                <w:szCs w:val="18"/>
                <w:lang w:val="fr-CA"/>
              </w:rPr>
            </w:pPr>
            <w:r w:rsidRPr="00ED22D1">
              <w:rPr>
                <w:b/>
                <w:bCs/>
                <w:sz w:val="18"/>
                <w:szCs w:val="18"/>
                <w:lang w:val="fr-CA"/>
              </w:rPr>
              <w:t>2019</w:t>
            </w:r>
          </w:p>
        </w:tc>
        <w:tc>
          <w:tcPr>
            <w:tcW w:w="340" w:type="pct"/>
            <w:shd w:val="clear" w:color="auto" w:fill="auto"/>
          </w:tcPr>
          <w:p w:rsidR="000A787F" w:rsidRPr="00ED22D1" w:rsidRDefault="000A787F" w:rsidP="00F12D89">
            <w:pPr>
              <w:jc w:val="center"/>
              <w:rPr>
                <w:b/>
                <w:bCs/>
                <w:sz w:val="18"/>
                <w:szCs w:val="18"/>
                <w:lang w:val="fr-CA"/>
              </w:rPr>
            </w:pPr>
            <w:r w:rsidRPr="00ED22D1">
              <w:rPr>
                <w:b/>
                <w:bCs/>
                <w:sz w:val="18"/>
                <w:szCs w:val="18"/>
                <w:lang w:val="fr-CA"/>
              </w:rPr>
              <w:t>2020</w:t>
            </w:r>
          </w:p>
        </w:tc>
        <w:tc>
          <w:tcPr>
            <w:tcW w:w="341" w:type="pct"/>
            <w:shd w:val="clear" w:color="auto" w:fill="auto"/>
          </w:tcPr>
          <w:p w:rsidR="000A787F" w:rsidRPr="00ED22D1" w:rsidRDefault="000A787F" w:rsidP="00F12D89">
            <w:pPr>
              <w:jc w:val="center"/>
              <w:rPr>
                <w:b/>
                <w:bCs/>
                <w:sz w:val="18"/>
                <w:szCs w:val="18"/>
                <w:lang w:val="fr-CA"/>
              </w:rPr>
            </w:pPr>
            <w:r w:rsidRPr="00ED22D1">
              <w:rPr>
                <w:b/>
                <w:bCs/>
                <w:sz w:val="18"/>
                <w:szCs w:val="18"/>
                <w:lang w:val="fr-CA"/>
              </w:rPr>
              <w:t>2021</w:t>
            </w:r>
          </w:p>
        </w:tc>
        <w:tc>
          <w:tcPr>
            <w:tcW w:w="307" w:type="pct"/>
          </w:tcPr>
          <w:p w:rsidR="000A787F" w:rsidRPr="00ED22D1" w:rsidRDefault="000A787F" w:rsidP="00F12D89">
            <w:pPr>
              <w:spacing w:after="60"/>
              <w:jc w:val="center"/>
              <w:rPr>
                <w:b/>
                <w:sz w:val="18"/>
                <w:szCs w:val="18"/>
                <w:lang w:val="fr-CA"/>
              </w:rPr>
            </w:pPr>
            <w:r w:rsidRPr="00ED22D1">
              <w:rPr>
                <w:b/>
                <w:sz w:val="18"/>
                <w:szCs w:val="18"/>
                <w:lang w:val="fr-CA"/>
              </w:rPr>
              <w:t>2022</w:t>
            </w:r>
          </w:p>
        </w:tc>
        <w:tc>
          <w:tcPr>
            <w:tcW w:w="307" w:type="pct"/>
          </w:tcPr>
          <w:p w:rsidR="000A787F" w:rsidRPr="00ED22D1" w:rsidRDefault="000A787F" w:rsidP="00F12D89">
            <w:pPr>
              <w:spacing w:after="60"/>
              <w:jc w:val="center"/>
              <w:rPr>
                <w:b/>
                <w:sz w:val="18"/>
                <w:szCs w:val="18"/>
                <w:lang w:val="fr-CA"/>
              </w:rPr>
            </w:pPr>
            <w:r w:rsidRPr="00ED22D1">
              <w:rPr>
                <w:b/>
                <w:sz w:val="18"/>
                <w:szCs w:val="18"/>
                <w:lang w:val="fr-CA"/>
              </w:rPr>
              <w:t>2023</w:t>
            </w:r>
          </w:p>
        </w:tc>
        <w:tc>
          <w:tcPr>
            <w:tcW w:w="307" w:type="pct"/>
          </w:tcPr>
          <w:p w:rsidR="000A787F" w:rsidRPr="00ED22D1" w:rsidRDefault="000A787F" w:rsidP="00F12D89">
            <w:pPr>
              <w:spacing w:after="60"/>
              <w:jc w:val="center"/>
              <w:rPr>
                <w:b/>
                <w:sz w:val="18"/>
                <w:szCs w:val="18"/>
                <w:lang w:val="fr-CA"/>
              </w:rPr>
            </w:pPr>
            <w:r w:rsidRPr="00ED22D1">
              <w:rPr>
                <w:b/>
                <w:sz w:val="18"/>
                <w:szCs w:val="18"/>
                <w:lang w:val="fr-CA"/>
              </w:rPr>
              <w:t>2024</w:t>
            </w:r>
          </w:p>
        </w:tc>
        <w:tc>
          <w:tcPr>
            <w:tcW w:w="273" w:type="pct"/>
          </w:tcPr>
          <w:p w:rsidR="000A787F" w:rsidRPr="00ED22D1" w:rsidRDefault="000A787F" w:rsidP="00F12D89">
            <w:pPr>
              <w:spacing w:after="60"/>
              <w:jc w:val="center"/>
              <w:rPr>
                <w:b/>
                <w:sz w:val="18"/>
                <w:szCs w:val="18"/>
                <w:lang w:val="fr-CA"/>
              </w:rPr>
            </w:pPr>
            <w:r w:rsidRPr="00ED22D1">
              <w:rPr>
                <w:b/>
                <w:sz w:val="18"/>
                <w:szCs w:val="18"/>
                <w:lang w:val="fr-CA"/>
              </w:rPr>
              <w:t>2025</w:t>
            </w:r>
          </w:p>
        </w:tc>
        <w:tc>
          <w:tcPr>
            <w:tcW w:w="273" w:type="pct"/>
          </w:tcPr>
          <w:p w:rsidR="000A787F" w:rsidRPr="00ED22D1" w:rsidRDefault="000A787F" w:rsidP="00F12D89">
            <w:pPr>
              <w:spacing w:after="60"/>
              <w:jc w:val="center"/>
              <w:rPr>
                <w:b/>
                <w:sz w:val="18"/>
                <w:szCs w:val="18"/>
                <w:lang w:val="fr-CA"/>
              </w:rPr>
            </w:pPr>
            <w:r w:rsidRPr="00ED22D1">
              <w:rPr>
                <w:b/>
                <w:sz w:val="18"/>
                <w:szCs w:val="18"/>
                <w:lang w:val="fr-CA"/>
              </w:rPr>
              <w:t>2026</w:t>
            </w:r>
          </w:p>
        </w:tc>
        <w:tc>
          <w:tcPr>
            <w:tcW w:w="375" w:type="pct"/>
            <w:shd w:val="clear" w:color="auto" w:fill="auto"/>
          </w:tcPr>
          <w:p w:rsidR="000A787F" w:rsidRPr="00ED22D1" w:rsidRDefault="000A787F" w:rsidP="00F12D89">
            <w:pPr>
              <w:spacing w:after="60"/>
              <w:jc w:val="center"/>
              <w:rPr>
                <w:b/>
                <w:sz w:val="18"/>
                <w:szCs w:val="18"/>
                <w:lang w:val="fr-CA"/>
              </w:rPr>
            </w:pPr>
            <w:r w:rsidRPr="00ED22D1">
              <w:rPr>
                <w:b/>
                <w:sz w:val="18"/>
                <w:szCs w:val="18"/>
                <w:lang w:val="fr-CA"/>
              </w:rPr>
              <w:t>Total</w:t>
            </w:r>
          </w:p>
        </w:tc>
      </w:tr>
      <w:tr w:rsidR="00F96C70" w:rsidRPr="00ED22D1" w:rsidTr="00F96C70">
        <w:tc>
          <w:tcPr>
            <w:tcW w:w="1037" w:type="pct"/>
            <w:gridSpan w:val="3"/>
            <w:shd w:val="clear" w:color="auto" w:fill="auto"/>
          </w:tcPr>
          <w:p w:rsidR="00F96C70" w:rsidRPr="00ED22D1" w:rsidRDefault="00F96C70" w:rsidP="00181884">
            <w:pPr>
              <w:autoSpaceDE w:val="0"/>
              <w:autoSpaceDN w:val="0"/>
              <w:adjustRightInd w:val="0"/>
              <w:jc w:val="left"/>
              <w:rPr>
                <w:sz w:val="18"/>
                <w:szCs w:val="18"/>
                <w:lang w:val="fr-CA"/>
              </w:rPr>
            </w:pPr>
            <w:r w:rsidRPr="00ED22D1">
              <w:rPr>
                <w:sz w:val="18"/>
                <w:szCs w:val="18"/>
                <w:lang w:val="fr-CA"/>
              </w:rPr>
              <w:t>Limites de consommation du Protocole de Montréal</w:t>
            </w:r>
          </w:p>
        </w:tc>
        <w:tc>
          <w:tcPr>
            <w:tcW w:w="341" w:type="pct"/>
            <w:shd w:val="clear" w:color="auto" w:fill="auto"/>
          </w:tcPr>
          <w:p w:rsidR="00F96C70" w:rsidRPr="00ED22D1" w:rsidRDefault="00F96C70" w:rsidP="00F51720">
            <w:pPr>
              <w:jc w:val="right"/>
              <w:rPr>
                <w:color w:val="000000"/>
                <w:sz w:val="18"/>
                <w:szCs w:val="18"/>
                <w:lang w:val="fr-CA"/>
              </w:rPr>
            </w:pPr>
            <w:r w:rsidRPr="00ED22D1">
              <w:rPr>
                <w:color w:val="000000"/>
                <w:sz w:val="18"/>
                <w:szCs w:val="18"/>
                <w:lang w:val="fr-CA"/>
              </w:rPr>
              <w:t xml:space="preserve">17 342,1 </w:t>
            </w:r>
          </w:p>
        </w:tc>
        <w:tc>
          <w:tcPr>
            <w:tcW w:w="341" w:type="pct"/>
            <w:shd w:val="clear" w:color="auto" w:fill="auto"/>
          </w:tcPr>
          <w:p w:rsidR="00F96C70" w:rsidRPr="00ED22D1" w:rsidRDefault="00F96C70" w:rsidP="00F51720">
            <w:pPr>
              <w:jc w:val="right"/>
              <w:rPr>
                <w:color w:val="000000"/>
                <w:sz w:val="18"/>
                <w:szCs w:val="18"/>
                <w:lang w:val="fr-CA"/>
              </w:rPr>
            </w:pPr>
            <w:r w:rsidRPr="00ED22D1">
              <w:rPr>
                <w:color w:val="000000"/>
                <w:sz w:val="18"/>
                <w:szCs w:val="18"/>
                <w:lang w:val="fr-CA"/>
              </w:rPr>
              <w:t xml:space="preserve">17 342,1 </w:t>
            </w:r>
          </w:p>
        </w:tc>
        <w:tc>
          <w:tcPr>
            <w:tcW w:w="372" w:type="pct"/>
            <w:shd w:val="clear" w:color="auto" w:fill="auto"/>
          </w:tcPr>
          <w:p w:rsidR="00F96C70" w:rsidRPr="00ED22D1" w:rsidRDefault="00F96C70" w:rsidP="00F51720">
            <w:pPr>
              <w:jc w:val="right"/>
              <w:rPr>
                <w:color w:val="000000"/>
                <w:sz w:val="18"/>
                <w:szCs w:val="18"/>
                <w:lang w:val="fr-CA"/>
              </w:rPr>
            </w:pPr>
            <w:r w:rsidRPr="00ED22D1">
              <w:rPr>
                <w:color w:val="000000"/>
                <w:sz w:val="18"/>
                <w:szCs w:val="18"/>
                <w:lang w:val="fr-CA"/>
              </w:rPr>
              <w:t xml:space="preserve">17 342,1 </w:t>
            </w:r>
          </w:p>
        </w:tc>
        <w:tc>
          <w:tcPr>
            <w:tcW w:w="386" w:type="pct"/>
            <w:shd w:val="clear" w:color="auto" w:fill="auto"/>
          </w:tcPr>
          <w:p w:rsidR="00F96C70" w:rsidRPr="00ED22D1" w:rsidRDefault="00F96C70" w:rsidP="00F51720">
            <w:pPr>
              <w:jc w:val="right"/>
              <w:rPr>
                <w:color w:val="000000"/>
                <w:sz w:val="18"/>
                <w:szCs w:val="18"/>
                <w:lang w:val="fr-CA"/>
              </w:rPr>
            </w:pPr>
            <w:r w:rsidRPr="00ED22D1">
              <w:rPr>
                <w:color w:val="000000"/>
                <w:sz w:val="18"/>
                <w:szCs w:val="18"/>
                <w:lang w:val="fr-CA"/>
              </w:rPr>
              <w:t xml:space="preserve">17 342,1 </w:t>
            </w:r>
          </w:p>
        </w:tc>
        <w:tc>
          <w:tcPr>
            <w:tcW w:w="340" w:type="pct"/>
            <w:shd w:val="clear" w:color="auto" w:fill="auto"/>
          </w:tcPr>
          <w:p w:rsidR="00F96C70" w:rsidRPr="00ED22D1" w:rsidRDefault="00F96C70" w:rsidP="00F51720">
            <w:pPr>
              <w:jc w:val="right"/>
              <w:rPr>
                <w:color w:val="000000"/>
                <w:sz w:val="18"/>
                <w:szCs w:val="18"/>
                <w:lang w:val="fr-CA"/>
              </w:rPr>
            </w:pPr>
            <w:r w:rsidRPr="00ED22D1">
              <w:rPr>
                <w:color w:val="000000"/>
                <w:sz w:val="18"/>
                <w:szCs w:val="18"/>
                <w:lang w:val="fr-CA"/>
              </w:rPr>
              <w:t xml:space="preserve">12 524,9 </w:t>
            </w:r>
          </w:p>
        </w:tc>
        <w:tc>
          <w:tcPr>
            <w:tcW w:w="341" w:type="pct"/>
            <w:shd w:val="clear" w:color="auto" w:fill="auto"/>
          </w:tcPr>
          <w:p w:rsidR="00F96C70" w:rsidRPr="00ED22D1" w:rsidRDefault="00F96C70" w:rsidP="00F51720">
            <w:pPr>
              <w:jc w:val="right"/>
              <w:rPr>
                <w:color w:val="000000"/>
                <w:sz w:val="18"/>
                <w:szCs w:val="18"/>
                <w:lang w:val="fr-CA"/>
              </w:rPr>
            </w:pPr>
            <w:r w:rsidRPr="00ED22D1">
              <w:rPr>
                <w:color w:val="000000"/>
                <w:sz w:val="18"/>
                <w:szCs w:val="18"/>
                <w:lang w:val="fr-CA"/>
              </w:rPr>
              <w:t xml:space="preserve">12 524,9 </w:t>
            </w:r>
          </w:p>
        </w:tc>
        <w:tc>
          <w:tcPr>
            <w:tcW w:w="307" w:type="pct"/>
          </w:tcPr>
          <w:p w:rsidR="00F96C70" w:rsidRPr="00ED22D1" w:rsidRDefault="00F96C70" w:rsidP="00F51720">
            <w:pPr>
              <w:jc w:val="right"/>
              <w:rPr>
                <w:color w:val="000000"/>
                <w:sz w:val="18"/>
                <w:szCs w:val="18"/>
                <w:lang w:val="fr-CA"/>
              </w:rPr>
            </w:pPr>
            <w:r w:rsidRPr="00ED22D1">
              <w:rPr>
                <w:color w:val="000000"/>
                <w:sz w:val="18"/>
                <w:szCs w:val="18"/>
                <w:lang w:val="fr-CA"/>
              </w:rPr>
              <w:t xml:space="preserve">12 524,9 </w:t>
            </w:r>
          </w:p>
        </w:tc>
        <w:tc>
          <w:tcPr>
            <w:tcW w:w="307" w:type="pct"/>
          </w:tcPr>
          <w:p w:rsidR="00F96C70" w:rsidRPr="00ED22D1" w:rsidRDefault="00F96C70" w:rsidP="00F51720">
            <w:pPr>
              <w:jc w:val="right"/>
              <w:rPr>
                <w:color w:val="000000"/>
                <w:sz w:val="18"/>
                <w:szCs w:val="18"/>
                <w:lang w:val="fr-CA"/>
              </w:rPr>
            </w:pPr>
            <w:r w:rsidRPr="00ED22D1">
              <w:rPr>
                <w:color w:val="000000"/>
                <w:sz w:val="18"/>
                <w:szCs w:val="18"/>
                <w:lang w:val="fr-CA"/>
              </w:rPr>
              <w:t xml:space="preserve">12 524,9 </w:t>
            </w:r>
          </w:p>
        </w:tc>
        <w:tc>
          <w:tcPr>
            <w:tcW w:w="307" w:type="pct"/>
          </w:tcPr>
          <w:p w:rsidR="00F96C70" w:rsidRPr="00ED22D1" w:rsidRDefault="00F96C70" w:rsidP="00F51720">
            <w:pPr>
              <w:jc w:val="right"/>
              <w:rPr>
                <w:color w:val="000000"/>
                <w:sz w:val="18"/>
                <w:szCs w:val="18"/>
                <w:lang w:val="fr-CA"/>
              </w:rPr>
            </w:pPr>
            <w:r w:rsidRPr="00ED22D1">
              <w:rPr>
                <w:color w:val="000000"/>
                <w:sz w:val="18"/>
                <w:szCs w:val="18"/>
                <w:lang w:val="fr-CA"/>
              </w:rPr>
              <w:t xml:space="preserve">12 524,9 </w:t>
            </w:r>
          </w:p>
        </w:tc>
        <w:tc>
          <w:tcPr>
            <w:tcW w:w="273" w:type="pct"/>
          </w:tcPr>
          <w:p w:rsidR="00F96C70" w:rsidRPr="00ED22D1" w:rsidRDefault="00F96C70" w:rsidP="00F51720">
            <w:pPr>
              <w:jc w:val="right"/>
              <w:rPr>
                <w:color w:val="000000"/>
                <w:sz w:val="18"/>
                <w:szCs w:val="18"/>
                <w:lang w:val="fr-CA"/>
              </w:rPr>
            </w:pPr>
            <w:r w:rsidRPr="00ED22D1">
              <w:rPr>
                <w:color w:val="000000"/>
                <w:sz w:val="18"/>
                <w:szCs w:val="18"/>
                <w:lang w:val="fr-CA"/>
              </w:rPr>
              <w:t xml:space="preserve">6 262,4 </w:t>
            </w:r>
          </w:p>
        </w:tc>
        <w:tc>
          <w:tcPr>
            <w:tcW w:w="273" w:type="pct"/>
          </w:tcPr>
          <w:p w:rsidR="00F96C70" w:rsidRPr="00ED22D1" w:rsidRDefault="00F96C70" w:rsidP="00F51720">
            <w:pPr>
              <w:jc w:val="right"/>
              <w:rPr>
                <w:color w:val="000000"/>
                <w:sz w:val="18"/>
                <w:szCs w:val="18"/>
                <w:lang w:val="fr-CA"/>
              </w:rPr>
            </w:pPr>
            <w:r w:rsidRPr="00ED22D1">
              <w:rPr>
                <w:color w:val="000000"/>
                <w:sz w:val="18"/>
                <w:szCs w:val="18"/>
                <w:lang w:val="fr-CA"/>
              </w:rPr>
              <w:t xml:space="preserve">6 262,4 </w:t>
            </w: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s.o.</w:t>
            </w:r>
          </w:p>
        </w:tc>
      </w:tr>
      <w:tr w:rsidR="00F96C70" w:rsidRPr="00ED22D1" w:rsidTr="00F96C70">
        <w:tc>
          <w:tcPr>
            <w:tcW w:w="1037" w:type="pct"/>
            <w:gridSpan w:val="3"/>
            <w:shd w:val="clear" w:color="auto" w:fill="auto"/>
          </w:tcPr>
          <w:p w:rsidR="00F96C70" w:rsidRPr="00ED22D1" w:rsidRDefault="00F96C70" w:rsidP="00181884">
            <w:pPr>
              <w:autoSpaceDE w:val="0"/>
              <w:autoSpaceDN w:val="0"/>
              <w:adjustRightInd w:val="0"/>
              <w:jc w:val="left"/>
              <w:rPr>
                <w:sz w:val="18"/>
                <w:szCs w:val="18"/>
                <w:lang w:val="fr-CA"/>
              </w:rPr>
            </w:pPr>
            <w:r w:rsidRPr="00ED22D1">
              <w:rPr>
                <w:sz w:val="18"/>
                <w:szCs w:val="18"/>
                <w:lang w:val="fr-CA"/>
              </w:rPr>
              <w:t>Consommation maximale admissible (tonnes PAO)</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16 978,9</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16 978,9</w:t>
            </w:r>
          </w:p>
        </w:tc>
        <w:tc>
          <w:tcPr>
            <w:tcW w:w="372"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15 048,1</w:t>
            </w:r>
          </w:p>
        </w:tc>
        <w:tc>
          <w:tcPr>
            <w:tcW w:w="386"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15 048,1</w:t>
            </w:r>
          </w:p>
        </w:tc>
        <w:tc>
          <w:tcPr>
            <w:tcW w:w="340"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11 772,0</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w:t>
            </w:r>
          </w:p>
        </w:tc>
        <w:tc>
          <w:tcPr>
            <w:tcW w:w="307" w:type="pct"/>
          </w:tcPr>
          <w:p w:rsidR="00F96C70" w:rsidRPr="00ED22D1" w:rsidRDefault="00F96C70" w:rsidP="00F12D89">
            <w:pPr>
              <w:spacing w:after="60"/>
              <w:jc w:val="right"/>
              <w:rPr>
                <w:sz w:val="18"/>
                <w:szCs w:val="18"/>
                <w:lang w:val="fr-CA"/>
              </w:rPr>
            </w:pPr>
            <w:r w:rsidRPr="00ED22D1">
              <w:rPr>
                <w:sz w:val="18"/>
                <w:szCs w:val="18"/>
                <w:lang w:val="fr-CA"/>
              </w:rPr>
              <w:t>*</w:t>
            </w:r>
          </w:p>
        </w:tc>
        <w:tc>
          <w:tcPr>
            <w:tcW w:w="307" w:type="pct"/>
          </w:tcPr>
          <w:p w:rsidR="00F96C70" w:rsidRPr="00ED22D1" w:rsidRDefault="00F96C70" w:rsidP="00F12D89">
            <w:pPr>
              <w:spacing w:after="60"/>
              <w:jc w:val="right"/>
              <w:rPr>
                <w:sz w:val="18"/>
                <w:szCs w:val="18"/>
                <w:lang w:val="fr-CA"/>
              </w:rPr>
            </w:pPr>
            <w:r w:rsidRPr="00ED22D1">
              <w:rPr>
                <w:sz w:val="18"/>
                <w:szCs w:val="18"/>
                <w:lang w:val="fr-CA"/>
              </w:rPr>
              <w:t>*</w:t>
            </w:r>
          </w:p>
        </w:tc>
        <w:tc>
          <w:tcPr>
            <w:tcW w:w="307" w:type="pct"/>
          </w:tcPr>
          <w:p w:rsidR="00F96C70" w:rsidRPr="00ED22D1" w:rsidRDefault="00F96C70" w:rsidP="00F12D89">
            <w:pPr>
              <w:spacing w:after="60"/>
              <w:jc w:val="right"/>
              <w:rPr>
                <w:sz w:val="18"/>
                <w:szCs w:val="18"/>
                <w:lang w:val="fr-CA"/>
              </w:rPr>
            </w:pPr>
            <w:r w:rsidRPr="00ED22D1">
              <w:rPr>
                <w:sz w:val="18"/>
                <w:szCs w:val="18"/>
                <w:lang w:val="fr-CA"/>
              </w:rPr>
              <w:t>*</w:t>
            </w:r>
          </w:p>
        </w:tc>
        <w:tc>
          <w:tcPr>
            <w:tcW w:w="273" w:type="pct"/>
          </w:tcPr>
          <w:p w:rsidR="00F96C70" w:rsidRPr="00ED22D1" w:rsidRDefault="00F96C70" w:rsidP="00F12D89">
            <w:pPr>
              <w:spacing w:after="60"/>
              <w:jc w:val="right"/>
              <w:rPr>
                <w:sz w:val="18"/>
                <w:szCs w:val="18"/>
                <w:lang w:val="fr-CA"/>
              </w:rPr>
            </w:pPr>
            <w:r w:rsidRPr="00ED22D1">
              <w:rPr>
                <w:sz w:val="18"/>
                <w:szCs w:val="18"/>
                <w:lang w:val="fr-CA"/>
              </w:rPr>
              <w:t>*</w:t>
            </w:r>
          </w:p>
        </w:tc>
        <w:tc>
          <w:tcPr>
            <w:tcW w:w="273" w:type="pct"/>
          </w:tcPr>
          <w:p w:rsidR="00F96C70" w:rsidRPr="00ED22D1" w:rsidRDefault="00F96C70" w:rsidP="00F12D89">
            <w:pPr>
              <w:spacing w:after="60"/>
              <w:jc w:val="right"/>
              <w:rPr>
                <w:sz w:val="18"/>
                <w:szCs w:val="18"/>
                <w:lang w:val="fr-CA"/>
              </w:rPr>
            </w:pPr>
            <w:r w:rsidRPr="00ED22D1">
              <w:rPr>
                <w:sz w:val="18"/>
                <w:szCs w:val="18"/>
                <w:lang w:val="fr-CA"/>
              </w:rPr>
              <w:t>*</w:t>
            </w: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s.o.</w:t>
            </w:r>
          </w:p>
        </w:tc>
      </w:tr>
      <w:tr w:rsidR="00F96C70" w:rsidRPr="00ED22D1" w:rsidTr="00F96C70">
        <w:tc>
          <w:tcPr>
            <w:tcW w:w="396" w:type="pct"/>
            <w:vMerge w:val="restart"/>
            <w:shd w:val="clear" w:color="auto" w:fill="auto"/>
          </w:tcPr>
          <w:p w:rsidR="00F96C70" w:rsidRPr="00ED22D1" w:rsidRDefault="00F96C70" w:rsidP="00181884">
            <w:pPr>
              <w:spacing w:after="60"/>
              <w:jc w:val="left"/>
              <w:rPr>
                <w:sz w:val="18"/>
                <w:szCs w:val="18"/>
                <w:lang w:val="fr-CA"/>
              </w:rPr>
            </w:pPr>
            <w:r w:rsidRPr="00ED22D1">
              <w:rPr>
                <w:sz w:val="18"/>
                <w:szCs w:val="18"/>
                <w:lang w:val="fr-CA"/>
              </w:rPr>
              <w:t>Financement convenu  ($US)</w:t>
            </w:r>
          </w:p>
        </w:tc>
        <w:tc>
          <w:tcPr>
            <w:tcW w:w="349" w:type="pct"/>
            <w:vMerge w:val="restart"/>
            <w:shd w:val="clear" w:color="auto" w:fill="auto"/>
          </w:tcPr>
          <w:p w:rsidR="00F96C70" w:rsidRPr="00ED22D1" w:rsidRDefault="0036650B" w:rsidP="00F12D89">
            <w:pPr>
              <w:spacing w:after="60"/>
              <w:jc w:val="left"/>
              <w:rPr>
                <w:sz w:val="18"/>
                <w:szCs w:val="18"/>
                <w:lang w:val="fr-CA"/>
              </w:rPr>
            </w:pPr>
            <w:r w:rsidRPr="00ED22D1">
              <w:rPr>
                <w:sz w:val="18"/>
                <w:szCs w:val="18"/>
                <w:lang w:val="fr-CA"/>
              </w:rPr>
              <w:t>PNUE</w:t>
            </w: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du projet</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3 299 132</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2 570 000</w:t>
            </w:r>
          </w:p>
        </w:tc>
        <w:tc>
          <w:tcPr>
            <w:tcW w:w="372"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3 270 000</w:t>
            </w:r>
          </w:p>
        </w:tc>
        <w:tc>
          <w:tcPr>
            <w:tcW w:w="386"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3 370 000</w:t>
            </w:r>
          </w:p>
        </w:tc>
        <w:tc>
          <w:tcPr>
            <w:tcW w:w="340"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3 570 000</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2 810 868</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75"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18 890 000</w:t>
            </w:r>
          </w:p>
        </w:tc>
      </w:tr>
      <w:tr w:rsidR="00F96C70" w:rsidRPr="00ED22D1" w:rsidTr="00F96C70">
        <w:tc>
          <w:tcPr>
            <w:tcW w:w="396" w:type="pct"/>
            <w:vMerge/>
            <w:shd w:val="clear" w:color="auto" w:fill="auto"/>
          </w:tcPr>
          <w:p w:rsidR="00F96C70" w:rsidRPr="00ED22D1" w:rsidRDefault="00F96C70" w:rsidP="00F12D89">
            <w:pPr>
              <w:spacing w:after="60"/>
              <w:jc w:val="center"/>
              <w:rPr>
                <w:sz w:val="18"/>
                <w:szCs w:val="18"/>
                <w:lang w:val="fr-CA"/>
              </w:rPr>
            </w:pPr>
          </w:p>
        </w:tc>
        <w:tc>
          <w:tcPr>
            <w:tcW w:w="349" w:type="pct"/>
            <w:vMerge/>
            <w:shd w:val="clear" w:color="auto" w:fill="auto"/>
          </w:tcPr>
          <w:p w:rsidR="00F96C70" w:rsidRPr="00ED22D1" w:rsidRDefault="00F96C70" w:rsidP="00F12D89">
            <w:pPr>
              <w:spacing w:after="60"/>
              <w:jc w:val="center"/>
              <w:rPr>
                <w:sz w:val="18"/>
                <w:szCs w:val="18"/>
                <w:lang w:val="fr-CA"/>
              </w:rPr>
            </w:pP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d’appui</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364 651</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284 061</w:t>
            </w:r>
          </w:p>
        </w:tc>
        <w:tc>
          <w:tcPr>
            <w:tcW w:w="372"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361 431</w:t>
            </w:r>
          </w:p>
        </w:tc>
        <w:tc>
          <w:tcPr>
            <w:tcW w:w="386"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372 484</w:t>
            </w:r>
          </w:p>
        </w:tc>
        <w:tc>
          <w:tcPr>
            <w:tcW w:w="340"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394 590</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310 684</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75"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2 087 900</w:t>
            </w:r>
          </w:p>
        </w:tc>
      </w:tr>
      <w:tr w:rsidR="00F96C70" w:rsidRPr="00ED22D1" w:rsidTr="00F96C70">
        <w:tc>
          <w:tcPr>
            <w:tcW w:w="396" w:type="pct"/>
            <w:vMerge/>
            <w:shd w:val="clear" w:color="auto" w:fill="auto"/>
          </w:tcPr>
          <w:p w:rsidR="00F96C70" w:rsidRPr="00ED22D1" w:rsidRDefault="00F96C70" w:rsidP="00F12D89">
            <w:pPr>
              <w:spacing w:after="60"/>
              <w:jc w:val="center"/>
              <w:rPr>
                <w:sz w:val="18"/>
                <w:szCs w:val="18"/>
                <w:lang w:val="fr-CA"/>
              </w:rPr>
            </w:pPr>
          </w:p>
        </w:tc>
        <w:tc>
          <w:tcPr>
            <w:tcW w:w="349" w:type="pct"/>
            <w:vMerge w:val="restart"/>
            <w:shd w:val="clear" w:color="auto" w:fill="auto"/>
          </w:tcPr>
          <w:p w:rsidR="00F96C70" w:rsidRPr="00ED22D1" w:rsidRDefault="00F96C70" w:rsidP="00F12D89">
            <w:pPr>
              <w:spacing w:after="60"/>
              <w:jc w:val="center"/>
              <w:rPr>
                <w:sz w:val="18"/>
                <w:szCs w:val="18"/>
                <w:lang w:val="fr-CA"/>
              </w:rPr>
            </w:pPr>
            <w:r w:rsidRPr="00ED22D1">
              <w:rPr>
                <w:sz w:val="18"/>
                <w:szCs w:val="18"/>
                <w:lang w:val="fr-CA"/>
              </w:rPr>
              <w:t>Allemagne</w:t>
            </w: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du projet</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300 000</w:t>
            </w:r>
          </w:p>
        </w:tc>
        <w:tc>
          <w:tcPr>
            <w:tcW w:w="341" w:type="pct"/>
            <w:shd w:val="clear" w:color="auto" w:fill="auto"/>
          </w:tcPr>
          <w:p w:rsidR="00F96C70" w:rsidRPr="00ED22D1" w:rsidRDefault="00F96C70" w:rsidP="00F12D89">
            <w:pPr>
              <w:spacing w:after="60"/>
              <w:jc w:val="center"/>
              <w:rPr>
                <w:sz w:val="18"/>
                <w:szCs w:val="18"/>
                <w:lang w:val="fr-CA"/>
              </w:rPr>
            </w:pPr>
            <w:r w:rsidRPr="00ED22D1">
              <w:rPr>
                <w:sz w:val="18"/>
                <w:szCs w:val="18"/>
                <w:lang w:val="fr-CA"/>
              </w:rPr>
              <w:t>-</w:t>
            </w:r>
          </w:p>
        </w:tc>
        <w:tc>
          <w:tcPr>
            <w:tcW w:w="372"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300 000</w:t>
            </w:r>
          </w:p>
        </w:tc>
        <w:tc>
          <w:tcPr>
            <w:tcW w:w="386"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200 000</w:t>
            </w:r>
          </w:p>
        </w:tc>
        <w:tc>
          <w:tcPr>
            <w:tcW w:w="340" w:type="pct"/>
            <w:shd w:val="clear" w:color="auto" w:fill="auto"/>
          </w:tcPr>
          <w:p w:rsidR="00F96C70" w:rsidRPr="00ED22D1" w:rsidRDefault="00F96C70" w:rsidP="00F12D89">
            <w:pPr>
              <w:spacing w:after="60"/>
              <w:jc w:val="center"/>
              <w:rPr>
                <w:sz w:val="18"/>
                <w:szCs w:val="18"/>
                <w:lang w:val="fr-CA"/>
              </w:rPr>
            </w:pPr>
            <w:r w:rsidRPr="00ED22D1">
              <w:rPr>
                <w:sz w:val="18"/>
                <w:szCs w:val="18"/>
                <w:lang w:val="fr-CA"/>
              </w:rPr>
              <w:t>-</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200 000</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1 000 000</w:t>
            </w:r>
          </w:p>
        </w:tc>
      </w:tr>
      <w:tr w:rsidR="00F96C70" w:rsidRPr="00ED22D1" w:rsidTr="00F96C70">
        <w:tc>
          <w:tcPr>
            <w:tcW w:w="396" w:type="pct"/>
            <w:vMerge/>
            <w:shd w:val="clear" w:color="auto" w:fill="auto"/>
          </w:tcPr>
          <w:p w:rsidR="00F96C70" w:rsidRPr="00ED22D1" w:rsidRDefault="00F96C70" w:rsidP="00F12D89">
            <w:pPr>
              <w:spacing w:after="60"/>
              <w:jc w:val="center"/>
              <w:rPr>
                <w:sz w:val="18"/>
                <w:szCs w:val="18"/>
                <w:lang w:val="fr-CA"/>
              </w:rPr>
            </w:pPr>
          </w:p>
        </w:tc>
        <w:tc>
          <w:tcPr>
            <w:tcW w:w="349" w:type="pct"/>
            <w:vMerge/>
            <w:shd w:val="clear" w:color="auto" w:fill="auto"/>
          </w:tcPr>
          <w:p w:rsidR="00F96C70" w:rsidRPr="00ED22D1" w:rsidRDefault="00F96C70" w:rsidP="00F12D89">
            <w:pPr>
              <w:spacing w:after="60"/>
              <w:jc w:val="center"/>
              <w:rPr>
                <w:sz w:val="18"/>
                <w:szCs w:val="18"/>
                <w:lang w:val="fr-CA"/>
              </w:rPr>
            </w:pP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d’appui</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36 000</w:t>
            </w:r>
          </w:p>
        </w:tc>
        <w:tc>
          <w:tcPr>
            <w:tcW w:w="341" w:type="pct"/>
            <w:shd w:val="clear" w:color="auto" w:fill="auto"/>
          </w:tcPr>
          <w:p w:rsidR="00F96C70" w:rsidRPr="00ED22D1" w:rsidRDefault="00F96C70" w:rsidP="00F12D89">
            <w:pPr>
              <w:spacing w:after="60"/>
              <w:jc w:val="center"/>
              <w:rPr>
                <w:sz w:val="18"/>
                <w:szCs w:val="18"/>
                <w:lang w:val="fr-CA"/>
              </w:rPr>
            </w:pPr>
            <w:r w:rsidRPr="00ED22D1">
              <w:rPr>
                <w:sz w:val="18"/>
                <w:szCs w:val="18"/>
                <w:lang w:val="fr-CA"/>
              </w:rPr>
              <w:t>-</w:t>
            </w:r>
          </w:p>
        </w:tc>
        <w:tc>
          <w:tcPr>
            <w:tcW w:w="372"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36 000</w:t>
            </w:r>
          </w:p>
        </w:tc>
        <w:tc>
          <w:tcPr>
            <w:tcW w:w="386"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24 000</w:t>
            </w:r>
          </w:p>
        </w:tc>
        <w:tc>
          <w:tcPr>
            <w:tcW w:w="340" w:type="pct"/>
            <w:shd w:val="clear" w:color="auto" w:fill="auto"/>
          </w:tcPr>
          <w:p w:rsidR="00F96C70" w:rsidRPr="00ED22D1" w:rsidRDefault="00F96C70" w:rsidP="00F12D89">
            <w:pPr>
              <w:spacing w:after="60"/>
              <w:jc w:val="center"/>
              <w:rPr>
                <w:sz w:val="18"/>
                <w:szCs w:val="18"/>
                <w:lang w:val="fr-CA"/>
              </w:rPr>
            </w:pPr>
            <w:r w:rsidRPr="00ED22D1">
              <w:rPr>
                <w:sz w:val="18"/>
                <w:szCs w:val="18"/>
                <w:lang w:val="fr-CA"/>
              </w:rPr>
              <w:t>-</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24 000</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120 000</w:t>
            </w:r>
          </w:p>
        </w:tc>
      </w:tr>
      <w:tr w:rsidR="00F96C70" w:rsidRPr="00ED22D1" w:rsidTr="00F96C70">
        <w:tc>
          <w:tcPr>
            <w:tcW w:w="396" w:type="pct"/>
            <w:vMerge/>
            <w:shd w:val="clear" w:color="auto" w:fill="auto"/>
          </w:tcPr>
          <w:p w:rsidR="00F96C70" w:rsidRPr="00ED22D1" w:rsidRDefault="00F96C70" w:rsidP="00F12D89">
            <w:pPr>
              <w:spacing w:after="60"/>
              <w:jc w:val="center"/>
              <w:rPr>
                <w:sz w:val="18"/>
                <w:szCs w:val="18"/>
                <w:lang w:val="fr-CA"/>
              </w:rPr>
            </w:pPr>
          </w:p>
        </w:tc>
        <w:tc>
          <w:tcPr>
            <w:tcW w:w="349" w:type="pct"/>
            <w:vMerge w:val="restart"/>
            <w:shd w:val="clear" w:color="auto" w:fill="auto"/>
          </w:tcPr>
          <w:p w:rsidR="00F96C70" w:rsidRPr="00ED22D1" w:rsidRDefault="00F96C70" w:rsidP="00F12D89">
            <w:pPr>
              <w:spacing w:after="60"/>
              <w:jc w:val="center"/>
              <w:rPr>
                <w:sz w:val="18"/>
                <w:szCs w:val="18"/>
                <w:lang w:val="fr-CA"/>
              </w:rPr>
            </w:pPr>
            <w:r w:rsidRPr="00ED22D1">
              <w:rPr>
                <w:sz w:val="18"/>
                <w:szCs w:val="18"/>
                <w:lang w:val="fr-CA"/>
              </w:rPr>
              <w:t>Japon</w:t>
            </w: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du projet</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80 000</w:t>
            </w:r>
          </w:p>
        </w:tc>
        <w:tc>
          <w:tcPr>
            <w:tcW w:w="341"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80 000</w:t>
            </w:r>
          </w:p>
        </w:tc>
        <w:tc>
          <w:tcPr>
            <w:tcW w:w="372"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80 000</w:t>
            </w:r>
          </w:p>
        </w:tc>
        <w:tc>
          <w:tcPr>
            <w:tcW w:w="386"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80 000</w:t>
            </w:r>
          </w:p>
        </w:tc>
        <w:tc>
          <w:tcPr>
            <w:tcW w:w="340"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80 000</w:t>
            </w:r>
          </w:p>
        </w:tc>
        <w:tc>
          <w:tcPr>
            <w:tcW w:w="341" w:type="pct"/>
            <w:shd w:val="clear" w:color="auto" w:fill="auto"/>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400 000</w:t>
            </w:r>
          </w:p>
        </w:tc>
      </w:tr>
      <w:tr w:rsidR="00F96C70" w:rsidRPr="00ED22D1" w:rsidTr="00F96C70">
        <w:tc>
          <w:tcPr>
            <w:tcW w:w="396" w:type="pct"/>
            <w:vMerge/>
            <w:shd w:val="clear" w:color="auto" w:fill="auto"/>
          </w:tcPr>
          <w:p w:rsidR="00F96C70" w:rsidRPr="00ED22D1" w:rsidRDefault="00F96C70" w:rsidP="00F12D89">
            <w:pPr>
              <w:spacing w:after="60"/>
              <w:jc w:val="center"/>
              <w:rPr>
                <w:sz w:val="18"/>
                <w:szCs w:val="18"/>
                <w:lang w:val="fr-CA"/>
              </w:rPr>
            </w:pPr>
          </w:p>
        </w:tc>
        <w:tc>
          <w:tcPr>
            <w:tcW w:w="349" w:type="pct"/>
            <w:vMerge/>
            <w:shd w:val="clear" w:color="auto" w:fill="auto"/>
          </w:tcPr>
          <w:p w:rsidR="00F96C70" w:rsidRPr="00ED22D1" w:rsidRDefault="00F96C70" w:rsidP="00F12D89">
            <w:pPr>
              <w:spacing w:after="60"/>
              <w:jc w:val="center"/>
              <w:rPr>
                <w:sz w:val="18"/>
                <w:szCs w:val="18"/>
                <w:lang w:val="fr-CA"/>
              </w:rPr>
            </w:pP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d’appui</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10 400</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10 400</w:t>
            </w:r>
          </w:p>
        </w:tc>
        <w:tc>
          <w:tcPr>
            <w:tcW w:w="372"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10 400</w:t>
            </w:r>
          </w:p>
        </w:tc>
        <w:tc>
          <w:tcPr>
            <w:tcW w:w="386"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10 400</w:t>
            </w:r>
          </w:p>
        </w:tc>
        <w:tc>
          <w:tcPr>
            <w:tcW w:w="340"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10 400</w:t>
            </w:r>
          </w:p>
        </w:tc>
        <w:tc>
          <w:tcPr>
            <w:tcW w:w="341" w:type="pct"/>
            <w:shd w:val="clear" w:color="auto" w:fill="auto"/>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07"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273" w:type="pct"/>
          </w:tcPr>
          <w:p w:rsidR="00F96C70" w:rsidRPr="00ED22D1" w:rsidRDefault="00F96C70" w:rsidP="00F12D89">
            <w:pPr>
              <w:spacing w:after="60"/>
              <w:jc w:val="center"/>
              <w:rPr>
                <w:sz w:val="18"/>
                <w:szCs w:val="18"/>
                <w:lang w:val="fr-CA"/>
              </w:rPr>
            </w:pPr>
            <w:r w:rsidRPr="00ED22D1">
              <w:rPr>
                <w:sz w:val="18"/>
                <w:szCs w:val="18"/>
                <w:lang w:val="fr-CA"/>
              </w:rPr>
              <w:t>-</w:t>
            </w: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52 000</w:t>
            </w:r>
          </w:p>
        </w:tc>
      </w:tr>
      <w:tr w:rsidR="00F96C70" w:rsidRPr="00ED22D1" w:rsidTr="00F96C70">
        <w:tc>
          <w:tcPr>
            <w:tcW w:w="745" w:type="pct"/>
            <w:gridSpan w:val="2"/>
            <w:vMerge w:val="restart"/>
            <w:shd w:val="clear" w:color="auto" w:fill="auto"/>
          </w:tcPr>
          <w:p w:rsidR="00F96C70" w:rsidRPr="00ED22D1" w:rsidRDefault="00F96C70" w:rsidP="00181884">
            <w:pPr>
              <w:spacing w:after="60"/>
              <w:jc w:val="left"/>
              <w:rPr>
                <w:sz w:val="18"/>
                <w:szCs w:val="18"/>
                <w:lang w:val="fr-CA"/>
              </w:rPr>
            </w:pPr>
            <w:r w:rsidRPr="00ED22D1">
              <w:rPr>
                <w:sz w:val="18"/>
                <w:szCs w:val="18"/>
                <w:lang w:val="fr-CA"/>
              </w:rPr>
              <w:t>Financement approuvé par ExCom ($US)</w:t>
            </w: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du projet</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3 679 132</w:t>
            </w:r>
          </w:p>
        </w:tc>
        <w:tc>
          <w:tcPr>
            <w:tcW w:w="341" w:type="pct"/>
            <w:shd w:val="clear" w:color="auto" w:fill="auto"/>
          </w:tcPr>
          <w:p w:rsidR="00F96C70" w:rsidRPr="00ED22D1" w:rsidRDefault="00F96C70" w:rsidP="00F12D89">
            <w:pPr>
              <w:spacing w:after="60"/>
              <w:jc w:val="right"/>
              <w:rPr>
                <w:sz w:val="18"/>
                <w:szCs w:val="18"/>
                <w:lang w:val="fr-CA"/>
              </w:rPr>
            </w:pPr>
          </w:p>
        </w:tc>
        <w:tc>
          <w:tcPr>
            <w:tcW w:w="372"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2 650 000</w:t>
            </w:r>
          </w:p>
        </w:tc>
        <w:tc>
          <w:tcPr>
            <w:tcW w:w="386" w:type="pct"/>
            <w:shd w:val="clear" w:color="auto" w:fill="auto"/>
          </w:tcPr>
          <w:p w:rsidR="00F96C70" w:rsidRPr="00ED22D1" w:rsidRDefault="00F96C70" w:rsidP="00F12D89">
            <w:pPr>
              <w:spacing w:after="60"/>
              <w:jc w:val="right"/>
              <w:rPr>
                <w:sz w:val="18"/>
                <w:szCs w:val="18"/>
                <w:lang w:val="fr-CA"/>
              </w:rPr>
            </w:pPr>
          </w:p>
        </w:tc>
        <w:tc>
          <w:tcPr>
            <w:tcW w:w="340" w:type="pct"/>
            <w:shd w:val="clear" w:color="auto" w:fill="auto"/>
          </w:tcPr>
          <w:p w:rsidR="00F96C70" w:rsidRPr="00ED22D1" w:rsidRDefault="00F96C70" w:rsidP="00F12D89">
            <w:pPr>
              <w:spacing w:after="60"/>
              <w:jc w:val="right"/>
              <w:rPr>
                <w:sz w:val="18"/>
                <w:szCs w:val="18"/>
                <w:lang w:val="fr-CA"/>
              </w:rPr>
            </w:pPr>
          </w:p>
        </w:tc>
        <w:tc>
          <w:tcPr>
            <w:tcW w:w="341" w:type="pct"/>
            <w:shd w:val="clear" w:color="auto" w:fill="auto"/>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375"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6 329 132</w:t>
            </w:r>
          </w:p>
        </w:tc>
      </w:tr>
      <w:tr w:rsidR="00F96C70" w:rsidRPr="00ED22D1" w:rsidTr="00F96C70">
        <w:tc>
          <w:tcPr>
            <w:tcW w:w="745" w:type="pct"/>
            <w:gridSpan w:val="2"/>
            <w:vMerge/>
            <w:shd w:val="clear" w:color="auto" w:fill="auto"/>
          </w:tcPr>
          <w:p w:rsidR="00F96C70" w:rsidRPr="00ED22D1" w:rsidRDefault="00F96C70" w:rsidP="00F12D89">
            <w:pPr>
              <w:spacing w:after="60"/>
              <w:jc w:val="left"/>
              <w:rPr>
                <w:sz w:val="18"/>
                <w:szCs w:val="18"/>
                <w:lang w:val="fr-CA"/>
              </w:rPr>
            </w:pP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d’appui</w:t>
            </w:r>
          </w:p>
        </w:tc>
        <w:tc>
          <w:tcPr>
            <w:tcW w:w="341"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411 051</w:t>
            </w:r>
          </w:p>
        </w:tc>
        <w:tc>
          <w:tcPr>
            <w:tcW w:w="341" w:type="pct"/>
            <w:shd w:val="clear" w:color="auto" w:fill="auto"/>
          </w:tcPr>
          <w:p w:rsidR="00F96C70" w:rsidRPr="00ED22D1" w:rsidRDefault="00F96C70" w:rsidP="00F12D89">
            <w:pPr>
              <w:spacing w:after="60"/>
              <w:jc w:val="right"/>
              <w:rPr>
                <w:sz w:val="18"/>
                <w:szCs w:val="18"/>
                <w:lang w:val="fr-CA"/>
              </w:rPr>
            </w:pPr>
          </w:p>
        </w:tc>
        <w:tc>
          <w:tcPr>
            <w:tcW w:w="372"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294 461</w:t>
            </w:r>
          </w:p>
        </w:tc>
        <w:tc>
          <w:tcPr>
            <w:tcW w:w="386" w:type="pct"/>
            <w:shd w:val="clear" w:color="auto" w:fill="auto"/>
          </w:tcPr>
          <w:p w:rsidR="00F96C70" w:rsidRPr="00ED22D1" w:rsidRDefault="00F96C70" w:rsidP="00F12D89">
            <w:pPr>
              <w:spacing w:after="60"/>
              <w:jc w:val="right"/>
              <w:rPr>
                <w:sz w:val="18"/>
                <w:szCs w:val="18"/>
                <w:lang w:val="fr-CA"/>
              </w:rPr>
            </w:pPr>
          </w:p>
        </w:tc>
        <w:tc>
          <w:tcPr>
            <w:tcW w:w="340" w:type="pct"/>
            <w:shd w:val="clear" w:color="auto" w:fill="auto"/>
          </w:tcPr>
          <w:p w:rsidR="00F96C70" w:rsidRPr="00ED22D1" w:rsidRDefault="00F96C70" w:rsidP="00F12D89">
            <w:pPr>
              <w:spacing w:after="60"/>
              <w:jc w:val="right"/>
              <w:rPr>
                <w:sz w:val="18"/>
                <w:szCs w:val="18"/>
                <w:lang w:val="fr-CA"/>
              </w:rPr>
            </w:pPr>
          </w:p>
        </w:tc>
        <w:tc>
          <w:tcPr>
            <w:tcW w:w="341" w:type="pct"/>
            <w:shd w:val="clear" w:color="auto" w:fill="auto"/>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375" w:type="pct"/>
            <w:shd w:val="clear" w:color="auto" w:fill="auto"/>
          </w:tcPr>
          <w:p w:rsidR="00F96C70" w:rsidRPr="00ED22D1" w:rsidRDefault="00F96C70" w:rsidP="00F12D89">
            <w:pPr>
              <w:spacing w:after="60"/>
              <w:jc w:val="right"/>
              <w:rPr>
                <w:sz w:val="18"/>
                <w:szCs w:val="18"/>
                <w:lang w:val="fr-CA"/>
              </w:rPr>
            </w:pPr>
            <w:r w:rsidRPr="00ED22D1">
              <w:rPr>
                <w:sz w:val="18"/>
                <w:szCs w:val="18"/>
                <w:lang w:val="fr-CA"/>
              </w:rPr>
              <w:t>705,512</w:t>
            </w:r>
          </w:p>
        </w:tc>
      </w:tr>
      <w:tr w:rsidR="00F96C70" w:rsidRPr="00ED22D1" w:rsidTr="00F96C70">
        <w:tc>
          <w:tcPr>
            <w:tcW w:w="745" w:type="pct"/>
            <w:gridSpan w:val="2"/>
            <w:vMerge w:val="restart"/>
            <w:shd w:val="clear" w:color="auto" w:fill="auto"/>
          </w:tcPr>
          <w:p w:rsidR="00F96C70" w:rsidRPr="00ED22D1" w:rsidRDefault="00F96C70" w:rsidP="00791BF7">
            <w:pPr>
              <w:spacing w:after="60"/>
              <w:jc w:val="left"/>
              <w:rPr>
                <w:sz w:val="18"/>
                <w:szCs w:val="18"/>
                <w:lang w:val="fr-CA"/>
              </w:rPr>
            </w:pPr>
            <w:r w:rsidRPr="00ED22D1">
              <w:rPr>
                <w:sz w:val="18"/>
                <w:szCs w:val="18"/>
                <w:lang w:val="fr-CA"/>
              </w:rPr>
              <w:t>Total du financement soumis pour approbation à</w:t>
            </w:r>
            <w:r w:rsidR="00791BF7" w:rsidRPr="00ED22D1">
              <w:rPr>
                <w:sz w:val="18"/>
                <w:szCs w:val="18"/>
                <w:lang w:val="fr-CA"/>
              </w:rPr>
              <w:t> </w:t>
            </w:r>
            <w:r w:rsidRPr="00ED22D1">
              <w:rPr>
                <w:sz w:val="18"/>
                <w:szCs w:val="18"/>
                <w:lang w:val="fr-CA"/>
              </w:rPr>
              <w:t>la présente réunion ($US)</w:t>
            </w: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du projet</w:t>
            </w:r>
          </w:p>
        </w:tc>
        <w:tc>
          <w:tcPr>
            <w:tcW w:w="341" w:type="pct"/>
            <w:shd w:val="clear" w:color="auto" w:fill="auto"/>
          </w:tcPr>
          <w:p w:rsidR="00F96C70" w:rsidRPr="00ED22D1" w:rsidRDefault="00F96C70" w:rsidP="00F12D89">
            <w:pPr>
              <w:spacing w:after="60"/>
              <w:jc w:val="right"/>
              <w:rPr>
                <w:sz w:val="18"/>
                <w:szCs w:val="18"/>
                <w:lang w:val="fr-CA"/>
              </w:rPr>
            </w:pPr>
          </w:p>
        </w:tc>
        <w:tc>
          <w:tcPr>
            <w:tcW w:w="341" w:type="pct"/>
            <w:shd w:val="clear" w:color="auto" w:fill="auto"/>
          </w:tcPr>
          <w:p w:rsidR="00F96C70" w:rsidRPr="00ED22D1" w:rsidRDefault="00F96C70" w:rsidP="00F12D89">
            <w:pPr>
              <w:spacing w:after="60"/>
              <w:jc w:val="right"/>
              <w:rPr>
                <w:sz w:val="18"/>
                <w:szCs w:val="18"/>
                <w:lang w:val="fr-CA"/>
              </w:rPr>
            </w:pPr>
          </w:p>
        </w:tc>
        <w:tc>
          <w:tcPr>
            <w:tcW w:w="372" w:type="pct"/>
            <w:shd w:val="clear" w:color="auto" w:fill="auto"/>
          </w:tcPr>
          <w:p w:rsidR="00F96C70" w:rsidRPr="00ED22D1" w:rsidRDefault="00F96C70" w:rsidP="00F12D89">
            <w:pPr>
              <w:spacing w:after="60"/>
              <w:jc w:val="right"/>
              <w:rPr>
                <w:sz w:val="18"/>
                <w:szCs w:val="18"/>
                <w:lang w:val="fr-CA"/>
              </w:rPr>
            </w:pPr>
          </w:p>
        </w:tc>
        <w:tc>
          <w:tcPr>
            <w:tcW w:w="386"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3 850 000**</w:t>
            </w:r>
          </w:p>
        </w:tc>
        <w:tc>
          <w:tcPr>
            <w:tcW w:w="340" w:type="pct"/>
            <w:shd w:val="clear" w:color="auto" w:fill="auto"/>
          </w:tcPr>
          <w:p w:rsidR="00F96C70" w:rsidRPr="00ED22D1" w:rsidRDefault="00F96C70" w:rsidP="00F12D89">
            <w:pPr>
              <w:spacing w:after="60"/>
              <w:jc w:val="right"/>
              <w:rPr>
                <w:sz w:val="18"/>
                <w:szCs w:val="18"/>
                <w:lang w:val="fr-CA"/>
              </w:rPr>
            </w:pPr>
          </w:p>
        </w:tc>
        <w:tc>
          <w:tcPr>
            <w:tcW w:w="341" w:type="pct"/>
            <w:shd w:val="clear" w:color="auto" w:fill="auto"/>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375"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3 650 000</w:t>
            </w:r>
          </w:p>
        </w:tc>
      </w:tr>
      <w:tr w:rsidR="00F96C70" w:rsidRPr="00ED22D1" w:rsidTr="00F96C70">
        <w:tc>
          <w:tcPr>
            <w:tcW w:w="745" w:type="pct"/>
            <w:gridSpan w:val="2"/>
            <w:vMerge/>
            <w:shd w:val="clear" w:color="auto" w:fill="auto"/>
          </w:tcPr>
          <w:p w:rsidR="00F96C70" w:rsidRPr="00ED22D1" w:rsidRDefault="00F96C70" w:rsidP="00F12D89">
            <w:pPr>
              <w:spacing w:after="60"/>
              <w:jc w:val="center"/>
              <w:rPr>
                <w:sz w:val="18"/>
                <w:szCs w:val="18"/>
                <w:lang w:val="fr-CA"/>
              </w:rPr>
            </w:pPr>
          </w:p>
        </w:tc>
        <w:tc>
          <w:tcPr>
            <w:tcW w:w="292" w:type="pct"/>
            <w:shd w:val="clear" w:color="auto" w:fill="auto"/>
          </w:tcPr>
          <w:p w:rsidR="00F96C70" w:rsidRPr="00ED22D1" w:rsidRDefault="00F96C70" w:rsidP="00181884">
            <w:pPr>
              <w:spacing w:after="60"/>
              <w:jc w:val="left"/>
              <w:rPr>
                <w:sz w:val="16"/>
                <w:szCs w:val="16"/>
                <w:lang w:val="fr-CA"/>
              </w:rPr>
            </w:pPr>
            <w:r w:rsidRPr="00ED22D1">
              <w:rPr>
                <w:sz w:val="16"/>
                <w:szCs w:val="16"/>
                <w:lang w:val="fr-CA"/>
              </w:rPr>
              <w:t>Coûts d’appui</w:t>
            </w:r>
          </w:p>
        </w:tc>
        <w:tc>
          <w:tcPr>
            <w:tcW w:w="341" w:type="pct"/>
            <w:shd w:val="clear" w:color="auto" w:fill="auto"/>
          </w:tcPr>
          <w:p w:rsidR="00F96C70" w:rsidRPr="00ED22D1" w:rsidRDefault="00F96C70" w:rsidP="00F12D89">
            <w:pPr>
              <w:spacing w:after="60"/>
              <w:jc w:val="right"/>
              <w:rPr>
                <w:sz w:val="18"/>
                <w:szCs w:val="18"/>
                <w:lang w:val="fr-CA"/>
              </w:rPr>
            </w:pPr>
          </w:p>
        </w:tc>
        <w:tc>
          <w:tcPr>
            <w:tcW w:w="341" w:type="pct"/>
            <w:shd w:val="clear" w:color="auto" w:fill="auto"/>
          </w:tcPr>
          <w:p w:rsidR="00F96C70" w:rsidRPr="00ED22D1" w:rsidRDefault="00F96C70" w:rsidP="00F12D89">
            <w:pPr>
              <w:spacing w:after="60"/>
              <w:jc w:val="right"/>
              <w:rPr>
                <w:sz w:val="18"/>
                <w:szCs w:val="18"/>
                <w:lang w:val="fr-CA"/>
              </w:rPr>
            </w:pPr>
          </w:p>
        </w:tc>
        <w:tc>
          <w:tcPr>
            <w:tcW w:w="372" w:type="pct"/>
            <w:shd w:val="clear" w:color="auto" w:fill="auto"/>
          </w:tcPr>
          <w:p w:rsidR="00F96C70" w:rsidRPr="00ED22D1" w:rsidRDefault="00F96C70" w:rsidP="00F12D89">
            <w:pPr>
              <w:spacing w:after="60"/>
              <w:jc w:val="right"/>
              <w:rPr>
                <w:sz w:val="18"/>
                <w:szCs w:val="18"/>
                <w:lang w:val="fr-CA"/>
              </w:rPr>
            </w:pPr>
          </w:p>
        </w:tc>
        <w:tc>
          <w:tcPr>
            <w:tcW w:w="386"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431 831</w:t>
            </w:r>
          </w:p>
        </w:tc>
        <w:tc>
          <w:tcPr>
            <w:tcW w:w="340" w:type="pct"/>
            <w:shd w:val="clear" w:color="auto" w:fill="auto"/>
          </w:tcPr>
          <w:p w:rsidR="00F96C70" w:rsidRPr="00ED22D1" w:rsidRDefault="00F96C70" w:rsidP="00F12D89">
            <w:pPr>
              <w:spacing w:after="60"/>
              <w:jc w:val="right"/>
              <w:rPr>
                <w:sz w:val="18"/>
                <w:szCs w:val="18"/>
                <w:lang w:val="fr-CA"/>
              </w:rPr>
            </w:pPr>
          </w:p>
        </w:tc>
        <w:tc>
          <w:tcPr>
            <w:tcW w:w="341" w:type="pct"/>
            <w:shd w:val="clear" w:color="auto" w:fill="auto"/>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307"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273" w:type="pct"/>
          </w:tcPr>
          <w:p w:rsidR="00F96C70" w:rsidRPr="00ED22D1" w:rsidRDefault="00F96C70" w:rsidP="00F12D89">
            <w:pPr>
              <w:spacing w:after="60"/>
              <w:jc w:val="right"/>
              <w:rPr>
                <w:sz w:val="18"/>
                <w:szCs w:val="18"/>
                <w:lang w:val="fr-CA"/>
              </w:rPr>
            </w:pPr>
          </w:p>
        </w:tc>
        <w:tc>
          <w:tcPr>
            <w:tcW w:w="375" w:type="pct"/>
            <w:shd w:val="clear" w:color="auto" w:fill="auto"/>
          </w:tcPr>
          <w:p w:rsidR="00F96C70" w:rsidRPr="00ED22D1" w:rsidRDefault="00F96C70" w:rsidP="00AC27D1">
            <w:pPr>
              <w:spacing w:after="60"/>
              <w:jc w:val="right"/>
              <w:rPr>
                <w:sz w:val="18"/>
                <w:szCs w:val="18"/>
                <w:lang w:val="fr-CA"/>
              </w:rPr>
            </w:pPr>
            <w:r w:rsidRPr="00ED22D1">
              <w:rPr>
                <w:sz w:val="18"/>
                <w:szCs w:val="18"/>
                <w:lang w:val="fr-CA"/>
              </w:rPr>
              <w:t>407 831</w:t>
            </w:r>
          </w:p>
        </w:tc>
      </w:tr>
    </w:tbl>
    <w:p w:rsidR="000A787F" w:rsidRPr="00ED22D1" w:rsidRDefault="000A787F" w:rsidP="000A787F">
      <w:pPr>
        <w:pStyle w:val="StyleHeader4Para4Left0Firstline0"/>
        <w:numPr>
          <w:ilvl w:val="0"/>
          <w:numId w:val="0"/>
        </w:numPr>
        <w:spacing w:after="0"/>
        <w:rPr>
          <w:sz w:val="18"/>
          <w:lang w:val="fr-CA"/>
        </w:rPr>
      </w:pPr>
      <w:r w:rsidRPr="00ED22D1">
        <w:rPr>
          <w:sz w:val="18"/>
          <w:lang w:val="fr-CA"/>
        </w:rPr>
        <w:t xml:space="preserve">* </w:t>
      </w:r>
      <w:r w:rsidR="00D21823">
        <w:rPr>
          <w:sz w:val="18"/>
          <w:lang w:val="fr-CA"/>
        </w:rPr>
        <w:t>La c</w:t>
      </w:r>
      <w:r w:rsidR="00F96C70" w:rsidRPr="00ED22D1">
        <w:rPr>
          <w:sz w:val="18"/>
          <w:lang w:val="fr-CA"/>
        </w:rPr>
        <w:t>onsommation maximale admissible totale</w:t>
      </w:r>
      <w:r w:rsidRPr="00ED22D1">
        <w:rPr>
          <w:sz w:val="18"/>
          <w:lang w:val="fr-CA"/>
        </w:rPr>
        <w:t xml:space="preserve"> </w:t>
      </w:r>
      <w:r w:rsidR="00F96C70" w:rsidRPr="00ED22D1">
        <w:rPr>
          <w:sz w:val="18"/>
          <w:lang w:val="fr-CA"/>
        </w:rPr>
        <w:t>des substances de l’</w:t>
      </w:r>
      <w:r w:rsidRPr="00ED22D1">
        <w:rPr>
          <w:sz w:val="18"/>
          <w:lang w:val="fr-CA"/>
        </w:rPr>
        <w:t>Annex</w:t>
      </w:r>
      <w:r w:rsidR="00F96C70" w:rsidRPr="00ED22D1">
        <w:rPr>
          <w:sz w:val="18"/>
          <w:lang w:val="fr-CA"/>
        </w:rPr>
        <w:t>e</w:t>
      </w:r>
      <w:r w:rsidRPr="00ED22D1">
        <w:rPr>
          <w:sz w:val="18"/>
          <w:lang w:val="fr-CA"/>
        </w:rPr>
        <w:t xml:space="preserve"> C, Group</w:t>
      </w:r>
      <w:r w:rsidR="00F96C70" w:rsidRPr="00ED22D1">
        <w:rPr>
          <w:sz w:val="18"/>
          <w:lang w:val="fr-CA"/>
        </w:rPr>
        <w:t>e</w:t>
      </w:r>
      <w:r w:rsidRPr="00ED22D1">
        <w:rPr>
          <w:sz w:val="18"/>
          <w:lang w:val="fr-CA"/>
        </w:rPr>
        <w:t xml:space="preserve"> I </w:t>
      </w:r>
      <w:r w:rsidR="00F96C70" w:rsidRPr="00ED22D1">
        <w:rPr>
          <w:sz w:val="18"/>
          <w:lang w:val="fr-CA"/>
        </w:rPr>
        <w:t xml:space="preserve">pour la période </w:t>
      </w:r>
      <w:r w:rsidRPr="00ED22D1">
        <w:rPr>
          <w:sz w:val="18"/>
          <w:lang w:val="fr-CA"/>
        </w:rPr>
        <w:t xml:space="preserve">2021 </w:t>
      </w:r>
      <w:r w:rsidR="00F96C70" w:rsidRPr="00ED22D1">
        <w:rPr>
          <w:sz w:val="18"/>
          <w:lang w:val="fr-CA"/>
        </w:rPr>
        <w:t>à</w:t>
      </w:r>
      <w:r w:rsidRPr="00ED22D1">
        <w:rPr>
          <w:sz w:val="18"/>
          <w:lang w:val="fr-CA"/>
        </w:rPr>
        <w:t xml:space="preserve"> 2026 </w:t>
      </w:r>
      <w:r w:rsidR="00F96C70" w:rsidRPr="00ED22D1">
        <w:rPr>
          <w:sz w:val="18"/>
          <w:lang w:val="fr-CA"/>
        </w:rPr>
        <w:t>sera déterminée plus tard</w:t>
      </w:r>
      <w:r w:rsidRPr="00ED22D1">
        <w:rPr>
          <w:sz w:val="18"/>
          <w:lang w:val="fr-CA"/>
        </w:rPr>
        <w:t xml:space="preserve">, </w:t>
      </w:r>
      <w:r w:rsidR="00F96C70" w:rsidRPr="00ED22D1">
        <w:rPr>
          <w:sz w:val="18"/>
          <w:lang w:val="fr-CA"/>
        </w:rPr>
        <w:t>mais ne sera en aucun cas supérieure à</w:t>
      </w:r>
      <w:r w:rsidR="00D21823">
        <w:rPr>
          <w:sz w:val="18"/>
          <w:lang w:val="fr-CA"/>
        </w:rPr>
        <w:t> </w:t>
      </w:r>
      <w:r w:rsidRPr="00ED22D1">
        <w:rPr>
          <w:sz w:val="18"/>
          <w:lang w:val="fr-CA"/>
        </w:rPr>
        <w:t>11</w:t>
      </w:r>
      <w:r w:rsidR="00AC27D1" w:rsidRPr="00ED22D1">
        <w:rPr>
          <w:sz w:val="18"/>
          <w:lang w:val="fr-CA"/>
        </w:rPr>
        <w:t> </w:t>
      </w:r>
      <w:r w:rsidRPr="00ED22D1">
        <w:rPr>
          <w:sz w:val="18"/>
          <w:lang w:val="fr-CA"/>
        </w:rPr>
        <w:t>772</w:t>
      </w:r>
      <w:r w:rsidR="00D21823">
        <w:rPr>
          <w:sz w:val="18"/>
          <w:lang w:val="fr-CA"/>
        </w:rPr>
        <w:t> </w:t>
      </w:r>
      <w:r w:rsidR="00F96C70" w:rsidRPr="00ED22D1">
        <w:rPr>
          <w:sz w:val="18"/>
          <w:lang w:val="fr-CA"/>
        </w:rPr>
        <w:t>tonnes</w:t>
      </w:r>
      <w:r w:rsidR="00D21823">
        <w:rPr>
          <w:sz w:val="18"/>
          <w:lang w:val="fr-CA"/>
        </w:rPr>
        <w:t> </w:t>
      </w:r>
      <w:r w:rsidR="00F96C70" w:rsidRPr="00ED22D1">
        <w:rPr>
          <w:sz w:val="18"/>
          <w:lang w:val="fr-CA"/>
        </w:rPr>
        <w:t>PAO</w:t>
      </w:r>
      <w:r w:rsidRPr="00ED22D1">
        <w:rPr>
          <w:sz w:val="18"/>
          <w:lang w:val="fr-CA"/>
        </w:rPr>
        <w:t xml:space="preserve"> </w:t>
      </w:r>
      <w:r w:rsidR="00F96C70" w:rsidRPr="00ED22D1">
        <w:rPr>
          <w:sz w:val="18"/>
          <w:lang w:val="fr-CA"/>
        </w:rPr>
        <w:t>avant</w:t>
      </w:r>
      <w:r w:rsidRPr="00ED22D1">
        <w:rPr>
          <w:sz w:val="18"/>
          <w:lang w:val="fr-CA"/>
        </w:rPr>
        <w:t xml:space="preserve"> 2025,</w:t>
      </w:r>
      <w:r w:rsidR="00F51720" w:rsidRPr="00ED22D1">
        <w:rPr>
          <w:sz w:val="18"/>
          <w:lang w:val="fr-CA"/>
        </w:rPr>
        <w:t xml:space="preserve"> </w:t>
      </w:r>
      <w:r w:rsidR="00F96C70" w:rsidRPr="00ED22D1">
        <w:rPr>
          <w:sz w:val="18"/>
          <w:lang w:val="fr-CA"/>
        </w:rPr>
        <w:t xml:space="preserve">ni supérieure à </w:t>
      </w:r>
      <w:r w:rsidRPr="00ED22D1">
        <w:rPr>
          <w:sz w:val="18"/>
          <w:lang w:val="fr-CA"/>
        </w:rPr>
        <w:t>6</w:t>
      </w:r>
      <w:r w:rsidR="00F51720" w:rsidRPr="00ED22D1">
        <w:rPr>
          <w:sz w:val="18"/>
          <w:lang w:val="fr-CA"/>
        </w:rPr>
        <w:t> 1</w:t>
      </w:r>
      <w:r w:rsidRPr="00ED22D1">
        <w:rPr>
          <w:sz w:val="18"/>
          <w:lang w:val="fr-CA"/>
        </w:rPr>
        <w:t>31</w:t>
      </w:r>
      <w:r w:rsidR="00F96C70" w:rsidRPr="00ED22D1">
        <w:rPr>
          <w:sz w:val="18"/>
          <w:lang w:val="fr-CA"/>
        </w:rPr>
        <w:t xml:space="preserve"> tonnes PAO</w:t>
      </w:r>
      <w:r w:rsidRPr="00ED22D1">
        <w:rPr>
          <w:sz w:val="18"/>
          <w:lang w:val="fr-CA"/>
        </w:rPr>
        <w:t xml:space="preserve"> </w:t>
      </w:r>
      <w:r w:rsidR="00F96C70" w:rsidRPr="00ED22D1">
        <w:rPr>
          <w:sz w:val="18"/>
          <w:lang w:val="fr-CA"/>
        </w:rPr>
        <w:t>par la suite</w:t>
      </w:r>
      <w:r w:rsidRPr="00ED22D1">
        <w:rPr>
          <w:sz w:val="18"/>
          <w:lang w:val="fr-CA"/>
        </w:rPr>
        <w:t>.</w:t>
      </w:r>
    </w:p>
    <w:p w:rsidR="000A787F" w:rsidRPr="00ED22D1" w:rsidRDefault="000A787F" w:rsidP="000A787F">
      <w:pPr>
        <w:pStyle w:val="StyleHeader4Para4Left0Firstline0"/>
        <w:numPr>
          <w:ilvl w:val="0"/>
          <w:numId w:val="0"/>
        </w:numPr>
        <w:spacing w:after="0"/>
        <w:rPr>
          <w:sz w:val="18"/>
          <w:lang w:val="fr-CA"/>
        </w:rPr>
      </w:pPr>
      <w:r w:rsidRPr="00ED22D1">
        <w:rPr>
          <w:sz w:val="18"/>
          <w:lang w:val="fr-CA"/>
        </w:rPr>
        <w:t xml:space="preserve">** </w:t>
      </w:r>
      <w:r w:rsidR="00F96C70" w:rsidRPr="00ED22D1">
        <w:rPr>
          <w:sz w:val="18"/>
          <w:lang w:val="fr-CA"/>
        </w:rPr>
        <w:t>La</w:t>
      </w:r>
      <w:r w:rsidRPr="00ED22D1">
        <w:rPr>
          <w:sz w:val="18"/>
          <w:lang w:val="fr-CA"/>
        </w:rPr>
        <w:t xml:space="preserve"> </w:t>
      </w:r>
      <w:r w:rsidR="00F96C70" w:rsidRPr="00ED22D1">
        <w:rPr>
          <w:sz w:val="18"/>
          <w:lang w:val="fr-CA"/>
        </w:rPr>
        <w:t>troisième</w:t>
      </w:r>
      <w:r w:rsidRPr="00ED22D1">
        <w:rPr>
          <w:sz w:val="18"/>
          <w:lang w:val="fr-CA"/>
        </w:rPr>
        <w:t xml:space="preserve"> (2018) tranche </w:t>
      </w:r>
      <w:r w:rsidR="00F96C70" w:rsidRPr="00ED22D1">
        <w:rPr>
          <w:sz w:val="18"/>
          <w:lang w:val="fr-CA"/>
        </w:rPr>
        <w:t>a été présentée à la 8</w:t>
      </w:r>
      <w:r w:rsidRPr="00ED22D1">
        <w:rPr>
          <w:sz w:val="18"/>
          <w:lang w:val="fr-CA"/>
        </w:rPr>
        <w:t>2</w:t>
      </w:r>
      <w:r w:rsidR="00F96C70" w:rsidRPr="00ED22D1">
        <w:rPr>
          <w:sz w:val="18"/>
          <w:vertAlign w:val="superscript"/>
          <w:lang w:val="fr-CA"/>
        </w:rPr>
        <w:t>e</w:t>
      </w:r>
      <w:r w:rsidR="00F96C70" w:rsidRPr="00ED22D1">
        <w:rPr>
          <w:sz w:val="18"/>
          <w:lang w:val="fr-CA"/>
        </w:rPr>
        <w:t xml:space="preserve"> réunion</w:t>
      </w:r>
      <w:r w:rsidR="00F51720" w:rsidRPr="00ED22D1">
        <w:rPr>
          <w:sz w:val="18"/>
          <w:lang w:val="fr-CA"/>
        </w:rPr>
        <w:t xml:space="preserve"> et </w:t>
      </w:r>
      <w:r w:rsidR="00F96C70" w:rsidRPr="00ED22D1">
        <w:rPr>
          <w:sz w:val="18"/>
          <w:lang w:val="fr-CA"/>
        </w:rPr>
        <w:t>reportée pour examen à la 8</w:t>
      </w:r>
      <w:r w:rsidRPr="00ED22D1">
        <w:rPr>
          <w:sz w:val="18"/>
          <w:lang w:val="fr-CA"/>
        </w:rPr>
        <w:t>3</w:t>
      </w:r>
      <w:r w:rsidR="00F96C70" w:rsidRPr="00ED22D1">
        <w:rPr>
          <w:sz w:val="18"/>
          <w:vertAlign w:val="superscript"/>
          <w:lang w:val="fr-CA"/>
        </w:rPr>
        <w:t>e</w:t>
      </w:r>
      <w:r w:rsidR="00F96C70" w:rsidRPr="00ED22D1">
        <w:rPr>
          <w:sz w:val="18"/>
          <w:lang w:val="fr-CA"/>
        </w:rPr>
        <w:t xml:space="preserve"> réunion</w:t>
      </w:r>
      <w:r w:rsidRPr="00ED22D1">
        <w:rPr>
          <w:sz w:val="18"/>
          <w:lang w:val="fr-CA"/>
        </w:rPr>
        <w:t xml:space="preserve"> (</w:t>
      </w:r>
      <w:r w:rsidR="00F96C70" w:rsidRPr="00ED22D1">
        <w:rPr>
          <w:sz w:val="18"/>
          <w:lang w:val="fr-CA"/>
        </w:rPr>
        <w:t>décision</w:t>
      </w:r>
      <w:r w:rsidRPr="00ED22D1">
        <w:rPr>
          <w:sz w:val="18"/>
          <w:lang w:val="fr-CA"/>
        </w:rPr>
        <w:t> 82/71(b))</w:t>
      </w:r>
      <w:r w:rsidR="0031390F" w:rsidRPr="00ED22D1">
        <w:rPr>
          <w:sz w:val="18"/>
          <w:lang w:val="fr-CA"/>
        </w:rPr>
        <w:t>. Le</w:t>
      </w:r>
      <w:r w:rsidRPr="00ED22D1">
        <w:rPr>
          <w:sz w:val="18"/>
          <w:lang w:val="fr-CA"/>
        </w:rPr>
        <w:t xml:space="preserve"> </w:t>
      </w:r>
      <w:r w:rsidR="00905638" w:rsidRPr="00ED22D1">
        <w:rPr>
          <w:sz w:val="18"/>
          <w:lang w:val="fr-CA"/>
        </w:rPr>
        <w:t>financement</w:t>
      </w:r>
      <w:r w:rsidRPr="00ED22D1">
        <w:rPr>
          <w:sz w:val="18"/>
          <w:lang w:val="fr-CA"/>
        </w:rPr>
        <w:t xml:space="preserve"> </w:t>
      </w:r>
      <w:r w:rsidR="00F96C70" w:rsidRPr="00ED22D1">
        <w:rPr>
          <w:sz w:val="18"/>
          <w:lang w:val="fr-CA"/>
        </w:rPr>
        <w:t xml:space="preserve">demandé comprend aussi la tranche </w:t>
      </w:r>
      <w:r w:rsidRPr="00ED22D1">
        <w:rPr>
          <w:sz w:val="18"/>
          <w:lang w:val="fr-CA"/>
        </w:rPr>
        <w:t>2019 (200</w:t>
      </w:r>
      <w:r w:rsidR="00AC27D1" w:rsidRPr="00ED22D1">
        <w:rPr>
          <w:sz w:val="18"/>
          <w:lang w:val="fr-CA"/>
        </w:rPr>
        <w:t> 000 $US</w:t>
      </w:r>
      <w:r w:rsidRPr="00ED22D1">
        <w:rPr>
          <w:sz w:val="18"/>
          <w:lang w:val="fr-CA"/>
        </w:rPr>
        <w:t xml:space="preserve">) </w:t>
      </w:r>
      <w:r w:rsidR="00F96C70" w:rsidRPr="00ED22D1">
        <w:rPr>
          <w:sz w:val="18"/>
          <w:lang w:val="fr-CA"/>
        </w:rPr>
        <w:t>pour l’</w:t>
      </w:r>
      <w:r w:rsidR="00F51720" w:rsidRPr="00ED22D1">
        <w:rPr>
          <w:sz w:val="18"/>
          <w:lang w:val="fr-CA"/>
        </w:rPr>
        <w:t>Allemagne</w:t>
      </w:r>
      <w:r w:rsidRPr="00ED22D1">
        <w:rPr>
          <w:sz w:val="18"/>
          <w:lang w:val="fr-CA"/>
        </w:rPr>
        <w:t>.</w:t>
      </w:r>
    </w:p>
    <w:p w:rsidR="000A787F" w:rsidRPr="00ED22D1" w:rsidRDefault="000A787F" w:rsidP="000A787F">
      <w:pPr>
        <w:pStyle w:val="StyleHeader4Para4Left0Firstline0"/>
        <w:numPr>
          <w:ilvl w:val="0"/>
          <w:numId w:val="0"/>
        </w:numPr>
        <w:spacing w:after="0"/>
        <w:rPr>
          <w:lang w:val="fr-CA"/>
        </w:rPr>
      </w:pPr>
    </w:p>
    <w:tbl>
      <w:tblPr>
        <w:tblStyle w:val="TableGrid60"/>
        <w:tblW w:w="5000" w:type="pct"/>
        <w:tblLook w:val="04A0" w:firstRow="1" w:lastRow="0" w:firstColumn="1" w:lastColumn="0" w:noHBand="0" w:noVBand="1"/>
      </w:tblPr>
      <w:tblGrid>
        <w:gridCol w:w="3262"/>
        <w:gridCol w:w="11210"/>
      </w:tblGrid>
      <w:tr w:rsidR="000A787F" w:rsidRPr="00ED22D1" w:rsidTr="00F12D89">
        <w:trPr>
          <w:trHeight w:val="240"/>
        </w:trPr>
        <w:tc>
          <w:tcPr>
            <w:tcW w:w="1127" w:type="pct"/>
            <w:shd w:val="clear" w:color="auto" w:fill="auto"/>
          </w:tcPr>
          <w:p w:rsidR="000A787F" w:rsidRPr="00ED22D1" w:rsidRDefault="00F96C70" w:rsidP="00572798">
            <w:pPr>
              <w:spacing w:after="60"/>
              <w:rPr>
                <w:b/>
                <w:sz w:val="18"/>
                <w:szCs w:val="20"/>
                <w:lang w:val="fr-CA"/>
              </w:rPr>
            </w:pPr>
            <w:r w:rsidRPr="00ED22D1">
              <w:rPr>
                <w:b/>
                <w:sz w:val="18"/>
                <w:szCs w:val="20"/>
                <w:lang w:val="fr-CA"/>
              </w:rPr>
              <w:t xml:space="preserve">Recommandation du </w:t>
            </w:r>
            <w:r w:rsidR="000A787F" w:rsidRPr="00ED22D1">
              <w:rPr>
                <w:b/>
                <w:sz w:val="18"/>
                <w:szCs w:val="20"/>
                <w:lang w:val="fr-CA"/>
              </w:rPr>
              <w:t>Secr</w:t>
            </w:r>
            <w:r w:rsidRPr="00ED22D1">
              <w:rPr>
                <w:b/>
                <w:sz w:val="18"/>
                <w:szCs w:val="20"/>
                <w:lang w:val="fr-CA"/>
              </w:rPr>
              <w:t>é</w:t>
            </w:r>
            <w:r w:rsidR="000A787F" w:rsidRPr="00ED22D1">
              <w:rPr>
                <w:b/>
                <w:sz w:val="18"/>
                <w:szCs w:val="20"/>
                <w:lang w:val="fr-CA"/>
              </w:rPr>
              <w:t>tariat</w:t>
            </w:r>
            <w:r w:rsidR="00791BF7" w:rsidRPr="00ED22D1">
              <w:rPr>
                <w:b/>
                <w:sz w:val="18"/>
                <w:szCs w:val="20"/>
                <w:lang w:val="fr-CA"/>
              </w:rPr>
              <w:t> :</w:t>
            </w:r>
          </w:p>
        </w:tc>
        <w:tc>
          <w:tcPr>
            <w:tcW w:w="3873" w:type="pct"/>
            <w:shd w:val="clear" w:color="auto" w:fill="auto"/>
          </w:tcPr>
          <w:p w:rsidR="000A787F" w:rsidRPr="00ED22D1" w:rsidRDefault="00F96C70" w:rsidP="00F96C70">
            <w:pPr>
              <w:spacing w:after="60"/>
              <w:jc w:val="center"/>
              <w:rPr>
                <w:sz w:val="18"/>
                <w:szCs w:val="20"/>
                <w:lang w:val="fr-CA"/>
              </w:rPr>
            </w:pPr>
            <w:r w:rsidRPr="00ED22D1">
              <w:rPr>
                <w:sz w:val="18"/>
                <w:szCs w:val="20"/>
                <w:lang w:val="fr-CA"/>
              </w:rPr>
              <w:t>Pour examen individuel</w:t>
            </w:r>
          </w:p>
        </w:tc>
      </w:tr>
    </w:tbl>
    <w:p w:rsidR="000A787F" w:rsidRPr="00ED22D1" w:rsidRDefault="000A787F" w:rsidP="000A787F">
      <w:pPr>
        <w:pStyle w:val="StyleHeader4Para4Left0Firstline0"/>
        <w:numPr>
          <w:ilvl w:val="0"/>
          <w:numId w:val="0"/>
        </w:numPr>
        <w:rPr>
          <w:lang w:val="fr-CA"/>
        </w:rPr>
        <w:sectPr w:rsidR="000A787F" w:rsidRPr="00ED22D1" w:rsidSect="00F12D89">
          <w:headerReference w:type="first" r:id="rId37"/>
          <w:pgSz w:w="15840" w:h="12240" w:orient="landscape" w:code="1"/>
          <w:pgMar w:top="1440" w:right="720" w:bottom="1440" w:left="864" w:header="720" w:footer="475" w:gutter="0"/>
          <w:cols w:space="720"/>
          <w:titlePg/>
          <w:docGrid w:linePitch="299"/>
        </w:sectPr>
      </w:pPr>
    </w:p>
    <w:p w:rsidR="000A787F" w:rsidRPr="00ED22D1" w:rsidRDefault="00CB51B2" w:rsidP="000A787F">
      <w:pPr>
        <w:pStyle w:val="StyleHeader4Para4Left0Firstline0"/>
        <w:numPr>
          <w:ilvl w:val="0"/>
          <w:numId w:val="0"/>
        </w:numPr>
        <w:jc w:val="center"/>
        <w:rPr>
          <w:lang w:val="fr-CA"/>
        </w:rPr>
      </w:pPr>
      <w:r w:rsidRPr="00ED22D1">
        <w:rPr>
          <w:b/>
          <w:lang w:val="fr-CA"/>
        </w:rPr>
        <w:lastRenderedPageBreak/>
        <w:t xml:space="preserve">DESCRIPTION DU PROJET </w:t>
      </w:r>
    </w:p>
    <w:p w:rsidR="000A787F" w:rsidRPr="00ED22D1" w:rsidRDefault="00DC2912" w:rsidP="00DC2912">
      <w:pPr>
        <w:pStyle w:val="Heading1"/>
        <w:numPr>
          <w:ilvl w:val="0"/>
          <w:numId w:val="0"/>
        </w:numPr>
        <w:rPr>
          <w:lang w:val="fr-CA"/>
        </w:rPr>
      </w:pPr>
      <w:r w:rsidRPr="00ED22D1">
        <w:rPr>
          <w:lang w:val="fr-CA"/>
        </w:rPr>
        <w:t>98.</w:t>
      </w:r>
      <w:r w:rsidRPr="00ED22D1">
        <w:rPr>
          <w:lang w:val="fr-CA"/>
        </w:rPr>
        <w:tab/>
      </w:r>
      <w:r w:rsidR="0036650B" w:rsidRPr="00ED22D1">
        <w:rPr>
          <w:lang w:val="fr-CA"/>
        </w:rPr>
        <w:t xml:space="preserve">Au nom du </w:t>
      </w:r>
      <w:r w:rsidR="00903152" w:rsidRPr="00ED22D1">
        <w:rPr>
          <w:lang w:val="fr-CA"/>
        </w:rPr>
        <w:t xml:space="preserve">gouvernement </w:t>
      </w:r>
      <w:r w:rsidR="0036650B" w:rsidRPr="00ED22D1">
        <w:rPr>
          <w:lang w:val="fr-CA"/>
        </w:rPr>
        <w:t>de la</w:t>
      </w:r>
      <w:r w:rsidR="000A787F" w:rsidRPr="00ED22D1">
        <w:rPr>
          <w:lang w:val="fr-CA"/>
        </w:rPr>
        <w:t xml:space="preserve"> </w:t>
      </w:r>
      <w:r w:rsidR="00F12D89" w:rsidRPr="00ED22D1">
        <w:rPr>
          <w:lang w:val="fr-CA"/>
        </w:rPr>
        <w:t>Chine</w:t>
      </w:r>
      <w:r w:rsidR="000A787F" w:rsidRPr="00ED22D1">
        <w:rPr>
          <w:lang w:val="fr-CA"/>
        </w:rPr>
        <w:t xml:space="preserve">, </w:t>
      </w:r>
      <w:r w:rsidR="00CB51B2" w:rsidRPr="00ED22D1">
        <w:rPr>
          <w:lang w:val="fr-CA"/>
        </w:rPr>
        <w:t>le PNUE, à titre d’agence d’exécution désignée</w:t>
      </w:r>
      <w:r w:rsidR="000A787F" w:rsidRPr="00ED22D1">
        <w:rPr>
          <w:lang w:val="fr-CA"/>
        </w:rPr>
        <w:t>, a</w:t>
      </w:r>
      <w:r w:rsidR="00A44429">
        <w:rPr>
          <w:lang w:val="fr-CA"/>
        </w:rPr>
        <w:t> </w:t>
      </w:r>
      <w:r w:rsidR="008D5B5F" w:rsidRPr="00ED22D1">
        <w:rPr>
          <w:lang w:val="fr-CA"/>
        </w:rPr>
        <w:t>présenté de nouveau</w:t>
      </w:r>
      <w:r w:rsidR="000A787F" w:rsidRPr="00ED22D1">
        <w:rPr>
          <w:rStyle w:val="FootnoteReference"/>
          <w:lang w:val="fr-CA"/>
        </w:rPr>
        <w:footnoteReference w:id="16"/>
      </w:r>
      <w:r w:rsidR="000A787F" w:rsidRPr="00ED22D1">
        <w:rPr>
          <w:lang w:val="fr-CA"/>
        </w:rPr>
        <w:t xml:space="preserve"> </w:t>
      </w:r>
      <w:r w:rsidR="00CB51B2" w:rsidRPr="00ED22D1">
        <w:rPr>
          <w:lang w:val="fr-CA"/>
        </w:rPr>
        <w:t xml:space="preserve">une demande de </w:t>
      </w:r>
      <w:r w:rsidR="00D15079" w:rsidRPr="00ED22D1">
        <w:rPr>
          <w:lang w:val="fr-CA"/>
        </w:rPr>
        <w:t>financement</w:t>
      </w:r>
      <w:r w:rsidR="000A787F" w:rsidRPr="00ED22D1">
        <w:rPr>
          <w:lang w:val="fr-CA"/>
        </w:rPr>
        <w:t xml:space="preserve"> </w:t>
      </w:r>
      <w:r w:rsidR="00CB51B2" w:rsidRPr="00ED22D1">
        <w:rPr>
          <w:lang w:val="fr-CA"/>
        </w:rPr>
        <w:t xml:space="preserve">pour la </w:t>
      </w:r>
      <w:r w:rsidR="00874624" w:rsidRPr="00ED22D1">
        <w:rPr>
          <w:lang w:val="fr-CA"/>
        </w:rPr>
        <w:t>troisième</w:t>
      </w:r>
      <w:r w:rsidR="000A787F" w:rsidRPr="00ED22D1">
        <w:rPr>
          <w:lang w:val="fr-CA"/>
        </w:rPr>
        <w:t xml:space="preserve"> tranche </w:t>
      </w:r>
      <w:r w:rsidR="00CB51B2" w:rsidRPr="00ED22D1">
        <w:rPr>
          <w:lang w:val="fr-CA"/>
        </w:rPr>
        <w:t>du</w:t>
      </w:r>
      <w:r w:rsidR="000A787F" w:rsidRPr="00ED22D1">
        <w:rPr>
          <w:lang w:val="fr-CA"/>
        </w:rPr>
        <w:t xml:space="preserve"> </w:t>
      </w:r>
      <w:r w:rsidR="00181884" w:rsidRPr="00ED22D1">
        <w:rPr>
          <w:lang w:val="fr-CA"/>
        </w:rPr>
        <w:t>secteur de l’entretien en réfrigération</w:t>
      </w:r>
      <w:r w:rsidR="00F51720" w:rsidRPr="00ED22D1">
        <w:rPr>
          <w:lang w:val="fr-CA"/>
        </w:rPr>
        <w:t xml:space="preserve"> et </w:t>
      </w:r>
      <w:r w:rsidR="00CB51B2" w:rsidRPr="00ED22D1">
        <w:rPr>
          <w:lang w:val="fr-CA"/>
        </w:rPr>
        <w:t xml:space="preserve">des </w:t>
      </w:r>
      <w:r w:rsidR="00945536" w:rsidRPr="00ED22D1">
        <w:rPr>
          <w:lang w:val="fr-CA"/>
        </w:rPr>
        <w:t>éléments habilitants</w:t>
      </w:r>
      <w:r w:rsidR="000A787F" w:rsidRPr="00ED22D1">
        <w:rPr>
          <w:lang w:val="fr-CA"/>
        </w:rPr>
        <w:t xml:space="preserve"> </w:t>
      </w:r>
      <w:r w:rsidR="00CB51B2" w:rsidRPr="00ED22D1">
        <w:rPr>
          <w:lang w:val="fr-CA"/>
        </w:rPr>
        <w:t>de la phase</w:t>
      </w:r>
      <w:r w:rsidR="000A787F" w:rsidRPr="00ED22D1">
        <w:rPr>
          <w:lang w:val="fr-CA"/>
        </w:rPr>
        <w:t xml:space="preserve"> II </w:t>
      </w:r>
      <w:r w:rsidR="00CB51B2" w:rsidRPr="00ED22D1">
        <w:rPr>
          <w:lang w:val="fr-CA"/>
        </w:rPr>
        <w:t>du plan de gestion de l’élimination des</w:t>
      </w:r>
      <w:r w:rsidR="000A787F" w:rsidRPr="00ED22D1">
        <w:rPr>
          <w:lang w:val="fr-CA"/>
        </w:rPr>
        <w:t xml:space="preserve"> HCFC (</w:t>
      </w:r>
      <w:r w:rsidR="00316FD8" w:rsidRPr="00ED22D1">
        <w:rPr>
          <w:lang w:val="fr-CA"/>
        </w:rPr>
        <w:t>PGEH</w:t>
      </w:r>
      <w:r w:rsidR="000A787F" w:rsidRPr="00ED22D1">
        <w:rPr>
          <w:lang w:val="fr-CA"/>
        </w:rPr>
        <w:t xml:space="preserve">), </w:t>
      </w:r>
      <w:r w:rsidR="00CB51B2" w:rsidRPr="00ED22D1">
        <w:rPr>
          <w:lang w:val="fr-CA"/>
        </w:rPr>
        <w:t xml:space="preserve">pour un montant total de </w:t>
      </w:r>
      <w:r w:rsidR="000A787F" w:rsidRPr="00ED22D1">
        <w:rPr>
          <w:lang w:val="fr-CA"/>
        </w:rPr>
        <w:t>4</w:t>
      </w:r>
      <w:r w:rsidR="00AC27D1" w:rsidRPr="00ED22D1">
        <w:rPr>
          <w:lang w:val="fr-CA"/>
        </w:rPr>
        <w:t> </w:t>
      </w:r>
      <w:r w:rsidR="000A787F" w:rsidRPr="00ED22D1">
        <w:rPr>
          <w:lang w:val="fr-CA"/>
        </w:rPr>
        <w:t>281</w:t>
      </w:r>
      <w:r w:rsidR="00AC27D1" w:rsidRPr="00ED22D1">
        <w:rPr>
          <w:lang w:val="fr-CA"/>
        </w:rPr>
        <w:t> </w:t>
      </w:r>
      <w:r w:rsidR="000A787F" w:rsidRPr="00ED22D1">
        <w:rPr>
          <w:lang w:val="fr-CA"/>
        </w:rPr>
        <w:t>831</w:t>
      </w:r>
      <w:r w:rsidR="00EC100C" w:rsidRPr="00ED22D1">
        <w:rPr>
          <w:lang w:val="fr-CA"/>
        </w:rPr>
        <w:t> $US</w:t>
      </w:r>
      <w:r w:rsidR="000A787F" w:rsidRPr="00ED22D1">
        <w:rPr>
          <w:lang w:val="fr-CA"/>
        </w:rPr>
        <w:t xml:space="preserve">, </w:t>
      </w:r>
      <w:r w:rsidR="00CB51B2" w:rsidRPr="00ED22D1">
        <w:rPr>
          <w:lang w:val="fr-CA"/>
        </w:rPr>
        <w:t xml:space="preserve">lequel comprend </w:t>
      </w:r>
      <w:r w:rsidR="000A787F" w:rsidRPr="00ED22D1">
        <w:rPr>
          <w:lang w:val="fr-CA"/>
        </w:rPr>
        <w:t>3</w:t>
      </w:r>
      <w:r w:rsidR="00AC27D1" w:rsidRPr="00ED22D1">
        <w:rPr>
          <w:lang w:val="fr-CA"/>
        </w:rPr>
        <w:t> </w:t>
      </w:r>
      <w:r w:rsidR="000A787F" w:rsidRPr="00ED22D1">
        <w:rPr>
          <w:lang w:val="fr-CA"/>
        </w:rPr>
        <w:t>270</w:t>
      </w:r>
      <w:r w:rsidR="00AC27D1" w:rsidRPr="00ED22D1">
        <w:rPr>
          <w:lang w:val="fr-CA"/>
        </w:rPr>
        <w:t> 000 $US</w:t>
      </w:r>
      <w:r w:rsidR="000A787F" w:rsidRPr="00ED22D1">
        <w:rPr>
          <w:lang w:val="fr-CA"/>
        </w:rPr>
        <w:t xml:space="preserve">, plus </w:t>
      </w:r>
      <w:r w:rsidR="00CB51B2" w:rsidRPr="00ED22D1">
        <w:rPr>
          <w:lang w:val="fr-CA"/>
        </w:rPr>
        <w:t xml:space="preserve">des coûts d’appui d’agence de </w:t>
      </w:r>
      <w:r w:rsidR="000A787F" w:rsidRPr="00ED22D1">
        <w:rPr>
          <w:lang w:val="fr-CA"/>
        </w:rPr>
        <w:t>361</w:t>
      </w:r>
      <w:r w:rsidR="00AC27D1" w:rsidRPr="00ED22D1">
        <w:rPr>
          <w:lang w:val="fr-CA"/>
        </w:rPr>
        <w:t> </w:t>
      </w:r>
      <w:r w:rsidR="000A787F" w:rsidRPr="00ED22D1">
        <w:rPr>
          <w:lang w:val="fr-CA"/>
        </w:rPr>
        <w:t>431</w:t>
      </w:r>
      <w:r w:rsidR="00EC100C" w:rsidRPr="00ED22D1">
        <w:rPr>
          <w:lang w:val="fr-CA"/>
        </w:rPr>
        <w:t> $US</w:t>
      </w:r>
      <w:r w:rsidR="000A787F" w:rsidRPr="00ED22D1">
        <w:rPr>
          <w:lang w:val="fr-CA"/>
        </w:rPr>
        <w:t xml:space="preserve"> </w:t>
      </w:r>
      <w:r w:rsidR="00CB51B2" w:rsidRPr="00ED22D1">
        <w:rPr>
          <w:lang w:val="fr-CA"/>
        </w:rPr>
        <w:t>pour le</w:t>
      </w:r>
      <w:r w:rsidR="000A787F" w:rsidRPr="00ED22D1">
        <w:rPr>
          <w:lang w:val="fr-CA"/>
        </w:rPr>
        <w:t xml:space="preserve"> </w:t>
      </w:r>
      <w:r w:rsidR="0036650B" w:rsidRPr="00ED22D1">
        <w:rPr>
          <w:lang w:val="fr-CA"/>
        </w:rPr>
        <w:t>PNUE</w:t>
      </w:r>
      <w:r w:rsidR="000A787F" w:rsidRPr="00ED22D1">
        <w:rPr>
          <w:lang w:val="fr-CA"/>
        </w:rPr>
        <w:t>, 500</w:t>
      </w:r>
      <w:r w:rsidR="00AC27D1" w:rsidRPr="00ED22D1">
        <w:rPr>
          <w:lang w:val="fr-CA"/>
        </w:rPr>
        <w:t> 000 $US</w:t>
      </w:r>
      <w:r w:rsidR="000A787F" w:rsidRPr="00ED22D1">
        <w:rPr>
          <w:lang w:val="fr-CA"/>
        </w:rPr>
        <w:t xml:space="preserve">, plus </w:t>
      </w:r>
      <w:r w:rsidR="00CB51B2" w:rsidRPr="00ED22D1">
        <w:rPr>
          <w:lang w:val="fr-CA"/>
        </w:rPr>
        <w:t>des coûts d’appui d’agence de</w:t>
      </w:r>
      <w:r w:rsidR="000A787F" w:rsidRPr="00ED22D1">
        <w:rPr>
          <w:lang w:val="fr-CA"/>
        </w:rPr>
        <w:t xml:space="preserve"> 60</w:t>
      </w:r>
      <w:r w:rsidR="00AC27D1" w:rsidRPr="00ED22D1">
        <w:rPr>
          <w:lang w:val="fr-CA"/>
        </w:rPr>
        <w:t> 000 $US</w:t>
      </w:r>
      <w:r w:rsidR="000A787F" w:rsidRPr="00ED22D1">
        <w:rPr>
          <w:lang w:val="fr-CA"/>
        </w:rPr>
        <w:t xml:space="preserve"> </w:t>
      </w:r>
      <w:r w:rsidR="00CB51B2" w:rsidRPr="00ED22D1">
        <w:rPr>
          <w:lang w:val="fr-CA"/>
        </w:rPr>
        <w:t>pour l’</w:t>
      </w:r>
      <w:r w:rsidR="00F51720" w:rsidRPr="00ED22D1">
        <w:rPr>
          <w:lang w:val="fr-CA"/>
        </w:rPr>
        <w:t>Allemagne</w:t>
      </w:r>
      <w:r w:rsidR="000A787F" w:rsidRPr="00ED22D1">
        <w:rPr>
          <w:rStyle w:val="FootnoteReference"/>
          <w:lang w:val="fr-CA"/>
        </w:rPr>
        <w:footnoteReference w:id="17"/>
      </w:r>
      <w:r w:rsidR="00A44429">
        <w:rPr>
          <w:lang w:val="fr-CA"/>
        </w:rPr>
        <w:t xml:space="preserve">, </w:t>
      </w:r>
      <w:r w:rsidR="00F51720" w:rsidRPr="00ED22D1">
        <w:rPr>
          <w:lang w:val="fr-CA"/>
        </w:rPr>
        <w:t xml:space="preserve">et </w:t>
      </w:r>
      <w:r w:rsidR="000A787F" w:rsidRPr="00ED22D1">
        <w:rPr>
          <w:lang w:val="fr-CA"/>
        </w:rPr>
        <w:t>80</w:t>
      </w:r>
      <w:r w:rsidR="00AC27D1" w:rsidRPr="00ED22D1">
        <w:rPr>
          <w:lang w:val="fr-CA"/>
        </w:rPr>
        <w:t> 000 $US</w:t>
      </w:r>
      <w:r w:rsidR="000A787F" w:rsidRPr="00ED22D1">
        <w:rPr>
          <w:lang w:val="fr-CA"/>
        </w:rPr>
        <w:t xml:space="preserve">, plus </w:t>
      </w:r>
      <w:r w:rsidR="00CB51B2" w:rsidRPr="00ED22D1">
        <w:rPr>
          <w:lang w:val="fr-CA"/>
        </w:rPr>
        <w:t>des coûts d’appui d’agence de</w:t>
      </w:r>
      <w:r w:rsidR="000A787F" w:rsidRPr="00ED22D1">
        <w:rPr>
          <w:lang w:val="fr-CA"/>
        </w:rPr>
        <w:t xml:space="preserve"> 10</w:t>
      </w:r>
      <w:r w:rsidR="00AC27D1" w:rsidRPr="00ED22D1">
        <w:rPr>
          <w:lang w:val="fr-CA"/>
        </w:rPr>
        <w:t> </w:t>
      </w:r>
      <w:r w:rsidR="000A787F" w:rsidRPr="00ED22D1">
        <w:rPr>
          <w:lang w:val="fr-CA"/>
        </w:rPr>
        <w:t>400</w:t>
      </w:r>
      <w:r w:rsidR="00AC27D1" w:rsidRPr="00ED22D1">
        <w:rPr>
          <w:lang w:val="fr-CA"/>
        </w:rPr>
        <w:t> $US</w:t>
      </w:r>
      <w:r w:rsidR="000A787F" w:rsidRPr="00ED22D1">
        <w:rPr>
          <w:lang w:val="fr-CA"/>
        </w:rPr>
        <w:t xml:space="preserve"> </w:t>
      </w:r>
      <w:r w:rsidR="00CB51B2" w:rsidRPr="00ED22D1">
        <w:rPr>
          <w:lang w:val="fr-CA"/>
        </w:rPr>
        <w:t>pour le</w:t>
      </w:r>
      <w:r w:rsidR="00A44429">
        <w:rPr>
          <w:lang w:val="fr-CA"/>
        </w:rPr>
        <w:t> </w:t>
      </w:r>
      <w:r w:rsidR="00F51720" w:rsidRPr="00ED22D1">
        <w:rPr>
          <w:lang w:val="fr-CA"/>
        </w:rPr>
        <w:t>Japon</w:t>
      </w:r>
      <w:r w:rsidR="000A787F" w:rsidRPr="00ED22D1">
        <w:rPr>
          <w:lang w:val="fr-CA"/>
        </w:rPr>
        <w:t>.</w:t>
      </w:r>
      <w:r w:rsidR="000A787F" w:rsidRPr="00ED22D1">
        <w:rPr>
          <w:vertAlign w:val="superscript"/>
          <w:lang w:val="fr-CA"/>
        </w:rPr>
        <w:footnoteReference w:id="18"/>
      </w:r>
      <w:r w:rsidR="000A787F" w:rsidRPr="00ED22D1">
        <w:rPr>
          <w:lang w:val="fr-CA"/>
        </w:rPr>
        <w:t xml:space="preserve"> </w:t>
      </w:r>
      <w:r w:rsidR="00CB51B2" w:rsidRPr="00ED22D1">
        <w:rPr>
          <w:lang w:val="fr-CA"/>
        </w:rPr>
        <w:t>La</w:t>
      </w:r>
      <w:r w:rsidR="000A787F" w:rsidRPr="00ED22D1">
        <w:rPr>
          <w:lang w:val="fr-CA"/>
        </w:rPr>
        <w:t xml:space="preserve"> </w:t>
      </w:r>
      <w:r w:rsidR="00E81764" w:rsidRPr="00ED22D1">
        <w:rPr>
          <w:lang w:val="fr-CA"/>
        </w:rPr>
        <w:t>présentation</w:t>
      </w:r>
      <w:r w:rsidR="000A787F" w:rsidRPr="00ED22D1">
        <w:rPr>
          <w:lang w:val="fr-CA"/>
        </w:rPr>
        <w:t xml:space="preserve"> </w:t>
      </w:r>
      <w:r w:rsidR="00CB51B2" w:rsidRPr="00ED22D1">
        <w:rPr>
          <w:lang w:val="fr-CA"/>
        </w:rPr>
        <w:t>comprend</w:t>
      </w:r>
      <w:r w:rsidR="000A787F" w:rsidRPr="00ED22D1">
        <w:rPr>
          <w:lang w:val="fr-CA"/>
        </w:rPr>
        <w:t xml:space="preserve"> </w:t>
      </w:r>
      <w:r w:rsidR="00CB51B2" w:rsidRPr="00ED22D1">
        <w:rPr>
          <w:lang w:val="fr-CA"/>
        </w:rPr>
        <w:t xml:space="preserve">un rapport périodique sur la mise en oeuvre de la </w:t>
      </w:r>
      <w:r w:rsidR="00921BDE" w:rsidRPr="00ED22D1">
        <w:rPr>
          <w:lang w:val="fr-CA"/>
        </w:rPr>
        <w:t>deuxième</w:t>
      </w:r>
      <w:r w:rsidR="000A787F" w:rsidRPr="00ED22D1">
        <w:rPr>
          <w:lang w:val="fr-CA"/>
        </w:rPr>
        <w:t xml:space="preserve"> tranche</w:t>
      </w:r>
      <w:r w:rsidR="00F51720" w:rsidRPr="00ED22D1">
        <w:rPr>
          <w:lang w:val="fr-CA"/>
        </w:rPr>
        <w:t xml:space="preserve"> et</w:t>
      </w:r>
      <w:r w:rsidR="00A44429">
        <w:rPr>
          <w:lang w:val="fr-CA"/>
        </w:rPr>
        <w:t> </w:t>
      </w:r>
      <w:r w:rsidR="00502C24" w:rsidRPr="00ED22D1">
        <w:rPr>
          <w:lang w:val="fr-CA"/>
        </w:rPr>
        <w:t xml:space="preserve">le  plan </w:t>
      </w:r>
      <w:r w:rsidR="001B31BF" w:rsidRPr="00ED22D1">
        <w:rPr>
          <w:lang w:val="fr-CA"/>
        </w:rPr>
        <w:t>de mise en oeuvre de la tranche</w:t>
      </w:r>
      <w:r w:rsidR="000A787F" w:rsidRPr="00ED22D1">
        <w:rPr>
          <w:lang w:val="fr-CA"/>
        </w:rPr>
        <w:t xml:space="preserve"> 2019 </w:t>
      </w:r>
      <w:r w:rsidR="00CB51B2" w:rsidRPr="00ED22D1">
        <w:rPr>
          <w:lang w:val="fr-CA"/>
        </w:rPr>
        <w:t>et</w:t>
      </w:r>
      <w:r w:rsidR="00387A9A" w:rsidRPr="00ED22D1">
        <w:rPr>
          <w:lang w:val="fr-CA"/>
        </w:rPr>
        <w:t xml:space="preserve"> 20</w:t>
      </w:r>
      <w:r w:rsidR="000A787F" w:rsidRPr="00ED22D1">
        <w:rPr>
          <w:lang w:val="fr-CA"/>
        </w:rPr>
        <w:t>20.</w:t>
      </w:r>
    </w:p>
    <w:p w:rsidR="000A787F" w:rsidRPr="00ED22D1" w:rsidRDefault="00CB51B2" w:rsidP="000A787F">
      <w:pPr>
        <w:spacing w:after="240"/>
        <w:rPr>
          <w:u w:val="single"/>
          <w:lang w:val="fr-CA"/>
        </w:rPr>
      </w:pPr>
      <w:r w:rsidRPr="00ED22D1">
        <w:rPr>
          <w:u w:val="single"/>
          <w:lang w:val="fr-CA"/>
        </w:rPr>
        <w:t xml:space="preserve">Rapport périodique </w:t>
      </w:r>
      <w:r w:rsidR="00921BDE" w:rsidRPr="00ED22D1">
        <w:rPr>
          <w:u w:val="single"/>
          <w:lang w:val="fr-CA"/>
        </w:rPr>
        <w:t>sur la mise en oeuvre de la deuxième</w:t>
      </w:r>
      <w:r w:rsidR="000A787F" w:rsidRPr="00ED22D1">
        <w:rPr>
          <w:u w:val="single"/>
          <w:lang w:val="fr-CA"/>
        </w:rPr>
        <w:t xml:space="preserve"> tranche </w:t>
      </w:r>
      <w:r w:rsidRPr="00ED22D1">
        <w:rPr>
          <w:u w:val="single"/>
          <w:lang w:val="fr-CA"/>
        </w:rPr>
        <w:t>de la phase</w:t>
      </w:r>
      <w:r w:rsidR="000A787F" w:rsidRPr="00ED22D1">
        <w:rPr>
          <w:u w:val="single"/>
          <w:lang w:val="fr-CA"/>
        </w:rPr>
        <w:t> II</w:t>
      </w:r>
    </w:p>
    <w:p w:rsidR="000A787F" w:rsidRPr="00ED22D1" w:rsidRDefault="00DC2912" w:rsidP="00DC2912">
      <w:pPr>
        <w:pStyle w:val="Heading1"/>
        <w:numPr>
          <w:ilvl w:val="0"/>
          <w:numId w:val="0"/>
        </w:numPr>
        <w:rPr>
          <w:lang w:val="fr-CA"/>
        </w:rPr>
      </w:pPr>
      <w:r w:rsidRPr="00ED22D1">
        <w:rPr>
          <w:lang w:val="fr-CA"/>
        </w:rPr>
        <w:t>99.</w:t>
      </w:r>
      <w:r w:rsidRPr="00ED22D1">
        <w:rPr>
          <w:lang w:val="fr-CA"/>
        </w:rPr>
        <w:tab/>
      </w:r>
      <w:r w:rsidR="00CB51B2" w:rsidRPr="00ED22D1">
        <w:rPr>
          <w:lang w:val="fr-CA"/>
        </w:rPr>
        <w:t>Les activités suivantes ont été mises en oeuvre</w:t>
      </w:r>
      <w:r w:rsidR="00791BF7" w:rsidRPr="00ED22D1">
        <w:rPr>
          <w:lang w:val="fr-CA"/>
        </w:rPr>
        <w:t> :</w:t>
      </w:r>
    </w:p>
    <w:p w:rsidR="000A787F" w:rsidRPr="00ED22D1" w:rsidRDefault="00B20702" w:rsidP="009F3BCC">
      <w:pPr>
        <w:pStyle w:val="Heading2"/>
        <w:numPr>
          <w:ilvl w:val="0"/>
          <w:numId w:val="0"/>
        </w:numPr>
        <w:ind w:left="1440" w:hanging="720"/>
        <w:rPr>
          <w:lang w:val="fr-CA"/>
        </w:rPr>
      </w:pPr>
      <w:r w:rsidRPr="00ED22D1">
        <w:rPr>
          <w:lang w:val="fr-CA"/>
        </w:rPr>
        <w:t>(a)</w:t>
      </w:r>
      <w:r w:rsidRPr="00ED22D1">
        <w:rPr>
          <w:lang w:val="fr-CA"/>
        </w:rPr>
        <w:tab/>
      </w:r>
      <w:r w:rsidR="00F320D6" w:rsidRPr="00ED22D1">
        <w:rPr>
          <w:lang w:val="fr-CA"/>
        </w:rPr>
        <w:t>L’accord de coopération sur les projets</w:t>
      </w:r>
      <w:r w:rsidR="000A787F" w:rsidRPr="00ED22D1">
        <w:rPr>
          <w:lang w:val="fr-CA"/>
        </w:rPr>
        <w:t xml:space="preserve"> (PCA) </w:t>
      </w:r>
      <w:r w:rsidR="00CB51B2" w:rsidRPr="00ED22D1">
        <w:rPr>
          <w:lang w:val="fr-CA"/>
        </w:rPr>
        <w:t xml:space="preserve">de la </w:t>
      </w:r>
      <w:r w:rsidR="00921BDE" w:rsidRPr="00ED22D1">
        <w:rPr>
          <w:lang w:val="fr-CA"/>
        </w:rPr>
        <w:t>deuxième</w:t>
      </w:r>
      <w:r w:rsidR="000A787F" w:rsidRPr="00ED22D1">
        <w:rPr>
          <w:lang w:val="fr-CA"/>
        </w:rPr>
        <w:t xml:space="preserve"> tranche </w:t>
      </w:r>
      <w:r w:rsidR="00CB51B2" w:rsidRPr="00ED22D1">
        <w:rPr>
          <w:lang w:val="fr-CA"/>
        </w:rPr>
        <w:t>entre</w:t>
      </w:r>
      <w:r w:rsidR="000A787F" w:rsidRPr="00ED22D1">
        <w:rPr>
          <w:lang w:val="fr-CA"/>
        </w:rPr>
        <w:t xml:space="preserve"> </w:t>
      </w:r>
      <w:r w:rsidR="00CB51B2" w:rsidRPr="00ED22D1">
        <w:rPr>
          <w:lang w:val="fr-CA"/>
        </w:rPr>
        <w:t xml:space="preserve">le </w:t>
      </w:r>
      <w:r w:rsidR="0036650B" w:rsidRPr="00ED22D1">
        <w:rPr>
          <w:lang w:val="fr-CA"/>
        </w:rPr>
        <w:t>PNUE</w:t>
      </w:r>
      <w:r w:rsidR="00F51720" w:rsidRPr="00ED22D1">
        <w:rPr>
          <w:lang w:val="fr-CA"/>
        </w:rPr>
        <w:t xml:space="preserve"> et </w:t>
      </w:r>
      <w:r w:rsidR="00CB51B2" w:rsidRPr="00ED22D1">
        <w:rPr>
          <w:lang w:val="fr-CA"/>
        </w:rPr>
        <w:t>l’</w:t>
      </w:r>
      <w:r w:rsidR="000A787F" w:rsidRPr="00ED22D1">
        <w:rPr>
          <w:lang w:val="fr-CA"/>
        </w:rPr>
        <w:t xml:space="preserve">International Environmental Cooperation Center (IECO) </w:t>
      </w:r>
      <w:r w:rsidR="00CB51B2" w:rsidRPr="00ED22D1">
        <w:rPr>
          <w:lang w:val="fr-CA"/>
        </w:rPr>
        <w:t xml:space="preserve">a été </w:t>
      </w:r>
      <w:r w:rsidR="00F320D6" w:rsidRPr="00ED22D1">
        <w:rPr>
          <w:lang w:val="fr-CA"/>
        </w:rPr>
        <w:t>signé</w:t>
      </w:r>
      <w:r w:rsidR="000A787F" w:rsidRPr="00ED22D1">
        <w:rPr>
          <w:lang w:val="fr-CA"/>
        </w:rPr>
        <w:t xml:space="preserve"> </w:t>
      </w:r>
      <w:r w:rsidR="00CB51B2" w:rsidRPr="00ED22D1">
        <w:rPr>
          <w:lang w:val="fr-CA"/>
        </w:rPr>
        <w:t>e</w:t>
      </w:r>
      <w:r w:rsidR="000A787F" w:rsidRPr="00ED22D1">
        <w:rPr>
          <w:lang w:val="fr-CA"/>
        </w:rPr>
        <w:t>n</w:t>
      </w:r>
      <w:r w:rsidR="00921BDE" w:rsidRPr="00ED22D1">
        <w:rPr>
          <w:lang w:val="fr-CA"/>
        </w:rPr>
        <w:t xml:space="preserve"> septembre</w:t>
      </w:r>
      <w:r w:rsidR="000A787F" w:rsidRPr="00ED22D1">
        <w:rPr>
          <w:lang w:val="fr-CA"/>
        </w:rPr>
        <w:t xml:space="preserve"> 2018,</w:t>
      </w:r>
      <w:r w:rsidR="00F51720" w:rsidRPr="00ED22D1">
        <w:rPr>
          <w:lang w:val="fr-CA"/>
        </w:rPr>
        <w:t xml:space="preserve"> et </w:t>
      </w:r>
      <w:r w:rsidR="00CB51B2" w:rsidRPr="00ED22D1">
        <w:rPr>
          <w:lang w:val="fr-CA"/>
        </w:rPr>
        <w:t xml:space="preserve">le </w:t>
      </w:r>
      <w:r w:rsidR="00905638" w:rsidRPr="00ED22D1">
        <w:rPr>
          <w:lang w:val="fr-CA"/>
        </w:rPr>
        <w:t>financement</w:t>
      </w:r>
      <w:r w:rsidR="000A787F" w:rsidRPr="00ED22D1">
        <w:rPr>
          <w:lang w:val="fr-CA"/>
        </w:rPr>
        <w:t xml:space="preserve"> </w:t>
      </w:r>
      <w:r w:rsidR="00CB51B2" w:rsidRPr="00ED22D1">
        <w:rPr>
          <w:lang w:val="fr-CA"/>
        </w:rPr>
        <w:t xml:space="preserve">a subséquemment été transféré en </w:t>
      </w:r>
      <w:r w:rsidR="00F320D6" w:rsidRPr="00ED22D1">
        <w:rPr>
          <w:lang w:val="fr-CA"/>
        </w:rPr>
        <w:t>octobre</w:t>
      </w:r>
      <w:r w:rsidR="000A787F" w:rsidRPr="00ED22D1">
        <w:rPr>
          <w:lang w:val="fr-CA"/>
        </w:rPr>
        <w:t> 2018;</w:t>
      </w:r>
    </w:p>
    <w:p w:rsidR="000A787F" w:rsidRPr="00ED22D1" w:rsidRDefault="00B20702" w:rsidP="009F3BCC">
      <w:pPr>
        <w:pStyle w:val="Heading2"/>
        <w:numPr>
          <w:ilvl w:val="0"/>
          <w:numId w:val="0"/>
        </w:numPr>
        <w:ind w:left="1418" w:hanging="698"/>
        <w:rPr>
          <w:lang w:val="fr-CA"/>
        </w:rPr>
      </w:pPr>
      <w:r w:rsidRPr="00ED22D1">
        <w:rPr>
          <w:lang w:val="fr-CA"/>
        </w:rPr>
        <w:t>(b)</w:t>
      </w:r>
      <w:r w:rsidRPr="00ED22D1">
        <w:rPr>
          <w:lang w:val="fr-CA"/>
        </w:rPr>
        <w:tab/>
      </w:r>
      <w:r w:rsidR="00CB51B2" w:rsidRPr="00ED22D1">
        <w:rPr>
          <w:lang w:val="fr-CA"/>
        </w:rPr>
        <w:t xml:space="preserve">L’accord avec les Douanes a été signé en fonction de la sélection des </w:t>
      </w:r>
      <w:r w:rsidR="000A787F" w:rsidRPr="00ED22D1">
        <w:rPr>
          <w:lang w:val="fr-CA"/>
        </w:rPr>
        <w:t xml:space="preserve">districts </w:t>
      </w:r>
      <w:r w:rsidR="00921BDE" w:rsidRPr="00ED22D1">
        <w:rPr>
          <w:lang w:val="fr-CA"/>
        </w:rPr>
        <w:t xml:space="preserve">pour </w:t>
      </w:r>
      <w:r w:rsidR="00CB51B2" w:rsidRPr="00ED22D1">
        <w:rPr>
          <w:lang w:val="fr-CA"/>
        </w:rPr>
        <w:t xml:space="preserve">les activités de </w:t>
      </w:r>
      <w:r w:rsidR="00945536" w:rsidRPr="00ED22D1">
        <w:rPr>
          <w:lang w:val="fr-CA"/>
        </w:rPr>
        <w:t>renforcement des capacités</w:t>
      </w:r>
      <w:r w:rsidR="000A787F" w:rsidRPr="00ED22D1">
        <w:rPr>
          <w:lang w:val="fr-CA"/>
        </w:rPr>
        <w:t>,</w:t>
      </w:r>
      <w:r w:rsidR="00F51720" w:rsidRPr="00ED22D1">
        <w:rPr>
          <w:lang w:val="fr-CA"/>
        </w:rPr>
        <w:t xml:space="preserve"> et </w:t>
      </w:r>
      <w:r w:rsidR="00CB51B2" w:rsidRPr="00ED22D1">
        <w:rPr>
          <w:lang w:val="fr-CA"/>
        </w:rPr>
        <w:t>le type des activités possibles a été rajusté</w:t>
      </w:r>
      <w:r w:rsidR="000A787F" w:rsidRPr="00ED22D1">
        <w:rPr>
          <w:lang w:val="fr-CA"/>
        </w:rPr>
        <w:t>;</w:t>
      </w:r>
    </w:p>
    <w:p w:rsidR="000A787F" w:rsidRPr="00ED22D1" w:rsidRDefault="00B20702" w:rsidP="00B20702">
      <w:pPr>
        <w:pStyle w:val="Heading2"/>
        <w:numPr>
          <w:ilvl w:val="0"/>
          <w:numId w:val="0"/>
        </w:numPr>
        <w:ind w:left="1418" w:hanging="698"/>
        <w:rPr>
          <w:lang w:val="fr-CA"/>
        </w:rPr>
      </w:pPr>
      <w:r w:rsidRPr="00ED22D1">
        <w:rPr>
          <w:lang w:val="fr-CA"/>
        </w:rPr>
        <w:t>(c)</w:t>
      </w:r>
      <w:r w:rsidRPr="00ED22D1">
        <w:rPr>
          <w:lang w:val="fr-CA"/>
        </w:rPr>
        <w:tab/>
      </w:r>
      <w:r w:rsidR="00B66E3F" w:rsidRPr="00ED22D1">
        <w:rPr>
          <w:lang w:val="fr-CA"/>
        </w:rPr>
        <w:t>Les a</w:t>
      </w:r>
      <w:r w:rsidR="00CB51B2" w:rsidRPr="00ED22D1">
        <w:rPr>
          <w:lang w:val="fr-CA"/>
        </w:rPr>
        <w:t>ccord</w:t>
      </w:r>
      <w:r w:rsidR="000A787F" w:rsidRPr="00ED22D1">
        <w:rPr>
          <w:lang w:val="fr-CA"/>
        </w:rPr>
        <w:t xml:space="preserve">s </w:t>
      </w:r>
      <w:r w:rsidR="00B84F94" w:rsidRPr="00ED22D1">
        <w:rPr>
          <w:lang w:val="fr-CA"/>
        </w:rPr>
        <w:t xml:space="preserve">avec </w:t>
      </w:r>
      <w:r w:rsidR="00945536" w:rsidRPr="00ED22D1">
        <w:rPr>
          <w:lang w:val="fr-CA"/>
        </w:rPr>
        <w:t>trois</w:t>
      </w:r>
      <w:r w:rsidR="000A787F" w:rsidRPr="00ED22D1">
        <w:rPr>
          <w:lang w:val="fr-CA"/>
        </w:rPr>
        <w:t xml:space="preserve"> </w:t>
      </w:r>
      <w:r w:rsidR="00945536" w:rsidRPr="00ED22D1">
        <w:rPr>
          <w:lang w:val="fr-CA"/>
        </w:rPr>
        <w:t>villes pilotes</w:t>
      </w:r>
      <w:r w:rsidR="000A787F" w:rsidRPr="00ED22D1">
        <w:rPr>
          <w:lang w:val="fr-CA"/>
        </w:rPr>
        <w:t xml:space="preserve"> (Guangzhou, Shenzhen</w:t>
      </w:r>
      <w:r w:rsidR="00F51720" w:rsidRPr="00ED22D1">
        <w:rPr>
          <w:lang w:val="fr-CA"/>
        </w:rPr>
        <w:t xml:space="preserve"> et </w:t>
      </w:r>
      <w:r w:rsidR="000A787F" w:rsidRPr="00ED22D1">
        <w:rPr>
          <w:lang w:val="fr-CA"/>
        </w:rPr>
        <w:t xml:space="preserve">Tianjin) </w:t>
      </w:r>
      <w:r w:rsidR="009F0E9F" w:rsidRPr="00ED22D1">
        <w:rPr>
          <w:lang w:val="fr-CA"/>
        </w:rPr>
        <w:t>dotées de plans de travail convenus ont été finalisés</w:t>
      </w:r>
      <w:r w:rsidR="000A787F" w:rsidRPr="00ED22D1">
        <w:rPr>
          <w:lang w:val="fr-CA"/>
        </w:rPr>
        <w:t xml:space="preserve">; </w:t>
      </w:r>
      <w:r w:rsidR="00B66E3F" w:rsidRPr="00ED22D1">
        <w:rPr>
          <w:lang w:val="fr-CA"/>
        </w:rPr>
        <w:t>un atelier de</w:t>
      </w:r>
      <w:r w:rsidR="000A787F" w:rsidRPr="00ED22D1">
        <w:rPr>
          <w:lang w:val="fr-CA"/>
        </w:rPr>
        <w:t xml:space="preserve"> </w:t>
      </w:r>
      <w:r w:rsidR="00945536" w:rsidRPr="00ED22D1">
        <w:rPr>
          <w:lang w:val="fr-CA"/>
        </w:rPr>
        <w:t>renforcement des capacités</w:t>
      </w:r>
      <w:r w:rsidR="000A787F" w:rsidRPr="00ED22D1">
        <w:rPr>
          <w:lang w:val="fr-CA"/>
        </w:rPr>
        <w:t xml:space="preserve"> </w:t>
      </w:r>
      <w:r w:rsidR="00B66E3F" w:rsidRPr="00ED22D1">
        <w:rPr>
          <w:lang w:val="fr-CA"/>
        </w:rPr>
        <w:t xml:space="preserve">des règlements en matière de </w:t>
      </w:r>
      <w:r w:rsidR="001B31BF" w:rsidRPr="00ED22D1">
        <w:rPr>
          <w:lang w:val="fr-CA"/>
        </w:rPr>
        <w:t xml:space="preserve">SAO </w:t>
      </w:r>
      <w:r w:rsidR="00B66E3F" w:rsidRPr="00ED22D1">
        <w:rPr>
          <w:lang w:val="fr-CA"/>
        </w:rPr>
        <w:t>pour</w:t>
      </w:r>
      <w:r w:rsidR="000A787F" w:rsidRPr="00ED22D1">
        <w:rPr>
          <w:lang w:val="fr-CA"/>
        </w:rPr>
        <w:t xml:space="preserve"> 45 participants </w:t>
      </w:r>
      <w:r w:rsidR="00B66E3F" w:rsidRPr="00ED22D1">
        <w:rPr>
          <w:lang w:val="fr-CA"/>
        </w:rPr>
        <w:t>des</w:t>
      </w:r>
      <w:r w:rsidR="000A787F" w:rsidRPr="00ED22D1">
        <w:rPr>
          <w:lang w:val="fr-CA"/>
        </w:rPr>
        <w:t xml:space="preserve"> Ecology</w:t>
      </w:r>
      <w:r w:rsidR="00F51720" w:rsidRPr="00ED22D1">
        <w:rPr>
          <w:lang w:val="fr-CA"/>
        </w:rPr>
        <w:t xml:space="preserve"> </w:t>
      </w:r>
      <w:r w:rsidR="00B66E3F" w:rsidRPr="00ED22D1">
        <w:rPr>
          <w:lang w:val="fr-CA"/>
        </w:rPr>
        <w:t>and</w:t>
      </w:r>
      <w:r w:rsidR="00F51720" w:rsidRPr="00ED22D1">
        <w:rPr>
          <w:lang w:val="fr-CA"/>
        </w:rPr>
        <w:t xml:space="preserve"> </w:t>
      </w:r>
      <w:r w:rsidR="000A787F" w:rsidRPr="00ED22D1">
        <w:rPr>
          <w:lang w:val="fr-CA"/>
        </w:rPr>
        <w:t>Environment Bureaus (</w:t>
      </w:r>
      <w:r w:rsidR="009779EC">
        <w:rPr>
          <w:lang w:val="fr-CA"/>
        </w:rPr>
        <w:t>EEB</w:t>
      </w:r>
      <w:r w:rsidR="000A787F" w:rsidRPr="00ED22D1">
        <w:rPr>
          <w:lang w:val="fr-CA"/>
        </w:rPr>
        <w:t xml:space="preserve">) </w:t>
      </w:r>
      <w:r w:rsidR="00B66E3F" w:rsidRPr="00ED22D1">
        <w:rPr>
          <w:lang w:val="fr-CA"/>
        </w:rPr>
        <w:t>a</w:t>
      </w:r>
      <w:r w:rsidR="00A44429">
        <w:rPr>
          <w:lang w:val="fr-CA"/>
        </w:rPr>
        <w:t> </w:t>
      </w:r>
      <w:r w:rsidR="00B66E3F" w:rsidRPr="00ED22D1">
        <w:rPr>
          <w:lang w:val="fr-CA"/>
        </w:rPr>
        <w:t>été dispensé</w:t>
      </w:r>
      <w:r w:rsidR="000A787F" w:rsidRPr="00ED22D1">
        <w:rPr>
          <w:lang w:val="fr-CA"/>
        </w:rPr>
        <w:t xml:space="preserve">; </w:t>
      </w:r>
      <w:r w:rsidR="00B66E3F" w:rsidRPr="00ED22D1">
        <w:rPr>
          <w:lang w:val="fr-CA"/>
        </w:rPr>
        <w:t>un atelier de</w:t>
      </w:r>
      <w:r w:rsidR="000A787F" w:rsidRPr="00ED22D1">
        <w:rPr>
          <w:lang w:val="fr-CA"/>
        </w:rPr>
        <w:t xml:space="preserve"> </w:t>
      </w:r>
      <w:r w:rsidR="00DE118B" w:rsidRPr="00ED22D1">
        <w:rPr>
          <w:lang w:val="fr-CA"/>
        </w:rPr>
        <w:t>formation</w:t>
      </w:r>
      <w:r w:rsidR="000A787F" w:rsidRPr="00ED22D1">
        <w:rPr>
          <w:lang w:val="fr-CA"/>
        </w:rPr>
        <w:t xml:space="preserve"> </w:t>
      </w:r>
      <w:r w:rsidR="00B66E3F" w:rsidRPr="00ED22D1">
        <w:rPr>
          <w:lang w:val="fr-CA"/>
        </w:rPr>
        <w:t xml:space="preserve">pour le </w:t>
      </w:r>
      <w:r w:rsidR="00945536" w:rsidRPr="00ED22D1">
        <w:rPr>
          <w:lang w:val="fr-CA"/>
        </w:rPr>
        <w:t>renforcement des capacités</w:t>
      </w:r>
      <w:r w:rsidR="000A787F" w:rsidRPr="00ED22D1">
        <w:rPr>
          <w:lang w:val="fr-CA"/>
        </w:rPr>
        <w:t xml:space="preserve"> </w:t>
      </w:r>
      <w:r w:rsidR="00B66E3F" w:rsidRPr="00ED22D1">
        <w:rPr>
          <w:lang w:val="fr-CA"/>
        </w:rPr>
        <w:t>locales des</w:t>
      </w:r>
      <w:r w:rsidR="00A44429">
        <w:rPr>
          <w:lang w:val="fr-CA"/>
        </w:rPr>
        <w:t> </w:t>
      </w:r>
      <w:r w:rsidR="00874624" w:rsidRPr="00ED22D1">
        <w:rPr>
          <w:lang w:val="fr-CA"/>
        </w:rPr>
        <w:t>politiques</w:t>
      </w:r>
      <w:r w:rsidR="00F51720" w:rsidRPr="00ED22D1">
        <w:rPr>
          <w:lang w:val="fr-CA"/>
        </w:rPr>
        <w:t xml:space="preserve"> et </w:t>
      </w:r>
      <w:r w:rsidR="00B66E3F" w:rsidRPr="00ED22D1">
        <w:rPr>
          <w:lang w:val="fr-CA"/>
        </w:rPr>
        <w:t>des règlements en matière de SAO</w:t>
      </w:r>
      <w:r w:rsidR="000A787F" w:rsidRPr="00ED22D1">
        <w:rPr>
          <w:lang w:val="fr-CA"/>
        </w:rPr>
        <w:t xml:space="preserve">, </w:t>
      </w:r>
      <w:r w:rsidR="00B66E3F" w:rsidRPr="00ED22D1">
        <w:rPr>
          <w:lang w:val="fr-CA"/>
        </w:rPr>
        <w:t xml:space="preserve">la situation de conformité domestique et internationale de la </w:t>
      </w:r>
      <w:r w:rsidR="00F12D89" w:rsidRPr="00ED22D1">
        <w:rPr>
          <w:lang w:val="fr-CA"/>
        </w:rPr>
        <w:t>Chine</w:t>
      </w:r>
      <w:r w:rsidR="000A787F" w:rsidRPr="00ED22D1">
        <w:rPr>
          <w:lang w:val="fr-CA"/>
        </w:rPr>
        <w:t xml:space="preserve">, </w:t>
      </w:r>
      <w:r w:rsidR="00B66E3F" w:rsidRPr="00ED22D1">
        <w:rPr>
          <w:lang w:val="fr-CA"/>
        </w:rPr>
        <w:t>les questions liées aux émissions accrues de</w:t>
      </w:r>
      <w:r w:rsidR="00A44429">
        <w:rPr>
          <w:lang w:val="fr-CA"/>
        </w:rPr>
        <w:t> </w:t>
      </w:r>
      <w:r w:rsidR="000A787F" w:rsidRPr="00ED22D1">
        <w:rPr>
          <w:lang w:val="fr-CA"/>
        </w:rPr>
        <w:t>CFC-11,</w:t>
      </w:r>
      <w:r w:rsidR="00F51720" w:rsidRPr="00ED22D1">
        <w:rPr>
          <w:lang w:val="fr-CA"/>
        </w:rPr>
        <w:t xml:space="preserve"> et </w:t>
      </w:r>
      <w:r w:rsidR="00B66E3F" w:rsidRPr="00ED22D1">
        <w:rPr>
          <w:lang w:val="fr-CA"/>
        </w:rPr>
        <w:t>l’état de</w:t>
      </w:r>
      <w:r w:rsidR="000A787F" w:rsidRPr="00ED22D1">
        <w:rPr>
          <w:lang w:val="fr-CA"/>
        </w:rPr>
        <w:t xml:space="preserve"> </w:t>
      </w:r>
      <w:r w:rsidR="00921BDE" w:rsidRPr="00ED22D1">
        <w:rPr>
          <w:lang w:val="fr-CA"/>
        </w:rPr>
        <w:t xml:space="preserve">la mise en oeuvre </w:t>
      </w:r>
      <w:r w:rsidR="00B66E3F" w:rsidRPr="00ED22D1">
        <w:rPr>
          <w:lang w:val="fr-CA"/>
        </w:rPr>
        <w:t>du</w:t>
      </w:r>
      <w:r w:rsidR="000A787F" w:rsidRPr="00ED22D1">
        <w:rPr>
          <w:lang w:val="fr-CA"/>
        </w:rPr>
        <w:t xml:space="preserve"> </w:t>
      </w:r>
      <w:r w:rsidR="00316FD8" w:rsidRPr="00ED22D1">
        <w:rPr>
          <w:lang w:val="fr-CA"/>
        </w:rPr>
        <w:t>PGEH</w:t>
      </w:r>
      <w:r w:rsidR="000A787F" w:rsidRPr="00ED22D1">
        <w:rPr>
          <w:lang w:val="fr-CA"/>
        </w:rPr>
        <w:t xml:space="preserve"> </w:t>
      </w:r>
      <w:r w:rsidR="00B66E3F" w:rsidRPr="00ED22D1">
        <w:rPr>
          <w:lang w:val="fr-CA"/>
        </w:rPr>
        <w:t xml:space="preserve">a été dispensé en </w:t>
      </w:r>
      <w:r w:rsidR="00B53D8B" w:rsidRPr="00ED22D1">
        <w:rPr>
          <w:lang w:val="fr-CA"/>
        </w:rPr>
        <w:t>janvier</w:t>
      </w:r>
      <w:r w:rsidR="000A787F" w:rsidRPr="00ED22D1">
        <w:rPr>
          <w:lang w:val="fr-CA"/>
        </w:rPr>
        <w:t xml:space="preserve"> 2019 </w:t>
      </w:r>
      <w:r w:rsidR="00B66E3F" w:rsidRPr="00ED22D1">
        <w:rPr>
          <w:lang w:val="fr-CA"/>
        </w:rPr>
        <w:t>à</w:t>
      </w:r>
      <w:r w:rsidR="00A44429">
        <w:rPr>
          <w:lang w:val="fr-CA"/>
        </w:rPr>
        <w:t> </w:t>
      </w:r>
      <w:r w:rsidR="000A787F" w:rsidRPr="00ED22D1">
        <w:rPr>
          <w:lang w:val="fr-CA"/>
        </w:rPr>
        <w:t>150</w:t>
      </w:r>
      <w:r w:rsidR="00A44429">
        <w:rPr>
          <w:lang w:val="fr-CA"/>
        </w:rPr>
        <w:t> </w:t>
      </w:r>
      <w:r w:rsidR="000A787F" w:rsidRPr="00ED22D1">
        <w:rPr>
          <w:lang w:val="fr-CA"/>
        </w:rPr>
        <w:t xml:space="preserve">participants </w:t>
      </w:r>
      <w:r w:rsidR="00B66E3F" w:rsidRPr="00ED22D1">
        <w:rPr>
          <w:lang w:val="fr-CA"/>
        </w:rPr>
        <w:t>de </w:t>
      </w:r>
      <w:r w:rsidR="000A787F" w:rsidRPr="00ED22D1">
        <w:rPr>
          <w:lang w:val="fr-CA"/>
        </w:rPr>
        <w:t>31</w:t>
      </w:r>
      <w:r w:rsidR="00B66E3F" w:rsidRPr="00ED22D1">
        <w:rPr>
          <w:lang w:val="fr-CA"/>
        </w:rPr>
        <w:t> </w:t>
      </w:r>
      <w:r w:rsidR="009779EC">
        <w:rPr>
          <w:lang w:val="fr-CA"/>
        </w:rPr>
        <w:t>EEB</w:t>
      </w:r>
      <w:r w:rsidR="000A787F" w:rsidRPr="00ED22D1">
        <w:rPr>
          <w:lang w:val="fr-CA"/>
        </w:rPr>
        <w:t>;</w:t>
      </w:r>
    </w:p>
    <w:p w:rsidR="000A787F" w:rsidRPr="00ED22D1" w:rsidRDefault="00B20702" w:rsidP="00667145">
      <w:pPr>
        <w:pStyle w:val="Heading2"/>
        <w:keepNext/>
        <w:widowControl/>
        <w:numPr>
          <w:ilvl w:val="0"/>
          <w:numId w:val="0"/>
        </w:numPr>
        <w:ind w:left="1418" w:hanging="698"/>
        <w:rPr>
          <w:lang w:val="fr-CA"/>
        </w:rPr>
      </w:pPr>
      <w:r w:rsidRPr="00ED22D1">
        <w:rPr>
          <w:lang w:val="fr-CA"/>
        </w:rPr>
        <w:t>(d)</w:t>
      </w:r>
      <w:r w:rsidRPr="00ED22D1">
        <w:rPr>
          <w:lang w:val="fr-CA"/>
        </w:rPr>
        <w:tab/>
      </w:r>
      <w:r w:rsidR="00667145" w:rsidRPr="00ED22D1">
        <w:rPr>
          <w:lang w:val="fr-CA"/>
        </w:rPr>
        <w:t>L’a</w:t>
      </w:r>
      <w:r w:rsidR="00CB51B2" w:rsidRPr="00ED22D1">
        <w:rPr>
          <w:lang w:val="fr-CA"/>
        </w:rPr>
        <w:t>ccord</w:t>
      </w:r>
      <w:r w:rsidR="00316FD8" w:rsidRPr="00ED22D1">
        <w:rPr>
          <w:lang w:val="fr-CA"/>
        </w:rPr>
        <w:t xml:space="preserve"> et </w:t>
      </w:r>
      <w:r w:rsidR="00667145" w:rsidRPr="00ED22D1">
        <w:rPr>
          <w:lang w:val="fr-CA"/>
        </w:rPr>
        <w:t xml:space="preserve">le plan de travail de l’agence d’exécution nationale pour la livraison d’un </w:t>
      </w:r>
      <w:r w:rsidR="00667145" w:rsidRPr="00ED22D1">
        <w:rPr>
          <w:lang w:val="fr-CA"/>
        </w:rPr>
        <w:tab/>
        <w:t>programme de</w:t>
      </w:r>
      <w:r w:rsidRPr="00ED22D1">
        <w:rPr>
          <w:lang w:val="fr-CA"/>
        </w:rPr>
        <w:t xml:space="preserve"> </w:t>
      </w:r>
      <w:r w:rsidR="00667145" w:rsidRPr="00ED22D1">
        <w:rPr>
          <w:lang w:val="fr-CA"/>
        </w:rPr>
        <w:t xml:space="preserve">formation des techniciens </w:t>
      </w:r>
      <w:r w:rsidR="00A44429">
        <w:rPr>
          <w:lang w:val="fr-CA"/>
        </w:rPr>
        <w:t>ont</w:t>
      </w:r>
      <w:r w:rsidR="00667145" w:rsidRPr="00ED22D1">
        <w:rPr>
          <w:lang w:val="fr-CA"/>
        </w:rPr>
        <w:t xml:space="preserve"> été finalisé. Les critères pour la sé</w:t>
      </w:r>
      <w:r w:rsidRPr="00ED22D1">
        <w:rPr>
          <w:lang w:val="fr-CA"/>
        </w:rPr>
        <w:t xml:space="preserve">lection </w:t>
      </w:r>
      <w:r w:rsidR="00667145" w:rsidRPr="00ED22D1">
        <w:rPr>
          <w:lang w:val="fr-CA"/>
        </w:rPr>
        <w:t>de nouveaux centres de formation ont été achevés.</w:t>
      </w:r>
      <w:r w:rsidRPr="00ED22D1">
        <w:rPr>
          <w:lang w:val="fr-CA"/>
        </w:rPr>
        <w:t xml:space="preserve"> </w:t>
      </w:r>
      <w:r w:rsidR="00667145" w:rsidRPr="00ED22D1">
        <w:rPr>
          <w:lang w:val="fr-CA"/>
        </w:rPr>
        <w:t xml:space="preserve">Les propositions présentées par </w:t>
      </w:r>
      <w:r w:rsidRPr="00ED22D1">
        <w:rPr>
          <w:lang w:val="fr-CA"/>
        </w:rPr>
        <w:t>23</w:t>
      </w:r>
      <w:r w:rsidR="00A44429">
        <w:rPr>
          <w:lang w:val="fr-CA"/>
        </w:rPr>
        <w:t> </w:t>
      </w:r>
      <w:r w:rsidR="00667145" w:rsidRPr="00ED22D1">
        <w:rPr>
          <w:lang w:val="fr-CA"/>
        </w:rPr>
        <w:t xml:space="preserve">centres de formation ont été évaluées. </w:t>
      </w:r>
      <w:r w:rsidR="00A44429">
        <w:rPr>
          <w:lang w:val="fr-CA"/>
        </w:rPr>
        <w:t>On a initié un</w:t>
      </w:r>
      <w:r w:rsidR="00667145" w:rsidRPr="00ED22D1">
        <w:rPr>
          <w:lang w:val="fr-CA"/>
        </w:rPr>
        <w:t xml:space="preserve"> processus de signature de</w:t>
      </w:r>
      <w:r w:rsidR="00A44429">
        <w:rPr>
          <w:lang w:val="fr-CA"/>
        </w:rPr>
        <w:t xml:space="preserve"> contrats pour</w:t>
      </w:r>
      <w:r w:rsidR="00667145" w:rsidRPr="00ED22D1">
        <w:rPr>
          <w:lang w:val="fr-CA"/>
        </w:rPr>
        <w:t xml:space="preserve"> </w:t>
      </w:r>
      <w:r w:rsidRPr="00ED22D1">
        <w:rPr>
          <w:lang w:val="fr-CA"/>
        </w:rPr>
        <w:t>15</w:t>
      </w:r>
      <w:r w:rsidR="00A44429">
        <w:rPr>
          <w:lang w:val="fr-CA"/>
        </w:rPr>
        <w:t xml:space="preserve"> autres </w:t>
      </w:r>
      <w:r w:rsidR="00667145" w:rsidRPr="00ED22D1">
        <w:rPr>
          <w:lang w:val="fr-CA"/>
        </w:rPr>
        <w:t xml:space="preserve">centres de formation. En date de </w:t>
      </w:r>
      <w:r w:rsidR="004E0510" w:rsidRPr="00ED22D1">
        <w:rPr>
          <w:lang w:val="fr-CA"/>
        </w:rPr>
        <w:t>février</w:t>
      </w:r>
      <w:r w:rsidRPr="00ED22D1">
        <w:rPr>
          <w:lang w:val="fr-CA"/>
        </w:rPr>
        <w:t xml:space="preserve"> 2019,</w:t>
      </w:r>
      <w:r w:rsidR="00F320D6" w:rsidRPr="00ED22D1">
        <w:rPr>
          <w:lang w:val="fr-CA"/>
        </w:rPr>
        <w:t xml:space="preserve"> l’IECO</w:t>
      </w:r>
      <w:r w:rsidRPr="00ED22D1">
        <w:rPr>
          <w:lang w:val="fr-CA"/>
        </w:rPr>
        <w:t xml:space="preserve"> </w:t>
      </w:r>
      <w:r w:rsidR="00667145" w:rsidRPr="00ED22D1">
        <w:rPr>
          <w:lang w:val="fr-CA"/>
        </w:rPr>
        <w:t xml:space="preserve">avait </w:t>
      </w:r>
      <w:r w:rsidR="00F320D6" w:rsidRPr="00ED22D1">
        <w:rPr>
          <w:lang w:val="fr-CA"/>
        </w:rPr>
        <w:t>signé</w:t>
      </w:r>
      <w:r w:rsidRPr="00ED22D1">
        <w:rPr>
          <w:lang w:val="fr-CA"/>
        </w:rPr>
        <w:t xml:space="preserve"> </w:t>
      </w:r>
      <w:r w:rsidR="00616B46" w:rsidRPr="00ED22D1">
        <w:rPr>
          <w:lang w:val="fr-CA"/>
        </w:rPr>
        <w:t>des</w:t>
      </w:r>
      <w:r w:rsidR="00A44429">
        <w:rPr>
          <w:lang w:val="fr-CA"/>
        </w:rPr>
        <w:t> </w:t>
      </w:r>
      <w:r w:rsidRPr="00ED22D1">
        <w:rPr>
          <w:lang w:val="fr-CA"/>
        </w:rPr>
        <w:t xml:space="preserve">contrats </w:t>
      </w:r>
      <w:r w:rsidR="00667145" w:rsidRPr="00ED22D1">
        <w:rPr>
          <w:lang w:val="fr-CA"/>
        </w:rPr>
        <w:t>avec sept de ces centres</w:t>
      </w:r>
      <w:r w:rsidRPr="00ED22D1">
        <w:rPr>
          <w:lang w:val="fr-CA"/>
        </w:rPr>
        <w:t>;</w:t>
      </w:r>
    </w:p>
    <w:p w:rsidR="000A787F" w:rsidRPr="00ED22D1" w:rsidRDefault="00B20702" w:rsidP="00FE194D">
      <w:pPr>
        <w:pStyle w:val="Heading2"/>
        <w:numPr>
          <w:ilvl w:val="0"/>
          <w:numId w:val="0"/>
        </w:numPr>
        <w:ind w:left="1418" w:hanging="698"/>
        <w:rPr>
          <w:lang w:val="fr-CA"/>
        </w:rPr>
      </w:pPr>
      <w:r w:rsidRPr="00ED22D1">
        <w:rPr>
          <w:lang w:val="fr-CA"/>
        </w:rPr>
        <w:t>(e)</w:t>
      </w:r>
      <w:r w:rsidRPr="00ED22D1">
        <w:rPr>
          <w:lang w:val="fr-CA"/>
        </w:rPr>
        <w:tab/>
      </w:r>
      <w:r w:rsidR="00667145" w:rsidRPr="00ED22D1">
        <w:rPr>
          <w:lang w:val="fr-CA"/>
        </w:rPr>
        <w:t>Le cadre de référence</w:t>
      </w:r>
      <w:r w:rsidR="000A787F" w:rsidRPr="00ED22D1">
        <w:rPr>
          <w:lang w:val="fr-CA"/>
        </w:rPr>
        <w:t xml:space="preserve"> </w:t>
      </w:r>
      <w:r w:rsidR="00667145" w:rsidRPr="00ED22D1">
        <w:rPr>
          <w:lang w:val="fr-CA"/>
        </w:rPr>
        <w:t xml:space="preserve">pour l’élaboration de </w:t>
      </w:r>
      <w:r w:rsidR="000A787F" w:rsidRPr="00ED22D1">
        <w:rPr>
          <w:lang w:val="fr-CA"/>
        </w:rPr>
        <w:t xml:space="preserve">codes </w:t>
      </w:r>
      <w:r w:rsidR="00667145" w:rsidRPr="00ED22D1">
        <w:rPr>
          <w:lang w:val="fr-CA"/>
        </w:rPr>
        <w:t>pour l’</w:t>
      </w:r>
      <w:r w:rsidR="001B31BF" w:rsidRPr="00ED22D1">
        <w:rPr>
          <w:lang w:val="fr-CA"/>
        </w:rPr>
        <w:t>entretien</w:t>
      </w:r>
      <w:r w:rsidR="00F51720" w:rsidRPr="00ED22D1">
        <w:rPr>
          <w:lang w:val="fr-CA"/>
        </w:rPr>
        <w:t xml:space="preserve"> et </w:t>
      </w:r>
      <w:r w:rsidR="00667145" w:rsidRPr="00ED22D1">
        <w:rPr>
          <w:lang w:val="fr-CA"/>
        </w:rPr>
        <w:t xml:space="preserve">la </w:t>
      </w:r>
      <w:r w:rsidR="000A787F" w:rsidRPr="00ED22D1">
        <w:rPr>
          <w:lang w:val="fr-CA"/>
        </w:rPr>
        <w:t xml:space="preserve">maintenance </w:t>
      </w:r>
      <w:r w:rsidRPr="00ED22D1">
        <w:rPr>
          <w:lang w:val="fr-CA"/>
        </w:rPr>
        <w:tab/>
      </w:r>
      <w:r w:rsidR="00667145" w:rsidRPr="00ED22D1">
        <w:rPr>
          <w:lang w:val="fr-CA"/>
        </w:rPr>
        <w:t xml:space="preserve">des unités de climatisation et des </w:t>
      </w:r>
      <w:r w:rsidR="001354A8" w:rsidRPr="00ED22D1">
        <w:rPr>
          <w:lang w:val="fr-CA"/>
        </w:rPr>
        <w:t>refroidisseur</w:t>
      </w:r>
      <w:r w:rsidR="00667145" w:rsidRPr="00ED22D1">
        <w:rPr>
          <w:lang w:val="fr-CA"/>
        </w:rPr>
        <w:t>s</w:t>
      </w:r>
      <w:r w:rsidR="001354A8" w:rsidRPr="00ED22D1">
        <w:rPr>
          <w:lang w:val="fr-CA"/>
        </w:rPr>
        <w:t xml:space="preserve"> d’eau</w:t>
      </w:r>
      <w:r w:rsidRPr="00ED22D1">
        <w:rPr>
          <w:lang w:val="fr-CA"/>
        </w:rPr>
        <w:t xml:space="preserve"> </w:t>
      </w:r>
      <w:r w:rsidR="00667145" w:rsidRPr="00ED22D1">
        <w:rPr>
          <w:lang w:val="fr-CA"/>
        </w:rPr>
        <w:t xml:space="preserve">a été finalisé et le processus d’approvisionnement et les contrats ont été initiés. Le cadre de référence </w:t>
      </w:r>
      <w:r w:rsidR="00A44429">
        <w:rPr>
          <w:lang w:val="fr-CA"/>
        </w:rPr>
        <w:t>d</w:t>
      </w:r>
      <w:r w:rsidR="00667145" w:rsidRPr="00ED22D1">
        <w:rPr>
          <w:lang w:val="fr-CA"/>
        </w:rPr>
        <w:t xml:space="preserve">es </w:t>
      </w:r>
      <w:r w:rsidR="000D737E" w:rsidRPr="00ED22D1">
        <w:rPr>
          <w:lang w:val="fr-CA"/>
        </w:rPr>
        <w:t>rajustement</w:t>
      </w:r>
      <w:r w:rsidRPr="00ED22D1">
        <w:rPr>
          <w:lang w:val="fr-CA"/>
        </w:rPr>
        <w:t xml:space="preserve">s </w:t>
      </w:r>
      <w:r w:rsidR="00667145" w:rsidRPr="00ED22D1">
        <w:rPr>
          <w:lang w:val="fr-CA"/>
        </w:rPr>
        <w:t>aux normes d’installation des climatiseurs résidentiels a été révisé</w:t>
      </w:r>
      <w:r w:rsidRPr="00ED22D1">
        <w:rPr>
          <w:lang w:val="fr-CA"/>
        </w:rPr>
        <w:t>,</w:t>
      </w:r>
      <w:r w:rsidR="00316FD8" w:rsidRPr="00ED22D1">
        <w:rPr>
          <w:lang w:val="fr-CA"/>
        </w:rPr>
        <w:t xml:space="preserve"> et </w:t>
      </w:r>
      <w:r w:rsidR="00667145" w:rsidRPr="00ED22D1">
        <w:rPr>
          <w:lang w:val="fr-CA"/>
        </w:rPr>
        <w:t>l’élaboration de</w:t>
      </w:r>
      <w:r w:rsidR="00A44429">
        <w:rPr>
          <w:lang w:val="fr-CA"/>
        </w:rPr>
        <w:t> </w:t>
      </w:r>
      <w:r w:rsidR="00667145" w:rsidRPr="00ED22D1">
        <w:rPr>
          <w:lang w:val="fr-CA"/>
        </w:rPr>
        <w:t>codes de bonnes pratiques pour l’</w:t>
      </w:r>
      <w:r w:rsidRPr="00ED22D1">
        <w:rPr>
          <w:lang w:val="fr-CA"/>
        </w:rPr>
        <w:t>installation</w:t>
      </w:r>
      <w:r w:rsidR="00316FD8" w:rsidRPr="00ED22D1">
        <w:rPr>
          <w:lang w:val="fr-CA"/>
        </w:rPr>
        <w:t xml:space="preserve"> et </w:t>
      </w:r>
      <w:r w:rsidR="00667145" w:rsidRPr="00ED22D1">
        <w:rPr>
          <w:lang w:val="fr-CA"/>
        </w:rPr>
        <w:t>l’entretien des climatiseurs a été finalisée</w:t>
      </w:r>
      <w:r w:rsidRPr="00ED22D1">
        <w:rPr>
          <w:lang w:val="fr-CA"/>
        </w:rPr>
        <w:t xml:space="preserve">. </w:t>
      </w:r>
      <w:r w:rsidR="00667145" w:rsidRPr="00ED22D1">
        <w:rPr>
          <w:lang w:val="fr-CA"/>
        </w:rPr>
        <w:t>La signature de contrats avec les instituts pertinents pour l’élaboration de</w:t>
      </w:r>
      <w:r w:rsidR="00A44429">
        <w:rPr>
          <w:lang w:val="fr-CA"/>
        </w:rPr>
        <w:t> </w:t>
      </w:r>
      <w:r w:rsidR="00667145" w:rsidRPr="00ED22D1">
        <w:rPr>
          <w:lang w:val="fr-CA"/>
        </w:rPr>
        <w:t>ces</w:t>
      </w:r>
      <w:r w:rsidR="00A44429">
        <w:rPr>
          <w:lang w:val="fr-CA"/>
        </w:rPr>
        <w:t> </w:t>
      </w:r>
      <w:r w:rsidR="00667145" w:rsidRPr="00ED22D1">
        <w:rPr>
          <w:lang w:val="fr-CA"/>
        </w:rPr>
        <w:t xml:space="preserve">deux </w:t>
      </w:r>
      <w:r w:rsidRPr="00ED22D1">
        <w:rPr>
          <w:lang w:val="fr-CA"/>
        </w:rPr>
        <w:t>codes</w:t>
      </w:r>
      <w:r w:rsidR="00903152" w:rsidRPr="00ED22D1">
        <w:rPr>
          <w:lang w:val="fr-CA"/>
        </w:rPr>
        <w:t xml:space="preserve"> </w:t>
      </w:r>
      <w:r w:rsidR="00667145" w:rsidRPr="00ED22D1">
        <w:rPr>
          <w:lang w:val="fr-CA"/>
        </w:rPr>
        <w:t xml:space="preserve">devrait avoir lieu au cours de la deuxième moitié de </w:t>
      </w:r>
      <w:r w:rsidRPr="00ED22D1">
        <w:rPr>
          <w:lang w:val="fr-CA"/>
        </w:rPr>
        <w:t>2019</w:t>
      </w:r>
      <w:r w:rsidR="000A787F" w:rsidRPr="00ED22D1">
        <w:rPr>
          <w:lang w:val="fr-CA"/>
        </w:rPr>
        <w:t xml:space="preserve">; </w:t>
      </w:r>
    </w:p>
    <w:p w:rsidR="00387175" w:rsidRPr="00ED22D1" w:rsidRDefault="00B20702" w:rsidP="00B20702">
      <w:pPr>
        <w:pStyle w:val="Heading2"/>
        <w:keepNext/>
        <w:keepLines/>
        <w:widowControl/>
        <w:numPr>
          <w:ilvl w:val="0"/>
          <w:numId w:val="0"/>
        </w:numPr>
        <w:ind w:left="1418" w:hanging="698"/>
        <w:rPr>
          <w:lang w:val="fr-CA"/>
        </w:rPr>
      </w:pPr>
      <w:r w:rsidRPr="00ED22D1">
        <w:rPr>
          <w:lang w:val="fr-CA"/>
        </w:rPr>
        <w:lastRenderedPageBreak/>
        <w:t>(f)</w:t>
      </w:r>
      <w:r w:rsidRPr="00ED22D1">
        <w:rPr>
          <w:lang w:val="fr-CA"/>
        </w:rPr>
        <w:tab/>
      </w:r>
      <w:r w:rsidR="00FE194D" w:rsidRPr="00ED22D1">
        <w:rPr>
          <w:lang w:val="fr-CA"/>
        </w:rPr>
        <w:t>L’accord de m</w:t>
      </w:r>
      <w:r w:rsidR="00921BDE" w:rsidRPr="00ED22D1">
        <w:rPr>
          <w:lang w:val="fr-CA"/>
        </w:rPr>
        <w:t>ise en oeuvre</w:t>
      </w:r>
      <w:r w:rsidR="001B45EC" w:rsidRPr="00ED22D1">
        <w:rPr>
          <w:lang w:val="fr-CA"/>
        </w:rPr>
        <w:t xml:space="preserve"> </w:t>
      </w:r>
      <w:r w:rsidR="00FE194D" w:rsidRPr="00ED22D1">
        <w:rPr>
          <w:lang w:val="fr-CA"/>
        </w:rPr>
        <w:t>de l’élément de la première tranche</w:t>
      </w:r>
      <w:r w:rsidR="000A787F" w:rsidRPr="00ED22D1">
        <w:rPr>
          <w:lang w:val="fr-CA"/>
        </w:rPr>
        <w:t xml:space="preserve"> </w:t>
      </w:r>
      <w:r w:rsidR="00FE194D" w:rsidRPr="00ED22D1">
        <w:rPr>
          <w:lang w:val="fr-CA"/>
        </w:rPr>
        <w:t>du</w:t>
      </w:r>
      <w:r w:rsidR="00903152" w:rsidRPr="00ED22D1">
        <w:rPr>
          <w:lang w:val="fr-CA"/>
        </w:rPr>
        <w:t xml:space="preserve"> gouvernement </w:t>
      </w:r>
      <w:r w:rsidR="00FE194D" w:rsidRPr="00ED22D1">
        <w:rPr>
          <w:lang w:val="fr-CA"/>
        </w:rPr>
        <w:t>de</w:t>
      </w:r>
      <w:r w:rsidR="000A787F" w:rsidRPr="00ED22D1">
        <w:rPr>
          <w:lang w:val="fr-CA"/>
        </w:rPr>
        <w:t xml:space="preserve"> </w:t>
      </w:r>
      <w:r w:rsidR="00FE194D" w:rsidRPr="00ED22D1">
        <w:rPr>
          <w:lang w:val="fr-CA"/>
        </w:rPr>
        <w:t>l’</w:t>
      </w:r>
      <w:r w:rsidR="00F51720" w:rsidRPr="00ED22D1">
        <w:rPr>
          <w:lang w:val="fr-CA"/>
        </w:rPr>
        <w:t>Allemagne</w:t>
      </w:r>
      <w:r w:rsidR="000A787F" w:rsidRPr="00ED22D1">
        <w:rPr>
          <w:lang w:val="fr-CA"/>
        </w:rPr>
        <w:t xml:space="preserve"> </w:t>
      </w:r>
      <w:r w:rsidR="00FE194D" w:rsidRPr="00ED22D1">
        <w:rPr>
          <w:lang w:val="fr-CA"/>
        </w:rPr>
        <w:t>a été</w:t>
      </w:r>
      <w:r w:rsidR="00F320D6" w:rsidRPr="00ED22D1">
        <w:rPr>
          <w:lang w:val="fr-CA"/>
        </w:rPr>
        <w:t xml:space="preserve"> signé</w:t>
      </w:r>
      <w:r w:rsidR="00FE194D" w:rsidRPr="00ED22D1">
        <w:rPr>
          <w:lang w:val="fr-CA"/>
        </w:rPr>
        <w:t>.</w:t>
      </w:r>
      <w:r w:rsidR="00616B46" w:rsidRPr="00ED22D1">
        <w:rPr>
          <w:lang w:val="fr-CA"/>
        </w:rPr>
        <w:t xml:space="preserve"> </w:t>
      </w:r>
      <w:r w:rsidR="00FE194D" w:rsidRPr="00ED22D1">
        <w:rPr>
          <w:lang w:val="fr-CA"/>
        </w:rPr>
        <w:t xml:space="preserve">Un </w:t>
      </w:r>
      <w:r w:rsidR="00393F6B" w:rsidRPr="00ED22D1">
        <w:rPr>
          <w:lang w:val="fr-CA"/>
        </w:rPr>
        <w:t>bénéficiaire</w:t>
      </w:r>
      <w:r w:rsidR="000A787F" w:rsidRPr="00ED22D1">
        <w:rPr>
          <w:lang w:val="fr-CA"/>
        </w:rPr>
        <w:t xml:space="preserve"> </w:t>
      </w:r>
      <w:r w:rsidR="00D211C8" w:rsidRPr="00ED22D1">
        <w:rPr>
          <w:lang w:val="fr-CA"/>
        </w:rPr>
        <w:t>(chaîne de supermarchés Chaoshifa</w:t>
      </w:r>
      <w:r w:rsidR="000A787F" w:rsidRPr="00ED22D1">
        <w:rPr>
          <w:lang w:val="fr-CA"/>
        </w:rPr>
        <w:t xml:space="preserve">) </w:t>
      </w:r>
      <w:r w:rsidR="00FE194D" w:rsidRPr="00ED22D1">
        <w:rPr>
          <w:lang w:val="fr-CA"/>
        </w:rPr>
        <w:t xml:space="preserve">pour la </w:t>
      </w:r>
      <w:r w:rsidR="00E71388" w:rsidRPr="00ED22D1">
        <w:rPr>
          <w:lang w:val="fr-CA"/>
        </w:rPr>
        <w:t>démonstration</w:t>
      </w:r>
      <w:r w:rsidR="000A787F" w:rsidRPr="00ED22D1">
        <w:rPr>
          <w:lang w:val="fr-CA"/>
        </w:rPr>
        <w:t xml:space="preserve"> </w:t>
      </w:r>
      <w:r w:rsidR="00FE194D" w:rsidRPr="00ED22D1">
        <w:rPr>
          <w:lang w:val="fr-CA"/>
        </w:rPr>
        <w:t xml:space="preserve">d’une application de système </w:t>
      </w:r>
      <w:r w:rsidR="000A787F" w:rsidRPr="00ED22D1">
        <w:rPr>
          <w:lang w:val="fr-CA"/>
        </w:rPr>
        <w:t>CO</w:t>
      </w:r>
      <w:r w:rsidR="000A787F" w:rsidRPr="00ED22D1">
        <w:rPr>
          <w:vertAlign w:val="subscript"/>
          <w:lang w:val="fr-CA"/>
        </w:rPr>
        <w:t>2</w:t>
      </w:r>
      <w:r w:rsidR="000A787F" w:rsidRPr="00ED22D1">
        <w:rPr>
          <w:lang w:val="fr-CA"/>
        </w:rPr>
        <w:noBreakHyphen/>
        <w:t>transcriti</w:t>
      </w:r>
      <w:r w:rsidR="00FE194D" w:rsidRPr="00ED22D1">
        <w:rPr>
          <w:lang w:val="fr-CA"/>
        </w:rPr>
        <w:t>que a été</w:t>
      </w:r>
      <w:r w:rsidR="0080736A" w:rsidRPr="00ED22D1">
        <w:rPr>
          <w:lang w:val="fr-CA"/>
        </w:rPr>
        <w:t xml:space="preserve"> identifié</w:t>
      </w:r>
      <w:r w:rsidR="00FE194D" w:rsidRPr="00ED22D1">
        <w:rPr>
          <w:lang w:val="fr-CA"/>
        </w:rPr>
        <w:t>. S</w:t>
      </w:r>
      <w:r w:rsidR="00387175" w:rsidRPr="00ED22D1">
        <w:rPr>
          <w:lang w:val="fr-CA"/>
        </w:rPr>
        <w:t>ix</w:t>
      </w:r>
      <w:r w:rsidR="00A44429">
        <w:rPr>
          <w:lang w:val="fr-CA"/>
        </w:rPr>
        <w:t> </w:t>
      </w:r>
      <w:r w:rsidR="001F6F17" w:rsidRPr="00ED22D1">
        <w:rPr>
          <w:lang w:val="fr-CA"/>
        </w:rPr>
        <w:t>formateur</w:t>
      </w:r>
      <w:r w:rsidR="00387175" w:rsidRPr="00ED22D1">
        <w:rPr>
          <w:lang w:val="fr-CA"/>
        </w:rPr>
        <w:t xml:space="preserve">s </w:t>
      </w:r>
      <w:r w:rsidR="00FE194D" w:rsidRPr="00ED22D1">
        <w:rPr>
          <w:lang w:val="fr-CA"/>
        </w:rPr>
        <w:t xml:space="preserve">de centres de </w:t>
      </w:r>
      <w:r w:rsidR="001F6F17" w:rsidRPr="00ED22D1">
        <w:rPr>
          <w:lang w:val="fr-CA"/>
        </w:rPr>
        <w:t>formation professionnelle</w:t>
      </w:r>
      <w:r w:rsidR="00387175" w:rsidRPr="00ED22D1">
        <w:rPr>
          <w:lang w:val="fr-CA"/>
        </w:rPr>
        <w:t xml:space="preserve"> </w:t>
      </w:r>
      <w:r w:rsidR="004A6828" w:rsidRPr="00ED22D1">
        <w:rPr>
          <w:lang w:val="fr-CA"/>
        </w:rPr>
        <w:t xml:space="preserve">et </w:t>
      </w:r>
      <w:r w:rsidR="00387175" w:rsidRPr="00ED22D1">
        <w:rPr>
          <w:lang w:val="fr-CA"/>
        </w:rPr>
        <w:t xml:space="preserve">six </w:t>
      </w:r>
      <w:r w:rsidR="00FE194D" w:rsidRPr="00ED22D1">
        <w:rPr>
          <w:lang w:val="fr-CA"/>
        </w:rPr>
        <w:t>gestionnaires/ingénieurs du</w:t>
      </w:r>
      <w:r w:rsidR="00A44429">
        <w:rPr>
          <w:lang w:val="fr-CA"/>
        </w:rPr>
        <w:t> </w:t>
      </w:r>
      <w:r w:rsidR="00FE194D" w:rsidRPr="00ED22D1">
        <w:rPr>
          <w:lang w:val="fr-CA"/>
        </w:rPr>
        <w:t>sous-secteur ont participé à la visite d’un atelier</w:t>
      </w:r>
      <w:r w:rsidR="00132AEA">
        <w:rPr>
          <w:lang w:val="fr-CA"/>
        </w:rPr>
        <w:t xml:space="preserve"> et à une ou </w:t>
      </w:r>
      <w:r w:rsidR="00FE194D" w:rsidRPr="00ED22D1">
        <w:rPr>
          <w:lang w:val="fr-CA"/>
        </w:rPr>
        <w:t>étude outremer sur</w:t>
      </w:r>
      <w:r w:rsidR="00132AEA">
        <w:rPr>
          <w:lang w:val="fr-CA"/>
        </w:rPr>
        <w:t> </w:t>
      </w:r>
      <w:r w:rsidR="00FE194D" w:rsidRPr="00ED22D1">
        <w:rPr>
          <w:lang w:val="fr-CA"/>
        </w:rPr>
        <w:t>l’</w:t>
      </w:r>
      <w:r w:rsidR="00387175" w:rsidRPr="00ED22D1">
        <w:rPr>
          <w:lang w:val="fr-CA"/>
        </w:rPr>
        <w:t xml:space="preserve">application </w:t>
      </w:r>
      <w:r w:rsidR="00FE194D" w:rsidRPr="00ED22D1">
        <w:rPr>
          <w:lang w:val="fr-CA"/>
        </w:rPr>
        <w:t xml:space="preserve">des </w:t>
      </w:r>
      <w:r w:rsidR="004E0510" w:rsidRPr="00ED22D1">
        <w:rPr>
          <w:lang w:val="fr-CA"/>
        </w:rPr>
        <w:t>frigorigènes inflammables</w:t>
      </w:r>
      <w:r w:rsidR="00387175" w:rsidRPr="00ED22D1">
        <w:rPr>
          <w:lang w:val="fr-CA"/>
        </w:rPr>
        <w:t xml:space="preserve"> (</w:t>
      </w:r>
      <w:r w:rsidR="00FE194D" w:rsidRPr="00ED22D1">
        <w:rPr>
          <w:lang w:val="fr-CA"/>
        </w:rPr>
        <w:t xml:space="preserve">par ex., </w:t>
      </w:r>
      <w:r w:rsidR="00387175" w:rsidRPr="00ED22D1">
        <w:rPr>
          <w:lang w:val="fr-CA"/>
        </w:rPr>
        <w:t>R-29</w:t>
      </w:r>
      <w:r w:rsidR="004A6828" w:rsidRPr="00ED22D1">
        <w:rPr>
          <w:lang w:val="fr-CA"/>
        </w:rPr>
        <w:t>0</w:t>
      </w:r>
      <w:r w:rsidR="00FE194D" w:rsidRPr="00ED22D1">
        <w:rPr>
          <w:lang w:val="fr-CA"/>
        </w:rPr>
        <w:t>,</w:t>
      </w:r>
      <w:r w:rsidR="00387175" w:rsidRPr="00ED22D1">
        <w:rPr>
          <w:lang w:val="fr-CA"/>
        </w:rPr>
        <w:t xml:space="preserve"> NH</w:t>
      </w:r>
      <w:r w:rsidR="004A6828" w:rsidRPr="00ED22D1">
        <w:rPr>
          <w:vertAlign w:val="subscript"/>
          <w:lang w:val="fr-CA"/>
        </w:rPr>
        <w:t>3 </w:t>
      </w:r>
      <w:r w:rsidR="004A6828" w:rsidRPr="00ED22D1">
        <w:rPr>
          <w:lang w:val="fr-CA"/>
        </w:rPr>
        <w:t xml:space="preserve">et </w:t>
      </w:r>
      <w:r w:rsidR="00387175" w:rsidRPr="00ED22D1">
        <w:rPr>
          <w:lang w:val="fr-CA"/>
        </w:rPr>
        <w:t>CO</w:t>
      </w:r>
      <w:r w:rsidR="00387175" w:rsidRPr="00ED22D1">
        <w:rPr>
          <w:vertAlign w:val="subscript"/>
          <w:lang w:val="fr-CA"/>
        </w:rPr>
        <w:t>2</w:t>
      </w:r>
      <w:r w:rsidR="00387175" w:rsidRPr="00ED22D1">
        <w:rPr>
          <w:lang w:val="fr-CA"/>
        </w:rPr>
        <w:t xml:space="preserve">) </w:t>
      </w:r>
      <w:r w:rsidR="00FE194D" w:rsidRPr="00ED22D1">
        <w:rPr>
          <w:lang w:val="fr-CA"/>
        </w:rPr>
        <w:t>dans le sous</w:t>
      </w:r>
      <w:r w:rsidR="00132AEA">
        <w:rPr>
          <w:lang w:val="fr-CA"/>
        </w:rPr>
        <w:noBreakHyphen/>
      </w:r>
      <w:r w:rsidR="00FE194D" w:rsidRPr="00ED22D1">
        <w:rPr>
          <w:lang w:val="fr-CA"/>
        </w:rPr>
        <w:t xml:space="preserve">secteur des </w:t>
      </w:r>
      <w:r w:rsidR="001F6F17" w:rsidRPr="00ED22D1">
        <w:rPr>
          <w:lang w:val="fr-CA"/>
        </w:rPr>
        <w:t>chaîne</w:t>
      </w:r>
      <w:r w:rsidR="00FE194D" w:rsidRPr="00ED22D1">
        <w:rPr>
          <w:lang w:val="fr-CA"/>
        </w:rPr>
        <w:t>s</w:t>
      </w:r>
      <w:r w:rsidR="001F6F17" w:rsidRPr="00ED22D1">
        <w:rPr>
          <w:lang w:val="fr-CA"/>
        </w:rPr>
        <w:t xml:space="preserve"> frigorifique</w:t>
      </w:r>
      <w:r w:rsidR="00FE194D" w:rsidRPr="00ED22D1">
        <w:rPr>
          <w:lang w:val="fr-CA"/>
        </w:rPr>
        <w:t>s</w:t>
      </w:r>
      <w:r w:rsidR="004A6828" w:rsidRPr="00ED22D1">
        <w:rPr>
          <w:lang w:val="fr-CA"/>
        </w:rPr>
        <w:t xml:space="preserve"> et</w:t>
      </w:r>
      <w:r w:rsidR="00FE194D" w:rsidRPr="00ED22D1">
        <w:rPr>
          <w:lang w:val="fr-CA"/>
        </w:rPr>
        <w:t xml:space="preserve"> des </w:t>
      </w:r>
      <w:r w:rsidR="00053099" w:rsidRPr="00ED22D1">
        <w:rPr>
          <w:lang w:val="fr-CA"/>
        </w:rPr>
        <w:t>supermarché</w:t>
      </w:r>
      <w:r w:rsidR="00FE194D" w:rsidRPr="00ED22D1">
        <w:rPr>
          <w:lang w:val="fr-CA"/>
        </w:rPr>
        <w:t xml:space="preserve">s. </w:t>
      </w:r>
      <w:r w:rsidR="00132AEA">
        <w:rPr>
          <w:lang w:val="fr-CA"/>
        </w:rPr>
        <w:t>U</w:t>
      </w:r>
      <w:r w:rsidR="00FE194D" w:rsidRPr="00ED22D1">
        <w:rPr>
          <w:lang w:val="fr-CA"/>
        </w:rPr>
        <w:t>n atelier national de</w:t>
      </w:r>
      <w:r w:rsidR="00132AEA">
        <w:rPr>
          <w:lang w:val="fr-CA"/>
        </w:rPr>
        <w:t> </w:t>
      </w:r>
      <w:r w:rsidR="00FE194D" w:rsidRPr="00ED22D1">
        <w:rPr>
          <w:lang w:val="fr-CA"/>
        </w:rPr>
        <w:t>formation sur les produits de remplacement du</w:t>
      </w:r>
      <w:r w:rsidR="00387175" w:rsidRPr="00ED22D1">
        <w:rPr>
          <w:lang w:val="fr-CA"/>
        </w:rPr>
        <w:t xml:space="preserve"> HCFC-22 </w:t>
      </w:r>
      <w:r w:rsidR="00FE194D" w:rsidRPr="00ED22D1">
        <w:rPr>
          <w:lang w:val="fr-CA"/>
        </w:rPr>
        <w:t>dans le secteur des</w:t>
      </w:r>
      <w:r w:rsidR="00132AEA">
        <w:rPr>
          <w:lang w:val="fr-CA"/>
        </w:rPr>
        <w:t> </w:t>
      </w:r>
      <w:r w:rsidR="00053099" w:rsidRPr="00ED22D1">
        <w:rPr>
          <w:lang w:val="fr-CA"/>
        </w:rPr>
        <w:t>supermarché</w:t>
      </w:r>
      <w:r w:rsidR="00FE194D" w:rsidRPr="00ED22D1">
        <w:rPr>
          <w:lang w:val="fr-CA"/>
        </w:rPr>
        <w:t>s</w:t>
      </w:r>
      <w:r w:rsidR="00387175" w:rsidRPr="00ED22D1">
        <w:rPr>
          <w:lang w:val="fr-CA"/>
        </w:rPr>
        <w:t xml:space="preserve"> </w:t>
      </w:r>
      <w:r w:rsidR="00FE194D" w:rsidRPr="00ED22D1">
        <w:rPr>
          <w:lang w:val="fr-CA"/>
        </w:rPr>
        <w:t xml:space="preserve">a été organisé et des activités </w:t>
      </w:r>
      <w:r w:rsidR="00DB6962" w:rsidRPr="00ED22D1">
        <w:rPr>
          <w:lang w:val="fr-CA"/>
        </w:rPr>
        <w:t>de vulgarisation ont été dispensé</w:t>
      </w:r>
      <w:r w:rsidR="00132AEA">
        <w:rPr>
          <w:lang w:val="fr-CA"/>
        </w:rPr>
        <w:t>e</w:t>
      </w:r>
      <w:r w:rsidR="00DB6962" w:rsidRPr="00ED22D1">
        <w:rPr>
          <w:lang w:val="fr-CA"/>
        </w:rPr>
        <w:t>s pour le</w:t>
      </w:r>
      <w:r w:rsidR="00132AEA">
        <w:rPr>
          <w:lang w:val="fr-CA"/>
        </w:rPr>
        <w:t> </w:t>
      </w:r>
      <w:r w:rsidR="00181884" w:rsidRPr="00ED22D1">
        <w:rPr>
          <w:lang w:val="fr-CA"/>
        </w:rPr>
        <w:t>secteur de l’entretien en réfrigération</w:t>
      </w:r>
      <w:r w:rsidR="00387175" w:rsidRPr="00ED22D1">
        <w:rPr>
          <w:lang w:val="fr-CA"/>
        </w:rPr>
        <w:t>;</w:t>
      </w:r>
    </w:p>
    <w:p w:rsidR="00387175" w:rsidRPr="00ED22D1" w:rsidRDefault="00B20702" w:rsidP="00B20702">
      <w:pPr>
        <w:pStyle w:val="Heading2"/>
        <w:keepNext/>
        <w:widowControl/>
        <w:numPr>
          <w:ilvl w:val="0"/>
          <w:numId w:val="0"/>
        </w:numPr>
        <w:ind w:left="1418" w:hanging="698"/>
        <w:rPr>
          <w:lang w:val="fr-CA"/>
        </w:rPr>
      </w:pPr>
      <w:r w:rsidRPr="00ED22D1">
        <w:rPr>
          <w:lang w:val="fr-CA"/>
        </w:rPr>
        <w:t>(g)</w:t>
      </w:r>
      <w:r w:rsidRPr="00ED22D1">
        <w:rPr>
          <w:lang w:val="fr-CA"/>
        </w:rPr>
        <w:tab/>
      </w:r>
      <w:r w:rsidR="00DB6962" w:rsidRPr="00ED22D1">
        <w:rPr>
          <w:lang w:val="fr-CA"/>
        </w:rPr>
        <w:t xml:space="preserve">Le cadre de référence et les critères de sélection </w:t>
      </w:r>
      <w:r w:rsidR="00132AEA">
        <w:rPr>
          <w:lang w:val="fr-CA"/>
        </w:rPr>
        <w:t>pour la livraison</w:t>
      </w:r>
      <w:r w:rsidR="00DB6962" w:rsidRPr="00ED22D1">
        <w:rPr>
          <w:lang w:val="fr-CA"/>
        </w:rPr>
        <w:t xml:space="preserve"> programme de formation des</w:t>
      </w:r>
      <w:r w:rsidR="00132AEA">
        <w:rPr>
          <w:lang w:val="fr-CA"/>
        </w:rPr>
        <w:t> </w:t>
      </w:r>
      <w:r w:rsidR="00DB6962" w:rsidRPr="00ED22D1">
        <w:rPr>
          <w:lang w:val="fr-CA"/>
        </w:rPr>
        <w:t xml:space="preserve">techniciens par des ateliers d’entretien pour les fabricants ont été finalisés. </w:t>
      </w:r>
      <w:r w:rsidR="00132AEA">
        <w:rPr>
          <w:lang w:val="fr-CA"/>
        </w:rPr>
        <w:t>U</w:t>
      </w:r>
      <w:r w:rsidR="00DB6962" w:rsidRPr="00ED22D1">
        <w:rPr>
          <w:lang w:val="fr-CA"/>
        </w:rPr>
        <w:t>n atelier a été dispensé à huit fabricants de climatiseurs résidentiels afin de discuter des</w:t>
      </w:r>
      <w:r w:rsidR="00132AEA">
        <w:rPr>
          <w:lang w:val="fr-CA"/>
        </w:rPr>
        <w:t> </w:t>
      </w:r>
      <w:r w:rsidR="00DB6962" w:rsidRPr="00ED22D1">
        <w:rPr>
          <w:lang w:val="fr-CA"/>
        </w:rPr>
        <w:t>dét</w:t>
      </w:r>
      <w:r w:rsidR="00387175" w:rsidRPr="00ED22D1">
        <w:rPr>
          <w:lang w:val="fr-CA"/>
        </w:rPr>
        <w:t>ails</w:t>
      </w:r>
      <w:r w:rsidR="00DB6962" w:rsidRPr="00ED22D1">
        <w:rPr>
          <w:lang w:val="fr-CA"/>
        </w:rPr>
        <w:t xml:space="preserve"> du plan de</w:t>
      </w:r>
      <w:r w:rsidR="00387175" w:rsidRPr="00ED22D1">
        <w:rPr>
          <w:lang w:val="fr-CA"/>
        </w:rPr>
        <w:t xml:space="preserve"> </w:t>
      </w:r>
      <w:r w:rsidR="00DE118B" w:rsidRPr="00ED22D1">
        <w:rPr>
          <w:lang w:val="fr-CA"/>
        </w:rPr>
        <w:t>formation</w:t>
      </w:r>
      <w:r w:rsidR="00387175" w:rsidRPr="00ED22D1">
        <w:rPr>
          <w:lang w:val="fr-CA"/>
        </w:rPr>
        <w:t xml:space="preserve"> </w:t>
      </w:r>
      <w:r w:rsidR="00DB6962" w:rsidRPr="00ED22D1">
        <w:rPr>
          <w:lang w:val="fr-CA"/>
        </w:rPr>
        <w:t xml:space="preserve">pour la </w:t>
      </w:r>
      <w:r w:rsidR="00921BDE" w:rsidRPr="00ED22D1">
        <w:rPr>
          <w:lang w:val="fr-CA"/>
        </w:rPr>
        <w:t xml:space="preserve">mise en oeuvre </w:t>
      </w:r>
      <w:r w:rsidR="00DB6962" w:rsidRPr="00ED22D1">
        <w:rPr>
          <w:lang w:val="fr-CA"/>
        </w:rPr>
        <w:t>par leur système de formation</w:t>
      </w:r>
      <w:r w:rsidR="00387175" w:rsidRPr="00ED22D1">
        <w:rPr>
          <w:lang w:val="fr-CA"/>
        </w:rPr>
        <w:t>;</w:t>
      </w:r>
    </w:p>
    <w:p w:rsidR="00387175" w:rsidRPr="00ED22D1" w:rsidRDefault="00B20702" w:rsidP="00D03416">
      <w:pPr>
        <w:pStyle w:val="Heading2"/>
        <w:keepNext/>
        <w:widowControl/>
        <w:numPr>
          <w:ilvl w:val="0"/>
          <w:numId w:val="0"/>
        </w:numPr>
        <w:ind w:left="1418" w:hanging="698"/>
        <w:rPr>
          <w:lang w:val="fr-CA"/>
        </w:rPr>
      </w:pPr>
      <w:r w:rsidRPr="00ED22D1">
        <w:rPr>
          <w:lang w:val="fr-CA"/>
        </w:rPr>
        <w:t>(h)</w:t>
      </w:r>
      <w:r w:rsidRPr="00ED22D1">
        <w:rPr>
          <w:lang w:val="fr-CA"/>
        </w:rPr>
        <w:tab/>
      </w:r>
      <w:r w:rsidR="00DB6962" w:rsidRPr="00ED22D1">
        <w:rPr>
          <w:lang w:val="fr-CA"/>
        </w:rPr>
        <w:t xml:space="preserve">On a procédé à une étude sur la récupération des </w:t>
      </w:r>
      <w:r w:rsidR="00387175" w:rsidRPr="00ED22D1">
        <w:rPr>
          <w:lang w:val="fr-CA"/>
        </w:rPr>
        <w:t>HCFC</w:t>
      </w:r>
      <w:r w:rsidR="00DB6962" w:rsidRPr="00ED22D1">
        <w:rPr>
          <w:lang w:val="fr-CA"/>
        </w:rPr>
        <w:t xml:space="preserve">. </w:t>
      </w:r>
      <w:r w:rsidR="00132AEA">
        <w:rPr>
          <w:lang w:val="fr-CA"/>
        </w:rPr>
        <w:t>L</w:t>
      </w:r>
      <w:r w:rsidR="00D03416">
        <w:rPr>
          <w:lang w:val="fr-CA"/>
        </w:rPr>
        <w:t xml:space="preserve">e rapport de l’étude pour </w:t>
      </w:r>
      <w:r w:rsidR="00DB6962" w:rsidRPr="00ED22D1">
        <w:rPr>
          <w:lang w:val="fr-CA"/>
        </w:rPr>
        <w:t>l’analyse des barrières et les mécanismes des marchés sur la récupération des</w:t>
      </w:r>
      <w:r w:rsidR="00387175" w:rsidRPr="00ED22D1">
        <w:rPr>
          <w:lang w:val="fr-CA"/>
        </w:rPr>
        <w:t xml:space="preserve"> HCFC </w:t>
      </w:r>
      <w:r w:rsidR="00DB6962" w:rsidRPr="00ED22D1">
        <w:rPr>
          <w:lang w:val="fr-CA"/>
        </w:rPr>
        <w:t xml:space="preserve">a été </w:t>
      </w:r>
      <w:r w:rsidR="00DB6962" w:rsidRPr="00ED22D1">
        <w:rPr>
          <w:lang w:val="fr-CA"/>
        </w:rPr>
        <w:tab/>
        <w:t>examiné et révisé avant la publication finale</w:t>
      </w:r>
      <w:r w:rsidR="00387175" w:rsidRPr="00ED22D1">
        <w:rPr>
          <w:lang w:val="fr-CA"/>
        </w:rPr>
        <w:t>;</w:t>
      </w:r>
      <w:r w:rsidR="004A6828" w:rsidRPr="00ED22D1">
        <w:rPr>
          <w:lang w:val="fr-CA"/>
        </w:rPr>
        <w:t xml:space="preserve"> et </w:t>
      </w:r>
    </w:p>
    <w:p w:rsidR="00387175" w:rsidRPr="00ED22D1" w:rsidRDefault="00DB6962" w:rsidP="00387175">
      <w:pPr>
        <w:pStyle w:val="Heading2"/>
        <w:rPr>
          <w:lang w:val="fr-CA"/>
        </w:rPr>
      </w:pPr>
      <w:r w:rsidRPr="00ED22D1">
        <w:rPr>
          <w:lang w:val="fr-CA"/>
        </w:rPr>
        <w:t>Les activités d’a</w:t>
      </w:r>
      <w:r w:rsidR="00005758" w:rsidRPr="00ED22D1">
        <w:rPr>
          <w:lang w:val="fr-CA"/>
        </w:rPr>
        <w:t>ccroissement de la sensibilisation</w:t>
      </w:r>
      <w:r w:rsidR="00387175" w:rsidRPr="00ED22D1">
        <w:rPr>
          <w:lang w:val="fr-CA"/>
        </w:rPr>
        <w:t xml:space="preserve"> </w:t>
      </w:r>
      <w:r w:rsidRPr="00ED22D1">
        <w:rPr>
          <w:lang w:val="fr-CA"/>
        </w:rPr>
        <w:t xml:space="preserve">se sont poursuivies, </w:t>
      </w:r>
      <w:r w:rsidR="004B666A" w:rsidRPr="00ED22D1">
        <w:rPr>
          <w:lang w:val="fr-CA"/>
        </w:rPr>
        <w:t>y compris</w:t>
      </w:r>
      <w:r w:rsidR="00387175" w:rsidRPr="00ED22D1">
        <w:rPr>
          <w:lang w:val="fr-CA"/>
        </w:rPr>
        <w:t xml:space="preserve"> </w:t>
      </w:r>
      <w:r w:rsidRPr="00ED22D1">
        <w:rPr>
          <w:lang w:val="fr-CA"/>
        </w:rPr>
        <w:t xml:space="preserve">la mise à jour du </w:t>
      </w:r>
      <w:r w:rsidR="00772DB5" w:rsidRPr="00ED22D1">
        <w:rPr>
          <w:lang w:val="fr-CA"/>
        </w:rPr>
        <w:t>site Web</w:t>
      </w:r>
      <w:r w:rsidRPr="00ED22D1">
        <w:rPr>
          <w:lang w:val="fr-CA"/>
        </w:rPr>
        <w:t xml:space="preserve"> « </w:t>
      </w:r>
      <w:r w:rsidR="00387175" w:rsidRPr="00ED22D1">
        <w:rPr>
          <w:lang w:val="fr-CA"/>
        </w:rPr>
        <w:t xml:space="preserve">OzonAction </w:t>
      </w:r>
      <w:r w:rsidRPr="00ED22D1">
        <w:rPr>
          <w:lang w:val="fr-CA"/>
        </w:rPr>
        <w:t>i</w:t>
      </w:r>
      <w:r w:rsidR="00181884" w:rsidRPr="00ED22D1">
        <w:rPr>
          <w:lang w:val="fr-CA"/>
        </w:rPr>
        <w:t>n Chin</w:t>
      </w:r>
      <w:r w:rsidRPr="00ED22D1">
        <w:rPr>
          <w:lang w:val="fr-CA"/>
        </w:rPr>
        <w:t>a »</w:t>
      </w:r>
      <w:r w:rsidR="004A6828" w:rsidRPr="00ED22D1">
        <w:rPr>
          <w:lang w:val="fr-CA"/>
        </w:rPr>
        <w:t xml:space="preserve"> et </w:t>
      </w:r>
      <w:r w:rsidRPr="00ED22D1">
        <w:rPr>
          <w:lang w:val="fr-CA"/>
        </w:rPr>
        <w:t>on a produit du matériel pour la publicité</w:t>
      </w:r>
      <w:r w:rsidR="00387175" w:rsidRPr="00ED22D1">
        <w:rPr>
          <w:lang w:val="fr-CA"/>
        </w:rPr>
        <w:t xml:space="preserve">. </w:t>
      </w:r>
      <w:r w:rsidRPr="00ED22D1">
        <w:rPr>
          <w:lang w:val="fr-CA"/>
        </w:rPr>
        <w:t xml:space="preserve">On a organisé </w:t>
      </w:r>
      <w:r w:rsidR="00132AEA">
        <w:rPr>
          <w:lang w:val="fr-CA"/>
        </w:rPr>
        <w:t xml:space="preserve">l’événement </w:t>
      </w:r>
      <w:r w:rsidR="00387175" w:rsidRPr="00ED22D1">
        <w:rPr>
          <w:lang w:val="fr-CA"/>
        </w:rPr>
        <w:t>Ozone2Climate Alternative Roadshow</w:t>
      </w:r>
      <w:r w:rsidR="004A6828" w:rsidRPr="00ED22D1">
        <w:rPr>
          <w:lang w:val="fr-CA"/>
        </w:rPr>
        <w:t xml:space="preserve"> </w:t>
      </w:r>
      <w:r w:rsidRPr="00ED22D1">
        <w:rPr>
          <w:lang w:val="fr-CA"/>
        </w:rPr>
        <w:t>and</w:t>
      </w:r>
      <w:r w:rsidR="004A6828" w:rsidRPr="00ED22D1">
        <w:rPr>
          <w:lang w:val="fr-CA"/>
        </w:rPr>
        <w:t xml:space="preserve"> </w:t>
      </w:r>
      <w:r w:rsidR="00387175" w:rsidRPr="00ED22D1">
        <w:rPr>
          <w:lang w:val="fr-CA"/>
        </w:rPr>
        <w:t>Roundtable,</w:t>
      </w:r>
      <w:r w:rsidR="004A6828" w:rsidRPr="00ED22D1">
        <w:rPr>
          <w:lang w:val="fr-CA"/>
        </w:rPr>
        <w:t xml:space="preserve"> et </w:t>
      </w:r>
      <w:r w:rsidRPr="00ED22D1">
        <w:rPr>
          <w:lang w:val="fr-CA"/>
        </w:rPr>
        <w:t>la célébration du jour international de l’ozone (</w:t>
      </w:r>
      <w:r w:rsidR="00387175" w:rsidRPr="00ED22D1">
        <w:rPr>
          <w:lang w:val="fr-CA"/>
        </w:rPr>
        <w:t>International Ozone Day 2018</w:t>
      </w:r>
      <w:r w:rsidRPr="00ED22D1">
        <w:rPr>
          <w:lang w:val="fr-CA"/>
        </w:rPr>
        <w:t>)</w:t>
      </w:r>
      <w:r w:rsidR="00387175" w:rsidRPr="00ED22D1">
        <w:rPr>
          <w:lang w:val="fr-CA"/>
        </w:rPr>
        <w:t>.</w:t>
      </w:r>
    </w:p>
    <w:p w:rsidR="00387175" w:rsidRPr="00132AEA" w:rsidRDefault="000C08D1" w:rsidP="00387175">
      <w:pPr>
        <w:keepNext/>
        <w:spacing w:after="240"/>
        <w:rPr>
          <w:lang w:val="fr-CA"/>
        </w:rPr>
      </w:pPr>
      <w:r w:rsidRPr="00ED22D1">
        <w:rPr>
          <w:i/>
          <w:lang w:val="fr-CA"/>
        </w:rPr>
        <w:t>Unité de mise en oeuvre et de suivi du projet</w:t>
      </w:r>
      <w:r w:rsidR="00387175" w:rsidRPr="00ED22D1">
        <w:rPr>
          <w:i/>
          <w:lang w:val="fr-CA"/>
        </w:rPr>
        <w:t xml:space="preserve"> (PMU)</w:t>
      </w:r>
    </w:p>
    <w:p w:rsidR="00387175" w:rsidRPr="00ED22D1" w:rsidRDefault="00B20702" w:rsidP="00B20702">
      <w:pPr>
        <w:pStyle w:val="Heading1"/>
        <w:numPr>
          <w:ilvl w:val="0"/>
          <w:numId w:val="0"/>
        </w:numPr>
        <w:rPr>
          <w:lang w:val="fr-CA"/>
        </w:rPr>
      </w:pPr>
      <w:r w:rsidRPr="00ED22D1">
        <w:rPr>
          <w:lang w:val="fr-CA"/>
        </w:rPr>
        <w:t>100.</w:t>
      </w:r>
      <w:r w:rsidRPr="00ED22D1">
        <w:rPr>
          <w:lang w:val="fr-CA"/>
        </w:rPr>
        <w:tab/>
      </w:r>
      <w:r w:rsidR="00B939C1" w:rsidRPr="00ED22D1">
        <w:rPr>
          <w:lang w:val="fr-CA"/>
        </w:rPr>
        <w:t xml:space="preserve">Les responsabilités de la coordination directe, de la </w:t>
      </w:r>
      <w:r w:rsidR="00921BDE" w:rsidRPr="00ED22D1">
        <w:rPr>
          <w:lang w:val="fr-CA"/>
        </w:rPr>
        <w:t xml:space="preserve">mise en oeuvre </w:t>
      </w:r>
      <w:r w:rsidR="004A6828" w:rsidRPr="00ED22D1">
        <w:rPr>
          <w:lang w:val="fr-CA"/>
        </w:rPr>
        <w:t>et</w:t>
      </w:r>
      <w:r w:rsidR="00B939C1" w:rsidRPr="00ED22D1">
        <w:rPr>
          <w:lang w:val="fr-CA"/>
        </w:rPr>
        <w:t xml:space="preserve"> du suivi des </w:t>
      </w:r>
      <w:r w:rsidR="001B45EC" w:rsidRPr="00ED22D1">
        <w:rPr>
          <w:lang w:val="fr-CA"/>
        </w:rPr>
        <w:t>activités</w:t>
      </w:r>
      <w:r w:rsidR="00387175" w:rsidRPr="00ED22D1">
        <w:rPr>
          <w:lang w:val="fr-CA"/>
        </w:rPr>
        <w:t xml:space="preserve"> </w:t>
      </w:r>
      <w:r w:rsidR="001B31BF" w:rsidRPr="00ED22D1">
        <w:rPr>
          <w:lang w:val="fr-CA"/>
        </w:rPr>
        <w:t>du</w:t>
      </w:r>
      <w:r w:rsidR="00132AEA">
        <w:rPr>
          <w:lang w:val="fr-CA"/>
        </w:rPr>
        <w:t> </w:t>
      </w:r>
      <w:r w:rsidR="001B31BF" w:rsidRPr="00ED22D1">
        <w:rPr>
          <w:lang w:val="fr-CA"/>
        </w:rPr>
        <w:t>plan du secteur de l’entretien</w:t>
      </w:r>
      <w:r w:rsidR="00387175" w:rsidRPr="00ED22D1">
        <w:rPr>
          <w:lang w:val="fr-CA"/>
        </w:rPr>
        <w:t xml:space="preserve"> </w:t>
      </w:r>
      <w:r w:rsidR="001F19C1" w:rsidRPr="00ED22D1">
        <w:rPr>
          <w:lang w:val="fr-CA"/>
        </w:rPr>
        <w:t>du PGEH</w:t>
      </w:r>
      <w:r w:rsidR="00387175" w:rsidRPr="00ED22D1">
        <w:rPr>
          <w:lang w:val="fr-CA"/>
        </w:rPr>
        <w:t xml:space="preserve">, </w:t>
      </w:r>
      <w:r w:rsidR="00B939C1" w:rsidRPr="00ED22D1">
        <w:rPr>
          <w:lang w:val="fr-CA"/>
        </w:rPr>
        <w:t xml:space="preserve">ainsi que le </w:t>
      </w:r>
      <w:r w:rsidR="00945536" w:rsidRPr="00ED22D1">
        <w:rPr>
          <w:lang w:val="fr-CA"/>
        </w:rPr>
        <w:t>renforcement des capacités</w:t>
      </w:r>
      <w:r w:rsidR="00387175" w:rsidRPr="00ED22D1">
        <w:rPr>
          <w:lang w:val="fr-CA"/>
        </w:rPr>
        <w:t xml:space="preserve"> </w:t>
      </w:r>
      <w:r w:rsidR="00B939C1" w:rsidRPr="00ED22D1">
        <w:rPr>
          <w:lang w:val="fr-CA"/>
        </w:rPr>
        <w:t>des autorités nationales et</w:t>
      </w:r>
      <w:r w:rsidR="00132AEA">
        <w:rPr>
          <w:lang w:val="fr-CA"/>
        </w:rPr>
        <w:t xml:space="preserve"> </w:t>
      </w:r>
      <w:r w:rsidR="00B939C1" w:rsidRPr="00ED22D1">
        <w:rPr>
          <w:lang w:val="fr-CA"/>
        </w:rPr>
        <w:t>locales</w:t>
      </w:r>
      <w:r w:rsidR="00387175" w:rsidRPr="00ED22D1">
        <w:rPr>
          <w:lang w:val="fr-CA"/>
        </w:rPr>
        <w:t>,</w:t>
      </w:r>
      <w:r w:rsidR="004A6828" w:rsidRPr="00ED22D1">
        <w:rPr>
          <w:lang w:val="fr-CA"/>
        </w:rPr>
        <w:t xml:space="preserve"> et </w:t>
      </w:r>
      <w:r w:rsidR="00B939C1" w:rsidRPr="00ED22D1">
        <w:rPr>
          <w:lang w:val="fr-CA"/>
        </w:rPr>
        <w:t>la stratégie de sensibilisation et de vulgarisation est dispensée par le groupe de</w:t>
      </w:r>
      <w:r w:rsidR="00132AEA">
        <w:rPr>
          <w:lang w:val="fr-CA"/>
        </w:rPr>
        <w:t> </w:t>
      </w:r>
      <w:r w:rsidR="00B939C1" w:rsidRPr="00ED22D1">
        <w:rPr>
          <w:lang w:val="fr-CA"/>
        </w:rPr>
        <w:t xml:space="preserve">travail du plan du </w:t>
      </w:r>
      <w:r w:rsidR="00181884" w:rsidRPr="00ED22D1">
        <w:rPr>
          <w:lang w:val="fr-CA"/>
        </w:rPr>
        <w:t>secteur de l’entretien en réfrigération</w:t>
      </w:r>
      <w:r w:rsidR="00B939C1" w:rsidRPr="00ED22D1">
        <w:rPr>
          <w:lang w:val="fr-CA"/>
        </w:rPr>
        <w:t>,</w:t>
      </w:r>
      <w:r w:rsidR="00387175" w:rsidRPr="00ED22D1">
        <w:rPr>
          <w:lang w:val="fr-CA"/>
        </w:rPr>
        <w:t xml:space="preserve"> </w:t>
      </w:r>
      <w:r w:rsidR="00B939C1" w:rsidRPr="00ED22D1">
        <w:rPr>
          <w:lang w:val="fr-CA"/>
        </w:rPr>
        <w:t xml:space="preserve">qui agit à titre de </w:t>
      </w:r>
      <w:r w:rsidR="00387175" w:rsidRPr="00ED22D1">
        <w:rPr>
          <w:lang w:val="fr-CA"/>
        </w:rPr>
        <w:t xml:space="preserve">PMU </w:t>
      </w:r>
      <w:r w:rsidR="00B939C1" w:rsidRPr="00ED22D1">
        <w:rPr>
          <w:lang w:val="fr-CA"/>
        </w:rPr>
        <w:t>pour ce</w:t>
      </w:r>
      <w:r w:rsidR="00387175" w:rsidRPr="00ED22D1">
        <w:rPr>
          <w:lang w:val="fr-CA"/>
        </w:rPr>
        <w:t xml:space="preserve"> </w:t>
      </w:r>
      <w:r w:rsidR="00733306" w:rsidRPr="00ED22D1">
        <w:rPr>
          <w:lang w:val="fr-CA"/>
        </w:rPr>
        <w:t>secteur</w:t>
      </w:r>
      <w:r w:rsidR="0031390F" w:rsidRPr="00ED22D1">
        <w:rPr>
          <w:lang w:val="fr-CA"/>
        </w:rPr>
        <w:t>. Le</w:t>
      </w:r>
      <w:r w:rsidR="00132AEA">
        <w:rPr>
          <w:lang w:val="fr-CA"/>
        </w:rPr>
        <w:t> </w:t>
      </w:r>
      <w:r w:rsidR="001F19C1" w:rsidRPr="00ED22D1">
        <w:rPr>
          <w:lang w:val="fr-CA"/>
        </w:rPr>
        <w:t>PNUE</w:t>
      </w:r>
      <w:r w:rsidR="00387175" w:rsidRPr="00ED22D1">
        <w:rPr>
          <w:lang w:val="fr-CA"/>
        </w:rPr>
        <w:t xml:space="preserve"> </w:t>
      </w:r>
      <w:r w:rsidR="00B939C1" w:rsidRPr="00ED22D1">
        <w:rPr>
          <w:lang w:val="fr-CA"/>
        </w:rPr>
        <w:t xml:space="preserve">a fourni un rapport financier pour le décaissement au </w:t>
      </w:r>
      <w:r w:rsidR="00387175" w:rsidRPr="00ED22D1">
        <w:rPr>
          <w:lang w:val="fr-CA"/>
        </w:rPr>
        <w:t xml:space="preserve">PMU </w:t>
      </w:r>
      <w:r w:rsidR="00181884" w:rsidRPr="00ED22D1">
        <w:rPr>
          <w:lang w:val="fr-CA"/>
        </w:rPr>
        <w:t>en Chine</w:t>
      </w:r>
      <w:r w:rsidR="00B939C1" w:rsidRPr="00ED22D1">
        <w:rPr>
          <w:lang w:val="fr-CA"/>
        </w:rPr>
        <w:t>, conformément à</w:t>
      </w:r>
      <w:r w:rsidR="00132AEA">
        <w:rPr>
          <w:lang w:val="fr-CA"/>
        </w:rPr>
        <w:t> </w:t>
      </w:r>
      <w:r w:rsidR="00B939C1" w:rsidRPr="00ED22D1">
        <w:rPr>
          <w:lang w:val="fr-CA"/>
        </w:rPr>
        <w:t>la</w:t>
      </w:r>
      <w:r w:rsidR="00132AEA">
        <w:rPr>
          <w:lang w:val="fr-CA"/>
        </w:rPr>
        <w:t> </w:t>
      </w:r>
      <w:r w:rsidR="00AA6E77" w:rsidRPr="00ED22D1">
        <w:rPr>
          <w:lang w:val="fr-CA"/>
        </w:rPr>
        <w:t>décision</w:t>
      </w:r>
      <w:r w:rsidR="00387175" w:rsidRPr="00ED22D1">
        <w:rPr>
          <w:lang w:val="fr-CA"/>
        </w:rPr>
        <w:t> 81/46</w:t>
      </w:r>
      <w:r w:rsidR="00B939C1" w:rsidRPr="00ED22D1">
        <w:rPr>
          <w:lang w:val="fr-CA"/>
        </w:rPr>
        <w:t> </w:t>
      </w:r>
      <w:r w:rsidR="00387175" w:rsidRPr="00ED22D1">
        <w:rPr>
          <w:lang w:val="fr-CA"/>
        </w:rPr>
        <w:t>b)</w:t>
      </w:r>
      <w:r w:rsidR="00B939C1" w:rsidRPr="00ED22D1">
        <w:rPr>
          <w:lang w:val="fr-CA"/>
        </w:rPr>
        <w:t xml:space="preserve"> (Tableau </w:t>
      </w:r>
      <w:r w:rsidR="004A6828" w:rsidRPr="00ED22D1">
        <w:rPr>
          <w:lang w:val="fr-CA"/>
        </w:rPr>
        <w:t>1</w:t>
      </w:r>
      <w:r w:rsidR="00B939C1" w:rsidRPr="00ED22D1">
        <w:rPr>
          <w:lang w:val="fr-CA"/>
        </w:rPr>
        <w:t>)</w:t>
      </w:r>
      <w:r w:rsidR="00D05BD1" w:rsidRPr="00ED22D1">
        <w:rPr>
          <w:lang w:val="fr-CA"/>
        </w:rPr>
        <w:t>.</w:t>
      </w:r>
    </w:p>
    <w:p w:rsidR="00387175" w:rsidRPr="00ED22D1" w:rsidRDefault="00CE7FEC" w:rsidP="00387175">
      <w:pPr>
        <w:keepNext/>
        <w:rPr>
          <w:b/>
          <w:lang w:val="fr-CA"/>
        </w:rPr>
      </w:pPr>
      <w:r w:rsidRPr="00ED22D1">
        <w:rPr>
          <w:b/>
          <w:lang w:val="fr-CA"/>
        </w:rPr>
        <w:t xml:space="preserve">Tableau </w:t>
      </w:r>
      <w:r w:rsidR="004A6828" w:rsidRPr="00ED22D1">
        <w:rPr>
          <w:b/>
          <w:lang w:val="fr-CA"/>
        </w:rPr>
        <w:t>1</w:t>
      </w:r>
      <w:r w:rsidR="00D05BD1" w:rsidRPr="00ED22D1">
        <w:rPr>
          <w:b/>
          <w:lang w:val="fr-CA"/>
        </w:rPr>
        <w:t>.</w:t>
      </w:r>
      <w:r w:rsidR="00387175" w:rsidRPr="00ED22D1">
        <w:rPr>
          <w:b/>
          <w:lang w:val="fr-CA"/>
        </w:rPr>
        <w:t xml:space="preserve"> </w:t>
      </w:r>
      <w:r w:rsidR="00572798" w:rsidRPr="00ED22D1">
        <w:rPr>
          <w:b/>
          <w:lang w:val="fr-CA"/>
        </w:rPr>
        <w:t xml:space="preserve">Dépenses des </w:t>
      </w:r>
      <w:r w:rsidR="00387175" w:rsidRPr="00ED22D1">
        <w:rPr>
          <w:b/>
          <w:lang w:val="fr-CA"/>
        </w:rPr>
        <w:t xml:space="preserve">PMU </w:t>
      </w:r>
      <w:r w:rsidR="00572798" w:rsidRPr="00ED22D1">
        <w:rPr>
          <w:b/>
          <w:lang w:val="fr-CA"/>
        </w:rPr>
        <w:t>pour</w:t>
      </w:r>
      <w:r w:rsidR="00387175" w:rsidRPr="00ED22D1">
        <w:rPr>
          <w:b/>
          <w:lang w:val="fr-CA"/>
        </w:rPr>
        <w:t xml:space="preserve"> 2016</w:t>
      </w:r>
      <w:r w:rsidR="00572798" w:rsidRPr="00ED22D1">
        <w:rPr>
          <w:b/>
          <w:lang w:val="fr-CA"/>
        </w:rPr>
        <w:t>–</w:t>
      </w:r>
      <w:r w:rsidR="00387175" w:rsidRPr="00ED22D1">
        <w:rPr>
          <w:b/>
          <w:lang w:val="fr-CA"/>
        </w:rPr>
        <w:t>201</w:t>
      </w:r>
      <w:r w:rsidR="004A6828" w:rsidRPr="00ED22D1">
        <w:rPr>
          <w:b/>
          <w:lang w:val="fr-CA"/>
        </w:rPr>
        <w:t>7</w:t>
      </w:r>
      <w:r w:rsidR="00572798" w:rsidRPr="00ED22D1">
        <w:rPr>
          <w:b/>
          <w:lang w:val="fr-CA"/>
        </w:rPr>
        <w:t>,</w:t>
      </w:r>
      <w:r w:rsidR="004A6828" w:rsidRPr="00ED22D1">
        <w:rPr>
          <w:b/>
          <w:lang w:val="fr-CA"/>
        </w:rPr>
        <w:t xml:space="preserve"> phase </w:t>
      </w:r>
      <w:r w:rsidR="00387175" w:rsidRPr="00ED22D1">
        <w:rPr>
          <w:b/>
          <w:lang w:val="fr-CA"/>
        </w:rPr>
        <w:t xml:space="preserve">II </w:t>
      </w:r>
      <w:r w:rsidR="00572798" w:rsidRPr="00ED22D1">
        <w:rPr>
          <w:b/>
          <w:lang w:val="fr-CA"/>
        </w:rPr>
        <w:t xml:space="preserve">du programme d’habilitation et d’entretien en réfrigération </w:t>
      </w:r>
      <w:r w:rsidR="00181884" w:rsidRPr="00ED22D1">
        <w:rPr>
          <w:b/>
          <w:lang w:val="fr-CA"/>
        </w:rPr>
        <w:t>en Chine</w:t>
      </w:r>
      <w:r w:rsidR="00387175" w:rsidRPr="00ED22D1">
        <w:rPr>
          <w:b/>
          <w:lang w:val="fr-CA"/>
        </w:rPr>
        <w:t xml:space="preserve"> </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8"/>
        <w:gridCol w:w="5552"/>
        <w:gridCol w:w="2175"/>
      </w:tblGrid>
      <w:tr w:rsidR="00387175" w:rsidRPr="00ED22D1" w:rsidTr="001716CF">
        <w:trPr>
          <w:jc w:val="center"/>
        </w:trPr>
        <w:tc>
          <w:tcPr>
            <w:tcW w:w="857" w:type="pct"/>
            <w:vAlign w:val="center"/>
          </w:tcPr>
          <w:p w:rsidR="00387175" w:rsidRPr="00ED22D1" w:rsidRDefault="00B939C1" w:rsidP="00387175">
            <w:pPr>
              <w:keepNext/>
              <w:rPr>
                <w:b/>
                <w:sz w:val="20"/>
                <w:lang w:val="fr-CA"/>
              </w:rPr>
            </w:pPr>
            <w:r w:rsidRPr="00ED22D1">
              <w:rPr>
                <w:b/>
                <w:sz w:val="20"/>
                <w:lang w:val="fr-CA"/>
              </w:rPr>
              <w:t>Postes</w:t>
            </w:r>
          </w:p>
        </w:tc>
        <w:tc>
          <w:tcPr>
            <w:tcW w:w="2977" w:type="pct"/>
            <w:tcBorders>
              <w:right w:val="single" w:sz="4" w:space="0" w:color="auto"/>
            </w:tcBorders>
            <w:vAlign w:val="center"/>
          </w:tcPr>
          <w:p w:rsidR="00387175" w:rsidRPr="00ED22D1" w:rsidRDefault="00387175" w:rsidP="00387175">
            <w:pPr>
              <w:keepNext/>
              <w:rPr>
                <w:b/>
                <w:sz w:val="20"/>
                <w:lang w:val="fr-CA"/>
              </w:rPr>
            </w:pPr>
            <w:r w:rsidRPr="00ED22D1">
              <w:rPr>
                <w:b/>
                <w:sz w:val="20"/>
                <w:lang w:val="fr-CA"/>
              </w:rPr>
              <w:t>Description</w:t>
            </w:r>
          </w:p>
        </w:tc>
        <w:tc>
          <w:tcPr>
            <w:tcW w:w="1167" w:type="pct"/>
            <w:tcBorders>
              <w:left w:val="single" w:sz="4" w:space="0" w:color="auto"/>
            </w:tcBorders>
            <w:vAlign w:val="center"/>
          </w:tcPr>
          <w:p w:rsidR="00387175" w:rsidRPr="00ED22D1" w:rsidRDefault="00D15079" w:rsidP="00387175">
            <w:pPr>
              <w:keepNext/>
              <w:rPr>
                <w:b/>
                <w:sz w:val="20"/>
                <w:lang w:val="fr-CA"/>
              </w:rPr>
            </w:pPr>
            <w:r w:rsidRPr="00ED22D1">
              <w:rPr>
                <w:b/>
                <w:sz w:val="20"/>
                <w:lang w:val="fr-CA"/>
              </w:rPr>
              <w:t>Financement</w:t>
            </w:r>
            <w:r w:rsidR="00387175" w:rsidRPr="00ED22D1">
              <w:rPr>
                <w:b/>
                <w:sz w:val="20"/>
                <w:lang w:val="fr-CA"/>
              </w:rPr>
              <w:t xml:space="preserve"> </w:t>
            </w:r>
            <w:r w:rsidR="00874624" w:rsidRPr="00ED22D1">
              <w:rPr>
                <w:b/>
                <w:sz w:val="20"/>
                <w:lang w:val="fr-CA"/>
              </w:rPr>
              <w:t>($US)</w:t>
            </w:r>
          </w:p>
        </w:tc>
      </w:tr>
      <w:tr w:rsidR="000768BB" w:rsidRPr="00ED22D1" w:rsidTr="001716CF">
        <w:trPr>
          <w:trHeight w:val="332"/>
          <w:jc w:val="center"/>
        </w:trPr>
        <w:tc>
          <w:tcPr>
            <w:tcW w:w="857" w:type="pct"/>
            <w:vMerge w:val="restart"/>
            <w:vAlign w:val="center"/>
          </w:tcPr>
          <w:p w:rsidR="000768BB" w:rsidRPr="00ED22D1" w:rsidRDefault="000768BB" w:rsidP="000768BB">
            <w:pPr>
              <w:tabs>
                <w:tab w:val="left" w:pos="284"/>
              </w:tabs>
              <w:spacing w:after="100" w:afterAutospacing="1"/>
              <w:jc w:val="left"/>
              <w:rPr>
                <w:kern w:val="36"/>
                <w:sz w:val="20"/>
                <w:szCs w:val="20"/>
                <w:lang w:val="fr-CA"/>
              </w:rPr>
            </w:pPr>
            <w:r w:rsidRPr="00ED22D1">
              <w:rPr>
                <w:kern w:val="36"/>
                <w:sz w:val="20"/>
                <w:szCs w:val="20"/>
                <w:lang w:val="fr-CA"/>
              </w:rPr>
              <w:t>Personnel du projet</w:t>
            </w:r>
          </w:p>
        </w:tc>
        <w:tc>
          <w:tcPr>
            <w:tcW w:w="2977" w:type="pct"/>
            <w:tcBorders>
              <w:right w:val="single" w:sz="4" w:space="0" w:color="auto"/>
            </w:tcBorders>
          </w:tcPr>
          <w:p w:rsidR="000768BB" w:rsidRPr="00ED22D1" w:rsidRDefault="000768BB" w:rsidP="000768BB">
            <w:pPr>
              <w:tabs>
                <w:tab w:val="left" w:pos="284"/>
              </w:tabs>
              <w:spacing w:after="100" w:afterAutospacing="1"/>
              <w:rPr>
                <w:kern w:val="36"/>
                <w:sz w:val="20"/>
                <w:szCs w:val="20"/>
                <w:lang w:val="fr-CA"/>
              </w:rPr>
            </w:pPr>
            <w:r w:rsidRPr="00ED22D1">
              <w:rPr>
                <w:kern w:val="36"/>
                <w:sz w:val="20"/>
                <w:szCs w:val="20"/>
                <w:lang w:val="fr-CA"/>
              </w:rPr>
              <w:t>Personnel de gestion du programme</w:t>
            </w:r>
          </w:p>
        </w:tc>
        <w:tc>
          <w:tcPr>
            <w:tcW w:w="1167" w:type="pct"/>
            <w:tcBorders>
              <w:left w:val="single" w:sz="4" w:space="0" w:color="auto"/>
            </w:tcBorders>
            <w:vAlign w:val="center"/>
          </w:tcPr>
          <w:p w:rsidR="000768BB" w:rsidRPr="00ED22D1" w:rsidRDefault="000768BB" w:rsidP="00387175">
            <w:pPr>
              <w:keepNext/>
              <w:jc w:val="right"/>
              <w:rPr>
                <w:sz w:val="20"/>
                <w:lang w:val="fr-CA"/>
              </w:rPr>
            </w:pPr>
            <w:r w:rsidRPr="00ED22D1">
              <w:rPr>
                <w:sz w:val="20"/>
                <w:lang w:val="fr-CA"/>
              </w:rPr>
              <w:t>70 500</w:t>
            </w:r>
          </w:p>
        </w:tc>
      </w:tr>
      <w:tr w:rsidR="000768BB" w:rsidRPr="00ED22D1" w:rsidTr="001716CF">
        <w:trPr>
          <w:jc w:val="center"/>
        </w:trPr>
        <w:tc>
          <w:tcPr>
            <w:tcW w:w="857" w:type="pct"/>
            <w:vMerge/>
            <w:vAlign w:val="center"/>
          </w:tcPr>
          <w:p w:rsidR="000768BB" w:rsidRPr="00ED22D1" w:rsidRDefault="000768BB" w:rsidP="00387175">
            <w:pPr>
              <w:keepNext/>
              <w:rPr>
                <w:sz w:val="20"/>
                <w:lang w:val="fr-CA"/>
              </w:rPr>
            </w:pPr>
          </w:p>
        </w:tc>
        <w:tc>
          <w:tcPr>
            <w:tcW w:w="2977" w:type="pct"/>
            <w:tcBorders>
              <w:right w:val="single" w:sz="4" w:space="0" w:color="auto"/>
            </w:tcBorders>
          </w:tcPr>
          <w:p w:rsidR="000768BB" w:rsidRPr="00ED22D1" w:rsidRDefault="000768BB" w:rsidP="000768BB">
            <w:pPr>
              <w:tabs>
                <w:tab w:val="left" w:pos="284"/>
              </w:tabs>
              <w:spacing w:after="100" w:afterAutospacing="1"/>
              <w:rPr>
                <w:kern w:val="36"/>
                <w:sz w:val="20"/>
                <w:szCs w:val="20"/>
                <w:lang w:val="fr-CA"/>
              </w:rPr>
            </w:pPr>
            <w:r w:rsidRPr="00ED22D1">
              <w:rPr>
                <w:kern w:val="36"/>
                <w:sz w:val="20"/>
                <w:szCs w:val="20"/>
                <w:lang w:val="fr-CA"/>
              </w:rPr>
              <w:t>Autre personnel de soutien (finances, achats, soutien en droit, autres)</w:t>
            </w:r>
          </w:p>
        </w:tc>
        <w:tc>
          <w:tcPr>
            <w:tcW w:w="1167" w:type="pct"/>
            <w:tcBorders>
              <w:left w:val="single" w:sz="4" w:space="0" w:color="auto"/>
            </w:tcBorders>
            <w:vAlign w:val="center"/>
          </w:tcPr>
          <w:p w:rsidR="000768BB" w:rsidRPr="00ED22D1" w:rsidRDefault="000768BB" w:rsidP="00387175">
            <w:pPr>
              <w:keepNext/>
              <w:jc w:val="right"/>
              <w:rPr>
                <w:sz w:val="20"/>
                <w:lang w:val="fr-CA"/>
              </w:rPr>
            </w:pPr>
            <w:r w:rsidRPr="00ED22D1">
              <w:rPr>
                <w:sz w:val="20"/>
                <w:lang w:val="fr-CA"/>
              </w:rPr>
              <w:t>47 000</w:t>
            </w:r>
          </w:p>
        </w:tc>
      </w:tr>
      <w:tr w:rsidR="000768BB" w:rsidRPr="00ED22D1" w:rsidTr="001716CF">
        <w:trPr>
          <w:jc w:val="center"/>
        </w:trPr>
        <w:tc>
          <w:tcPr>
            <w:tcW w:w="857" w:type="pct"/>
            <w:vAlign w:val="center"/>
          </w:tcPr>
          <w:p w:rsidR="000768BB" w:rsidRPr="00ED22D1" w:rsidRDefault="000768BB" w:rsidP="000768BB">
            <w:pPr>
              <w:tabs>
                <w:tab w:val="left" w:pos="284"/>
              </w:tabs>
              <w:spacing w:after="100" w:afterAutospacing="1"/>
              <w:jc w:val="left"/>
              <w:rPr>
                <w:kern w:val="36"/>
                <w:sz w:val="20"/>
                <w:szCs w:val="20"/>
                <w:lang w:val="fr-CA"/>
              </w:rPr>
            </w:pPr>
            <w:r w:rsidRPr="00ED22D1">
              <w:rPr>
                <w:kern w:val="36"/>
                <w:sz w:val="20"/>
                <w:szCs w:val="20"/>
                <w:lang w:val="fr-CA"/>
              </w:rPr>
              <w:t>Dépenses de l’agence d’exploitation</w:t>
            </w:r>
          </w:p>
        </w:tc>
        <w:tc>
          <w:tcPr>
            <w:tcW w:w="2977" w:type="pct"/>
            <w:tcBorders>
              <w:right w:val="single" w:sz="4" w:space="0" w:color="auto"/>
            </w:tcBorders>
          </w:tcPr>
          <w:p w:rsidR="000768BB" w:rsidRPr="00ED22D1" w:rsidRDefault="000768BB" w:rsidP="000768BB">
            <w:pPr>
              <w:tabs>
                <w:tab w:val="left" w:pos="284"/>
              </w:tabs>
              <w:spacing w:after="100" w:afterAutospacing="1"/>
              <w:rPr>
                <w:kern w:val="36"/>
                <w:sz w:val="20"/>
                <w:szCs w:val="20"/>
                <w:lang w:val="fr-CA"/>
              </w:rPr>
            </w:pPr>
            <w:r w:rsidRPr="00ED22D1">
              <w:rPr>
                <w:kern w:val="36"/>
                <w:sz w:val="20"/>
                <w:szCs w:val="20"/>
                <w:lang w:val="fr-CA"/>
              </w:rPr>
              <w:t>Dépenses d’exploitation quotidiennes (voyages au pays, réunions, installations de bureaux et équipements, autres)</w:t>
            </w:r>
          </w:p>
        </w:tc>
        <w:tc>
          <w:tcPr>
            <w:tcW w:w="1167" w:type="pct"/>
            <w:tcBorders>
              <w:left w:val="single" w:sz="4" w:space="0" w:color="auto"/>
            </w:tcBorders>
            <w:vAlign w:val="center"/>
          </w:tcPr>
          <w:p w:rsidR="000768BB" w:rsidRPr="00ED22D1" w:rsidRDefault="000768BB" w:rsidP="00387175">
            <w:pPr>
              <w:keepNext/>
              <w:jc w:val="right"/>
              <w:rPr>
                <w:sz w:val="20"/>
                <w:lang w:val="fr-CA"/>
              </w:rPr>
            </w:pPr>
            <w:r w:rsidRPr="00ED22D1">
              <w:rPr>
                <w:sz w:val="20"/>
                <w:lang w:val="fr-CA"/>
              </w:rPr>
              <w:t>58 750</w:t>
            </w:r>
          </w:p>
        </w:tc>
      </w:tr>
      <w:tr w:rsidR="000768BB" w:rsidRPr="00ED22D1" w:rsidTr="001716CF">
        <w:trPr>
          <w:jc w:val="center"/>
        </w:trPr>
        <w:tc>
          <w:tcPr>
            <w:tcW w:w="857" w:type="pct"/>
            <w:vAlign w:val="center"/>
          </w:tcPr>
          <w:p w:rsidR="000768BB" w:rsidRPr="00ED22D1" w:rsidRDefault="000768BB" w:rsidP="000768BB">
            <w:pPr>
              <w:tabs>
                <w:tab w:val="left" w:pos="284"/>
              </w:tabs>
              <w:spacing w:after="100" w:afterAutospacing="1"/>
              <w:jc w:val="left"/>
              <w:rPr>
                <w:kern w:val="36"/>
                <w:sz w:val="20"/>
                <w:szCs w:val="20"/>
                <w:lang w:val="fr-CA"/>
              </w:rPr>
            </w:pPr>
            <w:r w:rsidRPr="00ED22D1">
              <w:rPr>
                <w:kern w:val="36"/>
                <w:sz w:val="20"/>
                <w:szCs w:val="20"/>
                <w:lang w:val="fr-CA"/>
              </w:rPr>
              <w:t>Services de consultation</w:t>
            </w:r>
          </w:p>
        </w:tc>
        <w:tc>
          <w:tcPr>
            <w:tcW w:w="2977" w:type="pct"/>
            <w:tcBorders>
              <w:right w:val="single" w:sz="4" w:space="0" w:color="auto"/>
            </w:tcBorders>
          </w:tcPr>
          <w:p w:rsidR="000768BB" w:rsidRPr="00ED22D1" w:rsidRDefault="000768BB" w:rsidP="00913F11">
            <w:pPr>
              <w:tabs>
                <w:tab w:val="left" w:pos="284"/>
              </w:tabs>
              <w:spacing w:after="100" w:afterAutospacing="1"/>
              <w:rPr>
                <w:kern w:val="36"/>
                <w:sz w:val="20"/>
                <w:szCs w:val="20"/>
                <w:lang w:val="fr-CA"/>
              </w:rPr>
            </w:pPr>
            <w:r w:rsidRPr="00ED22D1">
              <w:rPr>
                <w:kern w:val="36"/>
                <w:sz w:val="20"/>
                <w:szCs w:val="20"/>
                <w:lang w:val="fr-CA"/>
              </w:rPr>
              <w:t xml:space="preserve">Consultations d’institutions et de spécialistes embauchés pour </w:t>
            </w:r>
            <w:r w:rsidR="00913F11">
              <w:rPr>
                <w:kern w:val="36"/>
                <w:sz w:val="20"/>
                <w:szCs w:val="20"/>
                <w:lang w:val="fr-CA"/>
              </w:rPr>
              <w:t>l’</w:t>
            </w:r>
            <w:r w:rsidRPr="00ED22D1">
              <w:rPr>
                <w:kern w:val="36"/>
                <w:sz w:val="20"/>
                <w:szCs w:val="20"/>
                <w:lang w:val="fr-CA"/>
              </w:rPr>
              <w:t xml:space="preserve">évaluation des </w:t>
            </w:r>
            <w:r w:rsidR="00CE151F">
              <w:rPr>
                <w:kern w:val="36"/>
                <w:sz w:val="20"/>
                <w:szCs w:val="20"/>
                <w:lang w:val="fr-CA"/>
              </w:rPr>
              <w:t xml:space="preserve">propositions de </w:t>
            </w:r>
            <w:r w:rsidRPr="00ED22D1">
              <w:rPr>
                <w:kern w:val="36"/>
                <w:sz w:val="20"/>
                <w:szCs w:val="20"/>
                <w:lang w:val="fr-CA"/>
              </w:rPr>
              <w:t xml:space="preserve">projets, vérification </w:t>
            </w:r>
            <w:r w:rsidR="00CE151F">
              <w:rPr>
                <w:kern w:val="36"/>
                <w:sz w:val="20"/>
                <w:szCs w:val="20"/>
                <w:lang w:val="fr-CA"/>
              </w:rPr>
              <w:t>et inspection financi</w:t>
            </w:r>
            <w:r w:rsidRPr="00ED22D1">
              <w:rPr>
                <w:kern w:val="36"/>
                <w:sz w:val="20"/>
                <w:szCs w:val="20"/>
                <w:lang w:val="fr-CA"/>
              </w:rPr>
              <w:t>ère</w:t>
            </w:r>
            <w:r w:rsidR="00913F11">
              <w:rPr>
                <w:kern w:val="36"/>
                <w:sz w:val="20"/>
                <w:szCs w:val="20"/>
                <w:lang w:val="fr-CA"/>
              </w:rPr>
              <w:t>s</w:t>
            </w:r>
            <w:r w:rsidRPr="00ED22D1">
              <w:rPr>
                <w:kern w:val="36"/>
                <w:sz w:val="20"/>
                <w:szCs w:val="20"/>
                <w:lang w:val="fr-CA"/>
              </w:rPr>
              <w:t xml:space="preserve"> et technique</w:t>
            </w:r>
            <w:r w:rsidR="00913F11">
              <w:rPr>
                <w:kern w:val="36"/>
                <w:sz w:val="20"/>
                <w:szCs w:val="20"/>
                <w:lang w:val="fr-CA"/>
              </w:rPr>
              <w:t>s</w:t>
            </w:r>
            <w:r w:rsidRPr="00ED22D1">
              <w:rPr>
                <w:kern w:val="36"/>
                <w:sz w:val="20"/>
                <w:szCs w:val="20"/>
                <w:lang w:val="fr-CA"/>
              </w:rPr>
              <w:t xml:space="preserve">, évaluation des appels d’offres, </w:t>
            </w:r>
            <w:r w:rsidR="00CE151F">
              <w:rPr>
                <w:kern w:val="36"/>
                <w:sz w:val="20"/>
                <w:szCs w:val="20"/>
                <w:lang w:val="fr-CA"/>
              </w:rPr>
              <w:t xml:space="preserve">et autre </w:t>
            </w:r>
            <w:r w:rsidRPr="00ED22D1">
              <w:rPr>
                <w:kern w:val="36"/>
                <w:sz w:val="20"/>
                <w:szCs w:val="20"/>
                <w:lang w:val="fr-CA"/>
              </w:rPr>
              <w:t xml:space="preserve">soutien technique. </w:t>
            </w:r>
          </w:p>
        </w:tc>
        <w:tc>
          <w:tcPr>
            <w:tcW w:w="1167" w:type="pct"/>
            <w:tcBorders>
              <w:left w:val="single" w:sz="4" w:space="0" w:color="auto"/>
            </w:tcBorders>
            <w:vAlign w:val="center"/>
          </w:tcPr>
          <w:p w:rsidR="000768BB" w:rsidRPr="00ED22D1" w:rsidRDefault="000768BB" w:rsidP="00387175">
            <w:pPr>
              <w:keepNext/>
              <w:jc w:val="right"/>
              <w:rPr>
                <w:sz w:val="20"/>
                <w:lang w:val="fr-CA"/>
              </w:rPr>
            </w:pPr>
            <w:r w:rsidRPr="00ED22D1">
              <w:rPr>
                <w:sz w:val="20"/>
                <w:lang w:val="fr-CA"/>
              </w:rPr>
              <w:t>58 750</w:t>
            </w:r>
          </w:p>
        </w:tc>
      </w:tr>
      <w:tr w:rsidR="00387175" w:rsidRPr="00ED22D1" w:rsidTr="001716CF">
        <w:trPr>
          <w:jc w:val="center"/>
        </w:trPr>
        <w:tc>
          <w:tcPr>
            <w:tcW w:w="3833" w:type="pct"/>
            <w:gridSpan w:val="2"/>
            <w:tcBorders>
              <w:right w:val="single" w:sz="4" w:space="0" w:color="auto"/>
            </w:tcBorders>
            <w:vAlign w:val="center"/>
          </w:tcPr>
          <w:p w:rsidR="00387175" w:rsidRPr="00ED22D1" w:rsidRDefault="00387175" w:rsidP="00387175">
            <w:pPr>
              <w:keepNext/>
              <w:rPr>
                <w:b/>
                <w:sz w:val="20"/>
                <w:lang w:val="fr-CA"/>
              </w:rPr>
            </w:pPr>
            <w:r w:rsidRPr="00ED22D1">
              <w:rPr>
                <w:b/>
                <w:sz w:val="20"/>
                <w:lang w:val="fr-CA"/>
              </w:rPr>
              <w:t xml:space="preserve">Total </w:t>
            </w:r>
            <w:r w:rsidR="000768BB" w:rsidRPr="00ED22D1">
              <w:rPr>
                <w:b/>
                <w:sz w:val="20"/>
                <w:lang w:val="fr-CA"/>
              </w:rPr>
              <w:t xml:space="preserve">des </w:t>
            </w:r>
            <w:r w:rsidR="00181884" w:rsidRPr="00ED22D1">
              <w:rPr>
                <w:b/>
                <w:sz w:val="20"/>
                <w:lang w:val="fr-CA"/>
              </w:rPr>
              <w:t>décaissement</w:t>
            </w:r>
            <w:r w:rsidRPr="00ED22D1">
              <w:rPr>
                <w:b/>
                <w:sz w:val="20"/>
                <w:lang w:val="fr-CA"/>
              </w:rPr>
              <w:t>s (</w:t>
            </w:r>
            <w:r w:rsidR="00181884" w:rsidRPr="00ED22D1">
              <w:rPr>
                <w:b/>
                <w:sz w:val="20"/>
                <w:lang w:val="fr-CA"/>
              </w:rPr>
              <w:t>première</w:t>
            </w:r>
            <w:r w:rsidR="004A6828" w:rsidRPr="00ED22D1">
              <w:rPr>
                <w:b/>
                <w:sz w:val="20"/>
                <w:lang w:val="fr-CA"/>
              </w:rPr>
              <w:t xml:space="preserve"> et </w:t>
            </w:r>
            <w:r w:rsidR="00921BDE" w:rsidRPr="00ED22D1">
              <w:rPr>
                <w:b/>
                <w:sz w:val="20"/>
                <w:lang w:val="fr-CA"/>
              </w:rPr>
              <w:t>deuxième</w:t>
            </w:r>
            <w:r w:rsidRPr="00ED22D1">
              <w:rPr>
                <w:b/>
                <w:sz w:val="20"/>
                <w:lang w:val="fr-CA"/>
              </w:rPr>
              <w:t xml:space="preserve"> tranches)</w:t>
            </w:r>
          </w:p>
        </w:tc>
        <w:tc>
          <w:tcPr>
            <w:tcW w:w="1167" w:type="pct"/>
            <w:tcBorders>
              <w:left w:val="single" w:sz="4" w:space="0" w:color="auto"/>
            </w:tcBorders>
            <w:vAlign w:val="center"/>
          </w:tcPr>
          <w:p w:rsidR="00387175" w:rsidRPr="00ED22D1" w:rsidRDefault="00387175" w:rsidP="00387175">
            <w:pPr>
              <w:keepNext/>
              <w:jc w:val="right"/>
              <w:rPr>
                <w:b/>
                <w:sz w:val="20"/>
                <w:lang w:val="fr-CA"/>
              </w:rPr>
            </w:pPr>
            <w:r w:rsidRPr="00ED22D1">
              <w:rPr>
                <w:b/>
                <w:sz w:val="20"/>
                <w:lang w:val="fr-CA"/>
              </w:rPr>
              <w:t>23</w:t>
            </w:r>
            <w:r w:rsidR="004A6828" w:rsidRPr="00ED22D1">
              <w:rPr>
                <w:b/>
                <w:sz w:val="20"/>
                <w:lang w:val="fr-CA"/>
              </w:rPr>
              <w:t>5 </w:t>
            </w:r>
            <w:r w:rsidRPr="00ED22D1">
              <w:rPr>
                <w:b/>
                <w:sz w:val="20"/>
                <w:lang w:val="fr-CA"/>
              </w:rPr>
              <w:t>000</w:t>
            </w:r>
          </w:p>
        </w:tc>
      </w:tr>
    </w:tbl>
    <w:p w:rsidR="00387175" w:rsidRPr="00ED22D1" w:rsidRDefault="00387175" w:rsidP="00387175">
      <w:pPr>
        <w:keepNext/>
        <w:rPr>
          <w:lang w:val="fr-CA"/>
        </w:rPr>
      </w:pPr>
    </w:p>
    <w:p w:rsidR="00387175" w:rsidRPr="00ED22D1" w:rsidRDefault="000C08D1" w:rsidP="00387175">
      <w:pPr>
        <w:keepNext/>
        <w:spacing w:after="240"/>
        <w:rPr>
          <w:u w:val="single"/>
          <w:lang w:val="fr-CA"/>
        </w:rPr>
      </w:pPr>
      <w:r w:rsidRPr="00ED22D1">
        <w:rPr>
          <w:u w:val="single"/>
          <w:lang w:val="fr-CA"/>
        </w:rPr>
        <w:t>Niveau de décaissement des fonds</w:t>
      </w:r>
    </w:p>
    <w:p w:rsidR="00387175" w:rsidRPr="00ED22D1" w:rsidRDefault="00B20702" w:rsidP="00B20702">
      <w:pPr>
        <w:pStyle w:val="Heading1"/>
        <w:numPr>
          <w:ilvl w:val="0"/>
          <w:numId w:val="0"/>
        </w:numPr>
        <w:rPr>
          <w:rFonts w:eastAsia="Calibri"/>
          <w:lang w:val="fr-CA"/>
        </w:rPr>
      </w:pPr>
      <w:r w:rsidRPr="00ED22D1">
        <w:rPr>
          <w:rFonts w:eastAsia="Calibri"/>
          <w:lang w:val="fr-CA"/>
        </w:rPr>
        <w:t>101.</w:t>
      </w:r>
      <w:r w:rsidRPr="00ED22D1">
        <w:rPr>
          <w:rFonts w:eastAsia="Calibri"/>
          <w:lang w:val="fr-CA"/>
        </w:rPr>
        <w:tab/>
      </w:r>
      <w:r w:rsidR="000C08D1" w:rsidRPr="00ED22D1">
        <w:rPr>
          <w:rFonts w:eastAsia="Calibri"/>
          <w:lang w:val="fr-CA"/>
        </w:rPr>
        <w:t>En date de</w:t>
      </w:r>
      <w:r w:rsidR="004E0510" w:rsidRPr="00ED22D1">
        <w:rPr>
          <w:rFonts w:eastAsia="Calibri"/>
          <w:lang w:val="fr-CA"/>
        </w:rPr>
        <w:t xml:space="preserve"> février</w:t>
      </w:r>
      <w:r w:rsidR="00387175" w:rsidRPr="00ED22D1">
        <w:rPr>
          <w:rFonts w:eastAsia="Calibri"/>
          <w:lang w:val="fr-CA"/>
        </w:rPr>
        <w:t xml:space="preserve"> 201</w:t>
      </w:r>
      <w:r w:rsidR="004A6828" w:rsidRPr="00ED22D1">
        <w:rPr>
          <w:rFonts w:eastAsia="Calibri"/>
          <w:lang w:val="fr-CA"/>
        </w:rPr>
        <w:t>9</w:t>
      </w:r>
      <w:r w:rsidR="000C08D1" w:rsidRPr="00ED22D1">
        <w:rPr>
          <w:rFonts w:eastAsia="Calibri"/>
          <w:lang w:val="fr-CA"/>
        </w:rPr>
        <w:t>,</w:t>
      </w:r>
      <w:r w:rsidR="004A6828" w:rsidRPr="00ED22D1">
        <w:rPr>
          <w:rFonts w:eastAsia="Calibri"/>
          <w:lang w:val="fr-CA"/>
        </w:rPr>
        <w:t> </w:t>
      </w:r>
      <w:r w:rsidR="000C08D1" w:rsidRPr="00ED22D1">
        <w:rPr>
          <w:rFonts w:eastAsia="Calibri"/>
          <w:lang w:val="fr-CA"/>
        </w:rPr>
        <w:t>des</w:t>
      </w:r>
      <w:r w:rsidR="00387175" w:rsidRPr="00ED22D1">
        <w:rPr>
          <w:rFonts w:eastAsia="Calibri"/>
          <w:lang w:val="fr-CA"/>
        </w:rPr>
        <w:t xml:space="preserve"> </w:t>
      </w:r>
      <w:r w:rsidR="004A6828" w:rsidRPr="00ED22D1">
        <w:rPr>
          <w:rFonts w:eastAsia="Calibri"/>
          <w:lang w:val="fr-CA"/>
        </w:rPr>
        <w:t>6 </w:t>
      </w:r>
      <w:r w:rsidR="00387175" w:rsidRPr="00ED22D1">
        <w:rPr>
          <w:rFonts w:eastAsia="Calibri"/>
          <w:lang w:val="fr-CA"/>
        </w:rPr>
        <w:t>32</w:t>
      </w:r>
      <w:r w:rsidR="004A6828" w:rsidRPr="00ED22D1">
        <w:rPr>
          <w:rFonts w:eastAsia="Calibri"/>
          <w:lang w:val="fr-CA"/>
        </w:rPr>
        <w:t>9 </w:t>
      </w:r>
      <w:r w:rsidR="00387175" w:rsidRPr="00ED22D1">
        <w:rPr>
          <w:rFonts w:eastAsia="Calibri"/>
          <w:lang w:val="fr-CA"/>
        </w:rPr>
        <w:t>132</w:t>
      </w:r>
      <w:r w:rsidR="00EC100C" w:rsidRPr="00ED22D1">
        <w:rPr>
          <w:rFonts w:eastAsia="Calibri"/>
          <w:lang w:val="fr-CA"/>
        </w:rPr>
        <w:t> $US</w:t>
      </w:r>
      <w:r w:rsidR="00387175" w:rsidRPr="00ED22D1">
        <w:rPr>
          <w:rFonts w:eastAsia="Calibri"/>
          <w:lang w:val="fr-CA"/>
        </w:rPr>
        <w:t xml:space="preserve"> </w:t>
      </w:r>
      <w:r w:rsidR="00AA6E77" w:rsidRPr="00ED22D1">
        <w:rPr>
          <w:rFonts w:eastAsia="Calibri"/>
          <w:lang w:val="fr-CA"/>
        </w:rPr>
        <w:t>approuvé</w:t>
      </w:r>
      <w:r w:rsidR="000C08D1" w:rsidRPr="00ED22D1">
        <w:rPr>
          <w:rFonts w:eastAsia="Calibri"/>
          <w:lang w:val="fr-CA"/>
        </w:rPr>
        <w:t>s</w:t>
      </w:r>
      <w:r w:rsidR="00387175" w:rsidRPr="00ED22D1">
        <w:rPr>
          <w:rFonts w:eastAsia="Calibri"/>
          <w:lang w:val="fr-CA"/>
        </w:rPr>
        <w:t xml:space="preserve"> </w:t>
      </w:r>
      <w:r w:rsidR="00502C24" w:rsidRPr="00ED22D1">
        <w:rPr>
          <w:rFonts w:eastAsia="Calibri"/>
          <w:lang w:val="fr-CA"/>
        </w:rPr>
        <w:t>jusqu’à maintenant</w:t>
      </w:r>
      <w:r w:rsidR="00387175" w:rsidRPr="00ED22D1">
        <w:rPr>
          <w:rFonts w:eastAsia="Calibri"/>
          <w:lang w:val="fr-CA"/>
        </w:rPr>
        <w:t xml:space="preserve">, </w:t>
      </w:r>
      <w:r w:rsidR="004A6828" w:rsidRPr="00ED22D1">
        <w:rPr>
          <w:rFonts w:eastAsia="Calibri"/>
          <w:lang w:val="fr-CA"/>
        </w:rPr>
        <w:t>3 </w:t>
      </w:r>
      <w:r w:rsidR="00387175" w:rsidRPr="00ED22D1">
        <w:rPr>
          <w:rFonts w:eastAsia="Calibri"/>
          <w:lang w:val="fr-CA"/>
        </w:rPr>
        <w:t>06</w:t>
      </w:r>
      <w:r w:rsidR="004A6828" w:rsidRPr="00ED22D1">
        <w:rPr>
          <w:rFonts w:eastAsia="Calibri"/>
          <w:lang w:val="fr-CA"/>
        </w:rPr>
        <w:t>2 </w:t>
      </w:r>
      <w:r w:rsidR="00387175" w:rsidRPr="00ED22D1">
        <w:rPr>
          <w:rFonts w:eastAsia="Calibri"/>
          <w:lang w:val="fr-CA"/>
        </w:rPr>
        <w:t>660</w:t>
      </w:r>
      <w:r w:rsidR="00EC100C" w:rsidRPr="00ED22D1">
        <w:rPr>
          <w:rFonts w:eastAsia="Calibri"/>
          <w:lang w:val="fr-CA"/>
        </w:rPr>
        <w:t> $US</w:t>
      </w:r>
      <w:r w:rsidR="00387175" w:rsidRPr="00ED22D1">
        <w:rPr>
          <w:rFonts w:eastAsia="Calibri"/>
          <w:lang w:val="fr-CA"/>
        </w:rPr>
        <w:t xml:space="preserve"> </w:t>
      </w:r>
      <w:r w:rsidR="000C08D1" w:rsidRPr="00ED22D1">
        <w:rPr>
          <w:rFonts w:eastAsia="Calibri"/>
          <w:lang w:val="fr-CA"/>
        </w:rPr>
        <w:t xml:space="preserve">avaient été </w:t>
      </w:r>
      <w:r w:rsidR="00181884" w:rsidRPr="00ED22D1">
        <w:rPr>
          <w:rFonts w:eastAsia="Calibri"/>
          <w:lang w:val="fr-CA"/>
        </w:rPr>
        <w:t>décaissé</w:t>
      </w:r>
      <w:r w:rsidR="000C08D1" w:rsidRPr="00ED22D1">
        <w:rPr>
          <w:rFonts w:eastAsia="Calibri"/>
          <w:lang w:val="fr-CA"/>
        </w:rPr>
        <w:t>s</w:t>
      </w:r>
      <w:r w:rsidR="00387175" w:rsidRPr="00ED22D1">
        <w:rPr>
          <w:rFonts w:eastAsia="Calibri"/>
          <w:lang w:val="fr-CA"/>
        </w:rPr>
        <w:t xml:space="preserve"> (</w:t>
      </w:r>
      <w:r w:rsidR="000C08D1" w:rsidRPr="00ED22D1">
        <w:rPr>
          <w:rFonts w:eastAsia="Calibri"/>
          <w:lang w:val="fr-CA"/>
        </w:rPr>
        <w:t xml:space="preserve">soit </w:t>
      </w:r>
      <w:r w:rsidR="004A6828" w:rsidRPr="00ED22D1">
        <w:rPr>
          <w:rFonts w:eastAsia="Calibri"/>
          <w:lang w:val="fr-CA"/>
        </w:rPr>
        <w:t>2 </w:t>
      </w:r>
      <w:r w:rsidR="00387175" w:rsidRPr="00ED22D1">
        <w:rPr>
          <w:rFonts w:eastAsia="Calibri"/>
          <w:lang w:val="fr-CA"/>
        </w:rPr>
        <w:t>76</w:t>
      </w:r>
      <w:r w:rsidR="004A6828" w:rsidRPr="00ED22D1">
        <w:rPr>
          <w:rFonts w:eastAsia="Calibri"/>
          <w:lang w:val="fr-CA"/>
        </w:rPr>
        <w:t>0</w:t>
      </w:r>
      <w:r w:rsidR="00BA42C0" w:rsidRPr="00ED22D1">
        <w:rPr>
          <w:rFonts w:eastAsia="Calibri"/>
          <w:lang w:val="fr-CA"/>
        </w:rPr>
        <w:t> 000 $US</w:t>
      </w:r>
      <w:r w:rsidR="00387175" w:rsidRPr="00ED22D1">
        <w:rPr>
          <w:rFonts w:eastAsia="Calibri"/>
          <w:lang w:val="fr-CA"/>
        </w:rPr>
        <w:t xml:space="preserve"> </w:t>
      </w:r>
      <w:r w:rsidR="001B31BF" w:rsidRPr="00ED22D1">
        <w:rPr>
          <w:rFonts w:eastAsia="Calibri"/>
          <w:lang w:val="fr-CA"/>
        </w:rPr>
        <w:t>pour le PNUE</w:t>
      </w:r>
      <w:r w:rsidR="00387175" w:rsidRPr="00ED22D1">
        <w:rPr>
          <w:rFonts w:eastAsia="Calibri"/>
          <w:lang w:val="fr-CA"/>
        </w:rPr>
        <w:t>, 14</w:t>
      </w:r>
      <w:r w:rsidR="004A6828" w:rsidRPr="00ED22D1">
        <w:rPr>
          <w:rFonts w:eastAsia="Calibri"/>
          <w:lang w:val="fr-CA"/>
        </w:rPr>
        <w:t>2 </w:t>
      </w:r>
      <w:r w:rsidR="00387175" w:rsidRPr="00ED22D1">
        <w:rPr>
          <w:rFonts w:eastAsia="Calibri"/>
          <w:lang w:val="fr-CA"/>
        </w:rPr>
        <w:t>660</w:t>
      </w:r>
      <w:r w:rsidR="00EC100C" w:rsidRPr="00ED22D1">
        <w:rPr>
          <w:rFonts w:eastAsia="Calibri"/>
          <w:lang w:val="fr-CA"/>
        </w:rPr>
        <w:t> $US</w:t>
      </w:r>
      <w:r w:rsidR="00387175" w:rsidRPr="00ED22D1">
        <w:rPr>
          <w:rFonts w:eastAsia="Calibri"/>
          <w:lang w:val="fr-CA"/>
        </w:rPr>
        <w:t xml:space="preserve"> </w:t>
      </w:r>
      <w:r w:rsidR="00921BDE" w:rsidRPr="00ED22D1">
        <w:rPr>
          <w:rFonts w:eastAsia="Calibri"/>
          <w:lang w:val="fr-CA"/>
        </w:rPr>
        <w:t>pour l’</w:t>
      </w:r>
      <w:r w:rsidR="001F19C1" w:rsidRPr="00ED22D1">
        <w:rPr>
          <w:rFonts w:eastAsia="Calibri"/>
          <w:lang w:val="fr-CA"/>
        </w:rPr>
        <w:t>Allemagne</w:t>
      </w:r>
      <w:r w:rsidR="008F0C6D">
        <w:rPr>
          <w:rFonts w:eastAsia="Calibri"/>
          <w:lang w:val="fr-CA"/>
        </w:rPr>
        <w:t>,</w:t>
      </w:r>
      <w:r w:rsidR="004A6828" w:rsidRPr="00ED22D1">
        <w:rPr>
          <w:rFonts w:eastAsia="Calibri"/>
          <w:lang w:val="fr-CA"/>
        </w:rPr>
        <w:t xml:space="preserve"> et </w:t>
      </w:r>
      <w:r w:rsidR="00387175" w:rsidRPr="00ED22D1">
        <w:rPr>
          <w:rFonts w:eastAsia="Calibri"/>
          <w:lang w:val="fr-CA"/>
        </w:rPr>
        <w:t>16</w:t>
      </w:r>
      <w:r w:rsidR="004A6828" w:rsidRPr="00ED22D1">
        <w:rPr>
          <w:rFonts w:eastAsia="Calibri"/>
          <w:lang w:val="fr-CA"/>
        </w:rPr>
        <w:t>0</w:t>
      </w:r>
      <w:r w:rsidR="00BA42C0" w:rsidRPr="00ED22D1">
        <w:rPr>
          <w:rFonts w:eastAsia="Calibri"/>
          <w:lang w:val="fr-CA"/>
        </w:rPr>
        <w:t> 000 $US</w:t>
      </w:r>
      <w:r w:rsidR="00387175" w:rsidRPr="00ED22D1">
        <w:rPr>
          <w:rFonts w:eastAsia="Calibri"/>
          <w:lang w:val="fr-CA"/>
        </w:rPr>
        <w:t xml:space="preserve"> </w:t>
      </w:r>
      <w:r w:rsidR="000C08D1" w:rsidRPr="00ED22D1">
        <w:rPr>
          <w:rFonts w:eastAsia="Calibri"/>
          <w:lang w:val="fr-CA"/>
        </w:rPr>
        <w:t>pour le</w:t>
      </w:r>
      <w:r w:rsidR="00387175" w:rsidRPr="00ED22D1">
        <w:rPr>
          <w:rFonts w:eastAsia="Calibri"/>
          <w:lang w:val="fr-CA"/>
        </w:rPr>
        <w:t xml:space="preserve"> </w:t>
      </w:r>
      <w:r w:rsidR="004A6828" w:rsidRPr="00ED22D1">
        <w:rPr>
          <w:rFonts w:eastAsia="Calibri"/>
          <w:lang w:val="fr-CA"/>
        </w:rPr>
        <w:t>Japon</w:t>
      </w:r>
      <w:r w:rsidR="00387175" w:rsidRPr="00ED22D1">
        <w:rPr>
          <w:rFonts w:eastAsia="Calibri"/>
          <w:lang w:val="fr-CA"/>
        </w:rPr>
        <w:t xml:space="preserve">) </w:t>
      </w:r>
      <w:r w:rsidR="000C08D1" w:rsidRPr="00ED22D1">
        <w:rPr>
          <w:rFonts w:eastAsia="Calibri"/>
          <w:lang w:val="fr-CA"/>
        </w:rPr>
        <w:t>(T</w:t>
      </w:r>
      <w:r w:rsidR="00CE7FEC" w:rsidRPr="00ED22D1">
        <w:rPr>
          <w:rFonts w:eastAsia="Calibri"/>
          <w:lang w:val="fr-CA"/>
        </w:rPr>
        <w:t xml:space="preserve">ableau </w:t>
      </w:r>
      <w:r w:rsidR="004A6828" w:rsidRPr="00ED22D1">
        <w:rPr>
          <w:rFonts w:eastAsia="Calibri"/>
          <w:lang w:val="fr-CA"/>
        </w:rPr>
        <w:t>2</w:t>
      </w:r>
      <w:r w:rsidR="000C08D1" w:rsidRPr="00ED22D1">
        <w:rPr>
          <w:rFonts w:eastAsia="Calibri"/>
          <w:lang w:val="fr-CA"/>
        </w:rPr>
        <w:t>)</w:t>
      </w:r>
      <w:r w:rsidR="00EC100C" w:rsidRPr="00ED22D1">
        <w:rPr>
          <w:rFonts w:eastAsia="Calibri"/>
          <w:lang w:val="fr-CA"/>
        </w:rPr>
        <w:t>.</w:t>
      </w:r>
      <w:r w:rsidR="00387175" w:rsidRPr="00ED22D1">
        <w:rPr>
          <w:rFonts w:eastAsia="Calibri"/>
          <w:lang w:val="fr-CA"/>
        </w:rPr>
        <w:t xml:space="preserve"> </w:t>
      </w:r>
      <w:r w:rsidR="000C08D1" w:rsidRPr="00ED22D1">
        <w:rPr>
          <w:rFonts w:eastAsia="Calibri"/>
          <w:lang w:val="fr-CA"/>
        </w:rPr>
        <w:t>Le</w:t>
      </w:r>
      <w:r w:rsidR="00387175" w:rsidRPr="00ED22D1">
        <w:rPr>
          <w:rFonts w:eastAsia="Calibri"/>
          <w:lang w:val="fr-CA"/>
        </w:rPr>
        <w:t xml:space="preserve"> </w:t>
      </w:r>
      <w:r w:rsidR="00DE118B" w:rsidRPr="00ED22D1">
        <w:rPr>
          <w:rFonts w:eastAsia="Calibri"/>
          <w:lang w:val="fr-CA"/>
        </w:rPr>
        <w:t>solde</w:t>
      </w:r>
      <w:r w:rsidR="00387175" w:rsidRPr="00ED22D1">
        <w:rPr>
          <w:rFonts w:eastAsia="Calibri"/>
          <w:lang w:val="fr-CA"/>
        </w:rPr>
        <w:t xml:space="preserve"> </w:t>
      </w:r>
      <w:r w:rsidR="000C08D1" w:rsidRPr="00ED22D1">
        <w:rPr>
          <w:rFonts w:eastAsia="Calibri"/>
          <w:lang w:val="fr-CA"/>
        </w:rPr>
        <w:t>de</w:t>
      </w:r>
      <w:r w:rsidR="00387175" w:rsidRPr="00ED22D1">
        <w:rPr>
          <w:rFonts w:eastAsia="Calibri"/>
          <w:lang w:val="fr-CA"/>
        </w:rPr>
        <w:t xml:space="preserve"> </w:t>
      </w:r>
      <w:r w:rsidR="004A6828" w:rsidRPr="00ED22D1">
        <w:rPr>
          <w:rFonts w:eastAsia="Calibri"/>
          <w:lang w:val="fr-CA"/>
        </w:rPr>
        <w:t>3 </w:t>
      </w:r>
      <w:r w:rsidR="00387175" w:rsidRPr="00ED22D1">
        <w:rPr>
          <w:rFonts w:eastAsia="Calibri"/>
          <w:lang w:val="fr-CA"/>
        </w:rPr>
        <w:t>26</w:t>
      </w:r>
      <w:r w:rsidR="004A6828" w:rsidRPr="00ED22D1">
        <w:rPr>
          <w:rFonts w:eastAsia="Calibri"/>
          <w:lang w:val="fr-CA"/>
        </w:rPr>
        <w:t>6 </w:t>
      </w:r>
      <w:r w:rsidR="00387175" w:rsidRPr="00ED22D1">
        <w:rPr>
          <w:rFonts w:eastAsia="Calibri"/>
          <w:lang w:val="fr-CA"/>
        </w:rPr>
        <w:t>472</w:t>
      </w:r>
      <w:r w:rsidR="00EC100C" w:rsidRPr="00ED22D1">
        <w:rPr>
          <w:rFonts w:eastAsia="Calibri"/>
          <w:lang w:val="fr-CA"/>
        </w:rPr>
        <w:t> $US</w:t>
      </w:r>
      <w:r w:rsidR="00387175" w:rsidRPr="00ED22D1">
        <w:rPr>
          <w:rFonts w:eastAsia="Calibri"/>
          <w:lang w:val="fr-CA"/>
        </w:rPr>
        <w:t xml:space="preserve"> </w:t>
      </w:r>
      <w:r w:rsidR="000C08D1" w:rsidRPr="00ED22D1">
        <w:rPr>
          <w:rFonts w:eastAsia="Calibri"/>
          <w:lang w:val="fr-CA"/>
        </w:rPr>
        <w:t>sera décaissé</w:t>
      </w:r>
      <w:r w:rsidR="00387175" w:rsidRPr="00ED22D1">
        <w:rPr>
          <w:rFonts w:eastAsia="Calibri"/>
          <w:lang w:val="fr-CA"/>
        </w:rPr>
        <w:t xml:space="preserve"> </w:t>
      </w:r>
      <w:r w:rsidR="0052712E" w:rsidRPr="00ED22D1">
        <w:rPr>
          <w:rFonts w:eastAsia="Calibri"/>
          <w:lang w:val="fr-CA"/>
        </w:rPr>
        <w:t>en 20</w:t>
      </w:r>
      <w:r w:rsidR="00387175" w:rsidRPr="00ED22D1">
        <w:rPr>
          <w:rFonts w:eastAsia="Calibri"/>
          <w:lang w:val="fr-CA"/>
        </w:rPr>
        <w:t>19-202</w:t>
      </w:r>
      <w:r w:rsidR="004A6828" w:rsidRPr="00ED22D1">
        <w:rPr>
          <w:rFonts w:eastAsia="Calibri"/>
          <w:lang w:val="fr-CA"/>
        </w:rPr>
        <w:t>0</w:t>
      </w:r>
      <w:r w:rsidR="00EC100C" w:rsidRPr="00ED22D1">
        <w:rPr>
          <w:rFonts w:eastAsia="Calibri"/>
          <w:lang w:val="fr-CA"/>
        </w:rPr>
        <w:t>.</w:t>
      </w:r>
    </w:p>
    <w:p w:rsidR="00387175" w:rsidRPr="00ED22D1" w:rsidRDefault="00CE7FEC" w:rsidP="00387175">
      <w:pPr>
        <w:keepNext/>
        <w:jc w:val="left"/>
        <w:rPr>
          <w:b/>
          <w:lang w:val="fr-CA"/>
        </w:rPr>
      </w:pPr>
      <w:r w:rsidRPr="00ED22D1">
        <w:rPr>
          <w:b/>
          <w:lang w:val="fr-CA"/>
        </w:rPr>
        <w:lastRenderedPageBreak/>
        <w:t xml:space="preserve">Tableau </w:t>
      </w:r>
      <w:r w:rsidR="004A6828" w:rsidRPr="00ED22D1">
        <w:rPr>
          <w:b/>
          <w:lang w:val="fr-CA"/>
        </w:rPr>
        <w:t>2</w:t>
      </w:r>
      <w:r w:rsidR="00EC100C" w:rsidRPr="00ED22D1">
        <w:rPr>
          <w:b/>
          <w:lang w:val="fr-CA"/>
        </w:rPr>
        <w:t>.</w:t>
      </w:r>
      <w:r w:rsidR="00387175" w:rsidRPr="00ED22D1">
        <w:rPr>
          <w:b/>
          <w:lang w:val="fr-CA"/>
        </w:rPr>
        <w:t xml:space="preserve"> </w:t>
      </w:r>
      <w:r w:rsidR="00181884" w:rsidRPr="00ED22D1">
        <w:rPr>
          <w:b/>
          <w:lang w:val="fr-CA"/>
        </w:rPr>
        <w:t xml:space="preserve">Rapport financier du </w:t>
      </w:r>
      <w:r w:rsidR="00616B46" w:rsidRPr="00ED22D1">
        <w:rPr>
          <w:b/>
          <w:lang w:val="fr-CA"/>
        </w:rPr>
        <w:t>programme</w:t>
      </w:r>
      <w:r w:rsidR="00181884" w:rsidRPr="00ED22D1">
        <w:rPr>
          <w:b/>
          <w:lang w:val="fr-CA"/>
        </w:rPr>
        <w:t xml:space="preserve"> d’habilitation et d’entretien en réfrigération de la </w:t>
      </w:r>
      <w:r w:rsidR="00D26EF9" w:rsidRPr="00ED22D1">
        <w:rPr>
          <w:b/>
          <w:lang w:val="fr-CA"/>
        </w:rPr>
        <w:t>Chine</w:t>
      </w:r>
      <w:r w:rsidR="00387175" w:rsidRPr="00ED22D1">
        <w:rPr>
          <w:b/>
          <w:lang w:val="fr-CA"/>
        </w:rPr>
        <w:t xml:space="preserve"> </w:t>
      </w:r>
      <w:r w:rsidR="00874624" w:rsidRPr="00ED22D1">
        <w:rPr>
          <w:b/>
          <w:lang w:val="fr-CA"/>
        </w:rPr>
        <w:t>($US)</w:t>
      </w:r>
    </w:p>
    <w:tbl>
      <w:tblPr>
        <w:tblStyle w:val="TableGrid"/>
        <w:tblW w:w="4944" w:type="pct"/>
        <w:tblInd w:w="108" w:type="dxa"/>
        <w:tblLook w:val="04A0" w:firstRow="1" w:lastRow="0" w:firstColumn="1" w:lastColumn="0" w:noHBand="0" w:noVBand="1"/>
      </w:tblPr>
      <w:tblGrid>
        <w:gridCol w:w="2209"/>
        <w:gridCol w:w="1163"/>
        <w:gridCol w:w="1161"/>
        <w:gridCol w:w="1307"/>
        <w:gridCol w:w="1256"/>
        <w:gridCol w:w="1214"/>
        <w:gridCol w:w="1159"/>
      </w:tblGrid>
      <w:tr w:rsidR="00387175" w:rsidRPr="00ED22D1" w:rsidTr="00D0376A">
        <w:tc>
          <w:tcPr>
            <w:tcW w:w="1167" w:type="pct"/>
            <w:vMerge w:val="restart"/>
          </w:tcPr>
          <w:p w:rsidR="00387175" w:rsidRPr="00ED22D1" w:rsidRDefault="00181884" w:rsidP="00387175">
            <w:pPr>
              <w:keepNext/>
              <w:jc w:val="center"/>
              <w:rPr>
                <w:b/>
                <w:sz w:val="20"/>
                <w:szCs w:val="20"/>
                <w:lang w:val="fr-CA"/>
              </w:rPr>
            </w:pPr>
            <w:r w:rsidRPr="00ED22D1">
              <w:rPr>
                <w:b/>
                <w:sz w:val="20"/>
                <w:szCs w:val="20"/>
                <w:lang w:val="fr-CA"/>
              </w:rPr>
              <w:t>Agence</w:t>
            </w:r>
          </w:p>
        </w:tc>
        <w:tc>
          <w:tcPr>
            <w:tcW w:w="1227" w:type="pct"/>
            <w:gridSpan w:val="2"/>
          </w:tcPr>
          <w:p w:rsidR="00387175" w:rsidRPr="00ED22D1" w:rsidRDefault="00181884" w:rsidP="00387175">
            <w:pPr>
              <w:keepNext/>
              <w:jc w:val="center"/>
              <w:rPr>
                <w:b/>
                <w:sz w:val="20"/>
                <w:szCs w:val="20"/>
                <w:lang w:val="fr-CA"/>
              </w:rPr>
            </w:pPr>
            <w:r w:rsidRPr="00ED22D1">
              <w:rPr>
                <w:b/>
                <w:sz w:val="20"/>
                <w:szCs w:val="20"/>
                <w:lang w:val="fr-CA"/>
              </w:rPr>
              <w:t>Première</w:t>
            </w:r>
            <w:r w:rsidR="00387175" w:rsidRPr="00ED22D1">
              <w:rPr>
                <w:b/>
                <w:sz w:val="20"/>
                <w:szCs w:val="20"/>
                <w:lang w:val="fr-CA"/>
              </w:rPr>
              <w:t xml:space="preserve"> tranche</w:t>
            </w:r>
          </w:p>
        </w:tc>
        <w:tc>
          <w:tcPr>
            <w:tcW w:w="1353" w:type="pct"/>
            <w:gridSpan w:val="2"/>
          </w:tcPr>
          <w:p w:rsidR="00387175" w:rsidRPr="00ED22D1" w:rsidRDefault="00921BDE" w:rsidP="00387175">
            <w:pPr>
              <w:keepNext/>
              <w:jc w:val="center"/>
              <w:rPr>
                <w:b/>
                <w:sz w:val="20"/>
                <w:szCs w:val="20"/>
                <w:lang w:val="fr-CA"/>
              </w:rPr>
            </w:pPr>
            <w:r w:rsidRPr="00ED22D1">
              <w:rPr>
                <w:b/>
                <w:sz w:val="20"/>
                <w:szCs w:val="20"/>
                <w:lang w:val="fr-CA"/>
              </w:rPr>
              <w:t>Deuxième</w:t>
            </w:r>
            <w:r w:rsidR="00387175" w:rsidRPr="00ED22D1">
              <w:rPr>
                <w:b/>
                <w:sz w:val="20"/>
                <w:szCs w:val="20"/>
                <w:lang w:val="fr-CA"/>
              </w:rPr>
              <w:t xml:space="preserve"> tranche</w:t>
            </w:r>
          </w:p>
        </w:tc>
        <w:tc>
          <w:tcPr>
            <w:tcW w:w="1253" w:type="pct"/>
            <w:gridSpan w:val="2"/>
          </w:tcPr>
          <w:p w:rsidR="00387175" w:rsidRPr="00ED22D1" w:rsidRDefault="00387175" w:rsidP="00387175">
            <w:pPr>
              <w:keepNext/>
              <w:jc w:val="center"/>
              <w:rPr>
                <w:b/>
                <w:sz w:val="20"/>
                <w:szCs w:val="20"/>
                <w:lang w:val="fr-CA"/>
              </w:rPr>
            </w:pPr>
            <w:r w:rsidRPr="00ED22D1">
              <w:rPr>
                <w:b/>
                <w:sz w:val="20"/>
                <w:szCs w:val="20"/>
                <w:lang w:val="fr-CA"/>
              </w:rPr>
              <w:t xml:space="preserve">Total </w:t>
            </w:r>
            <w:r w:rsidR="00AA6E77" w:rsidRPr="00ED22D1">
              <w:rPr>
                <w:b/>
                <w:sz w:val="20"/>
                <w:szCs w:val="20"/>
                <w:lang w:val="fr-CA"/>
              </w:rPr>
              <w:t>approuvé</w:t>
            </w:r>
          </w:p>
        </w:tc>
      </w:tr>
      <w:tr w:rsidR="00387175" w:rsidRPr="00ED22D1" w:rsidTr="00D0376A">
        <w:tc>
          <w:tcPr>
            <w:tcW w:w="1167" w:type="pct"/>
            <w:vMerge/>
          </w:tcPr>
          <w:p w:rsidR="00387175" w:rsidRPr="00ED22D1" w:rsidRDefault="00387175" w:rsidP="00387175">
            <w:pPr>
              <w:keepNext/>
              <w:jc w:val="center"/>
              <w:rPr>
                <w:b/>
                <w:sz w:val="20"/>
                <w:szCs w:val="20"/>
                <w:lang w:val="fr-CA"/>
              </w:rPr>
            </w:pPr>
          </w:p>
        </w:tc>
        <w:tc>
          <w:tcPr>
            <w:tcW w:w="614" w:type="pct"/>
          </w:tcPr>
          <w:p w:rsidR="00387175" w:rsidRPr="00ED22D1" w:rsidRDefault="00AA6E77" w:rsidP="00387175">
            <w:pPr>
              <w:keepNext/>
              <w:jc w:val="center"/>
              <w:rPr>
                <w:b/>
                <w:sz w:val="20"/>
                <w:szCs w:val="20"/>
                <w:lang w:val="fr-CA"/>
              </w:rPr>
            </w:pPr>
            <w:r w:rsidRPr="00ED22D1">
              <w:rPr>
                <w:b/>
                <w:sz w:val="20"/>
                <w:szCs w:val="20"/>
                <w:lang w:val="fr-CA"/>
              </w:rPr>
              <w:t>Approuvé</w:t>
            </w:r>
          </w:p>
        </w:tc>
        <w:tc>
          <w:tcPr>
            <w:tcW w:w="613" w:type="pct"/>
          </w:tcPr>
          <w:p w:rsidR="00387175" w:rsidRPr="00ED22D1" w:rsidRDefault="00181884" w:rsidP="00387175">
            <w:pPr>
              <w:keepNext/>
              <w:jc w:val="center"/>
              <w:rPr>
                <w:b/>
                <w:sz w:val="20"/>
                <w:szCs w:val="20"/>
                <w:lang w:val="fr-CA"/>
              </w:rPr>
            </w:pPr>
            <w:r w:rsidRPr="00ED22D1">
              <w:rPr>
                <w:b/>
                <w:sz w:val="20"/>
                <w:szCs w:val="20"/>
                <w:lang w:val="fr-CA"/>
              </w:rPr>
              <w:t>Décaissé</w:t>
            </w:r>
          </w:p>
        </w:tc>
        <w:tc>
          <w:tcPr>
            <w:tcW w:w="690" w:type="pct"/>
          </w:tcPr>
          <w:p w:rsidR="00387175" w:rsidRPr="00ED22D1" w:rsidRDefault="00AA6E77" w:rsidP="00387175">
            <w:pPr>
              <w:keepNext/>
              <w:jc w:val="center"/>
              <w:rPr>
                <w:b/>
                <w:sz w:val="20"/>
                <w:szCs w:val="20"/>
                <w:lang w:val="fr-CA"/>
              </w:rPr>
            </w:pPr>
            <w:r w:rsidRPr="00ED22D1">
              <w:rPr>
                <w:b/>
                <w:sz w:val="20"/>
                <w:szCs w:val="20"/>
                <w:lang w:val="fr-CA"/>
              </w:rPr>
              <w:t>Approuvé</w:t>
            </w:r>
          </w:p>
        </w:tc>
        <w:tc>
          <w:tcPr>
            <w:tcW w:w="663" w:type="pct"/>
          </w:tcPr>
          <w:p w:rsidR="00387175" w:rsidRPr="00ED22D1" w:rsidRDefault="00181884" w:rsidP="00387175">
            <w:pPr>
              <w:keepNext/>
              <w:jc w:val="center"/>
              <w:rPr>
                <w:b/>
                <w:sz w:val="20"/>
                <w:szCs w:val="20"/>
                <w:lang w:val="fr-CA"/>
              </w:rPr>
            </w:pPr>
            <w:r w:rsidRPr="00ED22D1">
              <w:rPr>
                <w:b/>
                <w:sz w:val="20"/>
                <w:szCs w:val="20"/>
                <w:lang w:val="fr-CA"/>
              </w:rPr>
              <w:t>Décaissé</w:t>
            </w:r>
          </w:p>
        </w:tc>
        <w:tc>
          <w:tcPr>
            <w:tcW w:w="641" w:type="pct"/>
          </w:tcPr>
          <w:p w:rsidR="00387175" w:rsidRPr="00ED22D1" w:rsidRDefault="00AA6E77" w:rsidP="00387175">
            <w:pPr>
              <w:keepNext/>
              <w:jc w:val="center"/>
              <w:rPr>
                <w:b/>
                <w:sz w:val="20"/>
                <w:szCs w:val="20"/>
                <w:lang w:val="fr-CA"/>
              </w:rPr>
            </w:pPr>
            <w:r w:rsidRPr="00ED22D1">
              <w:rPr>
                <w:b/>
                <w:sz w:val="20"/>
                <w:szCs w:val="20"/>
                <w:lang w:val="fr-CA"/>
              </w:rPr>
              <w:t>Approuvé</w:t>
            </w:r>
          </w:p>
        </w:tc>
        <w:tc>
          <w:tcPr>
            <w:tcW w:w="612" w:type="pct"/>
          </w:tcPr>
          <w:p w:rsidR="00387175" w:rsidRPr="00ED22D1" w:rsidRDefault="00181884" w:rsidP="00387175">
            <w:pPr>
              <w:keepNext/>
              <w:jc w:val="center"/>
              <w:rPr>
                <w:b/>
                <w:sz w:val="20"/>
                <w:szCs w:val="20"/>
                <w:lang w:val="fr-CA"/>
              </w:rPr>
            </w:pPr>
            <w:r w:rsidRPr="00ED22D1">
              <w:rPr>
                <w:b/>
                <w:sz w:val="20"/>
                <w:szCs w:val="20"/>
                <w:lang w:val="fr-CA"/>
              </w:rPr>
              <w:t>Décaissé</w:t>
            </w:r>
          </w:p>
        </w:tc>
      </w:tr>
      <w:tr w:rsidR="00387175" w:rsidRPr="00ED22D1" w:rsidTr="00D0376A">
        <w:tc>
          <w:tcPr>
            <w:tcW w:w="1167" w:type="pct"/>
          </w:tcPr>
          <w:p w:rsidR="00387175" w:rsidRPr="00ED22D1" w:rsidRDefault="001C722B" w:rsidP="00387175">
            <w:pPr>
              <w:keepNext/>
              <w:rPr>
                <w:sz w:val="20"/>
                <w:szCs w:val="20"/>
                <w:lang w:val="fr-CA"/>
              </w:rPr>
            </w:pPr>
            <w:r w:rsidRPr="00ED22D1">
              <w:rPr>
                <w:sz w:val="20"/>
                <w:szCs w:val="20"/>
                <w:lang w:val="fr-CA"/>
              </w:rPr>
              <w:t>PNUE</w:t>
            </w:r>
          </w:p>
        </w:tc>
        <w:tc>
          <w:tcPr>
            <w:tcW w:w="614" w:type="pct"/>
          </w:tcPr>
          <w:p w:rsidR="00387175" w:rsidRPr="00ED22D1" w:rsidRDefault="004A6828" w:rsidP="00387175">
            <w:pPr>
              <w:keepNext/>
              <w:jc w:val="right"/>
              <w:rPr>
                <w:sz w:val="20"/>
                <w:szCs w:val="20"/>
                <w:lang w:val="fr-CA"/>
              </w:rPr>
            </w:pPr>
            <w:r w:rsidRPr="00ED22D1">
              <w:rPr>
                <w:sz w:val="20"/>
                <w:szCs w:val="20"/>
                <w:lang w:val="fr-CA"/>
              </w:rPr>
              <w:t>3 </w:t>
            </w:r>
            <w:r w:rsidR="00387175" w:rsidRPr="00ED22D1">
              <w:rPr>
                <w:sz w:val="20"/>
                <w:szCs w:val="20"/>
                <w:lang w:val="fr-CA"/>
              </w:rPr>
              <w:t>29</w:t>
            </w:r>
            <w:r w:rsidRPr="00ED22D1">
              <w:rPr>
                <w:sz w:val="20"/>
                <w:szCs w:val="20"/>
                <w:lang w:val="fr-CA"/>
              </w:rPr>
              <w:t>9 </w:t>
            </w:r>
            <w:r w:rsidR="00387175" w:rsidRPr="00ED22D1">
              <w:rPr>
                <w:sz w:val="20"/>
                <w:szCs w:val="20"/>
                <w:lang w:val="fr-CA"/>
              </w:rPr>
              <w:t>132</w:t>
            </w:r>
          </w:p>
        </w:tc>
        <w:tc>
          <w:tcPr>
            <w:tcW w:w="613" w:type="pct"/>
          </w:tcPr>
          <w:p w:rsidR="00387175" w:rsidRPr="00ED22D1" w:rsidRDefault="004A6828" w:rsidP="00387175">
            <w:pPr>
              <w:keepNext/>
              <w:jc w:val="right"/>
              <w:rPr>
                <w:sz w:val="20"/>
                <w:szCs w:val="20"/>
                <w:lang w:val="fr-CA"/>
              </w:rPr>
            </w:pPr>
            <w:r w:rsidRPr="00ED22D1">
              <w:rPr>
                <w:sz w:val="20"/>
                <w:szCs w:val="20"/>
                <w:lang w:val="fr-CA"/>
              </w:rPr>
              <w:t>1 </w:t>
            </w:r>
            <w:r w:rsidR="00387175" w:rsidRPr="00ED22D1">
              <w:rPr>
                <w:sz w:val="20"/>
                <w:szCs w:val="20"/>
                <w:lang w:val="fr-CA"/>
              </w:rPr>
              <w:t>54</w:t>
            </w:r>
            <w:r w:rsidRPr="00ED22D1">
              <w:rPr>
                <w:sz w:val="20"/>
                <w:szCs w:val="20"/>
                <w:lang w:val="fr-CA"/>
              </w:rPr>
              <w:t>0 </w:t>
            </w:r>
            <w:r w:rsidR="00387175" w:rsidRPr="00ED22D1">
              <w:rPr>
                <w:sz w:val="20"/>
                <w:szCs w:val="20"/>
                <w:lang w:val="fr-CA"/>
              </w:rPr>
              <w:t>000</w:t>
            </w:r>
          </w:p>
        </w:tc>
        <w:tc>
          <w:tcPr>
            <w:tcW w:w="690" w:type="pct"/>
          </w:tcPr>
          <w:p w:rsidR="00387175" w:rsidRPr="00ED22D1" w:rsidRDefault="004A6828" w:rsidP="00387175">
            <w:pPr>
              <w:keepNext/>
              <w:jc w:val="right"/>
              <w:rPr>
                <w:sz w:val="20"/>
                <w:szCs w:val="20"/>
                <w:lang w:val="fr-CA"/>
              </w:rPr>
            </w:pPr>
            <w:r w:rsidRPr="00ED22D1">
              <w:rPr>
                <w:sz w:val="20"/>
                <w:szCs w:val="20"/>
                <w:lang w:val="fr-CA"/>
              </w:rPr>
              <w:t>2 </w:t>
            </w:r>
            <w:r w:rsidR="00387175" w:rsidRPr="00ED22D1">
              <w:rPr>
                <w:sz w:val="20"/>
                <w:szCs w:val="20"/>
                <w:lang w:val="fr-CA"/>
              </w:rPr>
              <w:t>57</w:t>
            </w:r>
            <w:r w:rsidRPr="00ED22D1">
              <w:rPr>
                <w:sz w:val="20"/>
                <w:szCs w:val="20"/>
                <w:lang w:val="fr-CA"/>
              </w:rPr>
              <w:t>0 </w:t>
            </w:r>
            <w:r w:rsidR="00387175" w:rsidRPr="00ED22D1">
              <w:rPr>
                <w:sz w:val="20"/>
                <w:szCs w:val="20"/>
                <w:lang w:val="fr-CA"/>
              </w:rPr>
              <w:t>000</w:t>
            </w:r>
          </w:p>
        </w:tc>
        <w:tc>
          <w:tcPr>
            <w:tcW w:w="663" w:type="pct"/>
          </w:tcPr>
          <w:p w:rsidR="00387175" w:rsidRPr="00ED22D1" w:rsidRDefault="004A6828" w:rsidP="00387175">
            <w:pPr>
              <w:keepNext/>
              <w:jc w:val="right"/>
              <w:rPr>
                <w:sz w:val="20"/>
                <w:szCs w:val="20"/>
                <w:lang w:val="fr-CA"/>
              </w:rPr>
            </w:pPr>
            <w:r w:rsidRPr="00ED22D1">
              <w:rPr>
                <w:sz w:val="20"/>
                <w:szCs w:val="20"/>
                <w:lang w:val="fr-CA"/>
              </w:rPr>
              <w:t>1 </w:t>
            </w:r>
            <w:r w:rsidR="00387175" w:rsidRPr="00ED22D1">
              <w:rPr>
                <w:sz w:val="20"/>
                <w:szCs w:val="20"/>
                <w:lang w:val="fr-CA"/>
              </w:rPr>
              <w:t>30</w:t>
            </w:r>
            <w:r w:rsidRPr="00ED22D1">
              <w:rPr>
                <w:sz w:val="20"/>
                <w:szCs w:val="20"/>
                <w:lang w:val="fr-CA"/>
              </w:rPr>
              <w:t>0 </w:t>
            </w:r>
            <w:r w:rsidR="00387175" w:rsidRPr="00ED22D1">
              <w:rPr>
                <w:sz w:val="20"/>
                <w:szCs w:val="20"/>
                <w:lang w:val="fr-CA"/>
              </w:rPr>
              <w:t>000</w:t>
            </w:r>
          </w:p>
        </w:tc>
        <w:tc>
          <w:tcPr>
            <w:tcW w:w="641" w:type="pct"/>
          </w:tcPr>
          <w:p w:rsidR="00387175" w:rsidRPr="00ED22D1" w:rsidRDefault="004A6828" w:rsidP="00387175">
            <w:pPr>
              <w:keepNext/>
              <w:jc w:val="right"/>
              <w:rPr>
                <w:sz w:val="20"/>
                <w:szCs w:val="20"/>
                <w:lang w:val="fr-CA"/>
              </w:rPr>
            </w:pPr>
            <w:r w:rsidRPr="00ED22D1">
              <w:rPr>
                <w:sz w:val="20"/>
                <w:szCs w:val="20"/>
                <w:lang w:val="fr-CA"/>
              </w:rPr>
              <w:t>5 </w:t>
            </w:r>
            <w:r w:rsidR="00387175" w:rsidRPr="00ED22D1">
              <w:rPr>
                <w:sz w:val="20"/>
                <w:szCs w:val="20"/>
                <w:lang w:val="fr-CA"/>
              </w:rPr>
              <w:t>86</w:t>
            </w:r>
            <w:r w:rsidRPr="00ED22D1">
              <w:rPr>
                <w:sz w:val="20"/>
                <w:szCs w:val="20"/>
                <w:lang w:val="fr-CA"/>
              </w:rPr>
              <w:t>9 </w:t>
            </w:r>
            <w:r w:rsidR="00387175" w:rsidRPr="00ED22D1">
              <w:rPr>
                <w:sz w:val="20"/>
                <w:szCs w:val="20"/>
                <w:lang w:val="fr-CA"/>
              </w:rPr>
              <w:t>132</w:t>
            </w:r>
          </w:p>
        </w:tc>
        <w:tc>
          <w:tcPr>
            <w:tcW w:w="612" w:type="pct"/>
          </w:tcPr>
          <w:p w:rsidR="00387175" w:rsidRPr="00ED22D1" w:rsidRDefault="004A6828" w:rsidP="00387175">
            <w:pPr>
              <w:keepNext/>
              <w:jc w:val="right"/>
              <w:rPr>
                <w:sz w:val="20"/>
                <w:szCs w:val="20"/>
                <w:lang w:val="fr-CA"/>
              </w:rPr>
            </w:pPr>
            <w:r w:rsidRPr="00ED22D1">
              <w:rPr>
                <w:sz w:val="20"/>
                <w:szCs w:val="20"/>
                <w:lang w:val="fr-CA"/>
              </w:rPr>
              <w:t>2 </w:t>
            </w:r>
            <w:r w:rsidR="00387175" w:rsidRPr="00ED22D1">
              <w:rPr>
                <w:sz w:val="20"/>
                <w:szCs w:val="20"/>
                <w:lang w:val="fr-CA"/>
              </w:rPr>
              <w:t>84</w:t>
            </w:r>
            <w:r w:rsidRPr="00ED22D1">
              <w:rPr>
                <w:sz w:val="20"/>
                <w:szCs w:val="20"/>
                <w:lang w:val="fr-CA"/>
              </w:rPr>
              <w:t>0 </w:t>
            </w:r>
            <w:r w:rsidR="00387175" w:rsidRPr="00ED22D1">
              <w:rPr>
                <w:sz w:val="20"/>
                <w:szCs w:val="20"/>
                <w:lang w:val="fr-CA"/>
              </w:rPr>
              <w:t>000</w:t>
            </w:r>
          </w:p>
        </w:tc>
      </w:tr>
      <w:tr w:rsidR="00387175" w:rsidRPr="00ED22D1" w:rsidTr="00D0376A">
        <w:tc>
          <w:tcPr>
            <w:tcW w:w="1167" w:type="pct"/>
          </w:tcPr>
          <w:p w:rsidR="00387175" w:rsidRPr="00ED22D1" w:rsidRDefault="004A6828" w:rsidP="00387175">
            <w:pPr>
              <w:rPr>
                <w:sz w:val="20"/>
                <w:szCs w:val="20"/>
                <w:lang w:val="fr-CA"/>
              </w:rPr>
            </w:pPr>
            <w:r w:rsidRPr="00ED22D1">
              <w:rPr>
                <w:sz w:val="20"/>
                <w:szCs w:val="20"/>
                <w:lang w:val="fr-CA"/>
              </w:rPr>
              <w:t>Allemagne</w:t>
            </w:r>
          </w:p>
        </w:tc>
        <w:tc>
          <w:tcPr>
            <w:tcW w:w="614" w:type="pct"/>
          </w:tcPr>
          <w:p w:rsidR="00387175" w:rsidRPr="00ED22D1" w:rsidRDefault="00387175" w:rsidP="00387175">
            <w:pPr>
              <w:jc w:val="right"/>
              <w:rPr>
                <w:sz w:val="20"/>
                <w:szCs w:val="20"/>
                <w:lang w:val="fr-CA"/>
              </w:rPr>
            </w:pPr>
            <w:r w:rsidRPr="00ED22D1">
              <w:rPr>
                <w:sz w:val="20"/>
                <w:szCs w:val="20"/>
                <w:lang w:val="fr-CA"/>
              </w:rPr>
              <w:t>30</w:t>
            </w:r>
            <w:r w:rsidR="004A6828" w:rsidRPr="00ED22D1">
              <w:rPr>
                <w:sz w:val="20"/>
                <w:szCs w:val="20"/>
                <w:lang w:val="fr-CA"/>
              </w:rPr>
              <w:t>0 </w:t>
            </w:r>
            <w:r w:rsidRPr="00ED22D1">
              <w:rPr>
                <w:sz w:val="20"/>
                <w:szCs w:val="20"/>
                <w:lang w:val="fr-CA"/>
              </w:rPr>
              <w:t>000</w:t>
            </w:r>
          </w:p>
        </w:tc>
        <w:tc>
          <w:tcPr>
            <w:tcW w:w="613" w:type="pct"/>
          </w:tcPr>
          <w:p w:rsidR="00387175" w:rsidRPr="00ED22D1" w:rsidRDefault="00387175" w:rsidP="00387175">
            <w:pPr>
              <w:jc w:val="right"/>
              <w:rPr>
                <w:sz w:val="20"/>
                <w:szCs w:val="20"/>
                <w:lang w:val="fr-CA"/>
              </w:rPr>
            </w:pPr>
            <w:r w:rsidRPr="00ED22D1">
              <w:rPr>
                <w:sz w:val="20"/>
                <w:szCs w:val="20"/>
                <w:lang w:val="fr-CA"/>
              </w:rPr>
              <w:t>14</w:t>
            </w:r>
            <w:r w:rsidR="004A6828" w:rsidRPr="00ED22D1">
              <w:rPr>
                <w:sz w:val="20"/>
                <w:szCs w:val="20"/>
                <w:lang w:val="fr-CA"/>
              </w:rPr>
              <w:t>2 </w:t>
            </w:r>
            <w:r w:rsidRPr="00ED22D1">
              <w:rPr>
                <w:sz w:val="20"/>
                <w:szCs w:val="20"/>
                <w:lang w:val="fr-CA"/>
              </w:rPr>
              <w:t>660</w:t>
            </w:r>
          </w:p>
        </w:tc>
        <w:tc>
          <w:tcPr>
            <w:tcW w:w="690" w:type="pct"/>
          </w:tcPr>
          <w:p w:rsidR="00387175" w:rsidRPr="00ED22D1" w:rsidRDefault="00387175" w:rsidP="00387175">
            <w:pPr>
              <w:jc w:val="right"/>
              <w:rPr>
                <w:sz w:val="20"/>
                <w:szCs w:val="20"/>
                <w:lang w:val="fr-CA"/>
              </w:rPr>
            </w:pPr>
            <w:r w:rsidRPr="00ED22D1">
              <w:rPr>
                <w:sz w:val="20"/>
                <w:szCs w:val="20"/>
                <w:lang w:val="fr-CA"/>
              </w:rPr>
              <w:t>0</w:t>
            </w:r>
          </w:p>
        </w:tc>
        <w:tc>
          <w:tcPr>
            <w:tcW w:w="663" w:type="pct"/>
          </w:tcPr>
          <w:p w:rsidR="00387175" w:rsidRPr="00ED22D1" w:rsidRDefault="00387175" w:rsidP="00387175">
            <w:pPr>
              <w:jc w:val="right"/>
              <w:rPr>
                <w:sz w:val="20"/>
                <w:szCs w:val="20"/>
                <w:lang w:val="fr-CA"/>
              </w:rPr>
            </w:pPr>
            <w:r w:rsidRPr="00ED22D1">
              <w:rPr>
                <w:sz w:val="20"/>
                <w:szCs w:val="20"/>
                <w:lang w:val="fr-CA"/>
              </w:rPr>
              <w:t>0</w:t>
            </w:r>
          </w:p>
        </w:tc>
        <w:tc>
          <w:tcPr>
            <w:tcW w:w="641" w:type="pct"/>
          </w:tcPr>
          <w:p w:rsidR="00387175" w:rsidRPr="00ED22D1" w:rsidRDefault="00387175" w:rsidP="00387175">
            <w:pPr>
              <w:jc w:val="right"/>
              <w:rPr>
                <w:sz w:val="20"/>
                <w:szCs w:val="20"/>
                <w:lang w:val="fr-CA"/>
              </w:rPr>
            </w:pPr>
            <w:r w:rsidRPr="00ED22D1">
              <w:rPr>
                <w:sz w:val="20"/>
                <w:szCs w:val="20"/>
                <w:lang w:val="fr-CA"/>
              </w:rPr>
              <w:t>30</w:t>
            </w:r>
            <w:r w:rsidR="004A6828" w:rsidRPr="00ED22D1">
              <w:rPr>
                <w:sz w:val="20"/>
                <w:szCs w:val="20"/>
                <w:lang w:val="fr-CA"/>
              </w:rPr>
              <w:t>0 </w:t>
            </w:r>
            <w:r w:rsidRPr="00ED22D1">
              <w:rPr>
                <w:sz w:val="20"/>
                <w:szCs w:val="20"/>
                <w:lang w:val="fr-CA"/>
              </w:rPr>
              <w:t>000</w:t>
            </w:r>
          </w:p>
        </w:tc>
        <w:tc>
          <w:tcPr>
            <w:tcW w:w="612" w:type="pct"/>
          </w:tcPr>
          <w:p w:rsidR="00387175" w:rsidRPr="00ED22D1" w:rsidRDefault="00387175" w:rsidP="00387175">
            <w:pPr>
              <w:jc w:val="right"/>
              <w:rPr>
                <w:sz w:val="20"/>
                <w:szCs w:val="20"/>
                <w:lang w:val="fr-CA"/>
              </w:rPr>
            </w:pPr>
            <w:r w:rsidRPr="00ED22D1">
              <w:rPr>
                <w:sz w:val="20"/>
                <w:szCs w:val="20"/>
                <w:lang w:val="fr-CA"/>
              </w:rPr>
              <w:t>14</w:t>
            </w:r>
            <w:r w:rsidR="004A6828" w:rsidRPr="00ED22D1">
              <w:rPr>
                <w:sz w:val="20"/>
                <w:szCs w:val="20"/>
                <w:lang w:val="fr-CA"/>
              </w:rPr>
              <w:t>2 </w:t>
            </w:r>
            <w:r w:rsidRPr="00ED22D1">
              <w:rPr>
                <w:sz w:val="20"/>
                <w:szCs w:val="20"/>
                <w:lang w:val="fr-CA"/>
              </w:rPr>
              <w:t>660</w:t>
            </w:r>
          </w:p>
        </w:tc>
      </w:tr>
      <w:tr w:rsidR="00387175" w:rsidRPr="00ED22D1" w:rsidTr="00D0376A">
        <w:tc>
          <w:tcPr>
            <w:tcW w:w="1167" w:type="pct"/>
          </w:tcPr>
          <w:p w:rsidR="00387175" w:rsidRPr="00ED22D1" w:rsidRDefault="004A6828" w:rsidP="00387175">
            <w:pPr>
              <w:rPr>
                <w:sz w:val="20"/>
                <w:szCs w:val="20"/>
                <w:lang w:val="fr-CA"/>
              </w:rPr>
            </w:pPr>
            <w:r w:rsidRPr="00ED22D1">
              <w:rPr>
                <w:sz w:val="20"/>
                <w:szCs w:val="20"/>
                <w:lang w:val="fr-CA"/>
              </w:rPr>
              <w:t>Japon</w:t>
            </w:r>
          </w:p>
        </w:tc>
        <w:tc>
          <w:tcPr>
            <w:tcW w:w="614" w:type="pct"/>
          </w:tcPr>
          <w:p w:rsidR="00387175" w:rsidRPr="00ED22D1" w:rsidRDefault="00387175" w:rsidP="00387175">
            <w:pPr>
              <w:jc w:val="right"/>
              <w:rPr>
                <w:sz w:val="20"/>
                <w:szCs w:val="20"/>
                <w:lang w:val="fr-CA"/>
              </w:rPr>
            </w:pPr>
            <w:r w:rsidRPr="00ED22D1">
              <w:rPr>
                <w:sz w:val="20"/>
                <w:szCs w:val="20"/>
                <w:lang w:val="fr-CA"/>
              </w:rPr>
              <w:t>8</w:t>
            </w:r>
            <w:r w:rsidR="004A6828" w:rsidRPr="00ED22D1">
              <w:rPr>
                <w:sz w:val="20"/>
                <w:szCs w:val="20"/>
                <w:lang w:val="fr-CA"/>
              </w:rPr>
              <w:t>0 </w:t>
            </w:r>
            <w:r w:rsidRPr="00ED22D1">
              <w:rPr>
                <w:sz w:val="20"/>
                <w:szCs w:val="20"/>
                <w:lang w:val="fr-CA"/>
              </w:rPr>
              <w:t>000</w:t>
            </w:r>
          </w:p>
        </w:tc>
        <w:tc>
          <w:tcPr>
            <w:tcW w:w="613" w:type="pct"/>
          </w:tcPr>
          <w:p w:rsidR="00387175" w:rsidRPr="00ED22D1" w:rsidRDefault="00387175" w:rsidP="00387175">
            <w:pPr>
              <w:jc w:val="right"/>
              <w:rPr>
                <w:sz w:val="20"/>
                <w:szCs w:val="20"/>
                <w:lang w:val="fr-CA"/>
              </w:rPr>
            </w:pPr>
            <w:r w:rsidRPr="00ED22D1">
              <w:rPr>
                <w:sz w:val="20"/>
                <w:szCs w:val="20"/>
                <w:lang w:val="fr-CA"/>
              </w:rPr>
              <w:t>0</w:t>
            </w:r>
          </w:p>
        </w:tc>
        <w:tc>
          <w:tcPr>
            <w:tcW w:w="690" w:type="pct"/>
          </w:tcPr>
          <w:p w:rsidR="00387175" w:rsidRPr="00ED22D1" w:rsidRDefault="00387175" w:rsidP="00387175">
            <w:pPr>
              <w:jc w:val="right"/>
              <w:rPr>
                <w:sz w:val="20"/>
                <w:szCs w:val="20"/>
                <w:lang w:val="fr-CA"/>
              </w:rPr>
            </w:pPr>
            <w:r w:rsidRPr="00ED22D1">
              <w:rPr>
                <w:sz w:val="20"/>
                <w:szCs w:val="20"/>
                <w:lang w:val="fr-CA"/>
              </w:rPr>
              <w:t>8</w:t>
            </w:r>
            <w:r w:rsidR="004A6828" w:rsidRPr="00ED22D1">
              <w:rPr>
                <w:sz w:val="20"/>
                <w:szCs w:val="20"/>
                <w:lang w:val="fr-CA"/>
              </w:rPr>
              <w:t>0 </w:t>
            </w:r>
            <w:r w:rsidRPr="00ED22D1">
              <w:rPr>
                <w:sz w:val="20"/>
                <w:szCs w:val="20"/>
                <w:lang w:val="fr-CA"/>
              </w:rPr>
              <w:t>000</w:t>
            </w:r>
          </w:p>
        </w:tc>
        <w:tc>
          <w:tcPr>
            <w:tcW w:w="663" w:type="pct"/>
          </w:tcPr>
          <w:p w:rsidR="00387175" w:rsidRPr="00ED22D1" w:rsidRDefault="00387175" w:rsidP="00387175">
            <w:pPr>
              <w:jc w:val="right"/>
              <w:rPr>
                <w:sz w:val="20"/>
                <w:szCs w:val="20"/>
                <w:lang w:val="fr-CA"/>
              </w:rPr>
            </w:pPr>
            <w:r w:rsidRPr="00ED22D1">
              <w:rPr>
                <w:sz w:val="20"/>
                <w:szCs w:val="20"/>
                <w:lang w:val="fr-CA"/>
              </w:rPr>
              <w:t>0</w:t>
            </w:r>
          </w:p>
        </w:tc>
        <w:tc>
          <w:tcPr>
            <w:tcW w:w="641" w:type="pct"/>
          </w:tcPr>
          <w:p w:rsidR="00387175" w:rsidRPr="00ED22D1" w:rsidRDefault="00387175" w:rsidP="00387175">
            <w:pPr>
              <w:jc w:val="right"/>
              <w:rPr>
                <w:sz w:val="20"/>
                <w:szCs w:val="20"/>
                <w:lang w:val="fr-CA"/>
              </w:rPr>
            </w:pPr>
            <w:r w:rsidRPr="00ED22D1">
              <w:rPr>
                <w:sz w:val="20"/>
                <w:szCs w:val="20"/>
                <w:lang w:val="fr-CA"/>
              </w:rPr>
              <w:t>16</w:t>
            </w:r>
            <w:r w:rsidR="004A6828" w:rsidRPr="00ED22D1">
              <w:rPr>
                <w:sz w:val="20"/>
                <w:szCs w:val="20"/>
                <w:lang w:val="fr-CA"/>
              </w:rPr>
              <w:t>0 </w:t>
            </w:r>
            <w:r w:rsidRPr="00ED22D1">
              <w:rPr>
                <w:sz w:val="20"/>
                <w:szCs w:val="20"/>
                <w:lang w:val="fr-CA"/>
              </w:rPr>
              <w:t>000</w:t>
            </w:r>
          </w:p>
        </w:tc>
        <w:tc>
          <w:tcPr>
            <w:tcW w:w="612" w:type="pct"/>
          </w:tcPr>
          <w:p w:rsidR="00387175" w:rsidRPr="00ED22D1" w:rsidRDefault="00387175" w:rsidP="00387175">
            <w:pPr>
              <w:jc w:val="right"/>
              <w:rPr>
                <w:sz w:val="20"/>
                <w:szCs w:val="20"/>
                <w:lang w:val="fr-CA"/>
              </w:rPr>
            </w:pPr>
            <w:r w:rsidRPr="00ED22D1">
              <w:rPr>
                <w:sz w:val="20"/>
                <w:szCs w:val="20"/>
                <w:lang w:val="fr-CA"/>
              </w:rPr>
              <w:t>0</w:t>
            </w:r>
          </w:p>
        </w:tc>
      </w:tr>
      <w:tr w:rsidR="00387175" w:rsidRPr="00ED22D1" w:rsidTr="00D0376A">
        <w:tc>
          <w:tcPr>
            <w:tcW w:w="1167" w:type="pct"/>
          </w:tcPr>
          <w:p w:rsidR="00387175" w:rsidRPr="00ED22D1" w:rsidRDefault="00387175" w:rsidP="00387175">
            <w:pPr>
              <w:rPr>
                <w:b/>
                <w:sz w:val="20"/>
                <w:szCs w:val="20"/>
                <w:lang w:val="fr-CA"/>
              </w:rPr>
            </w:pPr>
            <w:r w:rsidRPr="00ED22D1">
              <w:rPr>
                <w:b/>
                <w:sz w:val="20"/>
                <w:szCs w:val="20"/>
                <w:lang w:val="fr-CA"/>
              </w:rPr>
              <w:t>Total</w:t>
            </w:r>
          </w:p>
        </w:tc>
        <w:tc>
          <w:tcPr>
            <w:tcW w:w="614" w:type="pct"/>
          </w:tcPr>
          <w:p w:rsidR="00387175" w:rsidRPr="00ED22D1" w:rsidRDefault="004A6828" w:rsidP="00387175">
            <w:pPr>
              <w:jc w:val="right"/>
              <w:rPr>
                <w:sz w:val="20"/>
                <w:szCs w:val="20"/>
                <w:lang w:val="fr-CA"/>
              </w:rPr>
            </w:pPr>
            <w:r w:rsidRPr="00ED22D1">
              <w:rPr>
                <w:sz w:val="20"/>
                <w:szCs w:val="20"/>
                <w:lang w:val="fr-CA"/>
              </w:rPr>
              <w:t>3 </w:t>
            </w:r>
            <w:r w:rsidR="00387175" w:rsidRPr="00ED22D1">
              <w:rPr>
                <w:sz w:val="20"/>
                <w:szCs w:val="20"/>
                <w:lang w:val="fr-CA"/>
              </w:rPr>
              <w:t>67</w:t>
            </w:r>
            <w:r w:rsidRPr="00ED22D1">
              <w:rPr>
                <w:sz w:val="20"/>
                <w:szCs w:val="20"/>
                <w:lang w:val="fr-CA"/>
              </w:rPr>
              <w:t>9 </w:t>
            </w:r>
            <w:r w:rsidR="00387175" w:rsidRPr="00ED22D1">
              <w:rPr>
                <w:sz w:val="20"/>
                <w:szCs w:val="20"/>
                <w:lang w:val="fr-CA"/>
              </w:rPr>
              <w:t>132</w:t>
            </w:r>
          </w:p>
        </w:tc>
        <w:tc>
          <w:tcPr>
            <w:tcW w:w="613" w:type="pct"/>
          </w:tcPr>
          <w:p w:rsidR="00387175" w:rsidRPr="00ED22D1" w:rsidRDefault="004A6828" w:rsidP="00387175">
            <w:pPr>
              <w:jc w:val="right"/>
              <w:rPr>
                <w:sz w:val="20"/>
                <w:szCs w:val="20"/>
                <w:lang w:val="fr-CA"/>
              </w:rPr>
            </w:pPr>
            <w:r w:rsidRPr="00ED22D1">
              <w:rPr>
                <w:sz w:val="20"/>
                <w:szCs w:val="20"/>
                <w:lang w:val="fr-CA"/>
              </w:rPr>
              <w:t>1 </w:t>
            </w:r>
            <w:r w:rsidR="00387175" w:rsidRPr="00ED22D1">
              <w:rPr>
                <w:sz w:val="20"/>
                <w:szCs w:val="20"/>
                <w:lang w:val="fr-CA"/>
              </w:rPr>
              <w:t>68</w:t>
            </w:r>
            <w:r w:rsidRPr="00ED22D1">
              <w:rPr>
                <w:sz w:val="20"/>
                <w:szCs w:val="20"/>
                <w:lang w:val="fr-CA"/>
              </w:rPr>
              <w:t>2 </w:t>
            </w:r>
            <w:r w:rsidR="00387175" w:rsidRPr="00ED22D1">
              <w:rPr>
                <w:sz w:val="20"/>
                <w:szCs w:val="20"/>
                <w:lang w:val="fr-CA"/>
              </w:rPr>
              <w:t>660</w:t>
            </w:r>
          </w:p>
        </w:tc>
        <w:tc>
          <w:tcPr>
            <w:tcW w:w="690" w:type="pct"/>
          </w:tcPr>
          <w:p w:rsidR="00387175" w:rsidRPr="00ED22D1" w:rsidRDefault="004A6828" w:rsidP="00387175">
            <w:pPr>
              <w:jc w:val="right"/>
              <w:rPr>
                <w:sz w:val="20"/>
                <w:szCs w:val="20"/>
                <w:lang w:val="fr-CA"/>
              </w:rPr>
            </w:pPr>
            <w:r w:rsidRPr="00ED22D1">
              <w:rPr>
                <w:sz w:val="20"/>
                <w:szCs w:val="20"/>
                <w:lang w:val="fr-CA"/>
              </w:rPr>
              <w:t>2 </w:t>
            </w:r>
            <w:r w:rsidR="00387175" w:rsidRPr="00ED22D1">
              <w:rPr>
                <w:sz w:val="20"/>
                <w:szCs w:val="20"/>
                <w:lang w:val="fr-CA"/>
              </w:rPr>
              <w:t>65</w:t>
            </w:r>
            <w:r w:rsidRPr="00ED22D1">
              <w:rPr>
                <w:sz w:val="20"/>
                <w:szCs w:val="20"/>
                <w:lang w:val="fr-CA"/>
              </w:rPr>
              <w:t>0 </w:t>
            </w:r>
            <w:r w:rsidR="00387175" w:rsidRPr="00ED22D1">
              <w:rPr>
                <w:sz w:val="20"/>
                <w:szCs w:val="20"/>
                <w:lang w:val="fr-CA"/>
              </w:rPr>
              <w:t>000</w:t>
            </w:r>
          </w:p>
        </w:tc>
        <w:tc>
          <w:tcPr>
            <w:tcW w:w="663" w:type="pct"/>
          </w:tcPr>
          <w:p w:rsidR="00387175" w:rsidRPr="00ED22D1" w:rsidRDefault="004A6828" w:rsidP="00387175">
            <w:pPr>
              <w:jc w:val="right"/>
              <w:rPr>
                <w:sz w:val="20"/>
                <w:szCs w:val="20"/>
                <w:lang w:val="fr-CA"/>
              </w:rPr>
            </w:pPr>
            <w:r w:rsidRPr="00ED22D1">
              <w:rPr>
                <w:sz w:val="20"/>
                <w:szCs w:val="20"/>
                <w:lang w:val="fr-CA"/>
              </w:rPr>
              <w:t>1 </w:t>
            </w:r>
            <w:r w:rsidR="00387175" w:rsidRPr="00ED22D1">
              <w:rPr>
                <w:sz w:val="20"/>
                <w:szCs w:val="20"/>
                <w:lang w:val="fr-CA"/>
              </w:rPr>
              <w:t>30</w:t>
            </w:r>
            <w:r w:rsidRPr="00ED22D1">
              <w:rPr>
                <w:sz w:val="20"/>
                <w:szCs w:val="20"/>
                <w:lang w:val="fr-CA"/>
              </w:rPr>
              <w:t>0 </w:t>
            </w:r>
            <w:r w:rsidR="00387175" w:rsidRPr="00ED22D1">
              <w:rPr>
                <w:sz w:val="20"/>
                <w:szCs w:val="20"/>
                <w:lang w:val="fr-CA"/>
              </w:rPr>
              <w:t>000</w:t>
            </w:r>
          </w:p>
        </w:tc>
        <w:tc>
          <w:tcPr>
            <w:tcW w:w="641" w:type="pct"/>
          </w:tcPr>
          <w:p w:rsidR="00387175" w:rsidRPr="00ED22D1" w:rsidRDefault="004A6828" w:rsidP="00387175">
            <w:pPr>
              <w:jc w:val="right"/>
              <w:rPr>
                <w:sz w:val="20"/>
                <w:szCs w:val="20"/>
                <w:lang w:val="fr-CA"/>
              </w:rPr>
            </w:pPr>
            <w:r w:rsidRPr="00ED22D1">
              <w:rPr>
                <w:sz w:val="20"/>
                <w:szCs w:val="20"/>
                <w:lang w:val="fr-CA"/>
              </w:rPr>
              <w:t>6 </w:t>
            </w:r>
            <w:r w:rsidR="00387175" w:rsidRPr="00ED22D1">
              <w:rPr>
                <w:sz w:val="20"/>
                <w:szCs w:val="20"/>
                <w:lang w:val="fr-CA"/>
              </w:rPr>
              <w:t>32</w:t>
            </w:r>
            <w:r w:rsidRPr="00ED22D1">
              <w:rPr>
                <w:sz w:val="20"/>
                <w:szCs w:val="20"/>
                <w:lang w:val="fr-CA"/>
              </w:rPr>
              <w:t>9 </w:t>
            </w:r>
            <w:r w:rsidR="00387175" w:rsidRPr="00ED22D1">
              <w:rPr>
                <w:sz w:val="20"/>
                <w:szCs w:val="20"/>
                <w:lang w:val="fr-CA"/>
              </w:rPr>
              <w:t>132</w:t>
            </w:r>
          </w:p>
        </w:tc>
        <w:tc>
          <w:tcPr>
            <w:tcW w:w="612" w:type="pct"/>
          </w:tcPr>
          <w:p w:rsidR="00387175" w:rsidRPr="00ED22D1" w:rsidRDefault="004A6828" w:rsidP="00387175">
            <w:pPr>
              <w:jc w:val="right"/>
              <w:rPr>
                <w:sz w:val="20"/>
                <w:szCs w:val="20"/>
                <w:lang w:val="fr-CA"/>
              </w:rPr>
            </w:pPr>
            <w:r w:rsidRPr="00ED22D1">
              <w:rPr>
                <w:sz w:val="20"/>
                <w:szCs w:val="20"/>
                <w:lang w:val="fr-CA"/>
              </w:rPr>
              <w:t>2 </w:t>
            </w:r>
            <w:r w:rsidR="00387175" w:rsidRPr="00ED22D1">
              <w:rPr>
                <w:sz w:val="20"/>
                <w:szCs w:val="20"/>
                <w:lang w:val="fr-CA"/>
              </w:rPr>
              <w:t>98</w:t>
            </w:r>
            <w:r w:rsidRPr="00ED22D1">
              <w:rPr>
                <w:sz w:val="20"/>
                <w:szCs w:val="20"/>
                <w:lang w:val="fr-CA"/>
              </w:rPr>
              <w:t>2 </w:t>
            </w:r>
            <w:r w:rsidR="00387175" w:rsidRPr="00ED22D1">
              <w:rPr>
                <w:sz w:val="20"/>
                <w:szCs w:val="20"/>
                <w:lang w:val="fr-CA"/>
              </w:rPr>
              <w:t>660</w:t>
            </w:r>
          </w:p>
        </w:tc>
      </w:tr>
      <w:tr w:rsidR="00387175" w:rsidRPr="00ED22D1" w:rsidTr="00D0376A">
        <w:tc>
          <w:tcPr>
            <w:tcW w:w="1167" w:type="pct"/>
          </w:tcPr>
          <w:p w:rsidR="00387175" w:rsidRPr="00ED22D1" w:rsidRDefault="00181884" w:rsidP="00387175">
            <w:pPr>
              <w:rPr>
                <w:b/>
                <w:sz w:val="20"/>
                <w:szCs w:val="20"/>
                <w:lang w:val="fr-CA"/>
              </w:rPr>
            </w:pPr>
            <w:r w:rsidRPr="00ED22D1">
              <w:rPr>
                <w:b/>
                <w:sz w:val="20"/>
                <w:szCs w:val="20"/>
                <w:lang w:val="fr-CA"/>
              </w:rPr>
              <w:t>Taux de décaissement</w:t>
            </w:r>
            <w:r w:rsidR="00387175" w:rsidRPr="00ED22D1">
              <w:rPr>
                <w:b/>
                <w:sz w:val="20"/>
                <w:szCs w:val="20"/>
                <w:lang w:val="fr-CA"/>
              </w:rPr>
              <w:t xml:space="preserve"> </w:t>
            </w:r>
            <w:r w:rsidR="002D6976" w:rsidRPr="00ED22D1">
              <w:rPr>
                <w:b/>
                <w:sz w:val="20"/>
                <w:szCs w:val="20"/>
                <w:lang w:val="fr-CA"/>
              </w:rPr>
              <w:t>(%</w:t>
            </w:r>
            <w:r w:rsidR="00387175" w:rsidRPr="00ED22D1">
              <w:rPr>
                <w:b/>
                <w:sz w:val="20"/>
                <w:szCs w:val="20"/>
                <w:lang w:val="fr-CA"/>
              </w:rPr>
              <w:t>)</w:t>
            </w:r>
          </w:p>
        </w:tc>
        <w:tc>
          <w:tcPr>
            <w:tcW w:w="1227" w:type="pct"/>
            <w:gridSpan w:val="2"/>
          </w:tcPr>
          <w:p w:rsidR="00387175" w:rsidRPr="00ED22D1" w:rsidRDefault="00387175" w:rsidP="00387175">
            <w:pPr>
              <w:jc w:val="right"/>
              <w:rPr>
                <w:sz w:val="20"/>
                <w:szCs w:val="20"/>
                <w:lang w:val="fr-CA"/>
              </w:rPr>
            </w:pPr>
            <w:r w:rsidRPr="00ED22D1">
              <w:rPr>
                <w:sz w:val="20"/>
                <w:szCs w:val="20"/>
                <w:lang w:val="fr-CA"/>
              </w:rPr>
              <w:t>4</w:t>
            </w:r>
            <w:r w:rsidR="004A6828" w:rsidRPr="00ED22D1">
              <w:rPr>
                <w:sz w:val="20"/>
                <w:szCs w:val="20"/>
                <w:lang w:val="fr-CA"/>
              </w:rPr>
              <w:t>5,</w:t>
            </w:r>
            <w:r w:rsidRPr="00ED22D1">
              <w:rPr>
                <w:sz w:val="20"/>
                <w:szCs w:val="20"/>
                <w:lang w:val="fr-CA"/>
              </w:rPr>
              <w:t>7</w:t>
            </w:r>
          </w:p>
        </w:tc>
        <w:tc>
          <w:tcPr>
            <w:tcW w:w="1353" w:type="pct"/>
            <w:gridSpan w:val="2"/>
          </w:tcPr>
          <w:p w:rsidR="00387175" w:rsidRPr="00ED22D1" w:rsidRDefault="00387175" w:rsidP="00387175">
            <w:pPr>
              <w:jc w:val="right"/>
              <w:rPr>
                <w:sz w:val="20"/>
                <w:szCs w:val="20"/>
                <w:lang w:val="fr-CA"/>
              </w:rPr>
            </w:pPr>
            <w:r w:rsidRPr="00ED22D1">
              <w:rPr>
                <w:sz w:val="20"/>
                <w:szCs w:val="20"/>
                <w:lang w:val="fr-CA"/>
              </w:rPr>
              <w:t>4</w:t>
            </w:r>
            <w:r w:rsidR="004A6828" w:rsidRPr="00ED22D1">
              <w:rPr>
                <w:sz w:val="20"/>
                <w:szCs w:val="20"/>
                <w:lang w:val="fr-CA"/>
              </w:rPr>
              <w:t>9,</w:t>
            </w:r>
            <w:r w:rsidRPr="00ED22D1">
              <w:rPr>
                <w:sz w:val="20"/>
                <w:szCs w:val="20"/>
                <w:lang w:val="fr-CA"/>
              </w:rPr>
              <w:t>1</w:t>
            </w:r>
          </w:p>
        </w:tc>
        <w:tc>
          <w:tcPr>
            <w:tcW w:w="1253" w:type="pct"/>
            <w:gridSpan w:val="2"/>
          </w:tcPr>
          <w:p w:rsidR="00387175" w:rsidRPr="00ED22D1" w:rsidRDefault="00387175" w:rsidP="00387175">
            <w:pPr>
              <w:jc w:val="right"/>
              <w:rPr>
                <w:sz w:val="20"/>
                <w:szCs w:val="20"/>
                <w:lang w:val="fr-CA"/>
              </w:rPr>
            </w:pPr>
            <w:r w:rsidRPr="00ED22D1">
              <w:rPr>
                <w:sz w:val="20"/>
                <w:szCs w:val="20"/>
                <w:lang w:val="fr-CA"/>
              </w:rPr>
              <w:t>4</w:t>
            </w:r>
            <w:r w:rsidR="004A6828" w:rsidRPr="00ED22D1">
              <w:rPr>
                <w:sz w:val="20"/>
                <w:szCs w:val="20"/>
                <w:lang w:val="fr-CA"/>
              </w:rPr>
              <w:t>7,</w:t>
            </w:r>
            <w:r w:rsidRPr="00ED22D1">
              <w:rPr>
                <w:sz w:val="20"/>
                <w:szCs w:val="20"/>
                <w:lang w:val="fr-CA"/>
              </w:rPr>
              <w:t>1</w:t>
            </w:r>
          </w:p>
        </w:tc>
      </w:tr>
    </w:tbl>
    <w:p w:rsidR="00387175" w:rsidRPr="00ED22D1" w:rsidRDefault="00387175" w:rsidP="00387175">
      <w:pPr>
        <w:rPr>
          <w:u w:val="single"/>
          <w:lang w:val="fr-CA"/>
        </w:rPr>
      </w:pPr>
    </w:p>
    <w:p w:rsidR="00387175" w:rsidRPr="00ED22D1" w:rsidRDefault="000C08D1" w:rsidP="00387175">
      <w:pPr>
        <w:rPr>
          <w:u w:val="single"/>
          <w:lang w:val="fr-CA"/>
        </w:rPr>
      </w:pPr>
      <w:r w:rsidRPr="00ED22D1">
        <w:rPr>
          <w:u w:val="single"/>
          <w:lang w:val="fr-CA"/>
        </w:rPr>
        <w:t>Plan de m</w:t>
      </w:r>
      <w:r w:rsidR="00921BDE" w:rsidRPr="00ED22D1">
        <w:rPr>
          <w:u w:val="single"/>
          <w:lang w:val="fr-CA"/>
        </w:rPr>
        <w:t xml:space="preserve">ise en oeuvre </w:t>
      </w:r>
      <w:r w:rsidRPr="00ED22D1">
        <w:rPr>
          <w:u w:val="single"/>
          <w:lang w:val="fr-CA"/>
        </w:rPr>
        <w:t>de</w:t>
      </w:r>
      <w:r w:rsidR="00387175" w:rsidRPr="00ED22D1">
        <w:rPr>
          <w:u w:val="single"/>
          <w:lang w:val="fr-CA"/>
        </w:rPr>
        <w:t xml:space="preserve"> </w:t>
      </w:r>
      <w:r w:rsidR="00874624" w:rsidRPr="00ED22D1">
        <w:rPr>
          <w:u w:val="single"/>
          <w:lang w:val="fr-CA"/>
        </w:rPr>
        <w:t>la troisième</w:t>
      </w:r>
      <w:r w:rsidR="00387175" w:rsidRPr="00ED22D1">
        <w:rPr>
          <w:u w:val="single"/>
          <w:lang w:val="fr-CA"/>
        </w:rPr>
        <w:t xml:space="preserve"> tranche </w:t>
      </w:r>
    </w:p>
    <w:p w:rsidR="00387175" w:rsidRPr="00ED22D1" w:rsidRDefault="00387175" w:rsidP="00387175">
      <w:pPr>
        <w:rPr>
          <w:u w:val="single"/>
          <w:lang w:val="fr-CA"/>
        </w:rPr>
      </w:pPr>
    </w:p>
    <w:p w:rsidR="00387175" w:rsidRPr="00ED22D1" w:rsidRDefault="00B20702" w:rsidP="00B20702">
      <w:pPr>
        <w:pStyle w:val="Heading1"/>
        <w:numPr>
          <w:ilvl w:val="0"/>
          <w:numId w:val="0"/>
        </w:numPr>
        <w:rPr>
          <w:lang w:val="fr-CA"/>
        </w:rPr>
      </w:pPr>
      <w:r w:rsidRPr="00ED22D1">
        <w:rPr>
          <w:lang w:val="fr-CA"/>
        </w:rPr>
        <w:t>102.</w:t>
      </w:r>
      <w:r w:rsidRPr="00ED22D1">
        <w:rPr>
          <w:lang w:val="fr-CA"/>
        </w:rPr>
        <w:tab/>
      </w:r>
      <w:r w:rsidR="00B939C1" w:rsidRPr="00ED22D1">
        <w:rPr>
          <w:lang w:val="fr-CA"/>
        </w:rPr>
        <w:t xml:space="preserve">Les activités suivantes seront mises en oeuvre </w:t>
      </w:r>
      <w:r w:rsidR="004A6828" w:rsidRPr="00ED22D1">
        <w:rPr>
          <w:lang w:val="fr-CA"/>
        </w:rPr>
        <w:t>entre</w:t>
      </w:r>
      <w:r w:rsidR="00B53D8B" w:rsidRPr="00ED22D1">
        <w:rPr>
          <w:lang w:val="fr-CA"/>
        </w:rPr>
        <w:t xml:space="preserve"> janvier</w:t>
      </w:r>
      <w:r w:rsidR="00387175" w:rsidRPr="00ED22D1">
        <w:rPr>
          <w:lang w:val="fr-CA"/>
        </w:rPr>
        <w:t xml:space="preserve"> 2019</w:t>
      </w:r>
      <w:r w:rsidR="004A6828" w:rsidRPr="00ED22D1">
        <w:rPr>
          <w:lang w:val="fr-CA"/>
        </w:rPr>
        <w:t xml:space="preserve"> et</w:t>
      </w:r>
      <w:r w:rsidR="001B31BF" w:rsidRPr="00ED22D1">
        <w:rPr>
          <w:lang w:val="fr-CA"/>
        </w:rPr>
        <w:t xml:space="preserve"> décembre</w:t>
      </w:r>
      <w:r w:rsidR="00387175" w:rsidRPr="00ED22D1">
        <w:rPr>
          <w:lang w:val="fr-CA"/>
        </w:rPr>
        <w:t xml:space="preserve"> 2020</w:t>
      </w:r>
      <w:r w:rsidR="00791BF7" w:rsidRPr="00ED22D1">
        <w:rPr>
          <w:lang w:val="fr-CA"/>
        </w:rPr>
        <w:t> :</w:t>
      </w:r>
    </w:p>
    <w:p w:rsidR="00387175" w:rsidRPr="00ED22D1" w:rsidRDefault="00B20702" w:rsidP="00DE451B">
      <w:pPr>
        <w:pStyle w:val="Heading2"/>
        <w:numPr>
          <w:ilvl w:val="0"/>
          <w:numId w:val="0"/>
        </w:numPr>
        <w:ind w:left="1440" w:hanging="720"/>
        <w:rPr>
          <w:lang w:val="fr-CA"/>
        </w:rPr>
      </w:pPr>
      <w:r w:rsidRPr="00ED22D1">
        <w:rPr>
          <w:lang w:val="fr-CA"/>
        </w:rPr>
        <w:t>(a)</w:t>
      </w:r>
      <w:r w:rsidRPr="00ED22D1">
        <w:rPr>
          <w:lang w:val="fr-CA"/>
        </w:rPr>
        <w:tab/>
      </w:r>
      <w:r w:rsidR="00637A8F" w:rsidRPr="00ED22D1">
        <w:rPr>
          <w:lang w:val="fr-CA"/>
        </w:rPr>
        <w:t>Un atelier de</w:t>
      </w:r>
      <w:r w:rsidR="00387175" w:rsidRPr="00ED22D1">
        <w:rPr>
          <w:lang w:val="fr-CA"/>
        </w:rPr>
        <w:t xml:space="preserve"> </w:t>
      </w:r>
      <w:r w:rsidR="00DE118B" w:rsidRPr="00ED22D1">
        <w:rPr>
          <w:lang w:val="fr-CA"/>
        </w:rPr>
        <w:t>formation</w:t>
      </w:r>
      <w:r w:rsidR="00387175" w:rsidRPr="00ED22D1">
        <w:rPr>
          <w:lang w:val="fr-CA"/>
        </w:rPr>
        <w:t xml:space="preserve"> </w:t>
      </w:r>
      <w:r w:rsidR="00637A8F" w:rsidRPr="00ED22D1">
        <w:rPr>
          <w:lang w:val="fr-CA"/>
        </w:rPr>
        <w:t xml:space="preserve">pour chacun des </w:t>
      </w:r>
      <w:r w:rsidR="00940415" w:rsidRPr="00ED22D1">
        <w:rPr>
          <w:lang w:val="fr-CA"/>
        </w:rPr>
        <w:t>agents commerciaux</w:t>
      </w:r>
      <w:r w:rsidR="00387175" w:rsidRPr="00ED22D1">
        <w:rPr>
          <w:lang w:val="fr-CA"/>
        </w:rPr>
        <w:t>,</w:t>
      </w:r>
      <w:r w:rsidR="001B31BF" w:rsidRPr="00ED22D1">
        <w:rPr>
          <w:lang w:val="fr-CA"/>
        </w:rPr>
        <w:t xml:space="preserve"> </w:t>
      </w:r>
      <w:r w:rsidR="00940415" w:rsidRPr="00ED22D1">
        <w:rPr>
          <w:lang w:val="fr-CA"/>
        </w:rPr>
        <w:t xml:space="preserve">vendeurs de </w:t>
      </w:r>
      <w:r w:rsidR="001B31BF" w:rsidRPr="00ED22D1">
        <w:rPr>
          <w:lang w:val="fr-CA"/>
        </w:rPr>
        <w:t>SAO</w:t>
      </w:r>
      <w:r w:rsidR="004A6828" w:rsidRPr="00ED22D1">
        <w:rPr>
          <w:lang w:val="fr-CA"/>
        </w:rPr>
        <w:t xml:space="preserve"> et </w:t>
      </w:r>
      <w:r w:rsidR="00940415" w:rsidRPr="00ED22D1">
        <w:rPr>
          <w:lang w:val="fr-CA"/>
        </w:rPr>
        <w:t>agents locaux des douanes, afin de renforcer la gestion des importations et des</w:t>
      </w:r>
      <w:r w:rsidR="00DE451B">
        <w:rPr>
          <w:lang w:val="fr-CA"/>
        </w:rPr>
        <w:t xml:space="preserve"> </w:t>
      </w:r>
      <w:r w:rsidR="00940415" w:rsidRPr="00ED22D1">
        <w:rPr>
          <w:lang w:val="fr-CA"/>
        </w:rPr>
        <w:t xml:space="preserve">exportations et d’identifier quatre </w:t>
      </w:r>
      <w:r w:rsidR="00387175" w:rsidRPr="00ED22D1">
        <w:rPr>
          <w:lang w:val="fr-CA"/>
        </w:rPr>
        <w:t xml:space="preserve">districts </w:t>
      </w:r>
      <w:r w:rsidR="00940415" w:rsidRPr="00ED22D1">
        <w:rPr>
          <w:lang w:val="fr-CA"/>
        </w:rPr>
        <w:t xml:space="preserve">afin de poursuivre les activités derenforcement de la capacité </w:t>
      </w:r>
      <w:r w:rsidR="008F0C6D">
        <w:rPr>
          <w:lang w:val="fr-CA"/>
        </w:rPr>
        <w:t>po</w:t>
      </w:r>
      <w:r w:rsidR="00940415" w:rsidRPr="00ED22D1">
        <w:rPr>
          <w:lang w:val="fr-CA"/>
        </w:rPr>
        <w:t xml:space="preserve">ur le contrôle des importations et des exportations de </w:t>
      </w:r>
      <w:r w:rsidR="001B31BF" w:rsidRPr="00ED22D1">
        <w:rPr>
          <w:lang w:val="fr-CA"/>
        </w:rPr>
        <w:t>SAO</w:t>
      </w:r>
      <w:r w:rsidR="00387175" w:rsidRPr="00ED22D1">
        <w:rPr>
          <w:lang w:val="fr-CA"/>
        </w:rPr>
        <w:t xml:space="preserve"> (</w:t>
      </w:r>
      <w:r w:rsidR="001C722B" w:rsidRPr="00ED22D1">
        <w:rPr>
          <w:lang w:val="fr-CA"/>
        </w:rPr>
        <w:t>PNUE</w:t>
      </w:r>
      <w:r w:rsidR="00387175" w:rsidRPr="00ED22D1">
        <w:rPr>
          <w:lang w:val="fr-CA"/>
        </w:rPr>
        <w:t>) (20</w:t>
      </w:r>
      <w:r w:rsidR="004A6828" w:rsidRPr="00ED22D1">
        <w:rPr>
          <w:lang w:val="fr-CA"/>
        </w:rPr>
        <w:t>5</w:t>
      </w:r>
      <w:r w:rsidR="00BA42C0" w:rsidRPr="00ED22D1">
        <w:rPr>
          <w:lang w:val="fr-CA"/>
        </w:rPr>
        <w:t> 000 $US</w:t>
      </w:r>
      <w:r w:rsidR="00387175" w:rsidRPr="00ED22D1">
        <w:rPr>
          <w:lang w:val="fr-CA"/>
        </w:rPr>
        <w:t>);</w:t>
      </w:r>
    </w:p>
    <w:p w:rsidR="00387175" w:rsidRPr="00ED22D1" w:rsidRDefault="00B20702" w:rsidP="00B20702">
      <w:pPr>
        <w:pStyle w:val="Heading2"/>
        <w:keepNext/>
        <w:widowControl/>
        <w:numPr>
          <w:ilvl w:val="0"/>
          <w:numId w:val="0"/>
        </w:numPr>
        <w:ind w:left="1418" w:hanging="698"/>
        <w:rPr>
          <w:lang w:val="fr-CA"/>
        </w:rPr>
      </w:pPr>
      <w:r w:rsidRPr="00ED22D1">
        <w:rPr>
          <w:lang w:val="fr-CA"/>
        </w:rPr>
        <w:t>(b)</w:t>
      </w:r>
      <w:r w:rsidRPr="00ED22D1">
        <w:rPr>
          <w:lang w:val="fr-CA"/>
        </w:rPr>
        <w:tab/>
      </w:r>
      <w:r w:rsidR="00945536" w:rsidRPr="00ED22D1">
        <w:rPr>
          <w:lang w:val="fr-CA"/>
        </w:rPr>
        <w:t>Renforcement des capacités</w:t>
      </w:r>
      <w:r w:rsidR="00387175" w:rsidRPr="00ED22D1">
        <w:rPr>
          <w:lang w:val="fr-CA"/>
        </w:rPr>
        <w:t xml:space="preserve"> </w:t>
      </w:r>
      <w:r w:rsidR="00940415" w:rsidRPr="00ED22D1">
        <w:rPr>
          <w:lang w:val="fr-CA"/>
        </w:rPr>
        <w:t xml:space="preserve">des </w:t>
      </w:r>
      <w:r w:rsidR="009779EC">
        <w:rPr>
          <w:lang w:val="fr-CA"/>
        </w:rPr>
        <w:t>EEB</w:t>
      </w:r>
      <w:r w:rsidR="00940415" w:rsidRPr="00ED22D1">
        <w:rPr>
          <w:lang w:val="fr-CA"/>
        </w:rPr>
        <w:t xml:space="preserve"> locaux</w:t>
      </w:r>
      <w:r w:rsidR="00387175" w:rsidRPr="00ED22D1">
        <w:rPr>
          <w:lang w:val="fr-CA"/>
        </w:rPr>
        <w:t xml:space="preserve"> </w:t>
      </w:r>
      <w:r w:rsidR="00940415" w:rsidRPr="00ED22D1">
        <w:rPr>
          <w:lang w:val="fr-CA"/>
        </w:rPr>
        <w:t>par deux ateliers de formation sur la gestion de l’</w:t>
      </w:r>
      <w:r w:rsidR="004A6828" w:rsidRPr="00ED22D1">
        <w:rPr>
          <w:lang w:val="fr-CA"/>
        </w:rPr>
        <w:t>élimination</w:t>
      </w:r>
      <w:r w:rsidR="00387175" w:rsidRPr="00ED22D1">
        <w:rPr>
          <w:lang w:val="fr-CA"/>
        </w:rPr>
        <w:t xml:space="preserve"> </w:t>
      </w:r>
      <w:r w:rsidR="00940415" w:rsidRPr="00ED22D1">
        <w:rPr>
          <w:lang w:val="fr-CA"/>
        </w:rPr>
        <w:t xml:space="preserve">des SAO aux niveaux provincial et local, afin de partager les expériences sur les meilleures pratiques de mise à exécution des règlements en matière de </w:t>
      </w:r>
      <w:r w:rsidR="001B31BF" w:rsidRPr="00ED22D1">
        <w:rPr>
          <w:lang w:val="fr-CA"/>
        </w:rPr>
        <w:t>SAO</w:t>
      </w:r>
      <w:r w:rsidR="00387175" w:rsidRPr="00ED22D1">
        <w:rPr>
          <w:lang w:val="fr-CA"/>
        </w:rPr>
        <w:t xml:space="preserve">; </w:t>
      </w:r>
      <w:r w:rsidR="00940415" w:rsidRPr="00ED22D1">
        <w:rPr>
          <w:lang w:val="fr-CA"/>
        </w:rPr>
        <w:t xml:space="preserve">fourniture d’assistance technique et réglementaire aux </w:t>
      </w:r>
      <w:r w:rsidR="009779EC">
        <w:rPr>
          <w:lang w:val="fr-CA"/>
        </w:rPr>
        <w:t>EEB</w:t>
      </w:r>
      <w:r w:rsidR="00940415" w:rsidRPr="00ED22D1">
        <w:rPr>
          <w:lang w:val="fr-CA"/>
        </w:rPr>
        <w:t xml:space="preserve"> locaux sur la gestion et le suivi des </w:t>
      </w:r>
      <w:r w:rsidR="001B45EC" w:rsidRPr="00ED22D1">
        <w:rPr>
          <w:lang w:val="fr-CA"/>
        </w:rPr>
        <w:t>activités</w:t>
      </w:r>
      <w:r w:rsidR="00387175" w:rsidRPr="00ED22D1">
        <w:rPr>
          <w:lang w:val="fr-CA"/>
        </w:rPr>
        <w:t xml:space="preserve"> </w:t>
      </w:r>
      <w:r w:rsidR="00940415" w:rsidRPr="00ED22D1">
        <w:rPr>
          <w:lang w:val="fr-CA"/>
        </w:rPr>
        <w:t xml:space="preserve">liées à la mise en oeuvre du </w:t>
      </w:r>
      <w:r w:rsidR="001F19C1" w:rsidRPr="00ED22D1">
        <w:rPr>
          <w:lang w:val="fr-CA"/>
        </w:rPr>
        <w:t>PGEH</w:t>
      </w:r>
      <w:r w:rsidR="00387175" w:rsidRPr="00ED22D1">
        <w:rPr>
          <w:lang w:val="fr-CA"/>
        </w:rPr>
        <w:t>,</w:t>
      </w:r>
      <w:r w:rsidR="004A6828" w:rsidRPr="00ED22D1">
        <w:rPr>
          <w:lang w:val="fr-CA"/>
        </w:rPr>
        <w:t xml:space="preserve"> et </w:t>
      </w:r>
      <w:r w:rsidR="00940415" w:rsidRPr="00ED22D1">
        <w:rPr>
          <w:lang w:val="fr-CA"/>
        </w:rPr>
        <w:t xml:space="preserve">compilation d’un manuel sur les règlements et les politiques de la </w:t>
      </w:r>
      <w:r w:rsidR="00D26EF9" w:rsidRPr="00ED22D1">
        <w:rPr>
          <w:lang w:val="fr-CA"/>
        </w:rPr>
        <w:t>Chine</w:t>
      </w:r>
      <w:r w:rsidR="00387175" w:rsidRPr="00ED22D1">
        <w:rPr>
          <w:lang w:val="fr-CA"/>
        </w:rPr>
        <w:t xml:space="preserve"> </w:t>
      </w:r>
      <w:r w:rsidR="00940415" w:rsidRPr="00ED22D1">
        <w:rPr>
          <w:lang w:val="fr-CA"/>
        </w:rPr>
        <w:t xml:space="preserve">en gestion des </w:t>
      </w:r>
      <w:r w:rsidR="001B31BF" w:rsidRPr="00ED22D1">
        <w:rPr>
          <w:lang w:val="fr-CA"/>
        </w:rPr>
        <w:t>SAO</w:t>
      </w:r>
      <w:r w:rsidR="00387175" w:rsidRPr="00ED22D1">
        <w:rPr>
          <w:lang w:val="fr-CA"/>
        </w:rPr>
        <w:t xml:space="preserve"> (</w:t>
      </w:r>
      <w:r w:rsidR="001C722B" w:rsidRPr="00ED22D1">
        <w:rPr>
          <w:lang w:val="fr-CA"/>
        </w:rPr>
        <w:t>PNUE</w:t>
      </w:r>
      <w:r w:rsidR="00387175" w:rsidRPr="00ED22D1">
        <w:rPr>
          <w:lang w:val="fr-CA"/>
        </w:rPr>
        <w:t>) (37</w:t>
      </w:r>
      <w:r w:rsidR="004A6828" w:rsidRPr="00ED22D1">
        <w:rPr>
          <w:lang w:val="fr-CA"/>
        </w:rPr>
        <w:t>5</w:t>
      </w:r>
      <w:r w:rsidR="00BA42C0" w:rsidRPr="00ED22D1">
        <w:rPr>
          <w:lang w:val="fr-CA"/>
        </w:rPr>
        <w:t> 000 $US</w:t>
      </w:r>
      <w:r w:rsidR="00387175" w:rsidRPr="00ED22D1">
        <w:rPr>
          <w:lang w:val="fr-CA"/>
        </w:rPr>
        <w:t>);</w:t>
      </w:r>
    </w:p>
    <w:p w:rsidR="00387175" w:rsidRPr="00ED22D1" w:rsidRDefault="00B20702" w:rsidP="00DE451B">
      <w:pPr>
        <w:pStyle w:val="Heading2"/>
        <w:numPr>
          <w:ilvl w:val="0"/>
          <w:numId w:val="0"/>
        </w:numPr>
        <w:ind w:left="1418" w:hanging="698"/>
        <w:rPr>
          <w:lang w:val="fr-CA"/>
        </w:rPr>
      </w:pPr>
      <w:r w:rsidRPr="00ED22D1">
        <w:rPr>
          <w:lang w:val="fr-CA"/>
        </w:rPr>
        <w:t>(c)</w:t>
      </w:r>
      <w:r w:rsidRPr="00ED22D1">
        <w:rPr>
          <w:lang w:val="fr-CA"/>
        </w:rPr>
        <w:tab/>
      </w:r>
      <w:r w:rsidR="00387175" w:rsidRPr="00ED22D1">
        <w:rPr>
          <w:lang w:val="fr-CA"/>
        </w:rPr>
        <w:t>Sign</w:t>
      </w:r>
      <w:r w:rsidR="00940415" w:rsidRPr="00ED22D1">
        <w:rPr>
          <w:lang w:val="fr-CA"/>
        </w:rPr>
        <w:t xml:space="preserve">ature de contrats avec des villes </w:t>
      </w:r>
      <w:r w:rsidR="00387175" w:rsidRPr="00ED22D1">
        <w:rPr>
          <w:lang w:val="fr-CA"/>
        </w:rPr>
        <w:t>(Guangzhou, Shenzhen</w:t>
      </w:r>
      <w:r w:rsidR="004A6828" w:rsidRPr="00ED22D1">
        <w:rPr>
          <w:lang w:val="fr-CA"/>
        </w:rPr>
        <w:t xml:space="preserve"> et </w:t>
      </w:r>
      <w:r w:rsidR="00387175" w:rsidRPr="00ED22D1">
        <w:rPr>
          <w:lang w:val="fr-CA"/>
        </w:rPr>
        <w:t xml:space="preserve">Tianjin) </w:t>
      </w:r>
      <w:r w:rsidR="00921BDE" w:rsidRPr="00ED22D1">
        <w:rPr>
          <w:lang w:val="fr-CA"/>
        </w:rPr>
        <w:t xml:space="preserve">pour la mise en oeuvre </w:t>
      </w:r>
      <w:r w:rsidR="00940415" w:rsidRPr="00ED22D1">
        <w:rPr>
          <w:lang w:val="fr-CA"/>
        </w:rPr>
        <w:t>du projet de ville pilote selon les procédures d’approvisionnement interne</w:t>
      </w:r>
      <w:r w:rsidR="00387175" w:rsidRPr="00ED22D1">
        <w:rPr>
          <w:lang w:val="fr-CA"/>
        </w:rPr>
        <w:t xml:space="preserve"> </w:t>
      </w:r>
      <w:r w:rsidR="00940415" w:rsidRPr="00ED22D1">
        <w:rPr>
          <w:lang w:val="fr-CA"/>
        </w:rPr>
        <w:tab/>
      </w:r>
      <w:r w:rsidR="00387175" w:rsidRPr="00ED22D1">
        <w:rPr>
          <w:lang w:val="fr-CA"/>
        </w:rPr>
        <w:t>(</w:t>
      </w:r>
      <w:r w:rsidR="00905638" w:rsidRPr="00ED22D1">
        <w:rPr>
          <w:lang w:val="fr-CA"/>
        </w:rPr>
        <w:t>financement</w:t>
      </w:r>
      <w:r w:rsidR="00387175" w:rsidRPr="00ED22D1">
        <w:rPr>
          <w:lang w:val="fr-CA"/>
        </w:rPr>
        <w:t xml:space="preserve"> </w:t>
      </w:r>
      <w:r w:rsidR="00940415" w:rsidRPr="00ED22D1">
        <w:rPr>
          <w:lang w:val="fr-CA"/>
        </w:rPr>
        <w:t>de la tranche précédente</w:t>
      </w:r>
      <w:r w:rsidR="00387175" w:rsidRPr="00ED22D1">
        <w:rPr>
          <w:lang w:val="fr-CA"/>
        </w:rPr>
        <w:t>);</w:t>
      </w:r>
    </w:p>
    <w:p w:rsidR="00387175" w:rsidRPr="00ED22D1" w:rsidRDefault="00B20702" w:rsidP="00DE451B">
      <w:pPr>
        <w:pStyle w:val="Heading2"/>
        <w:keepNext/>
        <w:widowControl/>
        <w:numPr>
          <w:ilvl w:val="0"/>
          <w:numId w:val="0"/>
        </w:numPr>
        <w:ind w:left="1418" w:hanging="698"/>
        <w:rPr>
          <w:lang w:val="fr-CA"/>
        </w:rPr>
      </w:pPr>
      <w:r w:rsidRPr="00ED22D1">
        <w:rPr>
          <w:lang w:val="fr-CA"/>
        </w:rPr>
        <w:t>(d)</w:t>
      </w:r>
      <w:r w:rsidRPr="00ED22D1">
        <w:rPr>
          <w:lang w:val="fr-CA"/>
        </w:rPr>
        <w:tab/>
      </w:r>
      <w:r w:rsidR="00387175" w:rsidRPr="00ED22D1">
        <w:rPr>
          <w:lang w:val="fr-CA"/>
        </w:rPr>
        <w:t>Sign</w:t>
      </w:r>
      <w:r w:rsidR="00940415" w:rsidRPr="00ED22D1">
        <w:rPr>
          <w:lang w:val="fr-CA"/>
        </w:rPr>
        <w:t xml:space="preserve">ature de </w:t>
      </w:r>
      <w:r w:rsidR="00921BDE" w:rsidRPr="00ED22D1">
        <w:rPr>
          <w:lang w:val="fr-CA"/>
        </w:rPr>
        <w:t>contrats</w:t>
      </w:r>
      <w:r w:rsidR="00387175" w:rsidRPr="00ED22D1">
        <w:rPr>
          <w:lang w:val="fr-CA"/>
        </w:rPr>
        <w:t xml:space="preserve"> </w:t>
      </w:r>
      <w:r w:rsidR="00B84F94" w:rsidRPr="00ED22D1">
        <w:rPr>
          <w:lang w:val="fr-CA"/>
        </w:rPr>
        <w:t xml:space="preserve">avec </w:t>
      </w:r>
      <w:r w:rsidR="00387175" w:rsidRPr="00ED22D1">
        <w:rPr>
          <w:lang w:val="fr-CA"/>
        </w:rPr>
        <w:t>17</w:t>
      </w:r>
      <w:r w:rsidR="00940415" w:rsidRPr="00ED22D1">
        <w:rPr>
          <w:lang w:val="fr-CA"/>
        </w:rPr>
        <w:t xml:space="preserve"> centres de formatio</w:t>
      </w:r>
      <w:r w:rsidR="00DE451B">
        <w:rPr>
          <w:lang w:val="fr-CA"/>
        </w:rPr>
        <w:t xml:space="preserve">n afin de mettre en oeuvre les </w:t>
      </w:r>
      <w:r w:rsidR="00940415" w:rsidRPr="00ED22D1">
        <w:rPr>
          <w:lang w:val="fr-CA"/>
        </w:rPr>
        <w:t xml:space="preserve">programmes de formation des </w:t>
      </w:r>
      <w:r w:rsidR="001F6F17" w:rsidRPr="00ED22D1">
        <w:rPr>
          <w:lang w:val="fr-CA"/>
        </w:rPr>
        <w:t>technicien</w:t>
      </w:r>
      <w:r w:rsidR="00387175" w:rsidRPr="00ED22D1">
        <w:rPr>
          <w:lang w:val="fr-CA"/>
        </w:rPr>
        <w:t xml:space="preserve">s, </w:t>
      </w:r>
      <w:r w:rsidR="004B666A" w:rsidRPr="00ED22D1">
        <w:rPr>
          <w:lang w:val="fr-CA"/>
        </w:rPr>
        <w:t>y compris</w:t>
      </w:r>
      <w:r w:rsidR="00387175" w:rsidRPr="00ED22D1">
        <w:rPr>
          <w:lang w:val="fr-CA"/>
        </w:rPr>
        <w:t xml:space="preserve"> </w:t>
      </w:r>
      <w:r w:rsidR="00940415" w:rsidRPr="00ED22D1">
        <w:rPr>
          <w:lang w:val="fr-CA"/>
        </w:rPr>
        <w:t xml:space="preserve">la coordination de la </w:t>
      </w:r>
      <w:r w:rsidR="00DE118B" w:rsidRPr="00ED22D1">
        <w:rPr>
          <w:lang w:val="fr-CA"/>
        </w:rPr>
        <w:t>formation</w:t>
      </w:r>
      <w:r w:rsidR="00387175" w:rsidRPr="00ED22D1">
        <w:rPr>
          <w:lang w:val="fr-CA"/>
        </w:rPr>
        <w:t xml:space="preserve"> </w:t>
      </w:r>
      <w:r w:rsidR="00940415" w:rsidRPr="00ED22D1">
        <w:rPr>
          <w:lang w:val="fr-CA"/>
        </w:rPr>
        <w:t xml:space="preserve">et le </w:t>
      </w:r>
      <w:r w:rsidR="00940415" w:rsidRPr="00ED22D1">
        <w:rPr>
          <w:lang w:val="fr-CA"/>
        </w:rPr>
        <w:tab/>
        <w:t>suivi par la</w:t>
      </w:r>
      <w:r w:rsidR="00DE118B" w:rsidRPr="00ED22D1">
        <w:rPr>
          <w:lang w:val="fr-CA"/>
        </w:rPr>
        <w:t xml:space="preserve"> </w:t>
      </w:r>
      <w:r w:rsidR="00D26EF9" w:rsidRPr="00ED22D1">
        <w:rPr>
          <w:lang w:val="fr-CA"/>
        </w:rPr>
        <w:t>Chin</w:t>
      </w:r>
      <w:r w:rsidR="008F0C6D">
        <w:rPr>
          <w:lang w:val="fr-CA"/>
        </w:rPr>
        <w:t>a</w:t>
      </w:r>
      <w:r w:rsidR="00387175" w:rsidRPr="00ED22D1">
        <w:rPr>
          <w:lang w:val="fr-CA"/>
        </w:rPr>
        <w:t xml:space="preserve"> Association of Staff</w:t>
      </w:r>
      <w:r w:rsidR="004A6828" w:rsidRPr="00ED22D1">
        <w:rPr>
          <w:lang w:val="fr-CA"/>
        </w:rPr>
        <w:t xml:space="preserve"> </w:t>
      </w:r>
      <w:r w:rsidR="00940415" w:rsidRPr="00ED22D1">
        <w:rPr>
          <w:lang w:val="fr-CA"/>
        </w:rPr>
        <w:t>and</w:t>
      </w:r>
      <w:r w:rsidR="004A6828" w:rsidRPr="00ED22D1">
        <w:rPr>
          <w:lang w:val="fr-CA"/>
        </w:rPr>
        <w:t xml:space="preserve"> </w:t>
      </w:r>
      <w:r w:rsidR="00387175" w:rsidRPr="00ED22D1">
        <w:rPr>
          <w:lang w:val="fr-CA"/>
        </w:rPr>
        <w:t>Workers Education</w:t>
      </w:r>
      <w:r w:rsidR="004A6828" w:rsidRPr="00ED22D1">
        <w:rPr>
          <w:lang w:val="fr-CA"/>
        </w:rPr>
        <w:t xml:space="preserve"> </w:t>
      </w:r>
      <w:r w:rsidR="00940415" w:rsidRPr="00ED22D1">
        <w:rPr>
          <w:lang w:val="fr-CA"/>
        </w:rPr>
        <w:t xml:space="preserve">and Vocational Training </w:t>
      </w:r>
      <w:r w:rsidR="00940415" w:rsidRPr="00ED22D1">
        <w:rPr>
          <w:lang w:val="fr-CA"/>
        </w:rPr>
        <w:tab/>
      </w:r>
      <w:r w:rsidR="00387175" w:rsidRPr="00ED22D1">
        <w:rPr>
          <w:lang w:val="fr-CA"/>
        </w:rPr>
        <w:t>(CASWEVT) (</w:t>
      </w:r>
      <w:r w:rsidR="001C722B" w:rsidRPr="00ED22D1">
        <w:rPr>
          <w:lang w:val="fr-CA"/>
        </w:rPr>
        <w:t>PNUE</w:t>
      </w:r>
      <w:r w:rsidR="00387175" w:rsidRPr="00ED22D1">
        <w:rPr>
          <w:lang w:val="fr-CA"/>
        </w:rPr>
        <w:t>/</w:t>
      </w:r>
      <w:r w:rsidR="004A6828" w:rsidRPr="00ED22D1">
        <w:rPr>
          <w:lang w:val="fr-CA"/>
        </w:rPr>
        <w:t>Japon</w:t>
      </w:r>
      <w:r w:rsidR="00387175" w:rsidRPr="00ED22D1">
        <w:rPr>
          <w:lang w:val="fr-CA"/>
        </w:rPr>
        <w:t>) (</w:t>
      </w:r>
      <w:r w:rsidR="004A6828" w:rsidRPr="00ED22D1">
        <w:rPr>
          <w:lang w:val="fr-CA"/>
        </w:rPr>
        <w:t>1 </w:t>
      </w:r>
      <w:r w:rsidR="00387175" w:rsidRPr="00ED22D1">
        <w:rPr>
          <w:lang w:val="fr-CA"/>
        </w:rPr>
        <w:t>82</w:t>
      </w:r>
      <w:r w:rsidR="004A6828" w:rsidRPr="00ED22D1">
        <w:rPr>
          <w:lang w:val="fr-CA"/>
        </w:rPr>
        <w:t>0</w:t>
      </w:r>
      <w:r w:rsidR="00BA42C0" w:rsidRPr="00ED22D1">
        <w:rPr>
          <w:lang w:val="fr-CA"/>
        </w:rPr>
        <w:t> 000 $US</w:t>
      </w:r>
      <w:r w:rsidR="00387175" w:rsidRPr="00ED22D1">
        <w:rPr>
          <w:lang w:val="fr-CA"/>
        </w:rPr>
        <w:t>);</w:t>
      </w:r>
    </w:p>
    <w:p w:rsidR="00387175" w:rsidRPr="00ED22D1" w:rsidRDefault="00B20702" w:rsidP="00DE451B">
      <w:pPr>
        <w:pStyle w:val="Heading2"/>
        <w:numPr>
          <w:ilvl w:val="0"/>
          <w:numId w:val="0"/>
        </w:numPr>
        <w:ind w:left="1418" w:hanging="698"/>
        <w:rPr>
          <w:lang w:val="fr-CA"/>
        </w:rPr>
      </w:pPr>
      <w:r w:rsidRPr="00ED22D1">
        <w:rPr>
          <w:lang w:val="fr-CA"/>
        </w:rPr>
        <w:t>(e)</w:t>
      </w:r>
      <w:r w:rsidRPr="00ED22D1">
        <w:rPr>
          <w:lang w:val="fr-CA"/>
        </w:rPr>
        <w:tab/>
      </w:r>
      <w:r w:rsidR="00DE118B" w:rsidRPr="00ED22D1">
        <w:rPr>
          <w:lang w:val="fr-CA"/>
        </w:rPr>
        <w:t>Formation</w:t>
      </w:r>
      <w:r w:rsidR="00387175" w:rsidRPr="00ED22D1">
        <w:rPr>
          <w:lang w:val="fr-CA"/>
        </w:rPr>
        <w:t xml:space="preserve"> </w:t>
      </w:r>
      <w:r w:rsidR="00940415" w:rsidRPr="00ED22D1">
        <w:rPr>
          <w:lang w:val="fr-CA"/>
        </w:rPr>
        <w:t>de</w:t>
      </w:r>
      <w:r w:rsidR="00387175" w:rsidRPr="00ED22D1">
        <w:rPr>
          <w:lang w:val="fr-CA"/>
        </w:rPr>
        <w:t xml:space="preserve"> </w:t>
      </w:r>
      <w:r w:rsidR="004A6828" w:rsidRPr="00ED22D1">
        <w:rPr>
          <w:lang w:val="fr-CA"/>
        </w:rPr>
        <w:t>3 </w:t>
      </w:r>
      <w:r w:rsidR="00387175" w:rsidRPr="00ED22D1">
        <w:rPr>
          <w:lang w:val="fr-CA"/>
        </w:rPr>
        <w:t xml:space="preserve">000 </w:t>
      </w:r>
      <w:r w:rsidR="001F6F17" w:rsidRPr="00ED22D1">
        <w:rPr>
          <w:lang w:val="fr-CA"/>
        </w:rPr>
        <w:t>technicien</w:t>
      </w:r>
      <w:r w:rsidR="00387175" w:rsidRPr="00ED22D1">
        <w:rPr>
          <w:lang w:val="fr-CA"/>
        </w:rPr>
        <w:t xml:space="preserve">s </w:t>
      </w:r>
      <w:r w:rsidR="00940415" w:rsidRPr="00ED22D1">
        <w:rPr>
          <w:lang w:val="fr-CA"/>
        </w:rPr>
        <w:t>lors d’ateliers d’entretien des fabricants</w:t>
      </w:r>
      <w:r w:rsidR="00387175" w:rsidRPr="00ED22D1">
        <w:rPr>
          <w:lang w:val="fr-CA"/>
        </w:rPr>
        <w:t xml:space="preserve"> (</w:t>
      </w:r>
      <w:r w:rsidR="001C722B" w:rsidRPr="00ED22D1">
        <w:rPr>
          <w:lang w:val="fr-CA"/>
        </w:rPr>
        <w:t>PNUE</w:t>
      </w:r>
      <w:r w:rsidR="00387175" w:rsidRPr="00ED22D1">
        <w:rPr>
          <w:lang w:val="fr-CA"/>
        </w:rPr>
        <w:t>/</w:t>
      </w:r>
      <w:r w:rsidR="004A6828" w:rsidRPr="00ED22D1">
        <w:rPr>
          <w:lang w:val="fr-CA"/>
        </w:rPr>
        <w:t>Japon</w:t>
      </w:r>
      <w:r w:rsidR="00387175" w:rsidRPr="00ED22D1">
        <w:rPr>
          <w:lang w:val="fr-CA"/>
        </w:rPr>
        <w:t>) (34</w:t>
      </w:r>
      <w:r w:rsidR="004A6828" w:rsidRPr="00ED22D1">
        <w:rPr>
          <w:lang w:val="fr-CA"/>
        </w:rPr>
        <w:t>0</w:t>
      </w:r>
      <w:r w:rsidR="00BA42C0" w:rsidRPr="00ED22D1">
        <w:rPr>
          <w:lang w:val="fr-CA"/>
        </w:rPr>
        <w:t> 000 $US</w:t>
      </w:r>
      <w:r w:rsidR="00387175" w:rsidRPr="00ED22D1">
        <w:rPr>
          <w:lang w:val="fr-CA"/>
        </w:rPr>
        <w:t>);</w:t>
      </w:r>
    </w:p>
    <w:p w:rsidR="00387175" w:rsidRPr="00ED22D1" w:rsidRDefault="00B20702" w:rsidP="00DE451B">
      <w:pPr>
        <w:pStyle w:val="Heading2"/>
        <w:numPr>
          <w:ilvl w:val="0"/>
          <w:numId w:val="0"/>
        </w:numPr>
        <w:ind w:left="1440" w:hanging="720"/>
        <w:rPr>
          <w:lang w:val="fr-CA"/>
        </w:rPr>
      </w:pPr>
      <w:r w:rsidRPr="00ED22D1">
        <w:rPr>
          <w:lang w:val="fr-CA"/>
        </w:rPr>
        <w:t>(f)</w:t>
      </w:r>
      <w:r w:rsidRPr="00ED22D1">
        <w:rPr>
          <w:lang w:val="fr-CA"/>
        </w:rPr>
        <w:tab/>
      </w:r>
      <w:r w:rsidR="00B615C2" w:rsidRPr="00ED22D1">
        <w:rPr>
          <w:lang w:val="fr-CA"/>
        </w:rPr>
        <w:t>Étude sur la ré</w:t>
      </w:r>
      <w:r w:rsidR="00387175" w:rsidRPr="00ED22D1">
        <w:rPr>
          <w:lang w:val="fr-CA"/>
        </w:rPr>
        <w:t xml:space="preserve">vision </w:t>
      </w:r>
      <w:r w:rsidR="00B615C2" w:rsidRPr="00ED22D1">
        <w:rPr>
          <w:lang w:val="fr-CA"/>
        </w:rPr>
        <w:t xml:space="preserve">des examen de certification </w:t>
      </w:r>
      <w:r w:rsidR="00DE451B">
        <w:rPr>
          <w:lang w:val="fr-CA"/>
        </w:rPr>
        <w:t xml:space="preserve">nationale pour les techniciens </w:t>
      </w:r>
      <w:r w:rsidR="00B615C2" w:rsidRPr="00ED22D1">
        <w:rPr>
          <w:lang w:val="fr-CA"/>
        </w:rPr>
        <w:t>d’</w:t>
      </w:r>
      <w:r w:rsidR="001B31BF" w:rsidRPr="00ED22D1">
        <w:rPr>
          <w:lang w:val="fr-CA"/>
        </w:rPr>
        <w:t>entretien</w:t>
      </w:r>
      <w:r w:rsidR="00387175" w:rsidRPr="00ED22D1">
        <w:rPr>
          <w:lang w:val="fr-CA"/>
        </w:rPr>
        <w:t xml:space="preserve"> </w:t>
      </w:r>
      <w:r w:rsidR="00B615C2" w:rsidRPr="00ED22D1">
        <w:rPr>
          <w:lang w:val="fr-CA"/>
        </w:rPr>
        <w:t>afin de soutenir les changements proposés</w:t>
      </w:r>
      <w:r w:rsidR="00DE451B">
        <w:rPr>
          <w:lang w:val="fr-CA"/>
        </w:rPr>
        <w:t xml:space="preserve"> aux critères de certification </w:t>
      </w:r>
      <w:r w:rsidR="00B615C2" w:rsidRPr="00ED22D1">
        <w:rPr>
          <w:lang w:val="fr-CA"/>
        </w:rPr>
        <w:t>nationale</w:t>
      </w:r>
      <w:r w:rsidR="00387175" w:rsidRPr="00ED22D1">
        <w:rPr>
          <w:lang w:val="fr-CA"/>
        </w:rPr>
        <w:t>,</w:t>
      </w:r>
      <w:r w:rsidR="004A6828" w:rsidRPr="00ED22D1">
        <w:rPr>
          <w:lang w:val="fr-CA"/>
        </w:rPr>
        <w:t xml:space="preserve"> et </w:t>
      </w:r>
      <w:r w:rsidR="00387175" w:rsidRPr="00ED22D1">
        <w:rPr>
          <w:lang w:val="fr-CA"/>
        </w:rPr>
        <w:t>formali</w:t>
      </w:r>
      <w:r w:rsidR="00B615C2" w:rsidRPr="00ED22D1">
        <w:rPr>
          <w:lang w:val="fr-CA"/>
        </w:rPr>
        <w:t>s</w:t>
      </w:r>
      <w:r w:rsidR="00387175" w:rsidRPr="00ED22D1">
        <w:rPr>
          <w:lang w:val="fr-CA"/>
        </w:rPr>
        <w:t xml:space="preserve">ation </w:t>
      </w:r>
      <w:r w:rsidR="00B615C2" w:rsidRPr="00ED22D1">
        <w:rPr>
          <w:lang w:val="fr-CA"/>
        </w:rPr>
        <w:t>du programme de certification des</w:t>
      </w:r>
      <w:r w:rsidR="00DE451B">
        <w:rPr>
          <w:lang w:val="fr-CA"/>
        </w:rPr>
        <w:t xml:space="preserve"> </w:t>
      </w:r>
      <w:r w:rsidR="001F6F17" w:rsidRPr="00ED22D1">
        <w:rPr>
          <w:lang w:val="fr-CA"/>
        </w:rPr>
        <w:t>technicien</w:t>
      </w:r>
      <w:r w:rsidR="00DE451B">
        <w:rPr>
          <w:lang w:val="fr-CA"/>
        </w:rPr>
        <w:t>s</w:t>
      </w:r>
      <w:r w:rsidR="00387175" w:rsidRPr="00ED22D1">
        <w:rPr>
          <w:lang w:val="fr-CA"/>
        </w:rPr>
        <w:t>(</w:t>
      </w:r>
      <w:r w:rsidR="001C722B" w:rsidRPr="00ED22D1">
        <w:rPr>
          <w:lang w:val="fr-CA"/>
        </w:rPr>
        <w:t>PNUE</w:t>
      </w:r>
      <w:r w:rsidR="00387175" w:rsidRPr="00ED22D1">
        <w:rPr>
          <w:lang w:val="fr-CA"/>
        </w:rPr>
        <w:t>/</w:t>
      </w:r>
      <w:r w:rsidR="004A6828" w:rsidRPr="00ED22D1">
        <w:rPr>
          <w:lang w:val="fr-CA"/>
        </w:rPr>
        <w:t>Japon</w:t>
      </w:r>
      <w:r w:rsidR="00387175" w:rsidRPr="00ED22D1">
        <w:rPr>
          <w:lang w:val="fr-CA"/>
        </w:rPr>
        <w:t>) (10</w:t>
      </w:r>
      <w:r w:rsidR="004A6828" w:rsidRPr="00ED22D1">
        <w:rPr>
          <w:lang w:val="fr-CA"/>
        </w:rPr>
        <w:t>0</w:t>
      </w:r>
      <w:r w:rsidR="00BA42C0" w:rsidRPr="00ED22D1">
        <w:rPr>
          <w:lang w:val="fr-CA"/>
        </w:rPr>
        <w:t> 000 $US</w:t>
      </w:r>
      <w:r w:rsidR="00387175" w:rsidRPr="00ED22D1">
        <w:rPr>
          <w:lang w:val="fr-CA"/>
        </w:rPr>
        <w:t>);</w:t>
      </w:r>
    </w:p>
    <w:p w:rsidR="00387175" w:rsidRPr="00ED22D1" w:rsidRDefault="00B20702" w:rsidP="004A6418">
      <w:pPr>
        <w:pStyle w:val="Heading2"/>
        <w:numPr>
          <w:ilvl w:val="0"/>
          <w:numId w:val="0"/>
        </w:numPr>
        <w:ind w:left="1418" w:hanging="698"/>
        <w:rPr>
          <w:lang w:val="fr-CA"/>
        </w:rPr>
      </w:pPr>
      <w:r w:rsidRPr="00ED22D1">
        <w:rPr>
          <w:lang w:val="fr-CA"/>
        </w:rPr>
        <w:t>(g)</w:t>
      </w:r>
      <w:r w:rsidRPr="00ED22D1">
        <w:rPr>
          <w:lang w:val="fr-CA"/>
        </w:rPr>
        <w:tab/>
      </w:r>
      <w:r w:rsidR="00B615C2" w:rsidRPr="00ED22D1">
        <w:rPr>
          <w:lang w:val="fr-CA"/>
        </w:rPr>
        <w:t>Un</w:t>
      </w:r>
      <w:r w:rsidR="00387175" w:rsidRPr="00ED22D1">
        <w:rPr>
          <w:lang w:val="fr-CA"/>
        </w:rPr>
        <w:t xml:space="preserve"> </w:t>
      </w:r>
      <w:r w:rsidR="00646A93" w:rsidRPr="00ED22D1">
        <w:rPr>
          <w:lang w:val="fr-CA"/>
        </w:rPr>
        <w:t>atelier</w:t>
      </w:r>
      <w:r w:rsidR="00387175" w:rsidRPr="00ED22D1">
        <w:rPr>
          <w:lang w:val="fr-CA"/>
        </w:rPr>
        <w:t xml:space="preserve"> </w:t>
      </w:r>
      <w:r w:rsidR="00B615C2" w:rsidRPr="00ED22D1">
        <w:rPr>
          <w:lang w:val="fr-CA"/>
        </w:rPr>
        <w:t>pour préparer les recommandations des po</w:t>
      </w:r>
      <w:r w:rsidR="004A6418">
        <w:rPr>
          <w:lang w:val="fr-CA"/>
        </w:rPr>
        <w:t xml:space="preserve">litiques après l’achèvement de </w:t>
      </w:r>
      <w:r w:rsidR="00B615C2" w:rsidRPr="00ED22D1">
        <w:rPr>
          <w:lang w:val="fr-CA"/>
        </w:rPr>
        <w:t xml:space="preserve">l’étude sur la gestion de la récupération des </w:t>
      </w:r>
      <w:r w:rsidR="008F0C6D">
        <w:rPr>
          <w:lang w:val="fr-CA"/>
        </w:rPr>
        <w:t xml:space="preserve">HCFC </w:t>
      </w:r>
      <w:r w:rsidR="00B615C2" w:rsidRPr="00ED22D1">
        <w:rPr>
          <w:lang w:val="fr-CA"/>
        </w:rPr>
        <w:t>dans le</w:t>
      </w:r>
      <w:r w:rsidR="00387175" w:rsidRPr="00ED22D1">
        <w:rPr>
          <w:lang w:val="fr-CA"/>
        </w:rPr>
        <w:t xml:space="preserve"> </w:t>
      </w:r>
      <w:r w:rsidR="00181884" w:rsidRPr="00ED22D1">
        <w:rPr>
          <w:lang w:val="fr-CA"/>
        </w:rPr>
        <w:t xml:space="preserve">secteur de l’entretien en </w:t>
      </w:r>
      <w:r w:rsidR="008F0C6D">
        <w:rPr>
          <w:lang w:val="fr-CA"/>
        </w:rPr>
        <w:tab/>
      </w:r>
      <w:r w:rsidR="00181884" w:rsidRPr="00ED22D1">
        <w:rPr>
          <w:lang w:val="fr-CA"/>
        </w:rPr>
        <w:t>réfrigération</w:t>
      </w:r>
      <w:r w:rsidR="00387175" w:rsidRPr="00ED22D1">
        <w:rPr>
          <w:lang w:val="fr-CA"/>
        </w:rPr>
        <w:t xml:space="preserve"> (</w:t>
      </w:r>
      <w:r w:rsidR="001C722B" w:rsidRPr="00ED22D1">
        <w:rPr>
          <w:lang w:val="fr-CA"/>
        </w:rPr>
        <w:t>PNUE</w:t>
      </w:r>
      <w:r w:rsidR="00387175" w:rsidRPr="00ED22D1">
        <w:rPr>
          <w:lang w:val="fr-CA"/>
        </w:rPr>
        <w:t>/</w:t>
      </w:r>
      <w:r w:rsidR="004A6828" w:rsidRPr="00ED22D1">
        <w:rPr>
          <w:lang w:val="fr-CA"/>
        </w:rPr>
        <w:t>Japon</w:t>
      </w:r>
      <w:r w:rsidR="00387175" w:rsidRPr="00ED22D1">
        <w:rPr>
          <w:lang w:val="fr-CA"/>
        </w:rPr>
        <w:t>) (5</w:t>
      </w:r>
      <w:r w:rsidR="004A6828" w:rsidRPr="00ED22D1">
        <w:rPr>
          <w:lang w:val="fr-CA"/>
        </w:rPr>
        <w:t>0</w:t>
      </w:r>
      <w:r w:rsidR="00BA42C0" w:rsidRPr="00ED22D1">
        <w:rPr>
          <w:lang w:val="fr-CA"/>
        </w:rPr>
        <w:t> 000 $US</w:t>
      </w:r>
      <w:r w:rsidR="00387175" w:rsidRPr="00ED22D1">
        <w:rPr>
          <w:lang w:val="fr-CA"/>
        </w:rPr>
        <w:t>);</w:t>
      </w:r>
    </w:p>
    <w:p w:rsidR="00387175" w:rsidRPr="00ED22D1" w:rsidRDefault="00B20702" w:rsidP="00B20702">
      <w:pPr>
        <w:pStyle w:val="Heading2"/>
        <w:numPr>
          <w:ilvl w:val="0"/>
          <w:numId w:val="0"/>
        </w:numPr>
        <w:ind w:left="1418" w:hanging="698"/>
        <w:rPr>
          <w:lang w:val="fr-CA"/>
        </w:rPr>
      </w:pPr>
      <w:r w:rsidRPr="00ED22D1">
        <w:rPr>
          <w:lang w:val="fr-CA"/>
        </w:rPr>
        <w:t>(h)</w:t>
      </w:r>
      <w:r w:rsidRPr="00ED22D1">
        <w:rPr>
          <w:lang w:val="fr-CA"/>
        </w:rPr>
        <w:tab/>
      </w:r>
      <w:r w:rsidR="00E71388" w:rsidRPr="00ED22D1">
        <w:rPr>
          <w:lang w:val="fr-CA"/>
        </w:rPr>
        <w:t>Projet de démonstration</w:t>
      </w:r>
      <w:r w:rsidR="00387175" w:rsidRPr="00ED22D1">
        <w:rPr>
          <w:lang w:val="fr-CA"/>
        </w:rPr>
        <w:t xml:space="preserve"> </w:t>
      </w:r>
      <w:r w:rsidR="00B615C2" w:rsidRPr="00ED22D1">
        <w:rPr>
          <w:lang w:val="fr-CA"/>
        </w:rPr>
        <w:t xml:space="preserve">du système </w:t>
      </w:r>
      <w:r w:rsidR="00387175" w:rsidRPr="00ED22D1">
        <w:rPr>
          <w:lang w:val="fr-CA"/>
        </w:rPr>
        <w:t>CO</w:t>
      </w:r>
      <w:r w:rsidR="00387175" w:rsidRPr="00ED22D1">
        <w:rPr>
          <w:vertAlign w:val="subscript"/>
          <w:lang w:val="fr-CA"/>
        </w:rPr>
        <w:t>2</w:t>
      </w:r>
      <w:r w:rsidR="00387175" w:rsidRPr="00ED22D1">
        <w:rPr>
          <w:lang w:val="fr-CA"/>
        </w:rPr>
        <w:t>-</w:t>
      </w:r>
      <w:r w:rsidR="00B615C2" w:rsidRPr="00ED22D1">
        <w:rPr>
          <w:lang w:val="fr-CA"/>
        </w:rPr>
        <w:t>transcritique</w:t>
      </w:r>
      <w:r w:rsidR="00387175" w:rsidRPr="00ED22D1">
        <w:rPr>
          <w:lang w:val="fr-CA"/>
        </w:rPr>
        <w:t xml:space="preserve"> </w:t>
      </w:r>
      <w:r w:rsidR="00B615C2" w:rsidRPr="00ED22D1">
        <w:rPr>
          <w:lang w:val="fr-CA"/>
        </w:rPr>
        <w:t>dans le supermarché sélectionné</w:t>
      </w:r>
      <w:r w:rsidR="00387175" w:rsidRPr="00ED22D1">
        <w:rPr>
          <w:lang w:val="fr-CA"/>
        </w:rPr>
        <w:t xml:space="preserve"> </w:t>
      </w:r>
      <w:r w:rsidRPr="00ED22D1">
        <w:rPr>
          <w:lang w:val="fr-CA"/>
        </w:rPr>
        <w:tab/>
      </w:r>
      <w:r w:rsidR="00387175" w:rsidRPr="00ED22D1">
        <w:rPr>
          <w:lang w:val="fr-CA"/>
        </w:rPr>
        <w:t>(Chaoshifa)</w:t>
      </w:r>
      <w:r w:rsidR="00B615C2" w:rsidRPr="00ED22D1">
        <w:rPr>
          <w:lang w:val="fr-CA"/>
        </w:rPr>
        <w:t xml:space="preserve">. Organisation de deux ateliers de formation pour </w:t>
      </w:r>
      <w:r w:rsidR="00387175" w:rsidRPr="00ED22D1">
        <w:rPr>
          <w:lang w:val="fr-CA"/>
        </w:rPr>
        <w:t xml:space="preserve">200 </w:t>
      </w:r>
      <w:r w:rsidR="00B615C2" w:rsidRPr="00ED22D1">
        <w:rPr>
          <w:lang w:val="fr-CA"/>
        </w:rPr>
        <w:t xml:space="preserve">gestionnaires et </w:t>
      </w:r>
      <w:r w:rsidR="001F6F17" w:rsidRPr="00ED22D1">
        <w:rPr>
          <w:lang w:val="fr-CA"/>
        </w:rPr>
        <w:t>technicien</w:t>
      </w:r>
      <w:r w:rsidR="00387175" w:rsidRPr="00ED22D1">
        <w:rPr>
          <w:lang w:val="fr-CA"/>
        </w:rPr>
        <w:t xml:space="preserve">s </w:t>
      </w:r>
      <w:r w:rsidR="00B615C2" w:rsidRPr="00ED22D1">
        <w:rPr>
          <w:lang w:val="fr-CA"/>
        </w:rPr>
        <w:t>sur la gestion et l’élimination des</w:t>
      </w:r>
      <w:r w:rsidR="00387175" w:rsidRPr="00ED22D1">
        <w:rPr>
          <w:lang w:val="fr-CA"/>
        </w:rPr>
        <w:t xml:space="preserve"> HCFC </w:t>
      </w:r>
      <w:r w:rsidR="00B615C2" w:rsidRPr="00ED22D1">
        <w:rPr>
          <w:lang w:val="fr-CA"/>
        </w:rPr>
        <w:t>dans le sous-secteur des supermarchés.</w:t>
      </w:r>
      <w:r w:rsidR="00387175" w:rsidRPr="00ED22D1">
        <w:rPr>
          <w:lang w:val="fr-CA"/>
        </w:rPr>
        <w:t xml:space="preserve"> </w:t>
      </w:r>
      <w:r w:rsidR="00B615C2" w:rsidRPr="00ED22D1">
        <w:rPr>
          <w:lang w:val="fr-CA"/>
        </w:rPr>
        <w:t xml:space="preserve">Élaboration de matériels de formation afin de promouvoir l’utilisation de frigorigènes à faible potentiel de réchauffement de la planète dans le sous-secteur des supermarchés et introduction de l’étiquetage Énergie verte pour les </w:t>
      </w:r>
      <w:r w:rsidR="00053099" w:rsidRPr="00ED22D1">
        <w:rPr>
          <w:lang w:val="fr-CA"/>
        </w:rPr>
        <w:t>supermarché</w:t>
      </w:r>
      <w:r w:rsidR="00B615C2" w:rsidRPr="00ED22D1">
        <w:rPr>
          <w:lang w:val="fr-CA"/>
        </w:rPr>
        <w:t>s.</w:t>
      </w:r>
      <w:r w:rsidR="00387175" w:rsidRPr="00ED22D1">
        <w:rPr>
          <w:lang w:val="fr-CA"/>
        </w:rPr>
        <w:t xml:space="preserve"> </w:t>
      </w:r>
      <w:r w:rsidR="00B615C2" w:rsidRPr="00ED22D1">
        <w:rPr>
          <w:lang w:val="fr-CA"/>
        </w:rPr>
        <w:t xml:space="preserve">Tenue </w:t>
      </w:r>
      <w:r w:rsidR="00B615C2" w:rsidRPr="00ED22D1">
        <w:rPr>
          <w:lang w:val="fr-CA"/>
        </w:rPr>
        <w:lastRenderedPageBreak/>
        <w:t xml:space="preserve">de réunions sur la </w:t>
      </w:r>
      <w:r w:rsidR="00387175" w:rsidRPr="00ED22D1">
        <w:rPr>
          <w:lang w:val="fr-CA"/>
        </w:rPr>
        <w:t>finali</w:t>
      </w:r>
      <w:r w:rsidR="00B615C2" w:rsidRPr="00ED22D1">
        <w:rPr>
          <w:lang w:val="fr-CA"/>
        </w:rPr>
        <w:t>s</w:t>
      </w:r>
      <w:r w:rsidR="00387175" w:rsidRPr="00ED22D1">
        <w:rPr>
          <w:lang w:val="fr-CA"/>
        </w:rPr>
        <w:t xml:space="preserve">ation </w:t>
      </w:r>
      <w:r w:rsidR="00B615C2" w:rsidRPr="00ED22D1">
        <w:rPr>
          <w:lang w:val="fr-CA"/>
        </w:rPr>
        <w:t>des normes internationales</w:t>
      </w:r>
      <w:r w:rsidR="00387175" w:rsidRPr="00ED22D1">
        <w:rPr>
          <w:lang w:val="fr-CA"/>
        </w:rPr>
        <w:t>,</w:t>
      </w:r>
      <w:r w:rsidR="004A6828" w:rsidRPr="00ED22D1">
        <w:rPr>
          <w:lang w:val="fr-CA"/>
        </w:rPr>
        <w:t xml:space="preserve"> et </w:t>
      </w:r>
      <w:r w:rsidR="00B615C2" w:rsidRPr="00ED22D1">
        <w:rPr>
          <w:lang w:val="fr-CA"/>
        </w:rPr>
        <w:t xml:space="preserve">élaboration d’indicateurs de rendement pour les </w:t>
      </w:r>
      <w:r w:rsidR="00E71388" w:rsidRPr="00ED22D1">
        <w:rPr>
          <w:lang w:val="fr-CA"/>
        </w:rPr>
        <w:t>projet</w:t>
      </w:r>
      <w:r w:rsidR="00B615C2" w:rsidRPr="00ED22D1">
        <w:rPr>
          <w:lang w:val="fr-CA"/>
        </w:rPr>
        <w:t>s</w:t>
      </w:r>
      <w:r w:rsidR="00E71388" w:rsidRPr="00ED22D1">
        <w:rPr>
          <w:lang w:val="fr-CA"/>
        </w:rPr>
        <w:t xml:space="preserve"> de démonstration</w:t>
      </w:r>
      <w:r w:rsidR="00B615C2" w:rsidRPr="00ED22D1">
        <w:rPr>
          <w:lang w:val="fr-CA"/>
        </w:rPr>
        <w:t xml:space="preserve"> dans les</w:t>
      </w:r>
      <w:r w:rsidR="00387175" w:rsidRPr="00ED22D1">
        <w:rPr>
          <w:lang w:val="fr-CA"/>
        </w:rPr>
        <w:t xml:space="preserve"> </w:t>
      </w:r>
      <w:r w:rsidR="00053099" w:rsidRPr="00ED22D1">
        <w:rPr>
          <w:lang w:val="fr-CA"/>
        </w:rPr>
        <w:t>supermarché</w:t>
      </w:r>
      <w:r w:rsidR="00387175" w:rsidRPr="00ED22D1">
        <w:rPr>
          <w:lang w:val="fr-CA"/>
        </w:rPr>
        <w:t>s</w:t>
      </w:r>
      <w:r w:rsidR="00B615C2" w:rsidRPr="00ED22D1">
        <w:rPr>
          <w:lang w:val="fr-CA"/>
        </w:rPr>
        <w:t xml:space="preserve">. Et </w:t>
      </w:r>
      <w:r w:rsidR="00772DB5" w:rsidRPr="00ED22D1">
        <w:rPr>
          <w:lang w:val="fr-CA"/>
        </w:rPr>
        <w:t xml:space="preserve">visite d’étude outremer sur la politique et la réglementation du secteur de la </w:t>
      </w:r>
      <w:r w:rsidR="001F6F17" w:rsidRPr="00ED22D1">
        <w:rPr>
          <w:lang w:val="fr-CA"/>
        </w:rPr>
        <w:t>chaîne frigorifique</w:t>
      </w:r>
      <w:r w:rsidR="00387175" w:rsidRPr="00ED22D1">
        <w:rPr>
          <w:lang w:val="fr-CA"/>
        </w:rPr>
        <w:t xml:space="preserve"> </w:t>
      </w:r>
      <w:r w:rsidR="00772DB5" w:rsidRPr="00ED22D1">
        <w:rPr>
          <w:lang w:val="fr-CA"/>
        </w:rPr>
        <w:t xml:space="preserve">pour les </w:t>
      </w:r>
      <w:r w:rsidR="001F6F17" w:rsidRPr="00ED22D1">
        <w:rPr>
          <w:lang w:val="fr-CA"/>
        </w:rPr>
        <w:t>technicien</w:t>
      </w:r>
      <w:r w:rsidR="00387175" w:rsidRPr="00ED22D1">
        <w:rPr>
          <w:lang w:val="fr-CA"/>
        </w:rPr>
        <w:t>s (</w:t>
      </w:r>
      <w:r w:rsidR="004A6828" w:rsidRPr="00ED22D1">
        <w:rPr>
          <w:lang w:val="fr-CA"/>
        </w:rPr>
        <w:t>Allemagne</w:t>
      </w:r>
      <w:r w:rsidR="00387175" w:rsidRPr="00ED22D1">
        <w:rPr>
          <w:lang w:val="fr-CA"/>
        </w:rPr>
        <w:t>) (50</w:t>
      </w:r>
      <w:r w:rsidR="004A6828" w:rsidRPr="00ED22D1">
        <w:rPr>
          <w:lang w:val="fr-CA"/>
        </w:rPr>
        <w:t>0</w:t>
      </w:r>
      <w:r w:rsidR="00BA42C0" w:rsidRPr="00ED22D1">
        <w:rPr>
          <w:lang w:val="fr-CA"/>
        </w:rPr>
        <w:t> 000 $US</w:t>
      </w:r>
      <w:r w:rsidR="00387175" w:rsidRPr="00ED22D1">
        <w:rPr>
          <w:lang w:val="fr-CA"/>
        </w:rPr>
        <w:t>);</w:t>
      </w:r>
    </w:p>
    <w:p w:rsidR="00387175" w:rsidRPr="00ED22D1" w:rsidRDefault="00B20702" w:rsidP="004A6418">
      <w:pPr>
        <w:pStyle w:val="Heading2"/>
        <w:keepNext/>
        <w:widowControl/>
        <w:numPr>
          <w:ilvl w:val="0"/>
          <w:numId w:val="0"/>
        </w:numPr>
        <w:ind w:left="1418" w:hanging="698"/>
        <w:rPr>
          <w:lang w:val="fr-CA"/>
        </w:rPr>
      </w:pPr>
      <w:r w:rsidRPr="00ED22D1">
        <w:rPr>
          <w:lang w:val="fr-CA"/>
        </w:rPr>
        <w:t>(i)</w:t>
      </w:r>
      <w:r w:rsidRPr="00ED22D1">
        <w:rPr>
          <w:lang w:val="fr-CA"/>
        </w:rPr>
        <w:tab/>
      </w:r>
      <w:r w:rsidR="00772DB5" w:rsidRPr="00ED22D1">
        <w:rPr>
          <w:lang w:val="fr-CA"/>
        </w:rPr>
        <w:t xml:space="preserve">Activités de vulgarisation </w:t>
      </w:r>
      <w:r w:rsidR="00387175" w:rsidRPr="00ED22D1">
        <w:rPr>
          <w:lang w:val="fr-CA"/>
        </w:rPr>
        <w:t>(</w:t>
      </w:r>
      <w:r w:rsidR="00772DB5" w:rsidRPr="00ED22D1">
        <w:rPr>
          <w:lang w:val="fr-CA"/>
        </w:rPr>
        <w:t xml:space="preserve">par ex., </w:t>
      </w:r>
      <w:r w:rsidR="00387175" w:rsidRPr="00ED22D1">
        <w:rPr>
          <w:lang w:val="fr-CA"/>
        </w:rPr>
        <w:t>2019 Ozone2Climate Technologies Roadshow</w:t>
      </w:r>
      <w:r w:rsidR="004A6828" w:rsidRPr="00ED22D1">
        <w:rPr>
          <w:lang w:val="fr-CA"/>
        </w:rPr>
        <w:t xml:space="preserve"> </w:t>
      </w:r>
      <w:r w:rsidR="004A6418">
        <w:rPr>
          <w:lang w:val="fr-CA"/>
        </w:rPr>
        <w:t xml:space="preserve">and </w:t>
      </w:r>
      <w:r w:rsidR="00387175" w:rsidRPr="00ED22D1">
        <w:rPr>
          <w:lang w:val="fr-CA"/>
        </w:rPr>
        <w:t xml:space="preserve">Roundtable, 2019 International </w:t>
      </w:r>
      <w:r w:rsidR="00772DB5" w:rsidRPr="00ED22D1">
        <w:rPr>
          <w:lang w:val="fr-CA"/>
        </w:rPr>
        <w:t>Workshop</w:t>
      </w:r>
      <w:r w:rsidR="00387175" w:rsidRPr="00ED22D1">
        <w:rPr>
          <w:lang w:val="fr-CA"/>
        </w:rPr>
        <w:t xml:space="preserve"> on the Alternatives to HCFC-22 </w:t>
      </w:r>
      <w:r w:rsidR="004A6418">
        <w:rPr>
          <w:lang w:val="fr-CA"/>
        </w:rPr>
        <w:t xml:space="preserve">dans le </w:t>
      </w:r>
      <w:r w:rsidR="00772DB5" w:rsidRPr="00ED22D1">
        <w:rPr>
          <w:lang w:val="fr-CA"/>
        </w:rPr>
        <w:tab/>
        <w:t>secteur des climatiseurs résidentiels). Promotion de la sensibilisation sur la pré</w:t>
      </w:r>
      <w:r w:rsidR="00387175" w:rsidRPr="00ED22D1">
        <w:rPr>
          <w:lang w:val="fr-CA"/>
        </w:rPr>
        <w:t xml:space="preserve">servation </w:t>
      </w:r>
      <w:r w:rsidR="00772DB5" w:rsidRPr="00ED22D1">
        <w:rPr>
          <w:lang w:val="fr-CA"/>
        </w:rPr>
        <w:tab/>
        <w:t>de la couche d’ozone</w:t>
      </w:r>
      <w:r w:rsidR="004A6828" w:rsidRPr="00ED22D1">
        <w:rPr>
          <w:lang w:val="fr-CA"/>
        </w:rPr>
        <w:t xml:space="preserve"> et </w:t>
      </w:r>
      <w:r w:rsidR="00772DB5" w:rsidRPr="00ED22D1">
        <w:rPr>
          <w:lang w:val="fr-CA"/>
        </w:rPr>
        <w:t>maintenance et mise à jour du site Web ‘</w:t>
      </w:r>
      <w:r w:rsidR="00387175" w:rsidRPr="00ED22D1">
        <w:rPr>
          <w:lang w:val="fr-CA"/>
        </w:rPr>
        <w:t xml:space="preserve">OzonAction </w:t>
      </w:r>
      <w:r w:rsidR="00772DB5" w:rsidRPr="00ED22D1">
        <w:rPr>
          <w:lang w:val="fr-CA"/>
        </w:rPr>
        <w:t>i</w:t>
      </w:r>
      <w:r w:rsidR="00181884" w:rsidRPr="00ED22D1">
        <w:rPr>
          <w:lang w:val="fr-CA"/>
        </w:rPr>
        <w:t>n Chin</w:t>
      </w:r>
      <w:r w:rsidR="00772DB5" w:rsidRPr="00ED22D1">
        <w:rPr>
          <w:lang w:val="fr-CA"/>
        </w:rPr>
        <w:t>a’</w:t>
      </w:r>
      <w:r w:rsidR="00387175" w:rsidRPr="00ED22D1">
        <w:rPr>
          <w:lang w:val="fr-CA"/>
        </w:rPr>
        <w:t xml:space="preserve"> </w:t>
      </w:r>
      <w:r w:rsidR="00772DB5" w:rsidRPr="00ED22D1">
        <w:rPr>
          <w:lang w:val="fr-CA"/>
        </w:rPr>
        <w:tab/>
      </w:r>
      <w:r w:rsidR="00387175" w:rsidRPr="00ED22D1">
        <w:rPr>
          <w:lang w:val="fr-CA"/>
        </w:rPr>
        <w:t>(</w:t>
      </w:r>
      <w:r w:rsidR="001C722B" w:rsidRPr="00ED22D1">
        <w:rPr>
          <w:lang w:val="fr-CA"/>
        </w:rPr>
        <w:t>PNUE</w:t>
      </w:r>
      <w:r w:rsidR="00387175" w:rsidRPr="00ED22D1">
        <w:rPr>
          <w:lang w:val="fr-CA"/>
        </w:rPr>
        <w:t>) (20</w:t>
      </w:r>
      <w:r w:rsidR="004A6828" w:rsidRPr="00ED22D1">
        <w:rPr>
          <w:lang w:val="fr-CA"/>
        </w:rPr>
        <w:t>5</w:t>
      </w:r>
      <w:r w:rsidR="00BA42C0" w:rsidRPr="00ED22D1">
        <w:rPr>
          <w:lang w:val="fr-CA"/>
        </w:rPr>
        <w:t> 000 $US</w:t>
      </w:r>
      <w:r w:rsidR="00387175" w:rsidRPr="00ED22D1">
        <w:rPr>
          <w:lang w:val="fr-CA"/>
        </w:rPr>
        <w:t>);</w:t>
      </w:r>
      <w:r w:rsidR="004A6828" w:rsidRPr="00ED22D1">
        <w:rPr>
          <w:lang w:val="fr-CA"/>
        </w:rPr>
        <w:t xml:space="preserve"> et </w:t>
      </w:r>
    </w:p>
    <w:p w:rsidR="00387175" w:rsidRPr="00ED22D1" w:rsidRDefault="00772DB5" w:rsidP="00387175">
      <w:pPr>
        <w:pStyle w:val="Heading2"/>
        <w:rPr>
          <w:lang w:val="fr-CA"/>
        </w:rPr>
      </w:pPr>
      <w:r w:rsidRPr="00ED22D1">
        <w:rPr>
          <w:lang w:val="fr-CA"/>
        </w:rPr>
        <w:t xml:space="preserve">Fonctionnement du groupe de travail </w:t>
      </w:r>
      <w:r w:rsidR="00387175" w:rsidRPr="00ED22D1">
        <w:rPr>
          <w:lang w:val="fr-CA"/>
        </w:rPr>
        <w:t>(PMU) (</w:t>
      </w:r>
      <w:r w:rsidR="001C722B" w:rsidRPr="00ED22D1">
        <w:rPr>
          <w:lang w:val="fr-CA"/>
        </w:rPr>
        <w:t>PNUE</w:t>
      </w:r>
      <w:r w:rsidR="00387175" w:rsidRPr="00ED22D1">
        <w:rPr>
          <w:lang w:val="fr-CA"/>
        </w:rPr>
        <w:t>) (25</w:t>
      </w:r>
      <w:r w:rsidR="004A6828" w:rsidRPr="00ED22D1">
        <w:rPr>
          <w:lang w:val="fr-CA"/>
        </w:rPr>
        <w:t>5</w:t>
      </w:r>
      <w:r w:rsidR="00BA42C0" w:rsidRPr="00ED22D1">
        <w:rPr>
          <w:lang w:val="fr-CA"/>
        </w:rPr>
        <w:t> 000 $US</w:t>
      </w:r>
      <w:r w:rsidR="00387175" w:rsidRPr="00ED22D1">
        <w:rPr>
          <w:lang w:val="fr-CA"/>
        </w:rPr>
        <w:t>).</w:t>
      </w:r>
    </w:p>
    <w:p w:rsidR="00387175" w:rsidRPr="00ED22D1" w:rsidRDefault="00387175" w:rsidP="00387175">
      <w:pPr>
        <w:jc w:val="center"/>
        <w:rPr>
          <w:b/>
          <w:lang w:val="fr-CA"/>
        </w:rPr>
      </w:pPr>
    </w:p>
    <w:p w:rsidR="00387175" w:rsidRPr="00ED22D1" w:rsidRDefault="00181884" w:rsidP="00387175">
      <w:pPr>
        <w:jc w:val="center"/>
        <w:rPr>
          <w:b/>
          <w:lang w:val="fr-CA"/>
        </w:rPr>
      </w:pPr>
      <w:r w:rsidRPr="00ED22D1">
        <w:rPr>
          <w:b/>
          <w:lang w:val="fr-CA"/>
        </w:rPr>
        <w:t>OBSERVATIONS ET RECOMMANDATION DU SECRÉTARIAT</w:t>
      </w:r>
    </w:p>
    <w:p w:rsidR="00387175" w:rsidRPr="00ED22D1" w:rsidRDefault="00387175" w:rsidP="00387175">
      <w:pPr>
        <w:jc w:val="center"/>
        <w:rPr>
          <w:b/>
          <w:lang w:val="fr-CA"/>
        </w:rPr>
      </w:pPr>
    </w:p>
    <w:p w:rsidR="00387175" w:rsidRPr="00ED22D1" w:rsidRDefault="00181884" w:rsidP="00387175">
      <w:pPr>
        <w:rPr>
          <w:b/>
          <w:lang w:val="fr-CA"/>
        </w:rPr>
      </w:pPr>
      <w:r w:rsidRPr="00ED22D1">
        <w:rPr>
          <w:b/>
          <w:lang w:val="fr-CA"/>
        </w:rPr>
        <w:t>OBSERVATIONS</w:t>
      </w:r>
    </w:p>
    <w:p w:rsidR="00387175" w:rsidRPr="00ED22D1" w:rsidRDefault="00387175" w:rsidP="00387175">
      <w:pPr>
        <w:rPr>
          <w:b/>
          <w:lang w:val="fr-CA"/>
        </w:rPr>
      </w:pPr>
    </w:p>
    <w:p w:rsidR="00387175" w:rsidRPr="00ED22D1" w:rsidRDefault="00181884" w:rsidP="00387175">
      <w:pPr>
        <w:pStyle w:val="Title1"/>
        <w:jc w:val="both"/>
        <w:rPr>
          <w:b w:val="0"/>
          <w:caps w:val="0"/>
          <w:u w:val="single"/>
          <w:lang w:val="fr-CA"/>
        </w:rPr>
      </w:pPr>
      <w:r w:rsidRPr="00ED22D1">
        <w:rPr>
          <w:b w:val="0"/>
          <w:u w:val="single"/>
          <w:lang w:val="fr-CA"/>
        </w:rPr>
        <w:t>Consommation de HCFC</w:t>
      </w:r>
    </w:p>
    <w:p w:rsidR="00387175" w:rsidRPr="00ED22D1" w:rsidRDefault="00387175" w:rsidP="00387175">
      <w:pPr>
        <w:pStyle w:val="Title1"/>
        <w:jc w:val="both"/>
        <w:rPr>
          <w:b w:val="0"/>
          <w:u w:val="single"/>
          <w:lang w:val="fr-CA"/>
        </w:rPr>
      </w:pPr>
    </w:p>
    <w:p w:rsidR="00387175" w:rsidRPr="00ED22D1" w:rsidRDefault="0055474B" w:rsidP="0055474B">
      <w:pPr>
        <w:pStyle w:val="Heading1"/>
        <w:numPr>
          <w:ilvl w:val="0"/>
          <w:numId w:val="0"/>
        </w:numPr>
        <w:rPr>
          <w:lang w:val="fr-CA"/>
        </w:rPr>
      </w:pPr>
      <w:r w:rsidRPr="00ED22D1">
        <w:rPr>
          <w:lang w:val="fr-CA"/>
        </w:rPr>
        <w:t>103.</w:t>
      </w:r>
      <w:r w:rsidRPr="00ED22D1">
        <w:rPr>
          <w:lang w:val="fr-CA"/>
        </w:rPr>
        <w:tab/>
      </w:r>
      <w:r w:rsidR="00AD0203" w:rsidRPr="00ED22D1">
        <w:rPr>
          <w:lang w:val="fr-CA"/>
        </w:rPr>
        <w:t>La consommation</w:t>
      </w:r>
      <w:r w:rsidR="00181884" w:rsidRPr="00ED22D1">
        <w:rPr>
          <w:lang w:val="fr-CA"/>
        </w:rPr>
        <w:t xml:space="preserve"> de HCFC</w:t>
      </w:r>
      <w:r w:rsidR="00387175" w:rsidRPr="00ED22D1">
        <w:rPr>
          <w:lang w:val="fr-CA"/>
        </w:rPr>
        <w:t xml:space="preserve"> </w:t>
      </w:r>
      <w:r w:rsidR="00772DB5" w:rsidRPr="00ED22D1">
        <w:rPr>
          <w:lang w:val="fr-CA"/>
        </w:rPr>
        <w:t>dans le</w:t>
      </w:r>
      <w:r w:rsidR="00387175" w:rsidRPr="00ED22D1">
        <w:rPr>
          <w:lang w:val="fr-CA"/>
        </w:rPr>
        <w:t xml:space="preserve"> </w:t>
      </w:r>
      <w:r w:rsidR="00181884" w:rsidRPr="00ED22D1">
        <w:rPr>
          <w:lang w:val="fr-CA"/>
        </w:rPr>
        <w:t>secteur de l’entretien</w:t>
      </w:r>
      <w:r w:rsidR="00387175" w:rsidRPr="00ED22D1">
        <w:rPr>
          <w:lang w:val="fr-CA"/>
        </w:rPr>
        <w:t xml:space="preserve"> </w:t>
      </w:r>
      <w:r w:rsidR="0052712E" w:rsidRPr="00ED22D1">
        <w:rPr>
          <w:lang w:val="fr-CA"/>
        </w:rPr>
        <w:t>en 20</w:t>
      </w:r>
      <w:r w:rsidR="00387175" w:rsidRPr="00ED22D1">
        <w:rPr>
          <w:lang w:val="fr-CA"/>
        </w:rPr>
        <w:t xml:space="preserve">17 </w:t>
      </w:r>
      <w:r w:rsidR="00772DB5" w:rsidRPr="00ED22D1">
        <w:rPr>
          <w:lang w:val="fr-CA"/>
        </w:rPr>
        <w:t>a été de</w:t>
      </w:r>
      <w:r w:rsidR="00387175" w:rsidRPr="00ED22D1">
        <w:rPr>
          <w:lang w:val="fr-CA"/>
        </w:rPr>
        <w:t xml:space="preserve"> 5</w:t>
      </w:r>
      <w:r w:rsidR="004A6828" w:rsidRPr="00ED22D1">
        <w:rPr>
          <w:lang w:val="fr-CA"/>
        </w:rPr>
        <w:t>2 </w:t>
      </w:r>
      <w:r w:rsidR="00387175" w:rsidRPr="00ED22D1">
        <w:rPr>
          <w:lang w:val="fr-CA"/>
        </w:rPr>
        <w:t>48</w:t>
      </w:r>
      <w:r w:rsidR="004A6828" w:rsidRPr="00ED22D1">
        <w:rPr>
          <w:lang w:val="fr-CA"/>
        </w:rPr>
        <w:t>6,</w:t>
      </w:r>
      <w:r w:rsidR="00387175" w:rsidRPr="00ED22D1">
        <w:rPr>
          <w:lang w:val="fr-CA"/>
        </w:rPr>
        <w:t>66 </w:t>
      </w:r>
      <w:r w:rsidR="00181884" w:rsidRPr="00ED22D1">
        <w:rPr>
          <w:lang w:val="fr-CA"/>
        </w:rPr>
        <w:t>tonnes métriques</w:t>
      </w:r>
      <w:r w:rsidR="00387175" w:rsidRPr="00ED22D1">
        <w:rPr>
          <w:lang w:val="fr-CA"/>
        </w:rPr>
        <w:t xml:space="preserve"> (</w:t>
      </w:r>
      <w:r w:rsidR="001279D7" w:rsidRPr="00ED22D1">
        <w:rPr>
          <w:lang w:val="fr-CA"/>
        </w:rPr>
        <w:t>tm</w:t>
      </w:r>
      <w:r w:rsidR="00387175" w:rsidRPr="00ED22D1">
        <w:rPr>
          <w:lang w:val="fr-CA"/>
        </w:rPr>
        <w:t>) (</w:t>
      </w:r>
      <w:r w:rsidR="004A6828" w:rsidRPr="00ED22D1">
        <w:rPr>
          <w:lang w:val="fr-CA"/>
        </w:rPr>
        <w:t>2 </w:t>
      </w:r>
      <w:r w:rsidR="00387175" w:rsidRPr="00ED22D1">
        <w:rPr>
          <w:lang w:val="fr-CA"/>
        </w:rPr>
        <w:t>88</w:t>
      </w:r>
      <w:r w:rsidR="004A6828" w:rsidRPr="00ED22D1">
        <w:rPr>
          <w:lang w:val="fr-CA"/>
        </w:rPr>
        <w:t>1,</w:t>
      </w:r>
      <w:r w:rsidR="00387175" w:rsidRPr="00ED22D1">
        <w:rPr>
          <w:lang w:val="fr-CA"/>
        </w:rPr>
        <w:t>42</w:t>
      </w:r>
      <w:r w:rsidR="0052712E" w:rsidRPr="00ED22D1">
        <w:rPr>
          <w:lang w:val="fr-CA"/>
        </w:rPr>
        <w:t xml:space="preserve"> tonnes PAO)</w:t>
      </w:r>
      <w:r w:rsidR="001A070F">
        <w:rPr>
          <w:lang w:val="fr-CA"/>
        </w:rPr>
        <w:t xml:space="preserve"> </w:t>
      </w:r>
      <w:r w:rsidR="00181884" w:rsidRPr="00ED22D1">
        <w:rPr>
          <w:lang w:val="fr-CA"/>
        </w:rPr>
        <w:t>T</w:t>
      </w:r>
      <w:r w:rsidR="00CE7FEC" w:rsidRPr="00ED22D1">
        <w:rPr>
          <w:lang w:val="fr-CA"/>
        </w:rPr>
        <w:t xml:space="preserve">ableau </w:t>
      </w:r>
      <w:r w:rsidR="004A6828" w:rsidRPr="00ED22D1">
        <w:rPr>
          <w:lang w:val="fr-CA"/>
        </w:rPr>
        <w:t>3</w:t>
      </w:r>
      <w:r w:rsidR="00181884" w:rsidRPr="00ED22D1">
        <w:rPr>
          <w:lang w:val="fr-CA"/>
        </w:rPr>
        <w:t>.</w:t>
      </w:r>
      <w:r w:rsidR="00387175" w:rsidRPr="00ED22D1">
        <w:rPr>
          <w:lang w:val="fr-CA"/>
        </w:rPr>
        <w:t xml:space="preserve"> </w:t>
      </w:r>
      <w:r w:rsidR="00772DB5" w:rsidRPr="00ED22D1">
        <w:rPr>
          <w:lang w:val="fr-CA"/>
        </w:rPr>
        <w:t xml:space="preserve">Bien que </w:t>
      </w:r>
      <w:r w:rsidR="00181884" w:rsidRPr="00ED22D1">
        <w:rPr>
          <w:lang w:val="fr-CA"/>
        </w:rPr>
        <w:t>la consommation</w:t>
      </w:r>
      <w:r w:rsidR="00903152" w:rsidRPr="00ED22D1">
        <w:rPr>
          <w:lang w:val="fr-CA"/>
        </w:rPr>
        <w:t xml:space="preserve"> </w:t>
      </w:r>
      <w:r w:rsidR="00772DB5" w:rsidRPr="00ED22D1">
        <w:rPr>
          <w:lang w:val="fr-CA"/>
        </w:rPr>
        <w:t>soit plus élevée qu’au cours des années antérieures</w:t>
      </w:r>
      <w:r w:rsidR="00387175" w:rsidRPr="00ED22D1">
        <w:rPr>
          <w:lang w:val="fr-CA"/>
        </w:rPr>
        <w:t xml:space="preserve">, </w:t>
      </w:r>
      <w:r w:rsidR="00772DB5" w:rsidRPr="00ED22D1">
        <w:rPr>
          <w:lang w:val="fr-CA"/>
        </w:rPr>
        <w:t xml:space="preserve">il n’y a aucune </w:t>
      </w:r>
      <w:r w:rsidR="001B45EC" w:rsidRPr="00ED22D1">
        <w:rPr>
          <w:lang w:val="fr-CA"/>
        </w:rPr>
        <w:t>consommation maximale admissible</w:t>
      </w:r>
      <w:r w:rsidR="00387175" w:rsidRPr="00ED22D1">
        <w:rPr>
          <w:lang w:val="fr-CA"/>
        </w:rPr>
        <w:t xml:space="preserve"> </w:t>
      </w:r>
      <w:r w:rsidR="00772DB5" w:rsidRPr="00ED22D1">
        <w:rPr>
          <w:lang w:val="fr-CA"/>
        </w:rPr>
        <w:t>pour le</w:t>
      </w:r>
      <w:r w:rsidR="00387175" w:rsidRPr="00ED22D1">
        <w:rPr>
          <w:lang w:val="fr-CA"/>
        </w:rPr>
        <w:t xml:space="preserve"> </w:t>
      </w:r>
      <w:r w:rsidR="00181884" w:rsidRPr="00ED22D1">
        <w:rPr>
          <w:lang w:val="fr-CA"/>
        </w:rPr>
        <w:t>secteur de</w:t>
      </w:r>
      <w:r w:rsidR="008F0C6D">
        <w:rPr>
          <w:lang w:val="fr-CA"/>
        </w:rPr>
        <w:t> </w:t>
      </w:r>
      <w:r w:rsidR="00181884" w:rsidRPr="00ED22D1">
        <w:rPr>
          <w:lang w:val="fr-CA"/>
        </w:rPr>
        <w:t>l’entretien en réfrigération</w:t>
      </w:r>
      <w:r w:rsidR="00387175" w:rsidRPr="00ED22D1">
        <w:rPr>
          <w:lang w:val="fr-CA"/>
        </w:rPr>
        <w:t xml:space="preserve"> </w:t>
      </w:r>
      <w:r w:rsidR="00772DB5" w:rsidRPr="00ED22D1">
        <w:rPr>
          <w:lang w:val="fr-CA"/>
        </w:rPr>
        <w:t>dans</w:t>
      </w:r>
      <w:r w:rsidR="00387175" w:rsidRPr="00ED22D1">
        <w:rPr>
          <w:lang w:val="fr-CA"/>
        </w:rPr>
        <w:t xml:space="preserve"> </w:t>
      </w:r>
      <w:r w:rsidR="00CE7FEC" w:rsidRPr="00ED22D1">
        <w:rPr>
          <w:lang w:val="fr-CA"/>
        </w:rPr>
        <w:t>l’accord</w:t>
      </w:r>
      <w:r w:rsidR="00387175" w:rsidRPr="00ED22D1">
        <w:rPr>
          <w:lang w:val="fr-CA"/>
        </w:rPr>
        <w:t xml:space="preserve"> </w:t>
      </w:r>
      <w:r w:rsidR="004A6828" w:rsidRPr="00ED22D1">
        <w:rPr>
          <w:lang w:val="fr-CA"/>
        </w:rPr>
        <w:t>entre</w:t>
      </w:r>
      <w:r w:rsidR="00387175"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 Comité exécutif</w:t>
      </w:r>
      <w:r w:rsidR="00387175" w:rsidRPr="00ED22D1">
        <w:rPr>
          <w:lang w:val="fr-CA"/>
        </w:rPr>
        <w:t xml:space="preserve">. </w:t>
      </w:r>
      <w:r w:rsidR="00772DB5" w:rsidRPr="00ED22D1">
        <w:rPr>
          <w:lang w:val="fr-CA"/>
        </w:rPr>
        <w:t>La</w:t>
      </w:r>
      <w:r w:rsidR="008F0C6D">
        <w:rPr>
          <w:lang w:val="fr-CA"/>
        </w:rPr>
        <w:t> </w:t>
      </w:r>
      <w:r w:rsidR="00772DB5" w:rsidRPr="00ED22D1">
        <w:rPr>
          <w:lang w:val="fr-CA"/>
        </w:rPr>
        <w:t xml:space="preserve">consommation globale totale </w:t>
      </w:r>
      <w:r w:rsidR="0052712E" w:rsidRPr="00ED22D1">
        <w:rPr>
          <w:lang w:val="fr-CA"/>
        </w:rPr>
        <w:t>en 20</w:t>
      </w:r>
      <w:r w:rsidR="00387175" w:rsidRPr="00ED22D1">
        <w:rPr>
          <w:lang w:val="fr-CA"/>
        </w:rPr>
        <w:t xml:space="preserve">17 </w:t>
      </w:r>
      <w:r w:rsidR="00772DB5" w:rsidRPr="00ED22D1">
        <w:rPr>
          <w:lang w:val="fr-CA"/>
        </w:rPr>
        <w:t xml:space="preserve">était inférieure à la </w:t>
      </w:r>
      <w:r w:rsidR="00AD0203" w:rsidRPr="00ED22D1">
        <w:rPr>
          <w:lang w:val="fr-CA"/>
        </w:rPr>
        <w:t>consommation</w:t>
      </w:r>
      <w:r w:rsidR="001B45EC" w:rsidRPr="00ED22D1">
        <w:rPr>
          <w:lang w:val="fr-CA"/>
        </w:rPr>
        <w:t xml:space="preserve"> maximale admissible</w:t>
      </w:r>
      <w:r w:rsidR="00387175" w:rsidRPr="00ED22D1">
        <w:rPr>
          <w:lang w:val="fr-CA"/>
        </w:rPr>
        <w:t xml:space="preserve"> </w:t>
      </w:r>
      <w:r w:rsidR="00772DB5" w:rsidRPr="00ED22D1">
        <w:rPr>
          <w:lang w:val="fr-CA"/>
        </w:rPr>
        <w:t xml:space="preserve">dans </w:t>
      </w:r>
      <w:r w:rsidR="00CE7FEC" w:rsidRPr="00ED22D1">
        <w:rPr>
          <w:lang w:val="fr-CA"/>
        </w:rPr>
        <w:t>l’accord</w:t>
      </w:r>
      <w:r w:rsidR="00387175" w:rsidRPr="00ED22D1">
        <w:rPr>
          <w:lang w:val="fr-CA"/>
        </w:rPr>
        <w:t xml:space="preserve"> </w:t>
      </w:r>
      <w:r w:rsidR="00B84F94" w:rsidRPr="00ED22D1">
        <w:rPr>
          <w:lang w:val="fr-CA"/>
        </w:rPr>
        <w:t xml:space="preserve">avec </w:t>
      </w:r>
      <w:r w:rsidR="00DD185D" w:rsidRPr="00ED22D1">
        <w:rPr>
          <w:lang w:val="fr-CA"/>
        </w:rPr>
        <w:t>le Comité exécutif</w:t>
      </w:r>
      <w:r w:rsidR="00387175" w:rsidRPr="00ED22D1">
        <w:rPr>
          <w:lang w:val="fr-CA"/>
        </w:rPr>
        <w:t>.</w:t>
      </w:r>
    </w:p>
    <w:p w:rsidR="00387175" w:rsidRPr="00ED22D1" w:rsidRDefault="00CE7FEC" w:rsidP="00772DB5">
      <w:pPr>
        <w:keepNext/>
        <w:keepLines/>
        <w:widowControl w:val="0"/>
        <w:jc w:val="left"/>
        <w:rPr>
          <w:b/>
          <w:lang w:val="fr-CA"/>
        </w:rPr>
      </w:pPr>
      <w:r w:rsidRPr="00ED22D1">
        <w:rPr>
          <w:b/>
          <w:lang w:val="fr-CA"/>
        </w:rPr>
        <w:t xml:space="preserve">Tableau </w:t>
      </w:r>
      <w:r w:rsidR="004A6828" w:rsidRPr="00ED22D1">
        <w:rPr>
          <w:b/>
          <w:lang w:val="fr-CA"/>
        </w:rPr>
        <w:t>3</w:t>
      </w:r>
      <w:r w:rsidR="00181884" w:rsidRPr="00ED22D1">
        <w:rPr>
          <w:b/>
          <w:lang w:val="fr-CA"/>
        </w:rPr>
        <w:t>.</w:t>
      </w:r>
      <w:r w:rsidR="00921BDE" w:rsidRPr="00ED22D1">
        <w:rPr>
          <w:b/>
          <w:lang w:val="fr-CA"/>
        </w:rPr>
        <w:t xml:space="preserve"> </w:t>
      </w:r>
      <w:r w:rsidR="00181884" w:rsidRPr="00ED22D1">
        <w:rPr>
          <w:b/>
          <w:lang w:val="fr-CA"/>
        </w:rPr>
        <w:t>C</w:t>
      </w:r>
      <w:r w:rsidR="00921BDE" w:rsidRPr="00ED22D1">
        <w:rPr>
          <w:b/>
          <w:lang w:val="fr-CA"/>
        </w:rPr>
        <w:t>onsommation de HCFC</w:t>
      </w:r>
      <w:r w:rsidR="00387175" w:rsidRPr="00ED22D1">
        <w:rPr>
          <w:b/>
          <w:lang w:val="fr-CA"/>
        </w:rPr>
        <w:t xml:space="preserve"> </w:t>
      </w:r>
      <w:r w:rsidR="00181884" w:rsidRPr="00ED22D1">
        <w:rPr>
          <w:b/>
          <w:lang w:val="fr-CA"/>
        </w:rPr>
        <w:t>dans le</w:t>
      </w:r>
      <w:r w:rsidR="00387175" w:rsidRPr="00ED22D1">
        <w:rPr>
          <w:b/>
          <w:lang w:val="fr-CA"/>
        </w:rPr>
        <w:t xml:space="preserve"> </w:t>
      </w:r>
      <w:r w:rsidR="00181884" w:rsidRPr="00ED22D1">
        <w:rPr>
          <w:b/>
          <w:lang w:val="fr-CA"/>
        </w:rPr>
        <w:t>secteur de l’entretien</w:t>
      </w:r>
      <w:r w:rsidR="00387175" w:rsidRPr="00ED22D1">
        <w:rPr>
          <w:b/>
          <w:lang w:val="fr-CA"/>
        </w:rPr>
        <w:t xml:space="preserve"> </w:t>
      </w:r>
      <w:r w:rsidR="00181884" w:rsidRPr="00ED22D1">
        <w:rPr>
          <w:b/>
          <w:lang w:val="fr-CA"/>
        </w:rPr>
        <w:t>en Chine</w:t>
      </w:r>
      <w:r w:rsidR="00387175" w:rsidRPr="00ED22D1">
        <w:rPr>
          <w:b/>
          <w:lang w:val="fr-CA"/>
        </w:rPr>
        <w:t xml:space="preserve"> (</w:t>
      </w:r>
      <w:r w:rsidR="00572798" w:rsidRPr="00ED22D1">
        <w:rPr>
          <w:b/>
          <w:lang w:val="fr-CA"/>
        </w:rPr>
        <w:t xml:space="preserve">données du </w:t>
      </w:r>
      <w:r w:rsidR="008F0C6D">
        <w:rPr>
          <w:b/>
          <w:lang w:val="fr-CA"/>
        </w:rPr>
        <w:t>p</w:t>
      </w:r>
      <w:r w:rsidR="00572798" w:rsidRPr="00ED22D1">
        <w:rPr>
          <w:b/>
          <w:lang w:val="fr-CA"/>
        </w:rPr>
        <w:t xml:space="preserve">rogramme de pays </w:t>
      </w:r>
      <w:r w:rsidR="00387175" w:rsidRPr="00ED22D1">
        <w:rPr>
          <w:b/>
          <w:lang w:val="fr-CA"/>
        </w:rPr>
        <w:t>2013-2017)</w:t>
      </w:r>
      <w:r w:rsidR="00572798" w:rsidRPr="00ED22D1">
        <w:rPr>
          <w:b/>
          <w:lang w:val="fr-CA"/>
        </w:rPr>
        <w:t xml:space="preserve"> </w:t>
      </w:r>
    </w:p>
    <w:tbl>
      <w:tblPr>
        <w:tblW w:w="4977" w:type="pct"/>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10"/>
        <w:gridCol w:w="1212"/>
        <w:gridCol w:w="1212"/>
        <w:gridCol w:w="1212"/>
        <w:gridCol w:w="1212"/>
        <w:gridCol w:w="1212"/>
        <w:gridCol w:w="1297"/>
      </w:tblGrid>
      <w:tr w:rsidR="00387175" w:rsidRPr="00ED22D1" w:rsidTr="001A070F">
        <w:trPr>
          <w:tblHeader/>
        </w:trPr>
        <w:tc>
          <w:tcPr>
            <w:tcW w:w="1115" w:type="pct"/>
            <w:tcBorders>
              <w:bottom w:val="single" w:sz="2" w:space="0" w:color="auto"/>
            </w:tcBorders>
            <w:shd w:val="clear" w:color="auto" w:fill="auto"/>
            <w:noWrap/>
            <w:tcMar>
              <w:left w:w="43" w:type="dxa"/>
              <w:right w:w="43" w:type="dxa"/>
            </w:tcMar>
            <w:vAlign w:val="center"/>
            <w:hideMark/>
          </w:tcPr>
          <w:p w:rsidR="00387175" w:rsidRPr="00ED22D1" w:rsidRDefault="00387175" w:rsidP="00387175">
            <w:pPr>
              <w:keepNext/>
              <w:keepLines/>
              <w:widowControl w:val="0"/>
              <w:jc w:val="left"/>
              <w:rPr>
                <w:b/>
                <w:bCs/>
                <w:color w:val="000000"/>
                <w:sz w:val="20"/>
                <w:szCs w:val="20"/>
                <w:lang w:val="fr-CA"/>
              </w:rPr>
            </w:pPr>
            <w:r w:rsidRPr="00ED22D1">
              <w:rPr>
                <w:b/>
                <w:bCs/>
                <w:color w:val="000000"/>
                <w:sz w:val="20"/>
                <w:szCs w:val="20"/>
                <w:lang w:val="fr-CA"/>
              </w:rPr>
              <w:t>HCFC</w:t>
            </w:r>
          </w:p>
        </w:tc>
        <w:tc>
          <w:tcPr>
            <w:tcW w:w="640" w:type="pct"/>
            <w:tcBorders>
              <w:bottom w:val="single" w:sz="2" w:space="0" w:color="auto"/>
            </w:tcBorders>
            <w:vAlign w:val="center"/>
          </w:tcPr>
          <w:p w:rsidR="00387175" w:rsidRPr="00ED22D1" w:rsidRDefault="00387175" w:rsidP="00387175">
            <w:pPr>
              <w:keepNext/>
              <w:keepLines/>
              <w:widowControl w:val="0"/>
              <w:jc w:val="center"/>
              <w:rPr>
                <w:b/>
                <w:bCs/>
                <w:color w:val="000000"/>
                <w:sz w:val="20"/>
                <w:szCs w:val="20"/>
                <w:lang w:val="fr-CA"/>
              </w:rPr>
            </w:pPr>
            <w:r w:rsidRPr="00ED22D1">
              <w:rPr>
                <w:b/>
                <w:bCs/>
                <w:color w:val="000000"/>
                <w:sz w:val="20"/>
                <w:szCs w:val="20"/>
                <w:lang w:val="fr-CA"/>
              </w:rPr>
              <w:t>2013</w:t>
            </w:r>
          </w:p>
        </w:tc>
        <w:tc>
          <w:tcPr>
            <w:tcW w:w="640" w:type="pct"/>
            <w:tcBorders>
              <w:bottom w:val="single" w:sz="2" w:space="0" w:color="auto"/>
            </w:tcBorders>
            <w:vAlign w:val="center"/>
          </w:tcPr>
          <w:p w:rsidR="00387175" w:rsidRPr="00ED22D1" w:rsidRDefault="00387175" w:rsidP="00387175">
            <w:pPr>
              <w:keepNext/>
              <w:keepLines/>
              <w:widowControl w:val="0"/>
              <w:jc w:val="center"/>
              <w:rPr>
                <w:b/>
                <w:bCs/>
                <w:color w:val="000000"/>
                <w:sz w:val="20"/>
                <w:szCs w:val="20"/>
                <w:lang w:val="fr-CA"/>
              </w:rPr>
            </w:pPr>
            <w:r w:rsidRPr="00ED22D1">
              <w:rPr>
                <w:b/>
                <w:bCs/>
                <w:color w:val="000000"/>
                <w:sz w:val="20"/>
                <w:szCs w:val="20"/>
                <w:lang w:val="fr-CA"/>
              </w:rPr>
              <w:t>2014</w:t>
            </w:r>
          </w:p>
        </w:tc>
        <w:tc>
          <w:tcPr>
            <w:tcW w:w="640" w:type="pct"/>
            <w:tcBorders>
              <w:bottom w:val="single" w:sz="2" w:space="0" w:color="auto"/>
            </w:tcBorders>
            <w:vAlign w:val="center"/>
          </w:tcPr>
          <w:p w:rsidR="00387175" w:rsidRPr="00ED22D1" w:rsidRDefault="00387175" w:rsidP="00387175">
            <w:pPr>
              <w:keepNext/>
              <w:keepLines/>
              <w:widowControl w:val="0"/>
              <w:jc w:val="center"/>
              <w:rPr>
                <w:b/>
                <w:bCs/>
                <w:color w:val="000000"/>
                <w:sz w:val="20"/>
                <w:szCs w:val="20"/>
                <w:lang w:val="fr-CA"/>
              </w:rPr>
            </w:pPr>
            <w:r w:rsidRPr="00ED22D1">
              <w:rPr>
                <w:b/>
                <w:bCs/>
                <w:color w:val="000000"/>
                <w:sz w:val="20"/>
                <w:szCs w:val="20"/>
                <w:lang w:val="fr-CA"/>
              </w:rPr>
              <w:t>2015</w:t>
            </w:r>
          </w:p>
        </w:tc>
        <w:tc>
          <w:tcPr>
            <w:tcW w:w="640" w:type="pct"/>
            <w:tcBorders>
              <w:bottom w:val="single" w:sz="2" w:space="0" w:color="auto"/>
            </w:tcBorders>
            <w:vAlign w:val="center"/>
          </w:tcPr>
          <w:p w:rsidR="00387175" w:rsidRPr="00ED22D1" w:rsidRDefault="00387175" w:rsidP="00387175">
            <w:pPr>
              <w:keepNext/>
              <w:keepLines/>
              <w:widowControl w:val="0"/>
              <w:jc w:val="center"/>
              <w:rPr>
                <w:b/>
                <w:bCs/>
                <w:color w:val="000000"/>
                <w:sz w:val="20"/>
                <w:szCs w:val="20"/>
                <w:lang w:val="fr-CA"/>
              </w:rPr>
            </w:pPr>
            <w:r w:rsidRPr="00ED22D1">
              <w:rPr>
                <w:b/>
                <w:bCs/>
                <w:color w:val="000000"/>
                <w:sz w:val="20"/>
                <w:szCs w:val="20"/>
                <w:lang w:val="fr-CA"/>
              </w:rPr>
              <w:t>2016</w:t>
            </w:r>
          </w:p>
        </w:tc>
        <w:tc>
          <w:tcPr>
            <w:tcW w:w="640" w:type="pct"/>
            <w:tcBorders>
              <w:bottom w:val="single" w:sz="2" w:space="0" w:color="auto"/>
            </w:tcBorders>
            <w:vAlign w:val="center"/>
          </w:tcPr>
          <w:p w:rsidR="00387175" w:rsidRPr="00ED22D1" w:rsidRDefault="00387175" w:rsidP="00387175">
            <w:pPr>
              <w:keepNext/>
              <w:keepLines/>
              <w:widowControl w:val="0"/>
              <w:jc w:val="center"/>
              <w:rPr>
                <w:b/>
                <w:bCs/>
                <w:color w:val="000000"/>
                <w:sz w:val="20"/>
                <w:szCs w:val="20"/>
                <w:lang w:val="fr-CA"/>
              </w:rPr>
            </w:pPr>
            <w:r w:rsidRPr="00ED22D1">
              <w:rPr>
                <w:b/>
                <w:bCs/>
                <w:color w:val="000000"/>
                <w:sz w:val="20"/>
                <w:szCs w:val="20"/>
                <w:lang w:val="fr-CA"/>
              </w:rPr>
              <w:t>2017</w:t>
            </w:r>
          </w:p>
        </w:tc>
        <w:tc>
          <w:tcPr>
            <w:tcW w:w="685" w:type="pct"/>
            <w:tcBorders>
              <w:bottom w:val="single" w:sz="2" w:space="0" w:color="auto"/>
            </w:tcBorders>
          </w:tcPr>
          <w:p w:rsidR="00387175" w:rsidRPr="00ED22D1" w:rsidRDefault="00181884" w:rsidP="00387175">
            <w:pPr>
              <w:keepNext/>
              <w:keepLines/>
              <w:widowControl w:val="0"/>
              <w:jc w:val="center"/>
              <w:rPr>
                <w:b/>
                <w:bCs/>
                <w:color w:val="000000"/>
                <w:sz w:val="20"/>
                <w:szCs w:val="20"/>
                <w:lang w:val="fr-CA"/>
              </w:rPr>
            </w:pPr>
            <w:r w:rsidRPr="00ED22D1">
              <w:rPr>
                <w:b/>
                <w:bCs/>
                <w:color w:val="000000"/>
                <w:sz w:val="20"/>
                <w:szCs w:val="20"/>
                <w:lang w:val="fr-CA"/>
              </w:rPr>
              <w:t>Moyenne</w:t>
            </w:r>
            <w:r w:rsidR="00387175" w:rsidRPr="00ED22D1">
              <w:rPr>
                <w:b/>
                <w:bCs/>
                <w:color w:val="000000"/>
                <w:sz w:val="20"/>
                <w:szCs w:val="20"/>
                <w:lang w:val="fr-CA"/>
              </w:rPr>
              <w:t xml:space="preserve"> (2009-2010)</w:t>
            </w:r>
          </w:p>
        </w:tc>
      </w:tr>
      <w:tr w:rsidR="00387175" w:rsidRPr="00ED22D1" w:rsidTr="001A070F">
        <w:tc>
          <w:tcPr>
            <w:tcW w:w="1115" w:type="pct"/>
            <w:tcBorders>
              <w:right w:val="nil"/>
            </w:tcBorders>
            <w:shd w:val="clear" w:color="auto" w:fill="auto"/>
            <w:noWrap/>
            <w:tcMar>
              <w:left w:w="43" w:type="dxa"/>
              <w:right w:w="43" w:type="dxa"/>
            </w:tcMar>
          </w:tcPr>
          <w:p w:rsidR="00387175" w:rsidRPr="00ED22D1" w:rsidRDefault="00181884" w:rsidP="00387175">
            <w:pPr>
              <w:keepNext/>
              <w:keepLines/>
              <w:widowControl w:val="0"/>
              <w:jc w:val="left"/>
              <w:rPr>
                <w:b/>
                <w:color w:val="000000"/>
                <w:sz w:val="20"/>
                <w:szCs w:val="20"/>
                <w:lang w:val="fr-CA"/>
              </w:rPr>
            </w:pPr>
            <w:r w:rsidRPr="00ED22D1">
              <w:rPr>
                <w:b/>
                <w:color w:val="000000"/>
                <w:sz w:val="20"/>
                <w:szCs w:val="20"/>
                <w:lang w:val="fr-CA"/>
              </w:rPr>
              <w:t>Tonnes métriques</w:t>
            </w:r>
            <w:r w:rsidR="00387175" w:rsidRPr="00ED22D1">
              <w:rPr>
                <w:b/>
                <w:color w:val="000000"/>
                <w:sz w:val="20"/>
                <w:szCs w:val="20"/>
                <w:lang w:val="fr-CA"/>
              </w:rPr>
              <w:t xml:space="preserve"> </w:t>
            </w:r>
          </w:p>
        </w:tc>
        <w:tc>
          <w:tcPr>
            <w:tcW w:w="640" w:type="pct"/>
            <w:tcBorders>
              <w:left w:val="nil"/>
              <w:right w:val="nil"/>
            </w:tcBorders>
          </w:tcPr>
          <w:p w:rsidR="00387175" w:rsidRPr="00ED22D1" w:rsidRDefault="00387175" w:rsidP="00387175">
            <w:pPr>
              <w:keepNext/>
              <w:keepLines/>
              <w:jc w:val="right"/>
              <w:rPr>
                <w:color w:val="000000"/>
                <w:sz w:val="20"/>
                <w:szCs w:val="20"/>
                <w:lang w:val="fr-CA"/>
              </w:rPr>
            </w:pPr>
          </w:p>
        </w:tc>
        <w:tc>
          <w:tcPr>
            <w:tcW w:w="640" w:type="pct"/>
            <w:tcBorders>
              <w:left w:val="nil"/>
              <w:right w:val="nil"/>
            </w:tcBorders>
          </w:tcPr>
          <w:p w:rsidR="00387175" w:rsidRPr="00ED22D1" w:rsidRDefault="00387175" w:rsidP="00387175">
            <w:pPr>
              <w:keepNext/>
              <w:keepLines/>
              <w:jc w:val="right"/>
              <w:rPr>
                <w:color w:val="000000"/>
                <w:sz w:val="20"/>
                <w:szCs w:val="20"/>
                <w:lang w:val="fr-CA"/>
              </w:rPr>
            </w:pPr>
          </w:p>
        </w:tc>
        <w:tc>
          <w:tcPr>
            <w:tcW w:w="640" w:type="pct"/>
            <w:tcBorders>
              <w:left w:val="nil"/>
              <w:right w:val="nil"/>
            </w:tcBorders>
          </w:tcPr>
          <w:p w:rsidR="00387175" w:rsidRPr="00ED22D1" w:rsidRDefault="00387175" w:rsidP="00387175">
            <w:pPr>
              <w:keepNext/>
              <w:keepLines/>
              <w:jc w:val="right"/>
              <w:rPr>
                <w:color w:val="000000"/>
                <w:sz w:val="20"/>
                <w:szCs w:val="20"/>
                <w:lang w:val="fr-CA"/>
              </w:rPr>
            </w:pPr>
          </w:p>
        </w:tc>
        <w:tc>
          <w:tcPr>
            <w:tcW w:w="640" w:type="pct"/>
            <w:tcBorders>
              <w:left w:val="nil"/>
              <w:right w:val="nil"/>
            </w:tcBorders>
          </w:tcPr>
          <w:p w:rsidR="00387175" w:rsidRPr="00ED22D1" w:rsidRDefault="00387175" w:rsidP="00387175">
            <w:pPr>
              <w:keepNext/>
              <w:keepLines/>
              <w:jc w:val="right"/>
              <w:rPr>
                <w:color w:val="000000"/>
                <w:sz w:val="20"/>
                <w:szCs w:val="20"/>
                <w:lang w:val="fr-CA"/>
              </w:rPr>
            </w:pPr>
          </w:p>
        </w:tc>
        <w:tc>
          <w:tcPr>
            <w:tcW w:w="640" w:type="pct"/>
            <w:tcBorders>
              <w:left w:val="nil"/>
            </w:tcBorders>
          </w:tcPr>
          <w:p w:rsidR="00387175" w:rsidRPr="00ED22D1" w:rsidRDefault="00387175" w:rsidP="00387175">
            <w:pPr>
              <w:keepNext/>
              <w:keepLines/>
              <w:jc w:val="right"/>
              <w:rPr>
                <w:color w:val="000000"/>
                <w:sz w:val="20"/>
                <w:szCs w:val="20"/>
                <w:lang w:val="fr-CA"/>
              </w:rPr>
            </w:pPr>
          </w:p>
        </w:tc>
        <w:tc>
          <w:tcPr>
            <w:tcW w:w="685" w:type="pct"/>
            <w:tcBorders>
              <w:left w:val="nil"/>
            </w:tcBorders>
          </w:tcPr>
          <w:p w:rsidR="00387175" w:rsidRPr="00ED22D1" w:rsidRDefault="00387175" w:rsidP="00387175">
            <w:pPr>
              <w:keepNext/>
              <w:keepLines/>
              <w:jc w:val="right"/>
              <w:rPr>
                <w:color w:val="000000"/>
                <w:sz w:val="20"/>
                <w:szCs w:val="20"/>
                <w:lang w:val="fr-CA"/>
              </w:rPr>
            </w:pP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keepNext/>
              <w:keepLines/>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22</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5</w:t>
            </w:r>
            <w:r w:rsidR="004A6828" w:rsidRPr="00ED22D1">
              <w:rPr>
                <w:color w:val="000000"/>
                <w:sz w:val="20"/>
                <w:szCs w:val="20"/>
                <w:lang w:val="fr-CA"/>
              </w:rPr>
              <w:t>4 </w:t>
            </w:r>
            <w:r w:rsidRPr="00ED22D1">
              <w:rPr>
                <w:color w:val="000000"/>
                <w:sz w:val="20"/>
                <w:szCs w:val="20"/>
                <w:lang w:val="fr-CA"/>
              </w:rPr>
              <w:t>46</w:t>
            </w:r>
            <w:r w:rsidR="004A6828" w:rsidRPr="00ED22D1">
              <w:rPr>
                <w:color w:val="000000"/>
                <w:sz w:val="20"/>
                <w:szCs w:val="20"/>
                <w:lang w:val="fr-CA"/>
              </w:rPr>
              <w:t>7,</w:t>
            </w:r>
            <w:r w:rsidRPr="00ED22D1">
              <w:rPr>
                <w:color w:val="000000"/>
                <w:sz w:val="20"/>
                <w:szCs w:val="20"/>
                <w:lang w:val="fr-CA"/>
              </w:rPr>
              <w:t>71</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5</w:t>
            </w:r>
            <w:r w:rsidR="004A6828" w:rsidRPr="00ED22D1">
              <w:rPr>
                <w:color w:val="000000"/>
                <w:sz w:val="20"/>
                <w:szCs w:val="20"/>
                <w:lang w:val="fr-CA"/>
              </w:rPr>
              <w:t>6 </w:t>
            </w:r>
            <w:r w:rsidRPr="00ED22D1">
              <w:rPr>
                <w:color w:val="000000"/>
                <w:sz w:val="20"/>
                <w:szCs w:val="20"/>
                <w:lang w:val="fr-CA"/>
              </w:rPr>
              <w:t>70</w:t>
            </w:r>
            <w:r w:rsidR="004A6828" w:rsidRPr="00ED22D1">
              <w:rPr>
                <w:color w:val="000000"/>
                <w:sz w:val="20"/>
                <w:szCs w:val="20"/>
                <w:lang w:val="fr-CA"/>
              </w:rPr>
              <w:t>4,</w:t>
            </w:r>
            <w:r w:rsidRPr="00ED22D1">
              <w:rPr>
                <w:color w:val="000000"/>
                <w:sz w:val="20"/>
                <w:szCs w:val="20"/>
                <w:lang w:val="fr-CA"/>
              </w:rPr>
              <w:t>98</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4</w:t>
            </w:r>
            <w:r w:rsidR="004A6828" w:rsidRPr="00ED22D1">
              <w:rPr>
                <w:color w:val="000000"/>
                <w:sz w:val="20"/>
                <w:szCs w:val="20"/>
                <w:lang w:val="fr-CA"/>
              </w:rPr>
              <w:t>2 </w:t>
            </w:r>
            <w:r w:rsidRPr="00ED22D1">
              <w:rPr>
                <w:color w:val="000000"/>
                <w:sz w:val="20"/>
                <w:szCs w:val="20"/>
                <w:lang w:val="fr-CA"/>
              </w:rPr>
              <w:t>55</w:t>
            </w:r>
            <w:r w:rsidR="004A6828" w:rsidRPr="00ED22D1">
              <w:rPr>
                <w:color w:val="000000"/>
                <w:sz w:val="20"/>
                <w:szCs w:val="20"/>
                <w:lang w:val="fr-CA"/>
              </w:rPr>
              <w:t>7,</w:t>
            </w:r>
            <w:r w:rsidRPr="00ED22D1">
              <w:rPr>
                <w:color w:val="000000"/>
                <w:sz w:val="20"/>
                <w:szCs w:val="20"/>
                <w:lang w:val="fr-CA"/>
              </w:rPr>
              <w:t>47</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4</w:t>
            </w:r>
            <w:r w:rsidR="004A6828" w:rsidRPr="00ED22D1">
              <w:rPr>
                <w:color w:val="000000"/>
                <w:sz w:val="20"/>
                <w:szCs w:val="20"/>
                <w:lang w:val="fr-CA"/>
              </w:rPr>
              <w:t>7 </w:t>
            </w:r>
            <w:r w:rsidRPr="00ED22D1">
              <w:rPr>
                <w:color w:val="000000"/>
                <w:sz w:val="20"/>
                <w:szCs w:val="20"/>
                <w:lang w:val="fr-CA"/>
              </w:rPr>
              <w:t>39</w:t>
            </w:r>
            <w:r w:rsidR="004A6828" w:rsidRPr="00ED22D1">
              <w:rPr>
                <w:color w:val="000000"/>
                <w:sz w:val="20"/>
                <w:szCs w:val="20"/>
                <w:lang w:val="fr-CA"/>
              </w:rPr>
              <w:t>8,</w:t>
            </w:r>
            <w:r w:rsidRPr="00ED22D1">
              <w:rPr>
                <w:color w:val="000000"/>
                <w:sz w:val="20"/>
                <w:szCs w:val="20"/>
                <w:lang w:val="fr-CA"/>
              </w:rPr>
              <w:t>35</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5</w:t>
            </w:r>
            <w:r w:rsidR="004A6828" w:rsidRPr="00ED22D1">
              <w:rPr>
                <w:color w:val="000000"/>
                <w:sz w:val="20"/>
                <w:szCs w:val="20"/>
                <w:lang w:val="fr-CA"/>
              </w:rPr>
              <w:t>1 </w:t>
            </w:r>
            <w:r w:rsidRPr="00ED22D1">
              <w:rPr>
                <w:color w:val="000000"/>
                <w:sz w:val="20"/>
                <w:szCs w:val="20"/>
                <w:lang w:val="fr-CA"/>
              </w:rPr>
              <w:t>48</w:t>
            </w:r>
            <w:r w:rsidR="004A6828" w:rsidRPr="00ED22D1">
              <w:rPr>
                <w:color w:val="000000"/>
                <w:sz w:val="20"/>
                <w:szCs w:val="20"/>
                <w:lang w:val="fr-CA"/>
              </w:rPr>
              <w:t>2,</w:t>
            </w:r>
            <w:r w:rsidRPr="00ED22D1">
              <w:rPr>
                <w:color w:val="000000"/>
                <w:sz w:val="20"/>
                <w:szCs w:val="20"/>
                <w:lang w:val="fr-CA"/>
              </w:rPr>
              <w:t>65</w:t>
            </w:r>
          </w:p>
        </w:tc>
        <w:tc>
          <w:tcPr>
            <w:tcW w:w="685"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6</w:t>
            </w:r>
            <w:r w:rsidR="004A6828" w:rsidRPr="00ED22D1">
              <w:rPr>
                <w:color w:val="000000"/>
                <w:sz w:val="20"/>
                <w:szCs w:val="20"/>
                <w:lang w:val="fr-CA"/>
              </w:rPr>
              <w:t>4 </w:t>
            </w:r>
            <w:r w:rsidRPr="00ED22D1">
              <w:rPr>
                <w:color w:val="000000"/>
                <w:sz w:val="20"/>
                <w:szCs w:val="20"/>
                <w:lang w:val="fr-CA"/>
              </w:rPr>
              <w:t>46</w:t>
            </w:r>
            <w:r w:rsidR="004A6828" w:rsidRPr="00ED22D1">
              <w:rPr>
                <w:color w:val="000000"/>
                <w:sz w:val="20"/>
                <w:szCs w:val="20"/>
                <w:lang w:val="fr-CA"/>
              </w:rPr>
              <w:t>6,</w:t>
            </w:r>
            <w:r w:rsidRPr="00ED22D1">
              <w:rPr>
                <w:color w:val="000000"/>
                <w:sz w:val="20"/>
                <w:szCs w:val="20"/>
                <w:lang w:val="fr-CA"/>
              </w:rPr>
              <w:t>58</w:t>
            </w: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keepNext/>
              <w:keepLines/>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123</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42</w:t>
            </w:r>
            <w:r w:rsidR="004A6828" w:rsidRPr="00ED22D1">
              <w:rPr>
                <w:color w:val="000000"/>
                <w:sz w:val="20"/>
                <w:szCs w:val="20"/>
                <w:lang w:val="fr-CA"/>
              </w:rPr>
              <w:t>5,</w:t>
            </w:r>
            <w:r w:rsidRPr="00ED22D1">
              <w:rPr>
                <w:color w:val="000000"/>
                <w:sz w:val="20"/>
                <w:szCs w:val="20"/>
                <w:lang w:val="fr-CA"/>
              </w:rPr>
              <w:t>97</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35</w:t>
            </w:r>
            <w:r w:rsidR="004A6828" w:rsidRPr="00ED22D1">
              <w:rPr>
                <w:color w:val="000000"/>
                <w:sz w:val="20"/>
                <w:szCs w:val="20"/>
                <w:lang w:val="fr-CA"/>
              </w:rPr>
              <w:t>6,</w:t>
            </w:r>
            <w:r w:rsidRPr="00ED22D1">
              <w:rPr>
                <w:color w:val="000000"/>
                <w:sz w:val="20"/>
                <w:szCs w:val="20"/>
                <w:lang w:val="fr-CA"/>
              </w:rPr>
              <w:t>78</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31</w:t>
            </w:r>
            <w:r w:rsidR="004A6828" w:rsidRPr="00ED22D1">
              <w:rPr>
                <w:color w:val="000000"/>
                <w:sz w:val="20"/>
                <w:szCs w:val="20"/>
                <w:lang w:val="fr-CA"/>
              </w:rPr>
              <w:t>4,</w:t>
            </w:r>
            <w:r w:rsidRPr="00ED22D1">
              <w:rPr>
                <w:color w:val="000000"/>
                <w:sz w:val="20"/>
                <w:szCs w:val="20"/>
                <w:lang w:val="fr-CA"/>
              </w:rPr>
              <w:t>91</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28</w:t>
            </w:r>
            <w:r w:rsidR="004A6828" w:rsidRPr="00ED22D1">
              <w:rPr>
                <w:color w:val="000000"/>
                <w:sz w:val="20"/>
                <w:szCs w:val="20"/>
                <w:lang w:val="fr-CA"/>
              </w:rPr>
              <w:t>8,</w:t>
            </w:r>
            <w:r w:rsidRPr="00ED22D1">
              <w:rPr>
                <w:color w:val="000000"/>
                <w:sz w:val="20"/>
                <w:szCs w:val="20"/>
                <w:lang w:val="fr-CA"/>
              </w:rPr>
              <w:t>14</w:t>
            </w:r>
          </w:p>
        </w:tc>
        <w:tc>
          <w:tcPr>
            <w:tcW w:w="640"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34</w:t>
            </w:r>
            <w:r w:rsidR="004A6828" w:rsidRPr="00ED22D1">
              <w:rPr>
                <w:color w:val="000000"/>
                <w:sz w:val="20"/>
                <w:szCs w:val="20"/>
                <w:lang w:val="fr-CA"/>
              </w:rPr>
              <w:t>7,</w:t>
            </w:r>
            <w:r w:rsidRPr="00ED22D1">
              <w:rPr>
                <w:color w:val="000000"/>
                <w:sz w:val="20"/>
                <w:szCs w:val="20"/>
                <w:lang w:val="fr-CA"/>
              </w:rPr>
              <w:t>29</w:t>
            </w:r>
          </w:p>
        </w:tc>
        <w:tc>
          <w:tcPr>
            <w:tcW w:w="685" w:type="pct"/>
          </w:tcPr>
          <w:p w:rsidR="00387175" w:rsidRPr="00ED22D1" w:rsidRDefault="00387175" w:rsidP="00387175">
            <w:pPr>
              <w:keepNext/>
              <w:keepLines/>
              <w:jc w:val="right"/>
              <w:rPr>
                <w:color w:val="000000"/>
                <w:sz w:val="20"/>
                <w:szCs w:val="20"/>
                <w:lang w:val="fr-CA"/>
              </w:rPr>
            </w:pPr>
            <w:r w:rsidRPr="00ED22D1">
              <w:rPr>
                <w:color w:val="000000"/>
                <w:sz w:val="20"/>
                <w:szCs w:val="20"/>
                <w:lang w:val="fr-CA"/>
              </w:rPr>
              <w:t>11</w:t>
            </w:r>
            <w:r w:rsidR="004A6828" w:rsidRPr="00ED22D1">
              <w:rPr>
                <w:color w:val="000000"/>
                <w:sz w:val="20"/>
                <w:szCs w:val="20"/>
                <w:lang w:val="fr-CA"/>
              </w:rPr>
              <w:t>3,</w:t>
            </w:r>
            <w:r w:rsidRPr="00ED22D1">
              <w:rPr>
                <w:color w:val="000000"/>
                <w:sz w:val="20"/>
                <w:szCs w:val="20"/>
                <w:lang w:val="fr-CA"/>
              </w:rPr>
              <w:t>75</w:t>
            </w: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124</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11</w:t>
            </w:r>
            <w:r w:rsidR="004A6828" w:rsidRPr="00ED22D1">
              <w:rPr>
                <w:color w:val="000000"/>
                <w:sz w:val="20"/>
                <w:szCs w:val="20"/>
                <w:lang w:val="fr-CA"/>
              </w:rPr>
              <w:t>9,</w:t>
            </w:r>
            <w:r w:rsidRPr="00ED22D1">
              <w:rPr>
                <w:color w:val="000000"/>
                <w:sz w:val="20"/>
                <w:szCs w:val="20"/>
                <w:lang w:val="fr-CA"/>
              </w:rPr>
              <w:t>89</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9</w:t>
            </w:r>
            <w:r w:rsidR="004A6828" w:rsidRPr="00ED22D1">
              <w:rPr>
                <w:color w:val="000000"/>
                <w:sz w:val="20"/>
                <w:szCs w:val="20"/>
                <w:lang w:val="fr-CA"/>
              </w:rPr>
              <w:t>6,</w:t>
            </w:r>
            <w:r w:rsidRPr="00ED22D1">
              <w:rPr>
                <w:color w:val="000000"/>
                <w:sz w:val="20"/>
                <w:szCs w:val="20"/>
                <w:lang w:val="fr-CA"/>
              </w:rPr>
              <w:t>23</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-4</w:t>
            </w:r>
            <w:r w:rsidR="004A6828" w:rsidRPr="00ED22D1">
              <w:rPr>
                <w:color w:val="000000"/>
                <w:sz w:val="20"/>
                <w:szCs w:val="20"/>
                <w:lang w:val="fr-CA"/>
              </w:rPr>
              <w:t>6,</w:t>
            </w:r>
            <w:r w:rsidRPr="00ED22D1">
              <w:rPr>
                <w:color w:val="000000"/>
                <w:sz w:val="20"/>
                <w:szCs w:val="20"/>
                <w:lang w:val="fr-CA"/>
              </w:rPr>
              <w:t>32</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6</w:t>
            </w:r>
            <w:r w:rsidR="004A6828" w:rsidRPr="00ED22D1">
              <w:rPr>
                <w:color w:val="000000"/>
                <w:sz w:val="20"/>
                <w:szCs w:val="20"/>
                <w:lang w:val="fr-CA"/>
              </w:rPr>
              <w:t>7,</w:t>
            </w:r>
            <w:r w:rsidRPr="00ED22D1">
              <w:rPr>
                <w:color w:val="000000"/>
                <w:sz w:val="20"/>
                <w:szCs w:val="20"/>
                <w:lang w:val="fr-CA"/>
              </w:rPr>
              <w:t>16</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w:t>
            </w:r>
            <w:r w:rsidR="004A6828" w:rsidRPr="00ED22D1">
              <w:rPr>
                <w:color w:val="000000"/>
                <w:sz w:val="20"/>
                <w:szCs w:val="20"/>
                <w:lang w:val="fr-CA"/>
              </w:rPr>
              <w:t>5,</w:t>
            </w:r>
            <w:r w:rsidRPr="00ED22D1">
              <w:rPr>
                <w:color w:val="000000"/>
                <w:sz w:val="20"/>
                <w:szCs w:val="20"/>
                <w:lang w:val="fr-CA"/>
              </w:rPr>
              <w:t>71</w:t>
            </w:r>
          </w:p>
        </w:tc>
        <w:tc>
          <w:tcPr>
            <w:tcW w:w="685" w:type="pct"/>
          </w:tcPr>
          <w:p w:rsidR="00387175" w:rsidRPr="00ED22D1" w:rsidRDefault="00387175" w:rsidP="00387175">
            <w:pPr>
              <w:jc w:val="right"/>
              <w:rPr>
                <w:color w:val="000000"/>
                <w:sz w:val="20"/>
                <w:szCs w:val="20"/>
                <w:lang w:val="fr-CA"/>
              </w:rPr>
            </w:pPr>
            <w:r w:rsidRPr="00ED22D1">
              <w:rPr>
                <w:color w:val="000000"/>
                <w:sz w:val="20"/>
                <w:szCs w:val="20"/>
                <w:lang w:val="fr-CA"/>
              </w:rPr>
              <w:t>13</w:t>
            </w:r>
            <w:r w:rsidR="004A6828" w:rsidRPr="00ED22D1">
              <w:rPr>
                <w:color w:val="000000"/>
                <w:sz w:val="20"/>
                <w:szCs w:val="20"/>
                <w:lang w:val="fr-CA"/>
              </w:rPr>
              <w:t>9,</w:t>
            </w:r>
            <w:r w:rsidRPr="00ED22D1">
              <w:rPr>
                <w:color w:val="000000"/>
                <w:sz w:val="20"/>
                <w:szCs w:val="20"/>
                <w:lang w:val="fr-CA"/>
              </w:rPr>
              <w:t>56</w:t>
            </w: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142b</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1 </w:t>
            </w:r>
            <w:r w:rsidR="00387175" w:rsidRPr="00ED22D1">
              <w:rPr>
                <w:color w:val="000000"/>
                <w:sz w:val="20"/>
                <w:szCs w:val="20"/>
                <w:lang w:val="fr-CA"/>
              </w:rPr>
              <w:t>49</w:t>
            </w:r>
            <w:r w:rsidRPr="00ED22D1">
              <w:rPr>
                <w:color w:val="000000"/>
                <w:sz w:val="20"/>
                <w:szCs w:val="20"/>
                <w:lang w:val="fr-CA"/>
              </w:rPr>
              <w:t>1,</w:t>
            </w:r>
            <w:r w:rsidR="00387175" w:rsidRPr="00ED22D1">
              <w:rPr>
                <w:color w:val="000000"/>
                <w:sz w:val="20"/>
                <w:szCs w:val="20"/>
                <w:lang w:val="fr-CA"/>
              </w:rPr>
              <w:t>04</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51</w:t>
            </w:r>
            <w:r w:rsidR="004A6828" w:rsidRPr="00ED22D1">
              <w:rPr>
                <w:color w:val="000000"/>
                <w:sz w:val="20"/>
                <w:szCs w:val="20"/>
                <w:lang w:val="fr-CA"/>
              </w:rPr>
              <w:t>8,</w:t>
            </w:r>
            <w:r w:rsidRPr="00ED22D1">
              <w:rPr>
                <w:color w:val="000000"/>
                <w:sz w:val="20"/>
                <w:szCs w:val="20"/>
                <w:lang w:val="fr-CA"/>
              </w:rPr>
              <w:t>41</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1 </w:t>
            </w:r>
            <w:r w:rsidR="00387175" w:rsidRPr="00ED22D1">
              <w:rPr>
                <w:color w:val="000000"/>
                <w:sz w:val="20"/>
                <w:szCs w:val="20"/>
                <w:lang w:val="fr-CA"/>
              </w:rPr>
              <w:t>01</w:t>
            </w:r>
            <w:r w:rsidRPr="00ED22D1">
              <w:rPr>
                <w:color w:val="000000"/>
                <w:sz w:val="20"/>
                <w:szCs w:val="20"/>
                <w:lang w:val="fr-CA"/>
              </w:rPr>
              <w:t>6,</w:t>
            </w:r>
            <w:r w:rsidR="00387175" w:rsidRPr="00ED22D1">
              <w:rPr>
                <w:color w:val="000000"/>
                <w:sz w:val="20"/>
                <w:szCs w:val="20"/>
                <w:lang w:val="fr-CA"/>
              </w:rPr>
              <w:t>42</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37</w:t>
            </w:r>
            <w:r w:rsidR="004A6828" w:rsidRPr="00ED22D1">
              <w:rPr>
                <w:color w:val="000000"/>
                <w:sz w:val="20"/>
                <w:szCs w:val="20"/>
                <w:lang w:val="fr-CA"/>
              </w:rPr>
              <w:t>1,</w:t>
            </w:r>
            <w:r w:rsidRPr="00ED22D1">
              <w:rPr>
                <w:color w:val="000000"/>
                <w:sz w:val="20"/>
                <w:szCs w:val="20"/>
                <w:lang w:val="fr-CA"/>
              </w:rPr>
              <w:t>44</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66</w:t>
            </w:r>
            <w:r w:rsidR="004A6828" w:rsidRPr="00ED22D1">
              <w:rPr>
                <w:color w:val="000000"/>
                <w:sz w:val="20"/>
                <w:szCs w:val="20"/>
                <w:lang w:val="fr-CA"/>
              </w:rPr>
              <w:t>2,</w:t>
            </w:r>
            <w:r w:rsidRPr="00ED22D1">
              <w:rPr>
                <w:color w:val="000000"/>
                <w:sz w:val="20"/>
                <w:szCs w:val="20"/>
                <w:lang w:val="fr-CA"/>
              </w:rPr>
              <w:t>43</w:t>
            </w:r>
          </w:p>
        </w:tc>
        <w:tc>
          <w:tcPr>
            <w:tcW w:w="685" w:type="pct"/>
          </w:tcPr>
          <w:p w:rsidR="00387175" w:rsidRPr="00ED22D1" w:rsidRDefault="004A6828" w:rsidP="00387175">
            <w:pPr>
              <w:jc w:val="right"/>
              <w:rPr>
                <w:color w:val="000000"/>
                <w:sz w:val="20"/>
                <w:szCs w:val="20"/>
                <w:lang w:val="fr-CA"/>
              </w:rPr>
            </w:pPr>
            <w:r w:rsidRPr="00ED22D1">
              <w:rPr>
                <w:color w:val="000000"/>
                <w:sz w:val="20"/>
                <w:szCs w:val="20"/>
                <w:lang w:val="fr-CA"/>
              </w:rPr>
              <w:t>5 </w:t>
            </w:r>
            <w:r w:rsidR="00387175" w:rsidRPr="00ED22D1">
              <w:rPr>
                <w:color w:val="000000"/>
                <w:sz w:val="20"/>
                <w:szCs w:val="20"/>
                <w:lang w:val="fr-CA"/>
              </w:rPr>
              <w:t>33</w:t>
            </w:r>
            <w:r w:rsidRPr="00ED22D1">
              <w:rPr>
                <w:color w:val="000000"/>
                <w:sz w:val="20"/>
                <w:szCs w:val="20"/>
                <w:lang w:val="fr-CA"/>
              </w:rPr>
              <w:t>8,</w:t>
            </w:r>
            <w:r w:rsidR="00387175" w:rsidRPr="00ED22D1">
              <w:rPr>
                <w:color w:val="000000"/>
                <w:sz w:val="20"/>
                <w:szCs w:val="20"/>
                <w:lang w:val="fr-CA"/>
              </w:rPr>
              <w:t>58</w:t>
            </w:r>
          </w:p>
        </w:tc>
      </w:tr>
      <w:tr w:rsidR="00387175" w:rsidRPr="00ED22D1" w:rsidTr="001A070F">
        <w:tc>
          <w:tcPr>
            <w:tcW w:w="1115" w:type="pct"/>
            <w:tcBorders>
              <w:bottom w:val="single" w:sz="2" w:space="0" w:color="auto"/>
            </w:tcBorders>
            <w:shd w:val="clear" w:color="auto" w:fill="auto"/>
            <w:noWrap/>
            <w:tcMar>
              <w:left w:w="43" w:type="dxa"/>
              <w:right w:w="43" w:type="dxa"/>
            </w:tcMar>
          </w:tcPr>
          <w:p w:rsidR="00387175" w:rsidRPr="00ED22D1" w:rsidRDefault="00387175" w:rsidP="00387175">
            <w:pPr>
              <w:widowControl w:val="0"/>
              <w:jc w:val="left"/>
              <w:rPr>
                <w:color w:val="000000"/>
                <w:sz w:val="20"/>
                <w:szCs w:val="20"/>
                <w:lang w:val="fr-CA"/>
              </w:rPr>
            </w:pPr>
            <w:r w:rsidRPr="00ED22D1">
              <w:rPr>
                <w:b/>
                <w:color w:val="000000"/>
                <w:sz w:val="20"/>
                <w:szCs w:val="20"/>
                <w:lang w:val="fr-CA"/>
              </w:rPr>
              <w:t>Total (</w:t>
            </w:r>
            <w:r w:rsidR="001279D7" w:rsidRPr="00ED22D1">
              <w:rPr>
                <w:b/>
                <w:color w:val="000000"/>
                <w:sz w:val="20"/>
                <w:szCs w:val="20"/>
                <w:lang w:val="fr-CA"/>
              </w:rPr>
              <w:t>tm</w:t>
            </w:r>
            <w:r w:rsidRPr="00ED22D1">
              <w:rPr>
                <w:b/>
                <w:color w:val="000000"/>
                <w:sz w:val="20"/>
                <w:szCs w:val="20"/>
                <w:lang w:val="fr-CA"/>
              </w:rPr>
              <w:t>)</w:t>
            </w:r>
          </w:p>
        </w:tc>
        <w:tc>
          <w:tcPr>
            <w:tcW w:w="640" w:type="pct"/>
            <w:tcBorders>
              <w:bottom w:val="single" w:sz="2" w:space="0" w:color="auto"/>
            </w:tcBorders>
          </w:tcPr>
          <w:p w:rsidR="00387175" w:rsidRPr="00ED22D1" w:rsidRDefault="00387175" w:rsidP="00387175">
            <w:pPr>
              <w:jc w:val="right"/>
              <w:rPr>
                <w:b/>
                <w:color w:val="000000"/>
                <w:sz w:val="20"/>
                <w:szCs w:val="20"/>
                <w:lang w:val="fr-CA"/>
              </w:rPr>
            </w:pPr>
            <w:r w:rsidRPr="00ED22D1">
              <w:rPr>
                <w:b/>
                <w:color w:val="000000"/>
                <w:sz w:val="20"/>
                <w:szCs w:val="20"/>
                <w:lang w:val="fr-CA"/>
              </w:rPr>
              <w:t>5</w:t>
            </w:r>
            <w:r w:rsidR="004A6828" w:rsidRPr="00ED22D1">
              <w:rPr>
                <w:b/>
                <w:color w:val="000000"/>
                <w:sz w:val="20"/>
                <w:szCs w:val="20"/>
                <w:lang w:val="fr-CA"/>
              </w:rPr>
              <w:t>6 </w:t>
            </w:r>
            <w:r w:rsidRPr="00ED22D1">
              <w:rPr>
                <w:b/>
                <w:color w:val="000000"/>
                <w:sz w:val="20"/>
                <w:szCs w:val="20"/>
                <w:lang w:val="fr-CA"/>
              </w:rPr>
              <w:t>50</w:t>
            </w:r>
            <w:r w:rsidR="004A6828" w:rsidRPr="00ED22D1">
              <w:rPr>
                <w:b/>
                <w:color w:val="000000"/>
                <w:sz w:val="20"/>
                <w:szCs w:val="20"/>
                <w:lang w:val="fr-CA"/>
              </w:rPr>
              <w:t>4,</w:t>
            </w:r>
            <w:r w:rsidRPr="00ED22D1">
              <w:rPr>
                <w:b/>
                <w:color w:val="000000"/>
                <w:sz w:val="20"/>
                <w:szCs w:val="20"/>
                <w:lang w:val="fr-CA"/>
              </w:rPr>
              <w:t>61</w:t>
            </w:r>
          </w:p>
        </w:tc>
        <w:tc>
          <w:tcPr>
            <w:tcW w:w="640" w:type="pct"/>
            <w:tcBorders>
              <w:bottom w:val="single" w:sz="2" w:space="0" w:color="auto"/>
            </w:tcBorders>
          </w:tcPr>
          <w:p w:rsidR="00387175" w:rsidRPr="00ED22D1" w:rsidRDefault="00387175" w:rsidP="00387175">
            <w:pPr>
              <w:jc w:val="right"/>
              <w:rPr>
                <w:b/>
                <w:color w:val="000000"/>
                <w:sz w:val="20"/>
                <w:szCs w:val="20"/>
                <w:lang w:val="fr-CA"/>
              </w:rPr>
            </w:pPr>
            <w:r w:rsidRPr="00ED22D1">
              <w:rPr>
                <w:b/>
                <w:color w:val="000000"/>
                <w:sz w:val="20"/>
                <w:szCs w:val="20"/>
                <w:lang w:val="fr-CA"/>
              </w:rPr>
              <w:t>5</w:t>
            </w:r>
            <w:r w:rsidR="004A6828" w:rsidRPr="00ED22D1">
              <w:rPr>
                <w:b/>
                <w:color w:val="000000"/>
                <w:sz w:val="20"/>
                <w:szCs w:val="20"/>
                <w:lang w:val="fr-CA"/>
              </w:rPr>
              <w:t>7 </w:t>
            </w:r>
            <w:r w:rsidRPr="00ED22D1">
              <w:rPr>
                <w:b/>
                <w:color w:val="000000"/>
                <w:sz w:val="20"/>
                <w:szCs w:val="20"/>
                <w:lang w:val="fr-CA"/>
              </w:rPr>
              <w:t>67</w:t>
            </w:r>
            <w:r w:rsidR="004A6828" w:rsidRPr="00ED22D1">
              <w:rPr>
                <w:b/>
                <w:color w:val="000000"/>
                <w:sz w:val="20"/>
                <w:szCs w:val="20"/>
                <w:lang w:val="fr-CA"/>
              </w:rPr>
              <w:t>6,</w:t>
            </w:r>
            <w:r w:rsidRPr="00ED22D1">
              <w:rPr>
                <w:b/>
                <w:color w:val="000000"/>
                <w:sz w:val="20"/>
                <w:szCs w:val="20"/>
                <w:lang w:val="fr-CA"/>
              </w:rPr>
              <w:t>40</w:t>
            </w:r>
          </w:p>
        </w:tc>
        <w:tc>
          <w:tcPr>
            <w:tcW w:w="640" w:type="pct"/>
            <w:tcBorders>
              <w:bottom w:val="single" w:sz="2" w:space="0" w:color="auto"/>
            </w:tcBorders>
          </w:tcPr>
          <w:p w:rsidR="00387175" w:rsidRPr="00ED22D1" w:rsidRDefault="00387175" w:rsidP="00387175">
            <w:pPr>
              <w:jc w:val="right"/>
              <w:rPr>
                <w:b/>
                <w:color w:val="000000"/>
                <w:sz w:val="20"/>
                <w:szCs w:val="20"/>
                <w:lang w:val="fr-CA"/>
              </w:rPr>
            </w:pPr>
            <w:r w:rsidRPr="00ED22D1">
              <w:rPr>
                <w:b/>
                <w:color w:val="000000"/>
                <w:sz w:val="20"/>
                <w:szCs w:val="20"/>
                <w:lang w:val="fr-CA"/>
              </w:rPr>
              <w:t>4</w:t>
            </w:r>
            <w:r w:rsidR="004A6828" w:rsidRPr="00ED22D1">
              <w:rPr>
                <w:b/>
                <w:color w:val="000000"/>
                <w:sz w:val="20"/>
                <w:szCs w:val="20"/>
                <w:lang w:val="fr-CA"/>
              </w:rPr>
              <w:t>3 </w:t>
            </w:r>
            <w:r w:rsidRPr="00ED22D1">
              <w:rPr>
                <w:b/>
                <w:color w:val="000000"/>
                <w:sz w:val="20"/>
                <w:szCs w:val="20"/>
                <w:lang w:val="fr-CA"/>
              </w:rPr>
              <w:t>84</w:t>
            </w:r>
            <w:r w:rsidR="004A6828" w:rsidRPr="00ED22D1">
              <w:rPr>
                <w:b/>
                <w:color w:val="000000"/>
                <w:sz w:val="20"/>
                <w:szCs w:val="20"/>
                <w:lang w:val="fr-CA"/>
              </w:rPr>
              <w:t>2,</w:t>
            </w:r>
            <w:r w:rsidRPr="00ED22D1">
              <w:rPr>
                <w:b/>
                <w:color w:val="000000"/>
                <w:sz w:val="20"/>
                <w:szCs w:val="20"/>
                <w:lang w:val="fr-CA"/>
              </w:rPr>
              <w:t>48</w:t>
            </w:r>
          </w:p>
        </w:tc>
        <w:tc>
          <w:tcPr>
            <w:tcW w:w="640" w:type="pct"/>
            <w:tcBorders>
              <w:bottom w:val="single" w:sz="2" w:space="0" w:color="auto"/>
            </w:tcBorders>
          </w:tcPr>
          <w:p w:rsidR="00387175" w:rsidRPr="00ED22D1" w:rsidRDefault="00387175" w:rsidP="00387175">
            <w:pPr>
              <w:jc w:val="right"/>
              <w:rPr>
                <w:b/>
                <w:color w:val="000000"/>
                <w:sz w:val="20"/>
                <w:szCs w:val="20"/>
                <w:lang w:val="fr-CA"/>
              </w:rPr>
            </w:pPr>
            <w:r w:rsidRPr="00ED22D1">
              <w:rPr>
                <w:b/>
                <w:color w:val="000000"/>
                <w:sz w:val="20"/>
                <w:szCs w:val="20"/>
                <w:lang w:val="fr-CA"/>
              </w:rPr>
              <w:t>4</w:t>
            </w:r>
            <w:r w:rsidR="004A6828" w:rsidRPr="00ED22D1">
              <w:rPr>
                <w:b/>
                <w:color w:val="000000"/>
                <w:sz w:val="20"/>
                <w:szCs w:val="20"/>
                <w:lang w:val="fr-CA"/>
              </w:rPr>
              <w:t>8 </w:t>
            </w:r>
            <w:r w:rsidRPr="00ED22D1">
              <w:rPr>
                <w:b/>
                <w:color w:val="000000"/>
                <w:sz w:val="20"/>
                <w:szCs w:val="20"/>
                <w:lang w:val="fr-CA"/>
              </w:rPr>
              <w:t>12</w:t>
            </w:r>
            <w:r w:rsidR="004A6828" w:rsidRPr="00ED22D1">
              <w:rPr>
                <w:b/>
                <w:color w:val="000000"/>
                <w:sz w:val="20"/>
                <w:szCs w:val="20"/>
                <w:lang w:val="fr-CA"/>
              </w:rPr>
              <w:t>5,</w:t>
            </w:r>
            <w:r w:rsidRPr="00ED22D1">
              <w:rPr>
                <w:b/>
                <w:color w:val="000000"/>
                <w:sz w:val="20"/>
                <w:szCs w:val="20"/>
                <w:lang w:val="fr-CA"/>
              </w:rPr>
              <w:t>09</w:t>
            </w:r>
          </w:p>
        </w:tc>
        <w:tc>
          <w:tcPr>
            <w:tcW w:w="640" w:type="pct"/>
            <w:tcBorders>
              <w:bottom w:val="single" w:sz="2" w:space="0" w:color="auto"/>
            </w:tcBorders>
          </w:tcPr>
          <w:p w:rsidR="00387175" w:rsidRPr="00ED22D1" w:rsidRDefault="00387175" w:rsidP="00387175">
            <w:pPr>
              <w:jc w:val="right"/>
              <w:rPr>
                <w:b/>
                <w:color w:val="000000"/>
                <w:sz w:val="20"/>
                <w:szCs w:val="20"/>
                <w:lang w:val="fr-CA"/>
              </w:rPr>
            </w:pPr>
            <w:r w:rsidRPr="00ED22D1">
              <w:rPr>
                <w:b/>
                <w:color w:val="000000"/>
                <w:sz w:val="20"/>
                <w:szCs w:val="20"/>
                <w:lang w:val="fr-CA"/>
              </w:rPr>
              <w:t>5</w:t>
            </w:r>
            <w:r w:rsidR="004A6828" w:rsidRPr="00ED22D1">
              <w:rPr>
                <w:b/>
                <w:color w:val="000000"/>
                <w:sz w:val="20"/>
                <w:szCs w:val="20"/>
                <w:lang w:val="fr-CA"/>
              </w:rPr>
              <w:t>2 </w:t>
            </w:r>
            <w:r w:rsidRPr="00ED22D1">
              <w:rPr>
                <w:b/>
                <w:color w:val="000000"/>
                <w:sz w:val="20"/>
                <w:szCs w:val="20"/>
                <w:lang w:val="fr-CA"/>
              </w:rPr>
              <w:t>48</w:t>
            </w:r>
            <w:r w:rsidR="004A6828" w:rsidRPr="00ED22D1">
              <w:rPr>
                <w:b/>
                <w:color w:val="000000"/>
                <w:sz w:val="20"/>
                <w:szCs w:val="20"/>
                <w:lang w:val="fr-CA"/>
              </w:rPr>
              <w:t>6,</w:t>
            </w:r>
            <w:r w:rsidRPr="00ED22D1">
              <w:rPr>
                <w:b/>
                <w:color w:val="000000"/>
                <w:sz w:val="20"/>
                <w:szCs w:val="20"/>
                <w:lang w:val="fr-CA"/>
              </w:rPr>
              <w:t>66</w:t>
            </w:r>
          </w:p>
        </w:tc>
        <w:tc>
          <w:tcPr>
            <w:tcW w:w="685" w:type="pct"/>
            <w:tcBorders>
              <w:bottom w:val="single" w:sz="2" w:space="0" w:color="auto"/>
            </w:tcBorders>
          </w:tcPr>
          <w:p w:rsidR="00387175" w:rsidRPr="00ED22D1" w:rsidRDefault="00387175" w:rsidP="00387175">
            <w:pPr>
              <w:jc w:val="right"/>
              <w:rPr>
                <w:b/>
                <w:color w:val="000000"/>
                <w:sz w:val="20"/>
                <w:szCs w:val="20"/>
                <w:lang w:val="fr-CA"/>
              </w:rPr>
            </w:pPr>
            <w:r w:rsidRPr="00ED22D1">
              <w:rPr>
                <w:b/>
                <w:color w:val="000000"/>
                <w:sz w:val="20"/>
                <w:szCs w:val="20"/>
                <w:lang w:val="fr-CA"/>
              </w:rPr>
              <w:t>7</w:t>
            </w:r>
            <w:r w:rsidR="004A6828" w:rsidRPr="00ED22D1">
              <w:rPr>
                <w:b/>
                <w:color w:val="000000"/>
                <w:sz w:val="20"/>
                <w:szCs w:val="20"/>
                <w:lang w:val="fr-CA"/>
              </w:rPr>
              <w:t>0 </w:t>
            </w:r>
            <w:r w:rsidRPr="00ED22D1">
              <w:rPr>
                <w:b/>
                <w:color w:val="000000"/>
                <w:sz w:val="20"/>
                <w:szCs w:val="20"/>
                <w:lang w:val="fr-CA"/>
              </w:rPr>
              <w:t>05</w:t>
            </w:r>
            <w:r w:rsidR="004A6828" w:rsidRPr="00ED22D1">
              <w:rPr>
                <w:b/>
                <w:color w:val="000000"/>
                <w:sz w:val="20"/>
                <w:szCs w:val="20"/>
                <w:lang w:val="fr-CA"/>
              </w:rPr>
              <w:t>8,</w:t>
            </w:r>
            <w:r w:rsidRPr="00ED22D1">
              <w:rPr>
                <w:b/>
                <w:color w:val="000000"/>
                <w:sz w:val="20"/>
                <w:szCs w:val="20"/>
                <w:lang w:val="fr-CA"/>
              </w:rPr>
              <w:t>47</w:t>
            </w:r>
          </w:p>
        </w:tc>
      </w:tr>
      <w:tr w:rsidR="00387175" w:rsidRPr="00ED22D1" w:rsidTr="001A070F">
        <w:tc>
          <w:tcPr>
            <w:tcW w:w="1115" w:type="pct"/>
            <w:tcBorders>
              <w:right w:val="nil"/>
            </w:tcBorders>
            <w:shd w:val="clear" w:color="auto" w:fill="auto"/>
            <w:noWrap/>
            <w:tcMar>
              <w:left w:w="43" w:type="dxa"/>
              <w:right w:w="43" w:type="dxa"/>
            </w:tcMar>
          </w:tcPr>
          <w:p w:rsidR="00387175" w:rsidRPr="00ED22D1" w:rsidRDefault="00181884" w:rsidP="00387175">
            <w:pPr>
              <w:widowControl w:val="0"/>
              <w:jc w:val="left"/>
              <w:rPr>
                <w:b/>
                <w:color w:val="000000"/>
                <w:sz w:val="20"/>
                <w:szCs w:val="20"/>
                <w:lang w:val="fr-CA"/>
              </w:rPr>
            </w:pPr>
            <w:r w:rsidRPr="00ED22D1">
              <w:rPr>
                <w:b/>
                <w:color w:val="000000"/>
                <w:sz w:val="20"/>
                <w:szCs w:val="20"/>
                <w:lang w:val="fr-CA"/>
              </w:rPr>
              <w:t>Tonnes PAO</w:t>
            </w:r>
          </w:p>
        </w:tc>
        <w:tc>
          <w:tcPr>
            <w:tcW w:w="640" w:type="pct"/>
            <w:tcBorders>
              <w:left w:val="nil"/>
              <w:right w:val="nil"/>
            </w:tcBorders>
          </w:tcPr>
          <w:p w:rsidR="00387175" w:rsidRPr="00ED22D1" w:rsidRDefault="00387175" w:rsidP="00387175">
            <w:pPr>
              <w:jc w:val="right"/>
              <w:rPr>
                <w:color w:val="000000"/>
                <w:sz w:val="20"/>
                <w:szCs w:val="20"/>
                <w:lang w:val="fr-CA"/>
              </w:rPr>
            </w:pPr>
          </w:p>
        </w:tc>
        <w:tc>
          <w:tcPr>
            <w:tcW w:w="640" w:type="pct"/>
            <w:tcBorders>
              <w:left w:val="nil"/>
              <w:right w:val="nil"/>
            </w:tcBorders>
          </w:tcPr>
          <w:p w:rsidR="00387175" w:rsidRPr="00ED22D1" w:rsidRDefault="00387175" w:rsidP="00387175">
            <w:pPr>
              <w:jc w:val="right"/>
              <w:rPr>
                <w:color w:val="000000"/>
                <w:sz w:val="20"/>
                <w:szCs w:val="20"/>
                <w:lang w:val="fr-CA"/>
              </w:rPr>
            </w:pPr>
          </w:p>
        </w:tc>
        <w:tc>
          <w:tcPr>
            <w:tcW w:w="640" w:type="pct"/>
            <w:tcBorders>
              <w:left w:val="nil"/>
              <w:right w:val="nil"/>
            </w:tcBorders>
          </w:tcPr>
          <w:p w:rsidR="00387175" w:rsidRPr="00ED22D1" w:rsidRDefault="00387175" w:rsidP="00387175">
            <w:pPr>
              <w:jc w:val="right"/>
              <w:rPr>
                <w:color w:val="000000"/>
                <w:sz w:val="20"/>
                <w:szCs w:val="20"/>
                <w:lang w:val="fr-CA"/>
              </w:rPr>
            </w:pPr>
          </w:p>
        </w:tc>
        <w:tc>
          <w:tcPr>
            <w:tcW w:w="640" w:type="pct"/>
            <w:tcBorders>
              <w:left w:val="nil"/>
              <w:right w:val="nil"/>
            </w:tcBorders>
          </w:tcPr>
          <w:p w:rsidR="00387175" w:rsidRPr="00ED22D1" w:rsidRDefault="00387175" w:rsidP="00387175">
            <w:pPr>
              <w:jc w:val="right"/>
              <w:rPr>
                <w:color w:val="000000"/>
                <w:sz w:val="20"/>
                <w:szCs w:val="20"/>
                <w:lang w:val="fr-CA"/>
              </w:rPr>
            </w:pPr>
          </w:p>
        </w:tc>
        <w:tc>
          <w:tcPr>
            <w:tcW w:w="640" w:type="pct"/>
            <w:tcBorders>
              <w:left w:val="nil"/>
            </w:tcBorders>
          </w:tcPr>
          <w:p w:rsidR="00387175" w:rsidRPr="00ED22D1" w:rsidRDefault="00387175" w:rsidP="00387175">
            <w:pPr>
              <w:jc w:val="right"/>
              <w:rPr>
                <w:color w:val="000000"/>
                <w:sz w:val="20"/>
                <w:szCs w:val="20"/>
                <w:lang w:val="fr-CA"/>
              </w:rPr>
            </w:pPr>
          </w:p>
        </w:tc>
        <w:tc>
          <w:tcPr>
            <w:tcW w:w="685" w:type="pct"/>
            <w:tcBorders>
              <w:left w:val="nil"/>
            </w:tcBorders>
          </w:tcPr>
          <w:p w:rsidR="00387175" w:rsidRPr="00ED22D1" w:rsidRDefault="00387175" w:rsidP="00387175">
            <w:pPr>
              <w:jc w:val="right"/>
              <w:rPr>
                <w:color w:val="000000"/>
                <w:sz w:val="20"/>
                <w:szCs w:val="20"/>
                <w:lang w:val="fr-CA"/>
              </w:rPr>
            </w:pP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22</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2 </w:t>
            </w:r>
            <w:r w:rsidR="00387175" w:rsidRPr="00ED22D1">
              <w:rPr>
                <w:color w:val="000000"/>
                <w:sz w:val="20"/>
                <w:szCs w:val="20"/>
                <w:lang w:val="fr-CA"/>
              </w:rPr>
              <w:t>99</w:t>
            </w:r>
            <w:r w:rsidRPr="00ED22D1">
              <w:rPr>
                <w:color w:val="000000"/>
                <w:sz w:val="20"/>
                <w:szCs w:val="20"/>
                <w:lang w:val="fr-CA"/>
              </w:rPr>
              <w:t>5,</w:t>
            </w:r>
            <w:r w:rsidR="00387175" w:rsidRPr="00ED22D1">
              <w:rPr>
                <w:color w:val="000000"/>
                <w:sz w:val="20"/>
                <w:szCs w:val="20"/>
                <w:lang w:val="fr-CA"/>
              </w:rPr>
              <w:t>72</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3 </w:t>
            </w:r>
            <w:r w:rsidR="00387175" w:rsidRPr="00ED22D1">
              <w:rPr>
                <w:color w:val="000000"/>
                <w:sz w:val="20"/>
                <w:szCs w:val="20"/>
                <w:lang w:val="fr-CA"/>
              </w:rPr>
              <w:t>11</w:t>
            </w:r>
            <w:r w:rsidRPr="00ED22D1">
              <w:rPr>
                <w:color w:val="000000"/>
                <w:sz w:val="20"/>
                <w:szCs w:val="20"/>
                <w:lang w:val="fr-CA"/>
              </w:rPr>
              <w:t>8,</w:t>
            </w:r>
            <w:r w:rsidR="00387175" w:rsidRPr="00ED22D1">
              <w:rPr>
                <w:color w:val="000000"/>
                <w:sz w:val="20"/>
                <w:szCs w:val="20"/>
                <w:lang w:val="fr-CA"/>
              </w:rPr>
              <w:t>77</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2 </w:t>
            </w:r>
            <w:r w:rsidR="00387175" w:rsidRPr="00ED22D1">
              <w:rPr>
                <w:color w:val="000000"/>
                <w:sz w:val="20"/>
                <w:szCs w:val="20"/>
                <w:lang w:val="fr-CA"/>
              </w:rPr>
              <w:t>34</w:t>
            </w:r>
            <w:r w:rsidRPr="00ED22D1">
              <w:rPr>
                <w:color w:val="000000"/>
                <w:sz w:val="20"/>
                <w:szCs w:val="20"/>
                <w:lang w:val="fr-CA"/>
              </w:rPr>
              <w:t>0,</w:t>
            </w:r>
            <w:r w:rsidR="00387175" w:rsidRPr="00ED22D1">
              <w:rPr>
                <w:color w:val="000000"/>
                <w:sz w:val="20"/>
                <w:szCs w:val="20"/>
                <w:lang w:val="fr-CA"/>
              </w:rPr>
              <w:t>66</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2 </w:t>
            </w:r>
            <w:r w:rsidR="00387175" w:rsidRPr="00ED22D1">
              <w:rPr>
                <w:color w:val="000000"/>
                <w:sz w:val="20"/>
                <w:szCs w:val="20"/>
                <w:lang w:val="fr-CA"/>
              </w:rPr>
              <w:t>60</w:t>
            </w:r>
            <w:r w:rsidRPr="00ED22D1">
              <w:rPr>
                <w:color w:val="000000"/>
                <w:sz w:val="20"/>
                <w:szCs w:val="20"/>
                <w:lang w:val="fr-CA"/>
              </w:rPr>
              <w:t>6,</w:t>
            </w:r>
            <w:r w:rsidR="00387175" w:rsidRPr="00ED22D1">
              <w:rPr>
                <w:color w:val="000000"/>
                <w:sz w:val="20"/>
                <w:szCs w:val="20"/>
                <w:lang w:val="fr-CA"/>
              </w:rPr>
              <w:t>91</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2 </w:t>
            </w:r>
            <w:r w:rsidR="00387175" w:rsidRPr="00ED22D1">
              <w:rPr>
                <w:color w:val="000000"/>
                <w:sz w:val="20"/>
                <w:szCs w:val="20"/>
                <w:lang w:val="fr-CA"/>
              </w:rPr>
              <w:t>83</w:t>
            </w:r>
            <w:r w:rsidRPr="00ED22D1">
              <w:rPr>
                <w:color w:val="000000"/>
                <w:sz w:val="20"/>
                <w:szCs w:val="20"/>
                <w:lang w:val="fr-CA"/>
              </w:rPr>
              <w:t>1,</w:t>
            </w:r>
            <w:r w:rsidR="00387175" w:rsidRPr="00ED22D1">
              <w:rPr>
                <w:color w:val="000000"/>
                <w:sz w:val="20"/>
                <w:szCs w:val="20"/>
                <w:lang w:val="fr-CA"/>
              </w:rPr>
              <w:t>55</w:t>
            </w:r>
          </w:p>
        </w:tc>
        <w:tc>
          <w:tcPr>
            <w:tcW w:w="685" w:type="pct"/>
          </w:tcPr>
          <w:p w:rsidR="00387175" w:rsidRPr="00ED22D1" w:rsidRDefault="004A6828" w:rsidP="00387175">
            <w:pPr>
              <w:jc w:val="right"/>
              <w:rPr>
                <w:color w:val="000000"/>
                <w:sz w:val="20"/>
                <w:szCs w:val="20"/>
                <w:lang w:val="fr-CA"/>
              </w:rPr>
            </w:pPr>
            <w:r w:rsidRPr="00ED22D1">
              <w:rPr>
                <w:color w:val="000000"/>
                <w:sz w:val="20"/>
                <w:szCs w:val="20"/>
                <w:lang w:val="fr-CA"/>
              </w:rPr>
              <w:t>3 </w:t>
            </w:r>
            <w:r w:rsidR="00387175" w:rsidRPr="00ED22D1">
              <w:rPr>
                <w:color w:val="000000"/>
                <w:sz w:val="20"/>
                <w:szCs w:val="20"/>
                <w:lang w:val="fr-CA"/>
              </w:rPr>
              <w:t>54</w:t>
            </w:r>
            <w:r w:rsidRPr="00ED22D1">
              <w:rPr>
                <w:color w:val="000000"/>
                <w:sz w:val="20"/>
                <w:szCs w:val="20"/>
                <w:lang w:val="fr-CA"/>
              </w:rPr>
              <w:t>5,</w:t>
            </w:r>
            <w:r w:rsidR="00387175" w:rsidRPr="00ED22D1">
              <w:rPr>
                <w:color w:val="000000"/>
                <w:sz w:val="20"/>
                <w:szCs w:val="20"/>
                <w:lang w:val="fr-CA"/>
              </w:rPr>
              <w:t>68</w:t>
            </w: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123</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8,</w:t>
            </w:r>
            <w:r w:rsidR="00387175" w:rsidRPr="00ED22D1">
              <w:rPr>
                <w:color w:val="000000"/>
                <w:sz w:val="20"/>
                <w:szCs w:val="20"/>
                <w:lang w:val="fr-CA"/>
              </w:rPr>
              <w:t>52</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7,</w:t>
            </w:r>
            <w:r w:rsidR="00387175" w:rsidRPr="00ED22D1">
              <w:rPr>
                <w:color w:val="000000"/>
                <w:sz w:val="20"/>
                <w:szCs w:val="20"/>
                <w:lang w:val="fr-CA"/>
              </w:rPr>
              <w:t>14</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6,</w:t>
            </w:r>
            <w:r w:rsidR="00387175" w:rsidRPr="00ED22D1">
              <w:rPr>
                <w:color w:val="000000"/>
                <w:sz w:val="20"/>
                <w:szCs w:val="20"/>
                <w:lang w:val="fr-CA"/>
              </w:rPr>
              <w:t>30</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5,</w:t>
            </w:r>
            <w:r w:rsidR="00387175" w:rsidRPr="00ED22D1">
              <w:rPr>
                <w:color w:val="000000"/>
                <w:sz w:val="20"/>
                <w:szCs w:val="20"/>
                <w:lang w:val="fr-CA"/>
              </w:rPr>
              <w:t>76</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6,</w:t>
            </w:r>
            <w:r w:rsidR="00387175" w:rsidRPr="00ED22D1">
              <w:rPr>
                <w:color w:val="000000"/>
                <w:sz w:val="20"/>
                <w:szCs w:val="20"/>
                <w:lang w:val="fr-CA"/>
              </w:rPr>
              <w:t>95</w:t>
            </w:r>
          </w:p>
        </w:tc>
        <w:tc>
          <w:tcPr>
            <w:tcW w:w="685" w:type="pct"/>
          </w:tcPr>
          <w:p w:rsidR="00387175" w:rsidRPr="00ED22D1" w:rsidRDefault="004A6828" w:rsidP="00387175">
            <w:pPr>
              <w:jc w:val="right"/>
              <w:rPr>
                <w:color w:val="000000"/>
                <w:sz w:val="20"/>
                <w:szCs w:val="20"/>
                <w:lang w:val="fr-CA"/>
              </w:rPr>
            </w:pPr>
            <w:r w:rsidRPr="00ED22D1">
              <w:rPr>
                <w:color w:val="000000"/>
                <w:sz w:val="20"/>
                <w:szCs w:val="20"/>
                <w:lang w:val="fr-CA"/>
              </w:rPr>
              <w:t>2,</w:t>
            </w:r>
            <w:r w:rsidR="00387175" w:rsidRPr="00ED22D1">
              <w:rPr>
                <w:color w:val="000000"/>
                <w:sz w:val="20"/>
                <w:szCs w:val="20"/>
                <w:lang w:val="fr-CA"/>
              </w:rPr>
              <w:t>30</w:t>
            </w: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124</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2,</w:t>
            </w:r>
            <w:r w:rsidR="00387175" w:rsidRPr="00ED22D1">
              <w:rPr>
                <w:color w:val="000000"/>
                <w:sz w:val="20"/>
                <w:szCs w:val="20"/>
                <w:lang w:val="fr-CA"/>
              </w:rPr>
              <w:t>64</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2,</w:t>
            </w:r>
            <w:r w:rsidR="00387175" w:rsidRPr="00ED22D1">
              <w:rPr>
                <w:color w:val="000000"/>
                <w:sz w:val="20"/>
                <w:szCs w:val="20"/>
                <w:lang w:val="fr-CA"/>
              </w:rPr>
              <w:t>12</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w:t>
            </w:r>
            <w:r w:rsidR="004A6828" w:rsidRPr="00ED22D1">
              <w:rPr>
                <w:color w:val="000000"/>
                <w:sz w:val="20"/>
                <w:szCs w:val="20"/>
                <w:lang w:val="fr-CA"/>
              </w:rPr>
              <w:t>1,</w:t>
            </w:r>
            <w:r w:rsidRPr="00ED22D1">
              <w:rPr>
                <w:color w:val="000000"/>
                <w:sz w:val="20"/>
                <w:szCs w:val="20"/>
                <w:lang w:val="fr-CA"/>
              </w:rPr>
              <w:t>02</w:t>
            </w:r>
          </w:p>
        </w:tc>
        <w:tc>
          <w:tcPr>
            <w:tcW w:w="640" w:type="pct"/>
          </w:tcPr>
          <w:p w:rsidR="00387175" w:rsidRPr="00ED22D1" w:rsidRDefault="004A6828" w:rsidP="00387175">
            <w:pPr>
              <w:jc w:val="right"/>
              <w:rPr>
                <w:color w:val="000000"/>
                <w:sz w:val="20"/>
                <w:szCs w:val="20"/>
                <w:lang w:val="fr-CA"/>
              </w:rPr>
            </w:pPr>
            <w:r w:rsidRPr="00ED22D1">
              <w:rPr>
                <w:color w:val="000000"/>
                <w:sz w:val="20"/>
                <w:szCs w:val="20"/>
                <w:lang w:val="fr-CA"/>
              </w:rPr>
              <w:t>1,</w:t>
            </w:r>
            <w:r w:rsidR="00387175" w:rsidRPr="00ED22D1">
              <w:rPr>
                <w:color w:val="000000"/>
                <w:sz w:val="20"/>
                <w:szCs w:val="20"/>
                <w:lang w:val="fr-CA"/>
              </w:rPr>
              <w:t>48</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w:t>
            </w:r>
            <w:r w:rsidR="004A6828" w:rsidRPr="00ED22D1">
              <w:rPr>
                <w:color w:val="000000"/>
                <w:sz w:val="20"/>
                <w:szCs w:val="20"/>
                <w:lang w:val="fr-CA"/>
              </w:rPr>
              <w:t>0,</w:t>
            </w:r>
            <w:r w:rsidRPr="00ED22D1">
              <w:rPr>
                <w:color w:val="000000"/>
                <w:sz w:val="20"/>
                <w:szCs w:val="20"/>
                <w:lang w:val="fr-CA"/>
              </w:rPr>
              <w:t>13</w:t>
            </w:r>
          </w:p>
        </w:tc>
        <w:tc>
          <w:tcPr>
            <w:tcW w:w="685" w:type="pct"/>
          </w:tcPr>
          <w:p w:rsidR="00387175" w:rsidRPr="00ED22D1" w:rsidRDefault="004A6828" w:rsidP="00387175">
            <w:pPr>
              <w:jc w:val="right"/>
              <w:rPr>
                <w:color w:val="000000"/>
                <w:sz w:val="20"/>
                <w:szCs w:val="20"/>
                <w:lang w:val="fr-CA"/>
              </w:rPr>
            </w:pPr>
            <w:r w:rsidRPr="00ED22D1">
              <w:rPr>
                <w:color w:val="000000"/>
                <w:sz w:val="20"/>
                <w:szCs w:val="20"/>
                <w:lang w:val="fr-CA"/>
              </w:rPr>
              <w:t>3,</w:t>
            </w:r>
            <w:r w:rsidR="00387175" w:rsidRPr="00ED22D1">
              <w:rPr>
                <w:color w:val="000000"/>
                <w:sz w:val="20"/>
                <w:szCs w:val="20"/>
                <w:lang w:val="fr-CA"/>
              </w:rPr>
              <w:t>05</w:t>
            </w:r>
          </w:p>
        </w:tc>
      </w:tr>
      <w:tr w:rsidR="00387175" w:rsidRPr="00ED22D1" w:rsidTr="001A070F">
        <w:tc>
          <w:tcPr>
            <w:tcW w:w="1115" w:type="pct"/>
            <w:shd w:val="clear" w:color="auto" w:fill="auto"/>
            <w:noWrap/>
            <w:tcMar>
              <w:left w:w="43" w:type="dxa"/>
              <w:right w:w="43" w:type="dxa"/>
            </w:tcMar>
            <w:hideMark/>
          </w:tcPr>
          <w:p w:rsidR="00387175" w:rsidRPr="00ED22D1" w:rsidRDefault="00387175" w:rsidP="00387175">
            <w:pPr>
              <w:widowControl w:val="0"/>
              <w:jc w:val="left"/>
              <w:rPr>
                <w:color w:val="000000"/>
                <w:sz w:val="20"/>
                <w:szCs w:val="20"/>
                <w:lang w:val="fr-CA"/>
              </w:rPr>
            </w:pPr>
            <w:r w:rsidRPr="00ED22D1">
              <w:rPr>
                <w:color w:val="000000"/>
                <w:sz w:val="20"/>
                <w:szCs w:val="20"/>
                <w:lang w:val="fr-CA"/>
              </w:rPr>
              <w:t>HCFC</w:t>
            </w:r>
            <w:r w:rsidRPr="00ED22D1">
              <w:rPr>
                <w:color w:val="000000"/>
                <w:sz w:val="20"/>
                <w:szCs w:val="20"/>
                <w:lang w:val="fr-CA"/>
              </w:rPr>
              <w:noBreakHyphen/>
              <w:t>142b</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9</w:t>
            </w:r>
            <w:r w:rsidR="004A6828" w:rsidRPr="00ED22D1">
              <w:rPr>
                <w:color w:val="000000"/>
                <w:sz w:val="20"/>
                <w:szCs w:val="20"/>
                <w:lang w:val="fr-CA"/>
              </w:rPr>
              <w:t>6,</w:t>
            </w:r>
            <w:r w:rsidRPr="00ED22D1">
              <w:rPr>
                <w:color w:val="000000"/>
                <w:sz w:val="20"/>
                <w:szCs w:val="20"/>
                <w:lang w:val="fr-CA"/>
              </w:rPr>
              <w:t>92</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3</w:t>
            </w:r>
            <w:r w:rsidR="004A6828" w:rsidRPr="00ED22D1">
              <w:rPr>
                <w:color w:val="000000"/>
                <w:sz w:val="20"/>
                <w:szCs w:val="20"/>
                <w:lang w:val="fr-CA"/>
              </w:rPr>
              <w:t>3,</w:t>
            </w:r>
            <w:r w:rsidRPr="00ED22D1">
              <w:rPr>
                <w:color w:val="000000"/>
                <w:sz w:val="20"/>
                <w:szCs w:val="20"/>
                <w:lang w:val="fr-CA"/>
              </w:rPr>
              <w:t>70</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6</w:t>
            </w:r>
            <w:r w:rsidR="004A6828" w:rsidRPr="00ED22D1">
              <w:rPr>
                <w:color w:val="000000"/>
                <w:sz w:val="20"/>
                <w:szCs w:val="20"/>
                <w:lang w:val="fr-CA"/>
              </w:rPr>
              <w:t>6,</w:t>
            </w:r>
            <w:r w:rsidRPr="00ED22D1">
              <w:rPr>
                <w:color w:val="000000"/>
                <w:sz w:val="20"/>
                <w:szCs w:val="20"/>
                <w:lang w:val="fr-CA"/>
              </w:rPr>
              <w:t>07</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2</w:t>
            </w:r>
            <w:r w:rsidR="004A6828" w:rsidRPr="00ED22D1">
              <w:rPr>
                <w:color w:val="000000"/>
                <w:sz w:val="20"/>
                <w:szCs w:val="20"/>
                <w:lang w:val="fr-CA"/>
              </w:rPr>
              <w:t>4,</w:t>
            </w:r>
            <w:r w:rsidRPr="00ED22D1">
              <w:rPr>
                <w:color w:val="000000"/>
                <w:sz w:val="20"/>
                <w:szCs w:val="20"/>
                <w:lang w:val="fr-CA"/>
              </w:rPr>
              <w:t>14</w:t>
            </w:r>
          </w:p>
        </w:tc>
        <w:tc>
          <w:tcPr>
            <w:tcW w:w="640" w:type="pct"/>
          </w:tcPr>
          <w:p w:rsidR="00387175" w:rsidRPr="00ED22D1" w:rsidRDefault="00387175" w:rsidP="00387175">
            <w:pPr>
              <w:jc w:val="right"/>
              <w:rPr>
                <w:color w:val="000000"/>
                <w:sz w:val="20"/>
                <w:szCs w:val="20"/>
                <w:lang w:val="fr-CA"/>
              </w:rPr>
            </w:pPr>
            <w:r w:rsidRPr="00ED22D1">
              <w:rPr>
                <w:color w:val="000000"/>
                <w:sz w:val="20"/>
                <w:szCs w:val="20"/>
                <w:lang w:val="fr-CA"/>
              </w:rPr>
              <w:t>4</w:t>
            </w:r>
            <w:r w:rsidR="004A6828" w:rsidRPr="00ED22D1">
              <w:rPr>
                <w:color w:val="000000"/>
                <w:sz w:val="20"/>
                <w:szCs w:val="20"/>
                <w:lang w:val="fr-CA"/>
              </w:rPr>
              <w:t>3,</w:t>
            </w:r>
            <w:r w:rsidRPr="00ED22D1">
              <w:rPr>
                <w:color w:val="000000"/>
                <w:sz w:val="20"/>
                <w:szCs w:val="20"/>
                <w:lang w:val="fr-CA"/>
              </w:rPr>
              <w:t>06</w:t>
            </w:r>
          </w:p>
        </w:tc>
        <w:tc>
          <w:tcPr>
            <w:tcW w:w="685" w:type="pct"/>
          </w:tcPr>
          <w:p w:rsidR="00387175" w:rsidRPr="00ED22D1" w:rsidRDefault="00387175" w:rsidP="00387175">
            <w:pPr>
              <w:jc w:val="right"/>
              <w:rPr>
                <w:color w:val="000000"/>
                <w:sz w:val="20"/>
                <w:szCs w:val="20"/>
                <w:lang w:val="fr-CA"/>
              </w:rPr>
            </w:pPr>
            <w:r w:rsidRPr="00ED22D1">
              <w:rPr>
                <w:color w:val="000000"/>
                <w:sz w:val="20"/>
                <w:szCs w:val="20"/>
                <w:lang w:val="fr-CA"/>
              </w:rPr>
              <w:t>34</w:t>
            </w:r>
            <w:r w:rsidR="004A6828" w:rsidRPr="00ED22D1">
              <w:rPr>
                <w:color w:val="000000"/>
                <w:sz w:val="20"/>
                <w:szCs w:val="20"/>
                <w:lang w:val="fr-CA"/>
              </w:rPr>
              <w:t>7,</w:t>
            </w:r>
            <w:r w:rsidRPr="00ED22D1">
              <w:rPr>
                <w:color w:val="000000"/>
                <w:sz w:val="20"/>
                <w:szCs w:val="20"/>
                <w:lang w:val="fr-CA"/>
              </w:rPr>
              <w:t>03</w:t>
            </w:r>
          </w:p>
        </w:tc>
      </w:tr>
      <w:tr w:rsidR="00387175" w:rsidRPr="00ED22D1" w:rsidTr="001A070F">
        <w:tc>
          <w:tcPr>
            <w:tcW w:w="1115" w:type="pct"/>
            <w:shd w:val="clear" w:color="auto" w:fill="auto"/>
            <w:noWrap/>
            <w:tcMar>
              <w:left w:w="43" w:type="dxa"/>
              <w:right w:w="43" w:type="dxa"/>
            </w:tcMar>
          </w:tcPr>
          <w:p w:rsidR="00387175" w:rsidRPr="00ED22D1" w:rsidRDefault="00387175" w:rsidP="00387175">
            <w:pPr>
              <w:jc w:val="left"/>
              <w:rPr>
                <w:rFonts w:eastAsiaTheme="minorHAnsi"/>
                <w:b/>
                <w:sz w:val="20"/>
                <w:szCs w:val="20"/>
                <w:lang w:val="fr-CA"/>
              </w:rPr>
            </w:pPr>
            <w:r w:rsidRPr="00ED22D1">
              <w:rPr>
                <w:b/>
                <w:color w:val="000000"/>
                <w:sz w:val="20"/>
                <w:szCs w:val="20"/>
                <w:lang w:val="fr-CA"/>
              </w:rPr>
              <w:t xml:space="preserve">Total </w:t>
            </w:r>
            <w:r w:rsidR="0052712E" w:rsidRPr="00ED22D1">
              <w:rPr>
                <w:b/>
                <w:color w:val="000000"/>
                <w:sz w:val="20"/>
                <w:szCs w:val="20"/>
                <w:lang w:val="fr-CA"/>
              </w:rPr>
              <w:t>(tonnes PAO)</w:t>
            </w:r>
          </w:p>
        </w:tc>
        <w:tc>
          <w:tcPr>
            <w:tcW w:w="640" w:type="pct"/>
          </w:tcPr>
          <w:p w:rsidR="00387175" w:rsidRPr="00ED22D1" w:rsidRDefault="004A6828" w:rsidP="00387175">
            <w:pPr>
              <w:jc w:val="right"/>
              <w:rPr>
                <w:b/>
                <w:color w:val="000000"/>
                <w:sz w:val="20"/>
                <w:szCs w:val="20"/>
                <w:lang w:val="fr-CA"/>
              </w:rPr>
            </w:pPr>
            <w:r w:rsidRPr="00ED22D1">
              <w:rPr>
                <w:b/>
                <w:color w:val="000000"/>
                <w:sz w:val="20"/>
                <w:szCs w:val="20"/>
                <w:lang w:val="fr-CA"/>
              </w:rPr>
              <w:t>3 </w:t>
            </w:r>
            <w:r w:rsidR="00387175" w:rsidRPr="00ED22D1">
              <w:rPr>
                <w:b/>
                <w:color w:val="000000"/>
                <w:sz w:val="20"/>
                <w:szCs w:val="20"/>
                <w:lang w:val="fr-CA"/>
              </w:rPr>
              <w:t>10</w:t>
            </w:r>
            <w:r w:rsidRPr="00ED22D1">
              <w:rPr>
                <w:b/>
                <w:color w:val="000000"/>
                <w:sz w:val="20"/>
                <w:szCs w:val="20"/>
                <w:lang w:val="fr-CA"/>
              </w:rPr>
              <w:t>3,</w:t>
            </w:r>
            <w:r w:rsidR="00387175" w:rsidRPr="00ED22D1">
              <w:rPr>
                <w:b/>
                <w:color w:val="000000"/>
                <w:sz w:val="20"/>
                <w:szCs w:val="20"/>
                <w:lang w:val="fr-CA"/>
              </w:rPr>
              <w:t>8</w:t>
            </w:r>
          </w:p>
        </w:tc>
        <w:tc>
          <w:tcPr>
            <w:tcW w:w="640" w:type="pct"/>
          </w:tcPr>
          <w:p w:rsidR="00387175" w:rsidRPr="00ED22D1" w:rsidRDefault="004A6828" w:rsidP="00387175">
            <w:pPr>
              <w:jc w:val="right"/>
              <w:rPr>
                <w:b/>
                <w:color w:val="000000"/>
                <w:sz w:val="20"/>
                <w:szCs w:val="20"/>
                <w:lang w:val="fr-CA"/>
              </w:rPr>
            </w:pPr>
            <w:r w:rsidRPr="00ED22D1">
              <w:rPr>
                <w:b/>
                <w:color w:val="000000"/>
                <w:sz w:val="20"/>
                <w:szCs w:val="20"/>
                <w:lang w:val="fr-CA"/>
              </w:rPr>
              <w:t>3 </w:t>
            </w:r>
            <w:r w:rsidR="00387175" w:rsidRPr="00ED22D1">
              <w:rPr>
                <w:b/>
                <w:color w:val="000000"/>
                <w:sz w:val="20"/>
                <w:szCs w:val="20"/>
                <w:lang w:val="fr-CA"/>
              </w:rPr>
              <w:t>16</w:t>
            </w:r>
            <w:r w:rsidRPr="00ED22D1">
              <w:rPr>
                <w:b/>
                <w:color w:val="000000"/>
                <w:sz w:val="20"/>
                <w:szCs w:val="20"/>
                <w:lang w:val="fr-CA"/>
              </w:rPr>
              <w:t>1,</w:t>
            </w:r>
            <w:r w:rsidR="00387175" w:rsidRPr="00ED22D1">
              <w:rPr>
                <w:b/>
                <w:color w:val="000000"/>
                <w:sz w:val="20"/>
                <w:szCs w:val="20"/>
                <w:lang w:val="fr-CA"/>
              </w:rPr>
              <w:t>72</w:t>
            </w:r>
          </w:p>
        </w:tc>
        <w:tc>
          <w:tcPr>
            <w:tcW w:w="640" w:type="pct"/>
          </w:tcPr>
          <w:p w:rsidR="00387175" w:rsidRPr="00ED22D1" w:rsidRDefault="004A6828" w:rsidP="00387175">
            <w:pPr>
              <w:jc w:val="right"/>
              <w:rPr>
                <w:b/>
                <w:color w:val="000000"/>
                <w:sz w:val="20"/>
                <w:szCs w:val="20"/>
                <w:lang w:val="fr-CA"/>
              </w:rPr>
            </w:pPr>
            <w:r w:rsidRPr="00ED22D1">
              <w:rPr>
                <w:b/>
                <w:color w:val="000000"/>
                <w:sz w:val="20"/>
                <w:szCs w:val="20"/>
                <w:lang w:val="fr-CA"/>
              </w:rPr>
              <w:t>2 </w:t>
            </w:r>
            <w:r w:rsidR="00387175" w:rsidRPr="00ED22D1">
              <w:rPr>
                <w:b/>
                <w:color w:val="000000"/>
                <w:sz w:val="20"/>
                <w:szCs w:val="20"/>
                <w:lang w:val="fr-CA"/>
              </w:rPr>
              <w:t>41</w:t>
            </w:r>
            <w:r w:rsidRPr="00ED22D1">
              <w:rPr>
                <w:b/>
                <w:color w:val="000000"/>
                <w:sz w:val="20"/>
                <w:szCs w:val="20"/>
                <w:lang w:val="fr-CA"/>
              </w:rPr>
              <w:t>2,</w:t>
            </w:r>
            <w:r w:rsidR="00387175" w:rsidRPr="00ED22D1">
              <w:rPr>
                <w:b/>
                <w:color w:val="000000"/>
                <w:sz w:val="20"/>
                <w:szCs w:val="20"/>
                <w:lang w:val="fr-CA"/>
              </w:rPr>
              <w:t>01</w:t>
            </w:r>
          </w:p>
        </w:tc>
        <w:tc>
          <w:tcPr>
            <w:tcW w:w="640" w:type="pct"/>
          </w:tcPr>
          <w:p w:rsidR="00387175" w:rsidRPr="00ED22D1" w:rsidRDefault="004A6828" w:rsidP="00387175">
            <w:pPr>
              <w:jc w:val="right"/>
              <w:rPr>
                <w:b/>
                <w:color w:val="000000"/>
                <w:sz w:val="20"/>
                <w:szCs w:val="20"/>
                <w:lang w:val="fr-CA"/>
              </w:rPr>
            </w:pPr>
            <w:r w:rsidRPr="00ED22D1">
              <w:rPr>
                <w:b/>
                <w:color w:val="000000"/>
                <w:sz w:val="20"/>
                <w:szCs w:val="20"/>
                <w:lang w:val="fr-CA"/>
              </w:rPr>
              <w:t>2 </w:t>
            </w:r>
            <w:r w:rsidR="00387175" w:rsidRPr="00ED22D1">
              <w:rPr>
                <w:b/>
                <w:color w:val="000000"/>
                <w:sz w:val="20"/>
                <w:szCs w:val="20"/>
                <w:lang w:val="fr-CA"/>
              </w:rPr>
              <w:t>63</w:t>
            </w:r>
            <w:r w:rsidRPr="00ED22D1">
              <w:rPr>
                <w:b/>
                <w:color w:val="000000"/>
                <w:sz w:val="20"/>
                <w:szCs w:val="20"/>
                <w:lang w:val="fr-CA"/>
              </w:rPr>
              <w:t>8,</w:t>
            </w:r>
            <w:r w:rsidR="00387175" w:rsidRPr="00ED22D1">
              <w:rPr>
                <w:b/>
                <w:color w:val="000000"/>
                <w:sz w:val="20"/>
                <w:szCs w:val="20"/>
                <w:lang w:val="fr-CA"/>
              </w:rPr>
              <w:t>29</w:t>
            </w:r>
          </w:p>
        </w:tc>
        <w:tc>
          <w:tcPr>
            <w:tcW w:w="640" w:type="pct"/>
          </w:tcPr>
          <w:p w:rsidR="00387175" w:rsidRPr="00ED22D1" w:rsidRDefault="004A6828" w:rsidP="00387175">
            <w:pPr>
              <w:jc w:val="right"/>
              <w:rPr>
                <w:b/>
                <w:color w:val="000000"/>
                <w:sz w:val="20"/>
                <w:szCs w:val="20"/>
                <w:lang w:val="fr-CA"/>
              </w:rPr>
            </w:pPr>
            <w:r w:rsidRPr="00ED22D1">
              <w:rPr>
                <w:b/>
                <w:color w:val="000000"/>
                <w:sz w:val="20"/>
                <w:szCs w:val="20"/>
                <w:lang w:val="fr-CA"/>
              </w:rPr>
              <w:t>2 </w:t>
            </w:r>
            <w:r w:rsidR="00387175" w:rsidRPr="00ED22D1">
              <w:rPr>
                <w:b/>
                <w:color w:val="000000"/>
                <w:sz w:val="20"/>
                <w:szCs w:val="20"/>
                <w:lang w:val="fr-CA"/>
              </w:rPr>
              <w:t>88</w:t>
            </w:r>
            <w:r w:rsidRPr="00ED22D1">
              <w:rPr>
                <w:b/>
                <w:color w:val="000000"/>
                <w:sz w:val="20"/>
                <w:szCs w:val="20"/>
                <w:lang w:val="fr-CA"/>
              </w:rPr>
              <w:t>1,</w:t>
            </w:r>
            <w:r w:rsidR="00387175" w:rsidRPr="00ED22D1">
              <w:rPr>
                <w:b/>
                <w:color w:val="000000"/>
                <w:sz w:val="20"/>
                <w:szCs w:val="20"/>
                <w:lang w:val="fr-CA"/>
              </w:rPr>
              <w:t>42</w:t>
            </w:r>
          </w:p>
        </w:tc>
        <w:tc>
          <w:tcPr>
            <w:tcW w:w="685" w:type="pct"/>
          </w:tcPr>
          <w:p w:rsidR="00387175" w:rsidRPr="00ED22D1" w:rsidRDefault="004A6828" w:rsidP="00387175">
            <w:pPr>
              <w:jc w:val="right"/>
              <w:rPr>
                <w:b/>
                <w:color w:val="000000"/>
                <w:sz w:val="20"/>
                <w:szCs w:val="20"/>
                <w:lang w:val="fr-CA"/>
              </w:rPr>
            </w:pPr>
            <w:r w:rsidRPr="00ED22D1">
              <w:rPr>
                <w:b/>
                <w:color w:val="000000"/>
                <w:sz w:val="20"/>
                <w:szCs w:val="20"/>
                <w:lang w:val="fr-CA"/>
              </w:rPr>
              <w:t>3 </w:t>
            </w:r>
            <w:r w:rsidR="00387175" w:rsidRPr="00ED22D1">
              <w:rPr>
                <w:b/>
                <w:color w:val="000000"/>
                <w:sz w:val="20"/>
                <w:szCs w:val="20"/>
                <w:lang w:val="fr-CA"/>
              </w:rPr>
              <w:t>89</w:t>
            </w:r>
            <w:r w:rsidRPr="00ED22D1">
              <w:rPr>
                <w:b/>
                <w:color w:val="000000"/>
                <w:sz w:val="20"/>
                <w:szCs w:val="20"/>
                <w:lang w:val="fr-CA"/>
              </w:rPr>
              <w:t>8,</w:t>
            </w:r>
            <w:r w:rsidR="00387175" w:rsidRPr="00ED22D1">
              <w:rPr>
                <w:b/>
                <w:color w:val="000000"/>
                <w:sz w:val="20"/>
                <w:szCs w:val="20"/>
                <w:lang w:val="fr-CA"/>
              </w:rPr>
              <w:t>06</w:t>
            </w:r>
          </w:p>
        </w:tc>
      </w:tr>
    </w:tbl>
    <w:p w:rsidR="00387175" w:rsidRPr="00ED22D1" w:rsidRDefault="00387175" w:rsidP="00387175">
      <w:pPr>
        <w:rPr>
          <w:lang w:val="fr-CA"/>
        </w:rPr>
      </w:pPr>
    </w:p>
    <w:p w:rsidR="00387175" w:rsidRPr="00ED22D1" w:rsidRDefault="004A6828" w:rsidP="00387175">
      <w:pPr>
        <w:spacing w:after="160"/>
        <w:jc w:val="left"/>
        <w:rPr>
          <w:rFonts w:eastAsia="Calibri"/>
          <w:u w:val="single"/>
          <w:lang w:val="fr-CA"/>
        </w:rPr>
      </w:pPr>
      <w:r w:rsidRPr="00ED22D1">
        <w:rPr>
          <w:rFonts w:eastAsia="Calibri"/>
          <w:u w:val="single"/>
          <w:lang w:val="fr-CA"/>
        </w:rPr>
        <w:t>Rapport périodique</w:t>
      </w:r>
      <w:r w:rsidR="00387175" w:rsidRPr="00ED22D1">
        <w:rPr>
          <w:rFonts w:eastAsia="Calibri"/>
          <w:u w:val="single"/>
          <w:lang w:val="fr-CA"/>
        </w:rPr>
        <w:t xml:space="preserve"> </w:t>
      </w:r>
      <w:r w:rsidR="000C08D1" w:rsidRPr="00ED22D1">
        <w:rPr>
          <w:rFonts w:eastAsia="Calibri"/>
          <w:u w:val="single"/>
          <w:lang w:val="fr-CA"/>
        </w:rPr>
        <w:t>sur la</w:t>
      </w:r>
      <w:r w:rsidR="00387175" w:rsidRPr="00ED22D1">
        <w:rPr>
          <w:rFonts w:eastAsia="Calibri"/>
          <w:u w:val="single"/>
          <w:lang w:val="fr-CA"/>
        </w:rPr>
        <w:t xml:space="preserve"> </w:t>
      </w:r>
      <w:r w:rsidR="00921BDE" w:rsidRPr="00ED22D1">
        <w:rPr>
          <w:rFonts w:eastAsia="Calibri"/>
          <w:u w:val="single"/>
          <w:lang w:val="fr-CA"/>
        </w:rPr>
        <w:t xml:space="preserve">mise en oeuvre </w:t>
      </w:r>
      <w:r w:rsidR="000C08D1" w:rsidRPr="00ED22D1">
        <w:rPr>
          <w:rFonts w:eastAsia="Calibri"/>
          <w:u w:val="single"/>
          <w:lang w:val="fr-CA"/>
        </w:rPr>
        <w:t>de la</w:t>
      </w:r>
      <w:r w:rsidR="00387175" w:rsidRPr="00ED22D1">
        <w:rPr>
          <w:rFonts w:eastAsia="Calibri"/>
          <w:u w:val="single"/>
          <w:lang w:val="fr-CA"/>
        </w:rPr>
        <w:t xml:space="preserve"> </w:t>
      </w:r>
      <w:r w:rsidR="00921BDE" w:rsidRPr="00ED22D1">
        <w:rPr>
          <w:rFonts w:eastAsia="Calibri"/>
          <w:u w:val="single"/>
          <w:lang w:val="fr-CA"/>
        </w:rPr>
        <w:t>deuxième</w:t>
      </w:r>
      <w:r w:rsidR="00387175" w:rsidRPr="00ED22D1">
        <w:rPr>
          <w:rFonts w:eastAsia="Calibri"/>
          <w:u w:val="single"/>
          <w:lang w:val="fr-CA"/>
        </w:rPr>
        <w:t xml:space="preserve"> tranche</w:t>
      </w:r>
    </w:p>
    <w:p w:rsidR="00387175" w:rsidRPr="00ED22D1" w:rsidRDefault="0055474B" w:rsidP="0055474B">
      <w:pPr>
        <w:pStyle w:val="Heading1"/>
        <w:numPr>
          <w:ilvl w:val="0"/>
          <w:numId w:val="0"/>
        </w:numPr>
        <w:rPr>
          <w:lang w:val="fr-CA"/>
        </w:rPr>
      </w:pPr>
      <w:r w:rsidRPr="00ED22D1">
        <w:rPr>
          <w:lang w:val="fr-CA"/>
        </w:rPr>
        <w:t>104.</w:t>
      </w:r>
      <w:r w:rsidRPr="00ED22D1">
        <w:rPr>
          <w:lang w:val="fr-CA"/>
        </w:rPr>
        <w:tab/>
      </w:r>
      <w:r w:rsidR="00F72AF7" w:rsidRPr="00ED22D1">
        <w:rPr>
          <w:lang w:val="fr-CA"/>
        </w:rPr>
        <w:t xml:space="preserve">Le </w:t>
      </w:r>
      <w:r w:rsidR="001C722B" w:rsidRPr="00ED22D1">
        <w:rPr>
          <w:lang w:val="fr-CA"/>
        </w:rPr>
        <w:t>PNUE</w:t>
      </w:r>
      <w:r w:rsidR="00387175" w:rsidRPr="00ED22D1">
        <w:rPr>
          <w:lang w:val="fr-CA"/>
        </w:rPr>
        <w:t xml:space="preserve"> </w:t>
      </w:r>
      <w:r w:rsidR="00F72AF7" w:rsidRPr="00ED22D1">
        <w:rPr>
          <w:lang w:val="fr-CA"/>
        </w:rPr>
        <w:t>a fourni un plan d’activités</w:t>
      </w:r>
      <w:r w:rsidR="00387175" w:rsidRPr="00ED22D1">
        <w:rPr>
          <w:lang w:val="fr-CA"/>
        </w:rPr>
        <w:t xml:space="preserve"> </w:t>
      </w:r>
      <w:r w:rsidR="00F72AF7" w:rsidRPr="00ED22D1">
        <w:rPr>
          <w:lang w:val="fr-CA"/>
        </w:rPr>
        <w:t xml:space="preserve">détaillé pour les </w:t>
      </w:r>
      <w:r w:rsidR="001B45EC" w:rsidRPr="00ED22D1">
        <w:rPr>
          <w:lang w:val="fr-CA"/>
        </w:rPr>
        <w:t>activités</w:t>
      </w:r>
      <w:r w:rsidR="00387175" w:rsidRPr="00ED22D1">
        <w:rPr>
          <w:lang w:val="fr-CA"/>
        </w:rPr>
        <w:t xml:space="preserve"> </w:t>
      </w:r>
      <w:r w:rsidR="004B666A" w:rsidRPr="00ED22D1">
        <w:rPr>
          <w:lang w:val="fr-CA"/>
        </w:rPr>
        <w:t>associé</w:t>
      </w:r>
      <w:r w:rsidR="00F72AF7" w:rsidRPr="00ED22D1">
        <w:rPr>
          <w:lang w:val="fr-CA"/>
        </w:rPr>
        <w:t>es</w:t>
      </w:r>
      <w:r w:rsidR="00387175" w:rsidRPr="00ED22D1">
        <w:rPr>
          <w:lang w:val="fr-CA"/>
        </w:rPr>
        <w:t xml:space="preserve"> </w:t>
      </w:r>
      <w:r w:rsidR="00F72AF7" w:rsidRPr="00ED22D1">
        <w:rPr>
          <w:lang w:val="fr-CA"/>
        </w:rPr>
        <w:t>à l’élément</w:t>
      </w:r>
      <w:r w:rsidR="004E617B" w:rsidRPr="00ED22D1">
        <w:rPr>
          <w:lang w:val="fr-CA"/>
        </w:rPr>
        <w:t xml:space="preserve"> du</w:t>
      </w:r>
      <w:r w:rsidR="00E13E5C">
        <w:rPr>
          <w:lang w:val="fr-CA"/>
        </w:rPr>
        <w:t> </w:t>
      </w:r>
      <w:r w:rsidR="00921BDE" w:rsidRPr="00ED22D1">
        <w:rPr>
          <w:lang w:val="fr-CA"/>
        </w:rPr>
        <w:t>gouvernement</w:t>
      </w:r>
      <w:r w:rsidR="001F19C1" w:rsidRPr="00ED22D1">
        <w:rPr>
          <w:lang w:val="fr-CA"/>
        </w:rPr>
        <w:t xml:space="preserve"> de l’Allemagne</w:t>
      </w:r>
      <w:r w:rsidR="00387175" w:rsidRPr="00ED22D1">
        <w:rPr>
          <w:lang w:val="fr-CA"/>
        </w:rPr>
        <w:t xml:space="preserve"> </w:t>
      </w:r>
      <w:r w:rsidR="00616B46" w:rsidRPr="00ED22D1">
        <w:rPr>
          <w:lang w:val="fr-CA"/>
        </w:rPr>
        <w:t>jusqu’a</w:t>
      </w:r>
      <w:r w:rsidR="00387175" w:rsidRPr="00ED22D1">
        <w:rPr>
          <w:lang w:val="fr-CA"/>
        </w:rPr>
        <w:t xml:space="preserve"> 202</w:t>
      </w:r>
      <w:r w:rsidR="004A6828" w:rsidRPr="00ED22D1">
        <w:rPr>
          <w:lang w:val="fr-CA"/>
        </w:rPr>
        <w:t>0</w:t>
      </w:r>
      <w:r w:rsidR="004E617B" w:rsidRPr="00ED22D1">
        <w:rPr>
          <w:lang w:val="fr-CA"/>
        </w:rPr>
        <w:t>,</w:t>
      </w:r>
      <w:r w:rsidR="004A6828" w:rsidRPr="00ED22D1">
        <w:rPr>
          <w:lang w:val="fr-CA"/>
        </w:rPr>
        <w:t> </w:t>
      </w:r>
      <w:r w:rsidR="004E617B" w:rsidRPr="00ED22D1">
        <w:rPr>
          <w:lang w:val="fr-CA"/>
        </w:rPr>
        <w:t xml:space="preserve">et inclus la </w:t>
      </w:r>
      <w:r w:rsidR="00387175" w:rsidRPr="00ED22D1">
        <w:rPr>
          <w:lang w:val="fr-CA"/>
        </w:rPr>
        <w:t xml:space="preserve">qualification </w:t>
      </w:r>
      <w:r w:rsidR="004E617B" w:rsidRPr="00ED22D1">
        <w:rPr>
          <w:lang w:val="fr-CA"/>
        </w:rPr>
        <w:t>des</w:t>
      </w:r>
      <w:r w:rsidR="00387175" w:rsidRPr="00ED22D1">
        <w:rPr>
          <w:lang w:val="fr-CA"/>
        </w:rPr>
        <w:t xml:space="preserve"> </w:t>
      </w:r>
      <w:r w:rsidR="001F6F17" w:rsidRPr="00ED22D1">
        <w:rPr>
          <w:lang w:val="fr-CA"/>
        </w:rPr>
        <w:t>technicien</w:t>
      </w:r>
      <w:r w:rsidR="00387175" w:rsidRPr="00ED22D1">
        <w:rPr>
          <w:lang w:val="fr-CA"/>
        </w:rPr>
        <w:t>s</w:t>
      </w:r>
      <w:r w:rsidR="004A6828" w:rsidRPr="00ED22D1">
        <w:rPr>
          <w:lang w:val="fr-CA"/>
        </w:rPr>
        <w:t xml:space="preserve"> et </w:t>
      </w:r>
      <w:r w:rsidR="004E617B" w:rsidRPr="00ED22D1">
        <w:rPr>
          <w:lang w:val="fr-CA"/>
        </w:rPr>
        <w:t xml:space="preserve">l’élaboration de matériel de formation pour le secteur des </w:t>
      </w:r>
      <w:r w:rsidR="00053099" w:rsidRPr="00ED22D1">
        <w:rPr>
          <w:lang w:val="fr-CA"/>
        </w:rPr>
        <w:t>supermarché</w:t>
      </w:r>
      <w:r w:rsidR="00733306" w:rsidRPr="00ED22D1">
        <w:rPr>
          <w:lang w:val="fr-CA"/>
        </w:rPr>
        <w:t>s,</w:t>
      </w:r>
      <w:r w:rsidR="00387175" w:rsidRPr="00ED22D1">
        <w:rPr>
          <w:lang w:val="fr-CA"/>
        </w:rPr>
        <w:t xml:space="preserve"> </w:t>
      </w:r>
      <w:r w:rsidR="004E617B" w:rsidRPr="00ED22D1">
        <w:rPr>
          <w:lang w:val="fr-CA"/>
        </w:rPr>
        <w:t xml:space="preserve">l’évaluation et l’étude des </w:t>
      </w:r>
      <w:r w:rsidR="00053099" w:rsidRPr="00ED22D1">
        <w:rPr>
          <w:lang w:val="fr-CA"/>
        </w:rPr>
        <w:t>supermarché</w:t>
      </w:r>
      <w:r w:rsidR="00387175" w:rsidRPr="00ED22D1">
        <w:rPr>
          <w:lang w:val="fr-CA"/>
        </w:rPr>
        <w:t xml:space="preserve">s </w:t>
      </w:r>
      <w:r w:rsidR="00181884" w:rsidRPr="00ED22D1">
        <w:rPr>
          <w:lang w:val="fr-CA"/>
        </w:rPr>
        <w:t>en</w:t>
      </w:r>
      <w:r w:rsidR="00E13E5C">
        <w:rPr>
          <w:lang w:val="fr-CA"/>
        </w:rPr>
        <w:t> </w:t>
      </w:r>
      <w:r w:rsidR="00181884" w:rsidRPr="00ED22D1">
        <w:rPr>
          <w:lang w:val="fr-CA"/>
        </w:rPr>
        <w:t>Chine</w:t>
      </w:r>
      <w:r w:rsidR="00387175" w:rsidRPr="00ED22D1">
        <w:rPr>
          <w:lang w:val="fr-CA"/>
        </w:rPr>
        <w:t xml:space="preserve">, </w:t>
      </w:r>
      <w:r w:rsidR="004E617B" w:rsidRPr="00ED22D1">
        <w:rPr>
          <w:lang w:val="fr-CA"/>
        </w:rPr>
        <w:t xml:space="preserve">les </w:t>
      </w:r>
      <w:r w:rsidR="00E71388" w:rsidRPr="00ED22D1">
        <w:rPr>
          <w:lang w:val="fr-CA"/>
        </w:rPr>
        <w:t>projet</w:t>
      </w:r>
      <w:r w:rsidR="004E617B" w:rsidRPr="00ED22D1">
        <w:rPr>
          <w:lang w:val="fr-CA"/>
        </w:rPr>
        <w:t>s</w:t>
      </w:r>
      <w:r w:rsidR="00E71388" w:rsidRPr="00ED22D1">
        <w:rPr>
          <w:lang w:val="fr-CA"/>
        </w:rPr>
        <w:t xml:space="preserve"> de démonstration</w:t>
      </w:r>
      <w:r w:rsidR="00387175" w:rsidRPr="00ED22D1">
        <w:rPr>
          <w:lang w:val="fr-CA"/>
        </w:rPr>
        <w:t xml:space="preserve"> </w:t>
      </w:r>
      <w:r w:rsidR="00B84F94" w:rsidRPr="00ED22D1">
        <w:rPr>
          <w:lang w:val="fr-CA"/>
        </w:rPr>
        <w:t xml:space="preserve">avec </w:t>
      </w:r>
      <w:r w:rsidR="004E617B" w:rsidRPr="00ED22D1">
        <w:rPr>
          <w:lang w:val="fr-CA"/>
        </w:rPr>
        <w:t>des</w:t>
      </w:r>
      <w:r w:rsidR="00387175" w:rsidRPr="00ED22D1">
        <w:rPr>
          <w:lang w:val="fr-CA"/>
        </w:rPr>
        <w:t xml:space="preserve"> </w:t>
      </w:r>
      <w:r w:rsidR="00053099" w:rsidRPr="00ED22D1">
        <w:rPr>
          <w:lang w:val="fr-CA"/>
        </w:rPr>
        <w:t>supermarché</w:t>
      </w:r>
      <w:r w:rsidR="00387175" w:rsidRPr="00ED22D1">
        <w:rPr>
          <w:lang w:val="fr-CA"/>
        </w:rPr>
        <w:t>s</w:t>
      </w:r>
      <w:r w:rsidR="004E617B" w:rsidRPr="00ED22D1">
        <w:rPr>
          <w:lang w:val="fr-CA"/>
        </w:rPr>
        <w:t xml:space="preserve"> sélectionnés</w:t>
      </w:r>
      <w:r w:rsidR="00387175" w:rsidRPr="00ED22D1">
        <w:rPr>
          <w:lang w:val="fr-CA"/>
        </w:rPr>
        <w:t>,</w:t>
      </w:r>
      <w:r w:rsidR="004A6828" w:rsidRPr="00ED22D1">
        <w:rPr>
          <w:lang w:val="fr-CA"/>
        </w:rPr>
        <w:t xml:space="preserve"> et </w:t>
      </w:r>
      <w:r w:rsidR="004E617B" w:rsidRPr="00ED22D1">
        <w:rPr>
          <w:lang w:val="fr-CA"/>
        </w:rPr>
        <w:t>l’étiquetage Énergie verte</w:t>
      </w:r>
      <w:r w:rsidR="00387175" w:rsidRPr="00ED22D1">
        <w:rPr>
          <w:lang w:val="fr-CA"/>
        </w:rPr>
        <w:t xml:space="preserve"> </w:t>
      </w:r>
      <w:r w:rsidR="004E617B" w:rsidRPr="00ED22D1">
        <w:rPr>
          <w:lang w:val="fr-CA"/>
        </w:rPr>
        <w:t>pour les</w:t>
      </w:r>
      <w:r w:rsidR="00387175" w:rsidRPr="00ED22D1">
        <w:rPr>
          <w:lang w:val="fr-CA"/>
        </w:rPr>
        <w:t xml:space="preserve"> </w:t>
      </w:r>
      <w:r w:rsidR="00053099" w:rsidRPr="00ED22D1">
        <w:rPr>
          <w:lang w:val="fr-CA"/>
        </w:rPr>
        <w:t>supermarché</w:t>
      </w:r>
      <w:r w:rsidR="00387175" w:rsidRPr="00ED22D1">
        <w:rPr>
          <w:lang w:val="fr-CA"/>
        </w:rPr>
        <w:t xml:space="preserve">s </w:t>
      </w:r>
      <w:r w:rsidR="00E13E5C">
        <w:rPr>
          <w:lang w:val="fr-CA"/>
        </w:rPr>
        <w:t xml:space="preserve">en fonction des </w:t>
      </w:r>
      <w:r w:rsidR="004E617B" w:rsidRPr="00ED22D1">
        <w:rPr>
          <w:lang w:val="fr-CA"/>
        </w:rPr>
        <w:t>conditions de l’Union européenne</w:t>
      </w:r>
      <w:r w:rsidR="00387175" w:rsidRPr="00ED22D1">
        <w:rPr>
          <w:lang w:val="fr-CA"/>
        </w:rPr>
        <w:t xml:space="preserve">. </w:t>
      </w:r>
    </w:p>
    <w:p w:rsidR="00387175" w:rsidRPr="00ED22D1" w:rsidRDefault="0055474B" w:rsidP="0055474B">
      <w:pPr>
        <w:pStyle w:val="Heading1"/>
        <w:numPr>
          <w:ilvl w:val="0"/>
          <w:numId w:val="0"/>
        </w:numPr>
        <w:rPr>
          <w:lang w:val="fr-CA"/>
        </w:rPr>
      </w:pPr>
      <w:r w:rsidRPr="00ED22D1">
        <w:rPr>
          <w:lang w:val="fr-CA"/>
        </w:rPr>
        <w:t>105.</w:t>
      </w:r>
      <w:r w:rsidRPr="00ED22D1">
        <w:rPr>
          <w:lang w:val="fr-CA"/>
        </w:rPr>
        <w:tab/>
      </w:r>
      <w:r w:rsidR="004E617B" w:rsidRPr="00ED22D1">
        <w:rPr>
          <w:lang w:val="fr-CA"/>
        </w:rPr>
        <w:t xml:space="preserve">En ce qui a trait au statut de </w:t>
      </w:r>
      <w:r w:rsidR="00387175" w:rsidRPr="00ED22D1">
        <w:rPr>
          <w:lang w:val="fr-CA"/>
        </w:rPr>
        <w:t xml:space="preserve">Shanghai </w:t>
      </w:r>
      <w:r w:rsidR="004E617B" w:rsidRPr="00ED22D1">
        <w:rPr>
          <w:lang w:val="fr-CA"/>
        </w:rPr>
        <w:t xml:space="preserve">comme l’une des </w:t>
      </w:r>
      <w:r w:rsidR="00945536" w:rsidRPr="00ED22D1">
        <w:rPr>
          <w:lang w:val="fr-CA"/>
        </w:rPr>
        <w:t>villes pilotes</w:t>
      </w:r>
      <w:r w:rsidR="00387175" w:rsidRPr="00ED22D1">
        <w:rPr>
          <w:lang w:val="fr-CA"/>
        </w:rPr>
        <w:t xml:space="preserve"> </w:t>
      </w:r>
      <w:r w:rsidR="004E617B" w:rsidRPr="00ED22D1">
        <w:rPr>
          <w:lang w:val="fr-CA"/>
        </w:rPr>
        <w:t>pour l’optimisation des</w:t>
      </w:r>
      <w:r w:rsidR="00E13E5C">
        <w:rPr>
          <w:lang w:val="fr-CA"/>
        </w:rPr>
        <w:t> </w:t>
      </w:r>
      <w:r w:rsidR="004E617B" w:rsidRPr="00ED22D1">
        <w:rPr>
          <w:lang w:val="fr-CA"/>
        </w:rPr>
        <w:t>ressources</w:t>
      </w:r>
      <w:r w:rsidR="001F19C1" w:rsidRPr="00ED22D1">
        <w:rPr>
          <w:lang w:val="fr-CA"/>
        </w:rPr>
        <w:t>, le PNUE</w:t>
      </w:r>
      <w:r w:rsidR="00387175" w:rsidRPr="00ED22D1">
        <w:rPr>
          <w:lang w:val="fr-CA"/>
        </w:rPr>
        <w:t xml:space="preserve"> </w:t>
      </w:r>
      <w:r w:rsidR="004E617B" w:rsidRPr="00ED22D1">
        <w:rPr>
          <w:lang w:val="fr-CA"/>
        </w:rPr>
        <w:t xml:space="preserve">a </w:t>
      </w:r>
      <w:r w:rsidR="002B7FD8" w:rsidRPr="00ED22D1">
        <w:rPr>
          <w:lang w:val="fr-CA"/>
        </w:rPr>
        <w:t>expliqué</w:t>
      </w:r>
      <w:r w:rsidR="00387175" w:rsidRPr="00ED22D1">
        <w:rPr>
          <w:lang w:val="fr-CA"/>
        </w:rPr>
        <w:t xml:space="preserve"> </w:t>
      </w:r>
      <w:r w:rsidR="004E617B" w:rsidRPr="00ED22D1">
        <w:rPr>
          <w:lang w:val="fr-CA"/>
        </w:rPr>
        <w:t xml:space="preserve">que les </w:t>
      </w:r>
      <w:r w:rsidR="00E13E5C">
        <w:rPr>
          <w:lang w:val="fr-CA"/>
        </w:rPr>
        <w:t>points soulevés</w:t>
      </w:r>
      <w:r w:rsidR="004E617B" w:rsidRPr="00ED22D1">
        <w:rPr>
          <w:lang w:val="fr-CA"/>
        </w:rPr>
        <w:t xml:space="preserve"> lors de la signature de </w:t>
      </w:r>
      <w:r w:rsidR="00CE7FEC" w:rsidRPr="00ED22D1">
        <w:rPr>
          <w:lang w:val="fr-CA"/>
        </w:rPr>
        <w:t>l’accord</w:t>
      </w:r>
      <w:r w:rsidR="00903152" w:rsidRPr="00ED22D1">
        <w:rPr>
          <w:lang w:val="fr-CA"/>
        </w:rPr>
        <w:t xml:space="preserve"> </w:t>
      </w:r>
      <w:r w:rsidR="004E617B" w:rsidRPr="00ED22D1">
        <w:rPr>
          <w:lang w:val="fr-CA"/>
        </w:rPr>
        <w:t xml:space="preserve">sont en cours </w:t>
      </w:r>
      <w:r w:rsidR="004E617B" w:rsidRPr="00ED22D1">
        <w:rPr>
          <w:lang w:val="fr-CA"/>
        </w:rPr>
        <w:lastRenderedPageBreak/>
        <w:t>de</w:t>
      </w:r>
      <w:r w:rsidR="00E13E5C">
        <w:rPr>
          <w:lang w:val="fr-CA"/>
        </w:rPr>
        <w:t> </w:t>
      </w:r>
      <w:r w:rsidR="004E617B" w:rsidRPr="00ED22D1">
        <w:rPr>
          <w:lang w:val="fr-CA"/>
        </w:rPr>
        <w:t xml:space="preserve">discussion avec les départements pertinents de </w:t>
      </w:r>
      <w:r w:rsidR="00387175" w:rsidRPr="00ED22D1">
        <w:rPr>
          <w:lang w:val="fr-CA"/>
        </w:rPr>
        <w:t>Shanghai</w:t>
      </w:r>
      <w:r w:rsidR="004E617B" w:rsidRPr="00ED22D1">
        <w:rPr>
          <w:lang w:val="fr-CA"/>
        </w:rPr>
        <w:t>. L</w:t>
      </w:r>
      <w:r w:rsidR="00F320D6" w:rsidRPr="00ED22D1">
        <w:rPr>
          <w:lang w:val="fr-CA"/>
        </w:rPr>
        <w:t>’IECO</w:t>
      </w:r>
      <w:r w:rsidR="00903152" w:rsidRPr="00ED22D1">
        <w:rPr>
          <w:lang w:val="fr-CA"/>
        </w:rPr>
        <w:t xml:space="preserve"> est </w:t>
      </w:r>
      <w:r w:rsidR="004E617B" w:rsidRPr="00ED22D1">
        <w:rPr>
          <w:lang w:val="fr-CA"/>
        </w:rPr>
        <w:t xml:space="preserve">confiant que cette situation sera </w:t>
      </w:r>
      <w:r w:rsidR="00E13E5C">
        <w:rPr>
          <w:lang w:val="fr-CA"/>
        </w:rPr>
        <w:t>réglée</w:t>
      </w:r>
      <w:r w:rsidR="004E617B" w:rsidRPr="00ED22D1">
        <w:rPr>
          <w:lang w:val="fr-CA"/>
        </w:rPr>
        <w:t xml:space="preserve"> </w:t>
      </w:r>
      <w:r w:rsidR="0052712E" w:rsidRPr="00ED22D1">
        <w:rPr>
          <w:lang w:val="fr-CA"/>
        </w:rPr>
        <w:t>en 20</w:t>
      </w:r>
      <w:r w:rsidR="00387175" w:rsidRPr="00ED22D1">
        <w:rPr>
          <w:lang w:val="fr-CA"/>
        </w:rPr>
        <w:t>19</w:t>
      </w:r>
      <w:r w:rsidR="004A6828" w:rsidRPr="00ED22D1">
        <w:rPr>
          <w:lang w:val="fr-CA"/>
        </w:rPr>
        <w:t xml:space="preserve"> et </w:t>
      </w:r>
      <w:r w:rsidR="004E617B" w:rsidRPr="00ED22D1">
        <w:rPr>
          <w:lang w:val="fr-CA"/>
        </w:rPr>
        <w:t xml:space="preserve">que des activités de </w:t>
      </w:r>
      <w:r w:rsidR="00E71388" w:rsidRPr="00ED22D1">
        <w:rPr>
          <w:lang w:val="fr-CA"/>
        </w:rPr>
        <w:t>démonstration</w:t>
      </w:r>
      <w:r w:rsidR="00387175" w:rsidRPr="00ED22D1">
        <w:rPr>
          <w:lang w:val="fr-CA"/>
        </w:rPr>
        <w:t xml:space="preserve"> </w:t>
      </w:r>
      <w:r w:rsidR="004E617B" w:rsidRPr="00ED22D1">
        <w:rPr>
          <w:lang w:val="fr-CA"/>
        </w:rPr>
        <w:t xml:space="preserve">pourront être entreprises pour le </w:t>
      </w:r>
      <w:r w:rsidR="00181884" w:rsidRPr="00ED22D1">
        <w:rPr>
          <w:lang w:val="fr-CA"/>
        </w:rPr>
        <w:t>secteur de</w:t>
      </w:r>
      <w:r w:rsidR="00E13E5C">
        <w:rPr>
          <w:lang w:val="fr-CA"/>
        </w:rPr>
        <w:t> </w:t>
      </w:r>
      <w:r w:rsidR="00181884" w:rsidRPr="00ED22D1">
        <w:rPr>
          <w:lang w:val="fr-CA"/>
        </w:rPr>
        <w:t>l’entretien</w:t>
      </w:r>
      <w:r w:rsidR="00387175" w:rsidRPr="00ED22D1">
        <w:rPr>
          <w:lang w:val="fr-CA"/>
        </w:rPr>
        <w:t xml:space="preserve">. </w:t>
      </w:r>
    </w:p>
    <w:p w:rsidR="00387175" w:rsidRPr="00ED22D1" w:rsidRDefault="0055474B" w:rsidP="0055474B">
      <w:pPr>
        <w:pStyle w:val="Heading1"/>
        <w:keepNext/>
        <w:numPr>
          <w:ilvl w:val="0"/>
          <w:numId w:val="0"/>
        </w:numPr>
        <w:rPr>
          <w:lang w:val="fr-CA"/>
        </w:rPr>
      </w:pPr>
      <w:r w:rsidRPr="00ED22D1">
        <w:rPr>
          <w:lang w:val="fr-CA"/>
        </w:rPr>
        <w:t>106.</w:t>
      </w:r>
      <w:r w:rsidRPr="00ED22D1">
        <w:rPr>
          <w:lang w:val="fr-CA"/>
        </w:rPr>
        <w:tab/>
      </w:r>
      <w:r w:rsidR="00C07132" w:rsidRPr="00ED22D1">
        <w:rPr>
          <w:lang w:val="fr-CA"/>
        </w:rPr>
        <w:t xml:space="preserve">Lors de sa description de l’avancement minimum </w:t>
      </w:r>
      <w:r w:rsidR="00502C24" w:rsidRPr="00ED22D1">
        <w:rPr>
          <w:lang w:val="fr-CA"/>
        </w:rPr>
        <w:t>jusqu’à maintenant</w:t>
      </w:r>
      <w:r w:rsidR="00387175" w:rsidRPr="00ED22D1">
        <w:rPr>
          <w:lang w:val="fr-CA"/>
        </w:rPr>
        <w:t xml:space="preserve"> </w:t>
      </w:r>
      <w:r w:rsidR="00C07132" w:rsidRPr="00ED22D1">
        <w:rPr>
          <w:lang w:val="fr-CA"/>
        </w:rPr>
        <w:t>dans la mise en oeuvre des</w:t>
      </w:r>
      <w:r w:rsidR="00E13E5C">
        <w:rPr>
          <w:lang w:val="fr-CA"/>
        </w:rPr>
        <w:t> </w:t>
      </w:r>
      <w:r w:rsidR="00C07132" w:rsidRPr="00ED22D1">
        <w:rPr>
          <w:lang w:val="fr-CA"/>
        </w:rPr>
        <w:t xml:space="preserve">activités de </w:t>
      </w:r>
      <w:r w:rsidR="00DE118B" w:rsidRPr="00ED22D1">
        <w:rPr>
          <w:lang w:val="fr-CA"/>
        </w:rPr>
        <w:t>formation</w:t>
      </w:r>
      <w:r w:rsidR="001F19C1" w:rsidRPr="00ED22D1">
        <w:rPr>
          <w:lang w:val="fr-CA"/>
        </w:rPr>
        <w:t>, le PNUE</w:t>
      </w:r>
      <w:r w:rsidR="00387175" w:rsidRPr="00ED22D1">
        <w:rPr>
          <w:lang w:val="fr-CA"/>
        </w:rPr>
        <w:t xml:space="preserve"> </w:t>
      </w:r>
      <w:r w:rsidR="00C07132" w:rsidRPr="00ED22D1">
        <w:rPr>
          <w:lang w:val="fr-CA"/>
        </w:rPr>
        <w:t xml:space="preserve">a </w:t>
      </w:r>
      <w:r w:rsidR="00060212">
        <w:rPr>
          <w:lang w:val="fr-CA"/>
        </w:rPr>
        <w:t xml:space="preserve">indiqué qu’il fallait </w:t>
      </w:r>
      <w:r w:rsidR="00AB61C9" w:rsidRPr="00ED22D1">
        <w:rPr>
          <w:lang w:val="fr-CA"/>
        </w:rPr>
        <w:t xml:space="preserve">d’abord </w:t>
      </w:r>
      <w:r w:rsidR="00060212">
        <w:rPr>
          <w:lang w:val="fr-CA"/>
        </w:rPr>
        <w:t xml:space="preserve">s’occuper de la </w:t>
      </w:r>
      <w:r w:rsidR="00AB61C9" w:rsidRPr="00ED22D1">
        <w:rPr>
          <w:lang w:val="fr-CA"/>
        </w:rPr>
        <w:t>stratégie de</w:t>
      </w:r>
      <w:r w:rsidR="00E13E5C">
        <w:rPr>
          <w:lang w:val="fr-CA"/>
        </w:rPr>
        <w:t> </w:t>
      </w:r>
      <w:r w:rsidR="00AB61C9" w:rsidRPr="00ED22D1">
        <w:rPr>
          <w:lang w:val="fr-CA"/>
        </w:rPr>
        <w:t>livraison de la formation</w:t>
      </w:r>
      <w:r w:rsidR="00387175" w:rsidRPr="00ED22D1">
        <w:rPr>
          <w:lang w:val="fr-CA"/>
        </w:rPr>
        <w:t>,</w:t>
      </w:r>
      <w:r w:rsidR="004A6828" w:rsidRPr="00ED22D1">
        <w:rPr>
          <w:lang w:val="fr-CA"/>
        </w:rPr>
        <w:t xml:space="preserve"> et </w:t>
      </w:r>
      <w:r w:rsidR="00060212">
        <w:rPr>
          <w:lang w:val="fr-CA"/>
        </w:rPr>
        <w:t xml:space="preserve">de </w:t>
      </w:r>
      <w:r w:rsidR="00AB61C9" w:rsidRPr="00ED22D1">
        <w:rPr>
          <w:lang w:val="fr-CA"/>
        </w:rPr>
        <w:t>l’</w:t>
      </w:r>
      <w:r w:rsidR="00387175" w:rsidRPr="00ED22D1">
        <w:rPr>
          <w:lang w:val="fr-CA"/>
        </w:rPr>
        <w:t xml:space="preserve">identification </w:t>
      </w:r>
      <w:r w:rsidR="00AB61C9" w:rsidRPr="00ED22D1">
        <w:rPr>
          <w:lang w:val="fr-CA"/>
        </w:rPr>
        <w:t>des centres de formation</w:t>
      </w:r>
      <w:r w:rsidR="00387175" w:rsidRPr="00ED22D1">
        <w:rPr>
          <w:lang w:val="fr-CA"/>
        </w:rPr>
        <w:t xml:space="preserve">, </w:t>
      </w:r>
      <w:r w:rsidR="00AB61C9" w:rsidRPr="00ED22D1">
        <w:rPr>
          <w:lang w:val="fr-CA"/>
        </w:rPr>
        <w:t>afin de les ajuster aux leçons apprises à</w:t>
      </w:r>
      <w:r w:rsidR="00060212">
        <w:rPr>
          <w:lang w:val="fr-CA"/>
        </w:rPr>
        <w:t> </w:t>
      </w:r>
      <w:r w:rsidR="00AB61C9" w:rsidRPr="00ED22D1">
        <w:rPr>
          <w:lang w:val="fr-CA"/>
        </w:rPr>
        <w:t>la</w:t>
      </w:r>
      <w:r w:rsidR="00060212">
        <w:rPr>
          <w:lang w:val="fr-CA"/>
        </w:rPr>
        <w:t> </w:t>
      </w:r>
      <w:r w:rsidR="004A6828" w:rsidRPr="00ED22D1">
        <w:rPr>
          <w:lang w:val="fr-CA"/>
        </w:rPr>
        <w:t xml:space="preserve">phase </w:t>
      </w:r>
      <w:r w:rsidR="00387175" w:rsidRPr="00ED22D1">
        <w:rPr>
          <w:lang w:val="fr-CA"/>
        </w:rPr>
        <w:t xml:space="preserve">I. </w:t>
      </w:r>
      <w:r w:rsidR="00921BDE" w:rsidRPr="00ED22D1">
        <w:rPr>
          <w:lang w:val="fr-CA"/>
        </w:rPr>
        <w:t>L</w:t>
      </w:r>
      <w:r w:rsidR="00AB61C9" w:rsidRPr="00ED22D1">
        <w:rPr>
          <w:lang w:val="fr-CA"/>
        </w:rPr>
        <w:t>e plan de</w:t>
      </w:r>
      <w:r w:rsidR="00921BDE" w:rsidRPr="00ED22D1">
        <w:rPr>
          <w:lang w:val="fr-CA"/>
        </w:rPr>
        <w:t xml:space="preserve"> mise en oeuvre </w:t>
      </w:r>
      <w:r w:rsidR="00AB61C9" w:rsidRPr="00ED22D1">
        <w:rPr>
          <w:lang w:val="fr-CA"/>
        </w:rPr>
        <w:t xml:space="preserve">du programme de formation des </w:t>
      </w:r>
      <w:r w:rsidR="001F6F17" w:rsidRPr="00ED22D1">
        <w:rPr>
          <w:lang w:val="fr-CA"/>
        </w:rPr>
        <w:t>technicien</w:t>
      </w:r>
      <w:r w:rsidR="00387175" w:rsidRPr="00ED22D1">
        <w:rPr>
          <w:lang w:val="fr-CA"/>
        </w:rPr>
        <w:t xml:space="preserve">s </w:t>
      </w:r>
      <w:r w:rsidR="00AB61C9" w:rsidRPr="00ED22D1">
        <w:rPr>
          <w:lang w:val="fr-CA"/>
        </w:rPr>
        <w:t>dans le cadre de</w:t>
      </w:r>
      <w:r w:rsidR="00060212">
        <w:rPr>
          <w:lang w:val="fr-CA"/>
        </w:rPr>
        <w:t> </w:t>
      </w:r>
      <w:r w:rsidR="00AB61C9" w:rsidRPr="00ED22D1">
        <w:rPr>
          <w:lang w:val="fr-CA"/>
        </w:rPr>
        <w:t>la</w:t>
      </w:r>
      <w:r w:rsidR="00060212">
        <w:rPr>
          <w:lang w:val="fr-CA"/>
        </w:rPr>
        <w:t> </w:t>
      </w:r>
      <w:r w:rsidR="004A6828" w:rsidRPr="00ED22D1">
        <w:rPr>
          <w:lang w:val="fr-CA"/>
        </w:rPr>
        <w:t xml:space="preserve">phase </w:t>
      </w:r>
      <w:r w:rsidR="00387175" w:rsidRPr="00ED22D1">
        <w:rPr>
          <w:lang w:val="fr-CA"/>
        </w:rPr>
        <w:t xml:space="preserve">II </w:t>
      </w:r>
      <w:r w:rsidR="00AB61C9" w:rsidRPr="00ED22D1">
        <w:rPr>
          <w:lang w:val="fr-CA"/>
        </w:rPr>
        <w:t xml:space="preserve">a été </w:t>
      </w:r>
      <w:r w:rsidR="00060212">
        <w:rPr>
          <w:lang w:val="fr-CA"/>
        </w:rPr>
        <w:t>étudié</w:t>
      </w:r>
      <w:r w:rsidR="00AB61C9" w:rsidRPr="00ED22D1">
        <w:rPr>
          <w:lang w:val="fr-CA"/>
        </w:rPr>
        <w:t xml:space="preserve"> et approuvé à l’interne par </w:t>
      </w:r>
      <w:r w:rsidR="00F320D6" w:rsidRPr="00ED22D1">
        <w:rPr>
          <w:lang w:val="fr-CA"/>
        </w:rPr>
        <w:t>l’IECO</w:t>
      </w:r>
      <w:r w:rsidR="00387175" w:rsidRPr="00ED22D1">
        <w:rPr>
          <w:lang w:val="fr-CA"/>
        </w:rPr>
        <w:t xml:space="preserve">, </w:t>
      </w:r>
      <w:r w:rsidR="00060212">
        <w:rPr>
          <w:lang w:val="fr-CA"/>
        </w:rPr>
        <w:t>et</w:t>
      </w:r>
      <w:r w:rsidR="00AB61C9" w:rsidRPr="00ED22D1">
        <w:rPr>
          <w:lang w:val="fr-CA"/>
        </w:rPr>
        <w:t xml:space="preserve"> les programmes de formation ont</w:t>
      </w:r>
      <w:r w:rsidR="00060212">
        <w:rPr>
          <w:lang w:val="fr-CA"/>
        </w:rPr>
        <w:t xml:space="preserve"> ensuite </w:t>
      </w:r>
      <w:r w:rsidR="00AB61C9" w:rsidRPr="00ED22D1">
        <w:rPr>
          <w:lang w:val="fr-CA"/>
        </w:rPr>
        <w:t xml:space="preserve">commencé en </w:t>
      </w:r>
      <w:r w:rsidR="0052712E" w:rsidRPr="00ED22D1">
        <w:rPr>
          <w:lang w:val="fr-CA"/>
        </w:rPr>
        <w:t>20</w:t>
      </w:r>
      <w:r w:rsidR="00387175" w:rsidRPr="00ED22D1">
        <w:rPr>
          <w:lang w:val="fr-CA"/>
        </w:rPr>
        <w:t>1</w:t>
      </w:r>
      <w:r w:rsidR="004A6828" w:rsidRPr="00ED22D1">
        <w:rPr>
          <w:lang w:val="fr-CA"/>
        </w:rPr>
        <w:t>9</w:t>
      </w:r>
      <w:r w:rsidR="00AB61C9" w:rsidRPr="00ED22D1">
        <w:rPr>
          <w:lang w:val="fr-CA"/>
        </w:rPr>
        <w:t>.</w:t>
      </w:r>
      <w:r w:rsidR="00387175" w:rsidRPr="00ED22D1">
        <w:rPr>
          <w:lang w:val="fr-CA"/>
        </w:rPr>
        <w:t xml:space="preserve"> </w:t>
      </w:r>
    </w:p>
    <w:p w:rsidR="00387175" w:rsidRPr="00ED22D1" w:rsidRDefault="0055474B" w:rsidP="0055474B">
      <w:pPr>
        <w:pStyle w:val="Heading1"/>
        <w:numPr>
          <w:ilvl w:val="0"/>
          <w:numId w:val="0"/>
        </w:numPr>
        <w:rPr>
          <w:lang w:val="fr-CA"/>
        </w:rPr>
      </w:pPr>
      <w:r w:rsidRPr="00ED22D1">
        <w:rPr>
          <w:lang w:val="fr-CA"/>
        </w:rPr>
        <w:t>107.</w:t>
      </w:r>
      <w:r w:rsidRPr="00ED22D1">
        <w:rPr>
          <w:lang w:val="fr-CA"/>
        </w:rPr>
        <w:tab/>
      </w:r>
      <w:r w:rsidR="00C64530" w:rsidRPr="00ED22D1">
        <w:rPr>
          <w:lang w:val="fr-CA"/>
        </w:rPr>
        <w:t xml:space="preserve">En ce </w:t>
      </w:r>
      <w:r w:rsidR="00EC3CCA" w:rsidRPr="00ED22D1">
        <w:rPr>
          <w:lang w:val="fr-CA"/>
        </w:rPr>
        <w:t xml:space="preserve">qui a trait aux activités particulières comprises dans la </w:t>
      </w:r>
      <w:r w:rsidR="00921BDE" w:rsidRPr="00ED22D1">
        <w:rPr>
          <w:lang w:val="fr-CA"/>
        </w:rPr>
        <w:t>deuxième</w:t>
      </w:r>
      <w:r w:rsidR="00387175" w:rsidRPr="00ED22D1">
        <w:rPr>
          <w:lang w:val="fr-CA"/>
        </w:rPr>
        <w:t xml:space="preserve"> tranche</w:t>
      </w:r>
      <w:r w:rsidR="001F19C1" w:rsidRPr="00ED22D1">
        <w:rPr>
          <w:lang w:val="fr-CA"/>
        </w:rPr>
        <w:t>, le PNUE</w:t>
      </w:r>
      <w:r w:rsidR="00387175" w:rsidRPr="00ED22D1">
        <w:rPr>
          <w:lang w:val="fr-CA"/>
        </w:rPr>
        <w:t xml:space="preserve"> </w:t>
      </w:r>
      <w:r w:rsidR="00EC3CCA" w:rsidRPr="00ED22D1">
        <w:rPr>
          <w:lang w:val="fr-CA"/>
        </w:rPr>
        <w:t>a</w:t>
      </w:r>
      <w:r w:rsidR="00060212">
        <w:rPr>
          <w:lang w:val="fr-CA"/>
        </w:rPr>
        <w:t> </w:t>
      </w:r>
      <w:r w:rsidR="00EC3CCA" w:rsidRPr="00ED22D1">
        <w:rPr>
          <w:lang w:val="fr-CA"/>
        </w:rPr>
        <w:t>précisé qu’un nombre d’</w:t>
      </w:r>
      <w:r w:rsidR="001B45EC" w:rsidRPr="00ED22D1">
        <w:rPr>
          <w:lang w:val="fr-CA"/>
        </w:rPr>
        <w:t>activités</w:t>
      </w:r>
      <w:r w:rsidR="00387175" w:rsidRPr="00ED22D1">
        <w:rPr>
          <w:lang w:val="fr-CA"/>
        </w:rPr>
        <w:t xml:space="preserve"> </w:t>
      </w:r>
      <w:r w:rsidR="00EC3CCA" w:rsidRPr="00ED22D1">
        <w:rPr>
          <w:lang w:val="fr-CA"/>
        </w:rPr>
        <w:t xml:space="preserve">avaient été reportées de </w:t>
      </w:r>
      <w:r w:rsidR="00945536" w:rsidRPr="00ED22D1">
        <w:rPr>
          <w:lang w:val="fr-CA"/>
        </w:rPr>
        <w:t>trois</w:t>
      </w:r>
      <w:r w:rsidR="00EC3CCA" w:rsidRPr="00ED22D1">
        <w:rPr>
          <w:lang w:val="fr-CA"/>
        </w:rPr>
        <w:t xml:space="preserve"> à quatre</w:t>
      </w:r>
      <w:r w:rsidR="00387175" w:rsidRPr="00ED22D1">
        <w:rPr>
          <w:lang w:val="fr-CA"/>
        </w:rPr>
        <w:t xml:space="preserve"> </w:t>
      </w:r>
      <w:r w:rsidR="00EC3CCA" w:rsidRPr="00ED22D1">
        <w:rPr>
          <w:lang w:val="fr-CA"/>
        </w:rPr>
        <w:t>mois</w:t>
      </w:r>
      <w:r w:rsidR="00387175" w:rsidRPr="00ED22D1">
        <w:rPr>
          <w:lang w:val="fr-CA"/>
        </w:rPr>
        <w:t>, (</w:t>
      </w:r>
      <w:r w:rsidR="00EC3CCA" w:rsidRPr="00ED22D1">
        <w:rPr>
          <w:lang w:val="fr-CA"/>
        </w:rPr>
        <w:t>p</w:t>
      </w:r>
      <w:r w:rsidR="00230A1A" w:rsidRPr="00ED22D1">
        <w:rPr>
          <w:lang w:val="fr-CA"/>
        </w:rPr>
        <w:t>.</w:t>
      </w:r>
      <w:r w:rsidR="00EC3CCA" w:rsidRPr="00ED22D1">
        <w:rPr>
          <w:lang w:val="fr-CA"/>
        </w:rPr>
        <w:t xml:space="preserve"> ex.</w:t>
      </w:r>
      <w:r w:rsidR="00387175" w:rsidRPr="00ED22D1">
        <w:rPr>
          <w:lang w:val="fr-CA"/>
        </w:rPr>
        <w:t xml:space="preserve"> </w:t>
      </w:r>
      <w:r w:rsidR="00230A1A" w:rsidRPr="00ED22D1">
        <w:rPr>
          <w:lang w:val="fr-CA"/>
        </w:rPr>
        <w:t>les</w:t>
      </w:r>
      <w:r w:rsidR="00387175" w:rsidRPr="00ED22D1">
        <w:rPr>
          <w:lang w:val="fr-CA"/>
        </w:rPr>
        <w:t xml:space="preserve"> signature</w:t>
      </w:r>
      <w:r w:rsidR="00230A1A" w:rsidRPr="00ED22D1">
        <w:rPr>
          <w:lang w:val="fr-CA"/>
        </w:rPr>
        <w:t>s</w:t>
      </w:r>
      <w:r w:rsidR="00387175" w:rsidRPr="00ED22D1">
        <w:rPr>
          <w:lang w:val="fr-CA"/>
        </w:rPr>
        <w:t xml:space="preserve"> </w:t>
      </w:r>
      <w:r w:rsidR="00230A1A" w:rsidRPr="00ED22D1">
        <w:rPr>
          <w:lang w:val="fr-CA"/>
        </w:rPr>
        <w:t>des</w:t>
      </w:r>
      <w:r w:rsidR="00060212">
        <w:rPr>
          <w:lang w:val="fr-CA"/>
        </w:rPr>
        <w:t> </w:t>
      </w:r>
      <w:r w:rsidR="00921BDE" w:rsidRPr="00ED22D1">
        <w:rPr>
          <w:lang w:val="fr-CA"/>
        </w:rPr>
        <w:t>contrats</w:t>
      </w:r>
      <w:r w:rsidR="00387175" w:rsidRPr="00ED22D1">
        <w:rPr>
          <w:lang w:val="fr-CA"/>
        </w:rPr>
        <w:t xml:space="preserve"> </w:t>
      </w:r>
      <w:r w:rsidR="00230A1A" w:rsidRPr="00ED22D1">
        <w:rPr>
          <w:lang w:val="fr-CA"/>
        </w:rPr>
        <w:t>a</w:t>
      </w:r>
      <w:r w:rsidR="00B84F94" w:rsidRPr="00ED22D1">
        <w:rPr>
          <w:lang w:val="fr-CA"/>
        </w:rPr>
        <w:t xml:space="preserve">vec </w:t>
      </w:r>
      <w:r w:rsidR="00230A1A" w:rsidRPr="00ED22D1">
        <w:rPr>
          <w:lang w:val="fr-CA"/>
        </w:rPr>
        <w:t xml:space="preserve">des centres de </w:t>
      </w:r>
      <w:r w:rsidR="00DE118B" w:rsidRPr="00ED22D1">
        <w:rPr>
          <w:lang w:val="fr-CA"/>
        </w:rPr>
        <w:t>formation</w:t>
      </w:r>
      <w:r w:rsidR="00387175" w:rsidRPr="00ED22D1">
        <w:rPr>
          <w:lang w:val="fr-CA"/>
        </w:rPr>
        <w:t xml:space="preserve"> </w:t>
      </w:r>
      <w:r w:rsidR="004A6828" w:rsidRPr="00ED22D1">
        <w:rPr>
          <w:lang w:val="fr-CA"/>
        </w:rPr>
        <w:t xml:space="preserve">et </w:t>
      </w:r>
      <w:r w:rsidR="00230A1A" w:rsidRPr="00ED22D1">
        <w:rPr>
          <w:lang w:val="fr-CA"/>
        </w:rPr>
        <w:t>l’</w:t>
      </w:r>
      <w:r w:rsidR="00646A93" w:rsidRPr="00ED22D1">
        <w:rPr>
          <w:lang w:val="fr-CA"/>
        </w:rPr>
        <w:t>atelier</w:t>
      </w:r>
      <w:r w:rsidR="00387175" w:rsidRPr="00ED22D1">
        <w:rPr>
          <w:lang w:val="fr-CA"/>
        </w:rPr>
        <w:t xml:space="preserve"> </w:t>
      </w:r>
      <w:r w:rsidR="00230A1A" w:rsidRPr="00ED22D1">
        <w:rPr>
          <w:lang w:val="fr-CA"/>
        </w:rPr>
        <w:t>pour la récupération de</w:t>
      </w:r>
      <w:r w:rsidR="00060212">
        <w:rPr>
          <w:lang w:val="fr-CA"/>
        </w:rPr>
        <w:t>s</w:t>
      </w:r>
      <w:r w:rsidR="00230A1A" w:rsidRPr="00ED22D1">
        <w:rPr>
          <w:lang w:val="fr-CA"/>
        </w:rPr>
        <w:t xml:space="preserve"> </w:t>
      </w:r>
      <w:r w:rsidR="00387175" w:rsidRPr="00ED22D1">
        <w:rPr>
          <w:lang w:val="fr-CA"/>
        </w:rPr>
        <w:t xml:space="preserve">HCFC </w:t>
      </w:r>
      <w:r w:rsidR="00230A1A" w:rsidRPr="00ED22D1">
        <w:rPr>
          <w:lang w:val="fr-CA"/>
        </w:rPr>
        <w:t>ont été reportées à</w:t>
      </w:r>
      <w:r w:rsidR="00060212">
        <w:rPr>
          <w:lang w:val="fr-CA"/>
        </w:rPr>
        <w:t> </w:t>
      </w:r>
      <w:r w:rsidR="00F320D6" w:rsidRPr="00ED22D1">
        <w:rPr>
          <w:lang w:val="fr-CA"/>
        </w:rPr>
        <w:t>octobre</w:t>
      </w:r>
      <w:r w:rsidR="00387175" w:rsidRPr="00ED22D1">
        <w:rPr>
          <w:lang w:val="fr-CA"/>
        </w:rPr>
        <w:t> 201</w:t>
      </w:r>
      <w:r w:rsidR="004A6828" w:rsidRPr="00ED22D1">
        <w:rPr>
          <w:lang w:val="fr-CA"/>
        </w:rPr>
        <w:t>8</w:t>
      </w:r>
      <w:r w:rsidR="00230A1A" w:rsidRPr="00ED22D1">
        <w:rPr>
          <w:lang w:val="fr-CA"/>
        </w:rPr>
        <w:t>,</w:t>
      </w:r>
      <w:r w:rsidR="004A6828" w:rsidRPr="00ED22D1">
        <w:rPr>
          <w:lang w:val="fr-CA"/>
        </w:rPr>
        <w:t xml:space="preserve"> et </w:t>
      </w:r>
      <w:r w:rsidR="00230A1A" w:rsidRPr="00ED22D1">
        <w:rPr>
          <w:lang w:val="fr-CA"/>
        </w:rPr>
        <w:t xml:space="preserve">les ateliers de </w:t>
      </w:r>
      <w:r w:rsidR="00DE118B" w:rsidRPr="00ED22D1">
        <w:rPr>
          <w:lang w:val="fr-CA"/>
        </w:rPr>
        <w:t>formation</w:t>
      </w:r>
      <w:r w:rsidR="00387175" w:rsidRPr="00ED22D1">
        <w:rPr>
          <w:lang w:val="fr-CA"/>
        </w:rPr>
        <w:t xml:space="preserve"> </w:t>
      </w:r>
      <w:r w:rsidR="00230A1A" w:rsidRPr="00ED22D1">
        <w:rPr>
          <w:lang w:val="fr-CA"/>
        </w:rPr>
        <w:t xml:space="preserve">prévus pour le </w:t>
      </w:r>
      <w:r w:rsidR="00874624" w:rsidRPr="00ED22D1">
        <w:rPr>
          <w:lang w:val="fr-CA"/>
        </w:rPr>
        <w:t>troisième</w:t>
      </w:r>
      <w:r w:rsidR="00387175" w:rsidRPr="00ED22D1">
        <w:rPr>
          <w:lang w:val="fr-CA"/>
        </w:rPr>
        <w:t xml:space="preserve"> </w:t>
      </w:r>
      <w:r w:rsidR="00230A1A" w:rsidRPr="00ED22D1">
        <w:rPr>
          <w:lang w:val="fr-CA"/>
        </w:rPr>
        <w:t>trimestre ont été déplacés au</w:t>
      </w:r>
      <w:r w:rsidR="00060212">
        <w:rPr>
          <w:lang w:val="fr-CA"/>
        </w:rPr>
        <w:t> </w:t>
      </w:r>
      <w:r w:rsidR="00FB46BE" w:rsidRPr="00ED22D1">
        <w:rPr>
          <w:lang w:val="fr-CA"/>
        </w:rPr>
        <w:t>quatrième</w:t>
      </w:r>
      <w:r w:rsidR="00387175" w:rsidRPr="00ED22D1">
        <w:rPr>
          <w:lang w:val="fr-CA"/>
        </w:rPr>
        <w:t xml:space="preserve"> </w:t>
      </w:r>
      <w:r w:rsidR="00230A1A" w:rsidRPr="00ED22D1">
        <w:rPr>
          <w:lang w:val="fr-CA"/>
        </w:rPr>
        <w:t>trimestre de l’</w:t>
      </w:r>
      <w:r w:rsidR="0052712E" w:rsidRPr="00ED22D1">
        <w:rPr>
          <w:lang w:val="fr-CA"/>
        </w:rPr>
        <w:t>année</w:t>
      </w:r>
      <w:r w:rsidR="00387175" w:rsidRPr="00ED22D1">
        <w:rPr>
          <w:lang w:val="fr-CA"/>
        </w:rPr>
        <w:t>)</w:t>
      </w:r>
      <w:r w:rsidR="0031390F" w:rsidRPr="00ED22D1">
        <w:rPr>
          <w:lang w:val="fr-CA"/>
        </w:rPr>
        <w:t>. Le</w:t>
      </w:r>
      <w:r w:rsidR="001F19C1" w:rsidRPr="00ED22D1">
        <w:rPr>
          <w:lang w:val="fr-CA"/>
        </w:rPr>
        <w:t xml:space="preserve"> PNUE</w:t>
      </w:r>
      <w:r w:rsidR="00387175" w:rsidRPr="00ED22D1">
        <w:rPr>
          <w:lang w:val="fr-CA"/>
        </w:rPr>
        <w:t xml:space="preserve"> </w:t>
      </w:r>
      <w:r w:rsidR="00230A1A" w:rsidRPr="00ED22D1">
        <w:rPr>
          <w:lang w:val="fr-CA"/>
        </w:rPr>
        <w:t xml:space="preserve">a précisé que </w:t>
      </w:r>
      <w:r w:rsidR="00F320D6" w:rsidRPr="00ED22D1">
        <w:rPr>
          <w:lang w:val="fr-CA"/>
        </w:rPr>
        <w:t>l’IECO</w:t>
      </w:r>
      <w:r w:rsidR="00903152" w:rsidRPr="00ED22D1">
        <w:rPr>
          <w:lang w:val="fr-CA"/>
        </w:rPr>
        <w:t xml:space="preserve"> est</w:t>
      </w:r>
      <w:r w:rsidR="00230A1A" w:rsidRPr="00ED22D1">
        <w:rPr>
          <w:lang w:val="fr-CA"/>
        </w:rPr>
        <w:t xml:space="preserve"> en bonne voie d’assurer qu’il n’y</w:t>
      </w:r>
      <w:r w:rsidR="00060212">
        <w:rPr>
          <w:lang w:val="fr-CA"/>
        </w:rPr>
        <w:t> </w:t>
      </w:r>
      <w:r w:rsidR="00230A1A" w:rsidRPr="00ED22D1">
        <w:rPr>
          <w:lang w:val="fr-CA"/>
        </w:rPr>
        <w:t xml:space="preserve">aura aucun autre délai dans </w:t>
      </w:r>
      <w:r w:rsidR="00921BDE" w:rsidRPr="00ED22D1">
        <w:rPr>
          <w:lang w:val="fr-CA"/>
        </w:rPr>
        <w:t xml:space="preserve">la mise en oeuvre </w:t>
      </w:r>
      <w:r w:rsidR="00230A1A" w:rsidRPr="00ED22D1">
        <w:rPr>
          <w:lang w:val="fr-CA"/>
        </w:rPr>
        <w:t>des</w:t>
      </w:r>
      <w:r w:rsidR="00387175" w:rsidRPr="00ED22D1">
        <w:rPr>
          <w:lang w:val="fr-CA"/>
        </w:rPr>
        <w:t xml:space="preserve"> </w:t>
      </w:r>
      <w:r w:rsidR="001B45EC" w:rsidRPr="00ED22D1">
        <w:rPr>
          <w:lang w:val="fr-CA"/>
        </w:rPr>
        <w:t>activités</w:t>
      </w:r>
      <w:r w:rsidR="00387175" w:rsidRPr="00ED22D1">
        <w:rPr>
          <w:lang w:val="fr-CA"/>
        </w:rPr>
        <w:t xml:space="preserve"> </w:t>
      </w:r>
      <w:r w:rsidR="00230A1A" w:rsidRPr="00ED22D1">
        <w:rPr>
          <w:lang w:val="fr-CA"/>
        </w:rPr>
        <w:t>d</w:t>
      </w:r>
      <w:r w:rsidR="00060212">
        <w:rPr>
          <w:lang w:val="fr-CA"/>
        </w:rPr>
        <w:t>u</w:t>
      </w:r>
      <w:r w:rsidR="00230A1A" w:rsidRPr="00ED22D1">
        <w:rPr>
          <w:lang w:val="fr-CA"/>
        </w:rPr>
        <w:t xml:space="preserve"> </w:t>
      </w:r>
      <w:r w:rsidR="00181884" w:rsidRPr="00ED22D1">
        <w:rPr>
          <w:lang w:val="fr-CA"/>
        </w:rPr>
        <w:t>secteur de l’entretien</w:t>
      </w:r>
      <w:r w:rsidR="0031390F" w:rsidRPr="00ED22D1">
        <w:rPr>
          <w:lang w:val="fr-CA"/>
        </w:rPr>
        <w:t>. Le</w:t>
      </w:r>
      <w:r w:rsidR="001F19C1" w:rsidRPr="00ED22D1">
        <w:rPr>
          <w:lang w:val="fr-CA"/>
        </w:rPr>
        <w:t xml:space="preserve"> PNUE</w:t>
      </w:r>
      <w:r w:rsidR="00387175" w:rsidRPr="00ED22D1">
        <w:rPr>
          <w:lang w:val="fr-CA"/>
        </w:rPr>
        <w:t xml:space="preserve"> </w:t>
      </w:r>
      <w:r w:rsidR="00230A1A" w:rsidRPr="00ED22D1">
        <w:rPr>
          <w:lang w:val="fr-CA"/>
        </w:rPr>
        <w:t>a aussi</w:t>
      </w:r>
      <w:r w:rsidR="00387175" w:rsidRPr="00ED22D1">
        <w:rPr>
          <w:lang w:val="fr-CA"/>
        </w:rPr>
        <w:t xml:space="preserve"> </w:t>
      </w:r>
      <w:r w:rsidR="00230A1A" w:rsidRPr="00ED22D1">
        <w:rPr>
          <w:lang w:val="fr-CA"/>
        </w:rPr>
        <w:t>pris note que d’autres délais visant l’</w:t>
      </w:r>
      <w:r w:rsidR="00CB2326" w:rsidRPr="00ED22D1">
        <w:rPr>
          <w:lang w:val="fr-CA"/>
        </w:rPr>
        <w:t>approbation</w:t>
      </w:r>
      <w:r w:rsidR="00387175" w:rsidRPr="00ED22D1">
        <w:rPr>
          <w:lang w:val="fr-CA"/>
        </w:rPr>
        <w:t xml:space="preserve"> </w:t>
      </w:r>
      <w:r w:rsidR="00230A1A" w:rsidRPr="00ED22D1">
        <w:rPr>
          <w:lang w:val="fr-CA"/>
        </w:rPr>
        <w:t>de</w:t>
      </w:r>
      <w:r w:rsidR="00387175" w:rsidRPr="00ED22D1">
        <w:rPr>
          <w:lang w:val="fr-CA"/>
        </w:rPr>
        <w:t xml:space="preserve"> tranches </w:t>
      </w:r>
      <w:r w:rsidR="001F19C1" w:rsidRPr="00ED22D1">
        <w:rPr>
          <w:lang w:val="fr-CA"/>
        </w:rPr>
        <w:t>du PGEH</w:t>
      </w:r>
      <w:r w:rsidR="00387175" w:rsidRPr="00ED22D1">
        <w:rPr>
          <w:lang w:val="fr-CA"/>
        </w:rPr>
        <w:t xml:space="preserve"> </w:t>
      </w:r>
      <w:r w:rsidR="00230A1A" w:rsidRPr="00ED22D1">
        <w:rPr>
          <w:lang w:val="fr-CA"/>
        </w:rPr>
        <w:t>pourraient avoir un effet sur</w:t>
      </w:r>
      <w:r w:rsidR="00060212">
        <w:rPr>
          <w:lang w:val="fr-CA"/>
        </w:rPr>
        <w:t> </w:t>
      </w:r>
      <w:r w:rsidR="00230A1A" w:rsidRPr="00ED22D1">
        <w:rPr>
          <w:lang w:val="fr-CA"/>
        </w:rPr>
        <w:t xml:space="preserve">l’achèvement des </w:t>
      </w:r>
      <w:r w:rsidR="001B45EC" w:rsidRPr="00ED22D1">
        <w:rPr>
          <w:lang w:val="fr-CA"/>
        </w:rPr>
        <w:t>activités</w:t>
      </w:r>
      <w:r w:rsidR="00387175" w:rsidRPr="00ED22D1">
        <w:rPr>
          <w:lang w:val="fr-CA"/>
        </w:rPr>
        <w:t>.</w:t>
      </w:r>
    </w:p>
    <w:p w:rsidR="00387175" w:rsidRPr="00ED22D1" w:rsidRDefault="0055474B" w:rsidP="0055474B">
      <w:pPr>
        <w:pStyle w:val="Heading1"/>
        <w:numPr>
          <w:ilvl w:val="0"/>
          <w:numId w:val="0"/>
        </w:numPr>
        <w:rPr>
          <w:lang w:val="fr-CA"/>
        </w:rPr>
      </w:pPr>
      <w:r w:rsidRPr="00ED22D1">
        <w:rPr>
          <w:lang w:val="fr-CA"/>
        </w:rPr>
        <w:t>108.</w:t>
      </w:r>
      <w:r w:rsidRPr="00ED22D1">
        <w:rPr>
          <w:lang w:val="fr-CA"/>
        </w:rPr>
        <w:tab/>
      </w:r>
      <w:r w:rsidR="00E71388" w:rsidRPr="00ED22D1">
        <w:rPr>
          <w:lang w:val="fr-CA"/>
        </w:rPr>
        <w:t>Le Secré</w:t>
      </w:r>
      <w:r w:rsidR="00DD185D" w:rsidRPr="00ED22D1">
        <w:rPr>
          <w:lang w:val="fr-CA"/>
        </w:rPr>
        <w:t>tariat</w:t>
      </w:r>
      <w:r w:rsidR="00387175" w:rsidRPr="00ED22D1">
        <w:rPr>
          <w:lang w:val="fr-CA"/>
        </w:rPr>
        <w:t xml:space="preserve"> </w:t>
      </w:r>
      <w:r w:rsidR="00230A1A" w:rsidRPr="00ED22D1">
        <w:rPr>
          <w:lang w:val="fr-CA"/>
        </w:rPr>
        <w:t xml:space="preserve">a indiqué que </w:t>
      </w:r>
      <w:r w:rsidR="00733306" w:rsidRPr="00ED22D1">
        <w:rPr>
          <w:lang w:val="fr-CA"/>
        </w:rPr>
        <w:t xml:space="preserve">la </w:t>
      </w:r>
      <w:r w:rsidR="00230A1A" w:rsidRPr="00ED22D1">
        <w:rPr>
          <w:lang w:val="fr-CA"/>
        </w:rPr>
        <w:t xml:space="preserve">demande pour la </w:t>
      </w:r>
      <w:r w:rsidR="00387175" w:rsidRPr="00ED22D1">
        <w:rPr>
          <w:lang w:val="fr-CA"/>
        </w:rPr>
        <w:t xml:space="preserve">tranche </w:t>
      </w:r>
      <w:r w:rsidR="00230A1A" w:rsidRPr="00ED22D1">
        <w:rPr>
          <w:lang w:val="fr-CA"/>
        </w:rPr>
        <w:t xml:space="preserve">comprend le </w:t>
      </w:r>
      <w:r w:rsidR="00D15079" w:rsidRPr="00ED22D1">
        <w:rPr>
          <w:lang w:val="fr-CA"/>
        </w:rPr>
        <w:t>financement</w:t>
      </w:r>
      <w:r w:rsidR="00387175" w:rsidRPr="00ED22D1">
        <w:rPr>
          <w:lang w:val="fr-CA"/>
        </w:rPr>
        <w:t xml:space="preserve"> </w:t>
      </w:r>
      <w:r w:rsidR="00230A1A" w:rsidRPr="00ED22D1">
        <w:rPr>
          <w:lang w:val="fr-CA"/>
        </w:rPr>
        <w:t xml:space="preserve">des </w:t>
      </w:r>
      <w:r w:rsidR="00921BDE" w:rsidRPr="00ED22D1">
        <w:rPr>
          <w:lang w:val="fr-CA"/>
        </w:rPr>
        <w:t>deuxième</w:t>
      </w:r>
      <w:r w:rsidR="004A6828" w:rsidRPr="00ED22D1">
        <w:rPr>
          <w:lang w:val="fr-CA"/>
        </w:rPr>
        <w:t xml:space="preserve"> et troisième</w:t>
      </w:r>
      <w:r w:rsidR="00387175" w:rsidRPr="00ED22D1">
        <w:rPr>
          <w:lang w:val="fr-CA"/>
        </w:rPr>
        <w:t xml:space="preserve"> tranches </w:t>
      </w:r>
      <w:r w:rsidR="00230A1A" w:rsidRPr="00ED22D1">
        <w:rPr>
          <w:lang w:val="fr-CA"/>
        </w:rPr>
        <w:t>de l’élément à mettre en oeuvre</w:t>
      </w:r>
      <w:r w:rsidR="00DE118B" w:rsidRPr="00ED22D1">
        <w:rPr>
          <w:lang w:val="fr-CA"/>
        </w:rPr>
        <w:t xml:space="preserve"> par </w:t>
      </w:r>
      <w:r w:rsidR="00921BDE" w:rsidRPr="00ED22D1">
        <w:rPr>
          <w:lang w:val="fr-CA"/>
        </w:rPr>
        <w:t>le gouvernement</w:t>
      </w:r>
      <w:r w:rsidR="001F19C1" w:rsidRPr="00ED22D1">
        <w:rPr>
          <w:lang w:val="fr-CA"/>
        </w:rPr>
        <w:t xml:space="preserve"> de l’Allemagne</w:t>
      </w:r>
      <w:r w:rsidR="00387175" w:rsidRPr="00ED22D1">
        <w:rPr>
          <w:lang w:val="fr-CA"/>
        </w:rPr>
        <w:t xml:space="preserve">. </w:t>
      </w:r>
      <w:r w:rsidR="00230A1A" w:rsidRPr="00ED22D1">
        <w:rPr>
          <w:lang w:val="fr-CA"/>
        </w:rPr>
        <w:t xml:space="preserve">On a </w:t>
      </w:r>
      <w:r w:rsidR="002B7FD8" w:rsidRPr="00ED22D1">
        <w:rPr>
          <w:lang w:val="fr-CA"/>
        </w:rPr>
        <w:t>expliqué</w:t>
      </w:r>
      <w:r w:rsidR="00387175" w:rsidRPr="00ED22D1">
        <w:rPr>
          <w:lang w:val="fr-CA"/>
        </w:rPr>
        <w:t xml:space="preserve"> </w:t>
      </w:r>
      <w:r w:rsidR="00230A1A" w:rsidRPr="00ED22D1">
        <w:rPr>
          <w:lang w:val="fr-CA"/>
        </w:rPr>
        <w:t xml:space="preserve">que cela permettra à l’agence bilatérale de rattraper les délais </w:t>
      </w:r>
      <w:r w:rsidR="00060212">
        <w:rPr>
          <w:lang w:val="fr-CA"/>
        </w:rPr>
        <w:t>d</w:t>
      </w:r>
      <w:r w:rsidR="00230A1A" w:rsidRPr="00ED22D1">
        <w:rPr>
          <w:lang w:val="fr-CA"/>
        </w:rPr>
        <w:t xml:space="preserve">u </w:t>
      </w:r>
      <w:r w:rsidR="001B45EC" w:rsidRPr="00ED22D1">
        <w:rPr>
          <w:lang w:val="fr-CA"/>
        </w:rPr>
        <w:t>projet</w:t>
      </w:r>
      <w:r w:rsidR="00387175" w:rsidRPr="00ED22D1">
        <w:rPr>
          <w:lang w:val="fr-CA"/>
        </w:rPr>
        <w:t xml:space="preserve"> </w:t>
      </w:r>
      <w:r w:rsidR="00921BDE" w:rsidRPr="00ED22D1">
        <w:rPr>
          <w:lang w:val="fr-CA"/>
        </w:rPr>
        <w:t xml:space="preserve">mise en oeuvre </w:t>
      </w:r>
      <w:r w:rsidR="00230A1A" w:rsidRPr="00ED22D1">
        <w:rPr>
          <w:lang w:val="fr-CA"/>
        </w:rPr>
        <w:t xml:space="preserve">entraînés par le report de la </w:t>
      </w:r>
      <w:r w:rsidR="00921BDE" w:rsidRPr="00ED22D1">
        <w:rPr>
          <w:lang w:val="fr-CA"/>
        </w:rPr>
        <w:t>deuxième</w:t>
      </w:r>
      <w:r w:rsidR="00387175" w:rsidRPr="00ED22D1">
        <w:rPr>
          <w:lang w:val="fr-CA"/>
        </w:rPr>
        <w:t xml:space="preserve"> tranche, </w:t>
      </w:r>
      <w:r w:rsidR="00230A1A" w:rsidRPr="00ED22D1">
        <w:rPr>
          <w:lang w:val="fr-CA"/>
        </w:rPr>
        <w:t>e</w:t>
      </w:r>
      <w:r w:rsidR="00387175" w:rsidRPr="00ED22D1">
        <w:rPr>
          <w:lang w:val="fr-CA"/>
        </w:rPr>
        <w:t>n particul</w:t>
      </w:r>
      <w:r w:rsidR="00230A1A" w:rsidRPr="00ED22D1">
        <w:rPr>
          <w:lang w:val="fr-CA"/>
        </w:rPr>
        <w:t>ier</w:t>
      </w:r>
      <w:r w:rsidR="00387175" w:rsidRPr="00ED22D1">
        <w:rPr>
          <w:lang w:val="fr-CA"/>
        </w:rPr>
        <w:t xml:space="preserve">, </w:t>
      </w:r>
      <w:r w:rsidR="00104BF4" w:rsidRPr="00ED22D1">
        <w:rPr>
          <w:lang w:val="fr-CA"/>
        </w:rPr>
        <w:t xml:space="preserve">de traiter les besoins financiers immédiats pour les différents projets de </w:t>
      </w:r>
      <w:r w:rsidR="00E71388" w:rsidRPr="00ED22D1">
        <w:rPr>
          <w:lang w:val="fr-CA"/>
        </w:rPr>
        <w:t>démonstration</w:t>
      </w:r>
      <w:r w:rsidR="00387175" w:rsidRPr="00ED22D1">
        <w:rPr>
          <w:lang w:val="fr-CA"/>
        </w:rPr>
        <w:t xml:space="preserve"> (CO</w:t>
      </w:r>
      <w:r w:rsidR="00387175" w:rsidRPr="00ED22D1">
        <w:rPr>
          <w:vertAlign w:val="subscript"/>
          <w:lang w:val="fr-CA"/>
        </w:rPr>
        <w:t>2</w:t>
      </w:r>
      <w:r w:rsidR="00387175" w:rsidRPr="00ED22D1">
        <w:rPr>
          <w:lang w:val="fr-CA"/>
        </w:rPr>
        <w:t xml:space="preserve"> </w:t>
      </w:r>
      <w:r w:rsidR="00104BF4" w:rsidRPr="00ED22D1">
        <w:rPr>
          <w:lang w:val="fr-CA"/>
        </w:rPr>
        <w:t>dans les</w:t>
      </w:r>
      <w:r w:rsidR="00387175" w:rsidRPr="00ED22D1">
        <w:rPr>
          <w:lang w:val="fr-CA"/>
        </w:rPr>
        <w:t xml:space="preserve"> </w:t>
      </w:r>
      <w:r w:rsidR="00053099" w:rsidRPr="00ED22D1">
        <w:rPr>
          <w:lang w:val="fr-CA"/>
        </w:rPr>
        <w:t>supermarché</w:t>
      </w:r>
      <w:r w:rsidR="00387175" w:rsidRPr="00ED22D1">
        <w:rPr>
          <w:lang w:val="fr-CA"/>
        </w:rPr>
        <w:t>s)</w:t>
      </w:r>
      <w:r w:rsidR="004A6828" w:rsidRPr="00ED22D1">
        <w:rPr>
          <w:lang w:val="fr-CA"/>
        </w:rPr>
        <w:t xml:space="preserve"> et </w:t>
      </w:r>
      <w:r w:rsidR="00104BF4" w:rsidRPr="00ED22D1">
        <w:rPr>
          <w:lang w:val="fr-CA"/>
        </w:rPr>
        <w:t>de procéder aux mesures planifiées de développement de la capacité</w:t>
      </w:r>
      <w:r w:rsidR="00387175" w:rsidRPr="00ED22D1">
        <w:rPr>
          <w:lang w:val="fr-CA"/>
        </w:rPr>
        <w:t xml:space="preserve">. </w:t>
      </w:r>
      <w:r w:rsidR="00104BF4" w:rsidRPr="00ED22D1">
        <w:rPr>
          <w:lang w:val="fr-CA"/>
        </w:rPr>
        <w:t xml:space="preserve">La combinaison de </w:t>
      </w:r>
      <w:r w:rsidR="00BB7CCB" w:rsidRPr="00ED22D1">
        <w:rPr>
          <w:lang w:val="fr-CA"/>
        </w:rPr>
        <w:t>ces</w:t>
      </w:r>
      <w:r w:rsidR="00874624" w:rsidRPr="00ED22D1">
        <w:rPr>
          <w:lang w:val="fr-CA"/>
        </w:rPr>
        <w:t xml:space="preserve"> deux </w:t>
      </w:r>
      <w:r w:rsidR="00387175" w:rsidRPr="00ED22D1">
        <w:rPr>
          <w:lang w:val="fr-CA"/>
        </w:rPr>
        <w:t xml:space="preserve">tranches </w:t>
      </w:r>
      <w:r w:rsidR="00104BF4" w:rsidRPr="00ED22D1">
        <w:rPr>
          <w:lang w:val="fr-CA"/>
        </w:rPr>
        <w:t xml:space="preserve">réduirait aussi les </w:t>
      </w:r>
      <w:r w:rsidR="00060212">
        <w:rPr>
          <w:lang w:val="fr-CA"/>
        </w:rPr>
        <w:t xml:space="preserve">prestations </w:t>
      </w:r>
      <w:r w:rsidR="00104BF4" w:rsidRPr="00ED22D1">
        <w:rPr>
          <w:lang w:val="fr-CA"/>
        </w:rPr>
        <w:t>administrati</w:t>
      </w:r>
      <w:r w:rsidR="00060212">
        <w:rPr>
          <w:lang w:val="fr-CA"/>
        </w:rPr>
        <w:t>ve</w:t>
      </w:r>
      <w:r w:rsidR="00104BF4" w:rsidRPr="00ED22D1">
        <w:rPr>
          <w:lang w:val="fr-CA"/>
        </w:rPr>
        <w:t>s et transactionnel</w:t>
      </w:r>
      <w:r w:rsidR="00060212">
        <w:rPr>
          <w:lang w:val="fr-CA"/>
        </w:rPr>
        <w:t>le</w:t>
      </w:r>
      <w:r w:rsidR="00104BF4" w:rsidRPr="00ED22D1">
        <w:rPr>
          <w:lang w:val="fr-CA"/>
        </w:rPr>
        <w:t>s qu</w:t>
      </w:r>
      <w:r w:rsidR="00616B46" w:rsidRPr="00ED22D1">
        <w:rPr>
          <w:lang w:val="fr-CA"/>
        </w:rPr>
        <w:t xml:space="preserve">i </w:t>
      </w:r>
      <w:r w:rsidR="00104BF4" w:rsidRPr="00ED22D1">
        <w:rPr>
          <w:lang w:val="fr-CA"/>
        </w:rPr>
        <w:t xml:space="preserve">entraînent parfois des délais supplémentaires dans la </w:t>
      </w:r>
      <w:r w:rsidR="00921BDE" w:rsidRPr="00ED22D1">
        <w:rPr>
          <w:lang w:val="fr-CA"/>
        </w:rPr>
        <w:t>mise en</w:t>
      </w:r>
      <w:r w:rsidR="00060212">
        <w:rPr>
          <w:lang w:val="fr-CA"/>
        </w:rPr>
        <w:t> </w:t>
      </w:r>
      <w:r w:rsidR="00921BDE" w:rsidRPr="00ED22D1">
        <w:rPr>
          <w:lang w:val="fr-CA"/>
        </w:rPr>
        <w:t>oeuvre</w:t>
      </w:r>
      <w:r w:rsidR="00387175" w:rsidRPr="00ED22D1">
        <w:rPr>
          <w:lang w:val="fr-CA"/>
        </w:rPr>
        <w:t xml:space="preserve">. </w:t>
      </w:r>
      <w:r w:rsidR="00104BF4" w:rsidRPr="00ED22D1">
        <w:rPr>
          <w:lang w:val="fr-CA"/>
        </w:rPr>
        <w:t>Le</w:t>
      </w:r>
      <w:r w:rsidR="00DD185D" w:rsidRPr="00ED22D1">
        <w:rPr>
          <w:lang w:val="fr-CA"/>
        </w:rPr>
        <w:t xml:space="preserve"> Secrétariat</w:t>
      </w:r>
      <w:r w:rsidR="00387175" w:rsidRPr="00ED22D1">
        <w:rPr>
          <w:lang w:val="fr-CA"/>
        </w:rPr>
        <w:t xml:space="preserve"> </w:t>
      </w:r>
      <w:r w:rsidR="00104BF4" w:rsidRPr="00ED22D1">
        <w:rPr>
          <w:lang w:val="fr-CA"/>
        </w:rPr>
        <w:t xml:space="preserve">s’est donc dit d’accord avec la </w:t>
      </w:r>
      <w:r w:rsidR="00E81764" w:rsidRPr="00ED22D1">
        <w:rPr>
          <w:lang w:val="fr-CA"/>
        </w:rPr>
        <w:t>demande</w:t>
      </w:r>
      <w:r w:rsidR="00387175" w:rsidRPr="00ED22D1">
        <w:rPr>
          <w:lang w:val="fr-CA"/>
        </w:rPr>
        <w:t xml:space="preserve"> </w:t>
      </w:r>
      <w:r w:rsidR="00104BF4" w:rsidRPr="00ED22D1">
        <w:rPr>
          <w:lang w:val="fr-CA"/>
        </w:rPr>
        <w:t xml:space="preserve">de combinaison des </w:t>
      </w:r>
      <w:r w:rsidR="00874624" w:rsidRPr="00ED22D1">
        <w:rPr>
          <w:lang w:val="fr-CA"/>
        </w:rPr>
        <w:t xml:space="preserve">deux </w:t>
      </w:r>
      <w:r w:rsidR="00387175" w:rsidRPr="00ED22D1">
        <w:rPr>
          <w:lang w:val="fr-CA"/>
        </w:rPr>
        <w:t>tranches.</w:t>
      </w:r>
    </w:p>
    <w:p w:rsidR="00387175" w:rsidRPr="00ED22D1" w:rsidRDefault="0055474B" w:rsidP="0055474B">
      <w:pPr>
        <w:pStyle w:val="Heading1"/>
        <w:numPr>
          <w:ilvl w:val="0"/>
          <w:numId w:val="0"/>
        </w:numPr>
        <w:rPr>
          <w:lang w:val="fr-CA"/>
        </w:rPr>
      </w:pPr>
      <w:r w:rsidRPr="00ED22D1">
        <w:rPr>
          <w:rFonts w:eastAsia="SimSun"/>
          <w:kern w:val="2"/>
          <w:lang w:val="fr-CA" w:eastAsia="zh-CN"/>
        </w:rPr>
        <w:t>109.</w:t>
      </w:r>
      <w:r w:rsidRPr="00ED22D1">
        <w:rPr>
          <w:rFonts w:eastAsia="SimSun"/>
          <w:kern w:val="2"/>
          <w:lang w:val="fr-CA" w:eastAsia="zh-CN"/>
        </w:rPr>
        <w:tab/>
      </w:r>
      <w:r w:rsidR="00921BDE" w:rsidRPr="00ED22D1">
        <w:rPr>
          <w:rFonts w:eastAsia="SimSun"/>
          <w:kern w:val="2"/>
          <w:lang w:val="fr-CA" w:eastAsia="zh-CN"/>
        </w:rPr>
        <w:t>Le gouvernement</w:t>
      </w:r>
      <w:r w:rsidR="001F19C1" w:rsidRPr="00ED22D1">
        <w:rPr>
          <w:rFonts w:eastAsia="SimSun"/>
          <w:kern w:val="2"/>
          <w:lang w:val="fr-CA" w:eastAsia="zh-CN"/>
        </w:rPr>
        <w:t xml:space="preserve"> </w:t>
      </w:r>
      <w:r w:rsidR="00181884" w:rsidRPr="00ED22D1">
        <w:rPr>
          <w:rFonts w:eastAsia="SimSun"/>
          <w:kern w:val="2"/>
          <w:lang w:val="fr-CA" w:eastAsia="zh-CN"/>
        </w:rPr>
        <w:t>de la Chine</w:t>
      </w:r>
      <w:r w:rsidR="00387175" w:rsidRPr="00ED22D1">
        <w:rPr>
          <w:rFonts w:eastAsia="SimSun"/>
          <w:kern w:val="2"/>
          <w:lang w:val="fr-CA" w:eastAsia="zh-CN"/>
        </w:rPr>
        <w:t xml:space="preserve"> a </w:t>
      </w:r>
      <w:r w:rsidR="00FB1DC4" w:rsidRPr="00ED22D1">
        <w:rPr>
          <w:rFonts w:eastAsia="SimSun"/>
          <w:kern w:val="2"/>
          <w:lang w:val="fr-CA" w:eastAsia="zh-CN"/>
        </w:rPr>
        <w:t>présenté</w:t>
      </w:r>
      <w:r w:rsidR="00387175" w:rsidRPr="00ED22D1">
        <w:rPr>
          <w:rFonts w:eastAsia="SimSun"/>
          <w:kern w:val="2"/>
          <w:lang w:val="fr-CA" w:eastAsia="zh-CN"/>
        </w:rPr>
        <w:t xml:space="preserve"> </w:t>
      </w:r>
      <w:r w:rsidR="00104BF4" w:rsidRPr="00ED22D1">
        <w:rPr>
          <w:rFonts w:eastAsia="SimSun"/>
          <w:kern w:val="2"/>
          <w:lang w:val="fr-CA" w:eastAsia="zh-CN"/>
        </w:rPr>
        <w:t>à la</w:t>
      </w:r>
      <w:r w:rsidR="00F5455E" w:rsidRPr="00ED22D1">
        <w:rPr>
          <w:rFonts w:eastAsia="SimSun"/>
          <w:kern w:val="2"/>
          <w:lang w:val="fr-CA" w:eastAsia="zh-CN"/>
        </w:rPr>
        <w:t xml:space="preserve"> 83</w:t>
      </w:r>
      <w:r w:rsidR="00181884" w:rsidRPr="00ED22D1">
        <w:rPr>
          <w:rFonts w:eastAsia="SimSun"/>
          <w:kern w:val="2"/>
          <w:vertAlign w:val="superscript"/>
          <w:lang w:val="fr-CA" w:eastAsia="zh-CN"/>
        </w:rPr>
        <w:t>e</w:t>
      </w:r>
      <w:r w:rsidR="00181884" w:rsidRPr="00ED22D1">
        <w:rPr>
          <w:rFonts w:eastAsia="SimSun"/>
          <w:kern w:val="2"/>
          <w:lang w:val="fr-CA" w:eastAsia="zh-CN"/>
        </w:rPr>
        <w:t xml:space="preserve"> </w:t>
      </w:r>
      <w:r w:rsidR="00DD185D" w:rsidRPr="00ED22D1">
        <w:rPr>
          <w:rFonts w:eastAsia="SimSun"/>
          <w:kern w:val="2"/>
          <w:lang w:val="fr-CA" w:eastAsia="zh-CN"/>
        </w:rPr>
        <w:t>réunion</w:t>
      </w:r>
      <w:r w:rsidR="00387175" w:rsidRPr="00ED22D1">
        <w:rPr>
          <w:rFonts w:eastAsia="SimSun"/>
          <w:kern w:val="2"/>
          <w:lang w:val="fr-CA" w:eastAsia="zh-CN"/>
        </w:rPr>
        <w:t xml:space="preserve"> </w:t>
      </w:r>
      <w:r w:rsidR="00104BF4" w:rsidRPr="00ED22D1">
        <w:rPr>
          <w:rFonts w:eastAsia="SimSun"/>
          <w:kern w:val="2"/>
          <w:lang w:val="fr-CA" w:eastAsia="zh-CN"/>
        </w:rPr>
        <w:t>un rapport</w:t>
      </w:r>
      <w:r w:rsidR="00387175" w:rsidRPr="00ED22D1">
        <w:rPr>
          <w:rStyle w:val="FootnoteReference"/>
          <w:rFonts w:eastAsia="SimSun"/>
          <w:kern w:val="2"/>
          <w:lang w:val="fr-CA" w:eastAsia="zh-CN"/>
        </w:rPr>
        <w:footnoteReference w:id="19"/>
      </w:r>
      <w:r w:rsidR="00387175" w:rsidRPr="00ED22D1">
        <w:rPr>
          <w:rFonts w:eastAsia="SimSun"/>
          <w:kern w:val="2"/>
          <w:lang w:val="fr-CA" w:eastAsia="zh-CN"/>
        </w:rPr>
        <w:t xml:space="preserve"> </w:t>
      </w:r>
      <w:r w:rsidR="00104BF4" w:rsidRPr="00ED22D1">
        <w:rPr>
          <w:rFonts w:eastAsia="SimSun"/>
          <w:kern w:val="2"/>
          <w:lang w:val="fr-CA" w:eastAsia="zh-CN"/>
        </w:rPr>
        <w:t xml:space="preserve">sur les politiques actuelles qu’on est à mettre en place afin de s’assurer de l’élimination durable </w:t>
      </w:r>
      <w:r w:rsidR="00DB7C5D" w:rsidRPr="00ED22D1">
        <w:rPr>
          <w:rFonts w:eastAsia="SimSun"/>
          <w:kern w:val="2"/>
          <w:lang w:val="fr-CA" w:eastAsia="zh-CN"/>
        </w:rPr>
        <w:t>des HCFC</w:t>
      </w:r>
      <w:r w:rsidR="00387175" w:rsidRPr="00ED22D1">
        <w:rPr>
          <w:rFonts w:eastAsia="SimSun"/>
          <w:kern w:val="2"/>
          <w:lang w:val="fr-CA" w:eastAsia="zh-CN"/>
        </w:rPr>
        <w:t xml:space="preserve"> </w:t>
      </w:r>
      <w:r w:rsidR="00104BF4" w:rsidRPr="00ED22D1">
        <w:rPr>
          <w:rFonts w:eastAsia="SimSun"/>
          <w:kern w:val="2"/>
          <w:lang w:val="fr-CA" w:eastAsia="zh-CN"/>
        </w:rPr>
        <w:t>dans le</w:t>
      </w:r>
      <w:r w:rsidR="00387175" w:rsidRPr="00ED22D1">
        <w:rPr>
          <w:rFonts w:eastAsia="SimSun"/>
          <w:kern w:val="2"/>
          <w:lang w:val="fr-CA" w:eastAsia="zh-CN"/>
        </w:rPr>
        <w:t xml:space="preserve"> </w:t>
      </w:r>
      <w:r w:rsidR="00181884" w:rsidRPr="00ED22D1">
        <w:rPr>
          <w:rFonts w:eastAsia="SimSun"/>
          <w:kern w:val="2"/>
          <w:lang w:val="fr-CA" w:eastAsia="zh-CN"/>
        </w:rPr>
        <w:t>secteur de</w:t>
      </w:r>
      <w:r w:rsidR="00723994">
        <w:rPr>
          <w:rFonts w:eastAsia="SimSun"/>
          <w:kern w:val="2"/>
          <w:lang w:val="fr-CA" w:eastAsia="zh-CN"/>
        </w:rPr>
        <w:t> </w:t>
      </w:r>
      <w:r w:rsidR="00181884" w:rsidRPr="00ED22D1">
        <w:rPr>
          <w:rFonts w:eastAsia="SimSun"/>
          <w:kern w:val="2"/>
          <w:lang w:val="fr-CA" w:eastAsia="zh-CN"/>
        </w:rPr>
        <w:t>l’entretien</w:t>
      </w:r>
      <w:r w:rsidR="0031390F" w:rsidRPr="00ED22D1">
        <w:rPr>
          <w:rFonts w:eastAsia="SimSun"/>
          <w:kern w:val="2"/>
          <w:lang w:val="fr-CA" w:eastAsia="zh-CN"/>
        </w:rPr>
        <w:t>. Le</w:t>
      </w:r>
      <w:r w:rsidR="001F19C1" w:rsidRPr="00ED22D1">
        <w:rPr>
          <w:rFonts w:eastAsia="SimSun"/>
          <w:kern w:val="2"/>
          <w:lang w:val="fr-CA" w:eastAsia="zh-CN"/>
        </w:rPr>
        <w:t xml:space="preserve"> PNUE</w:t>
      </w:r>
      <w:r w:rsidR="00387175" w:rsidRPr="00ED22D1">
        <w:rPr>
          <w:rFonts w:eastAsia="SimSun"/>
          <w:kern w:val="2"/>
          <w:lang w:val="fr-CA" w:eastAsia="zh-CN"/>
        </w:rPr>
        <w:t xml:space="preserve"> </w:t>
      </w:r>
      <w:r w:rsidR="00104BF4" w:rsidRPr="00ED22D1">
        <w:rPr>
          <w:rFonts w:eastAsia="SimSun"/>
          <w:kern w:val="2"/>
          <w:lang w:val="fr-CA" w:eastAsia="zh-CN"/>
        </w:rPr>
        <w:t xml:space="preserve">a </w:t>
      </w:r>
      <w:r w:rsidR="00387175" w:rsidRPr="00ED22D1">
        <w:rPr>
          <w:rFonts w:eastAsia="SimSun"/>
          <w:kern w:val="2"/>
          <w:lang w:val="fr-CA" w:eastAsia="zh-CN"/>
        </w:rPr>
        <w:t>r</w:t>
      </w:r>
      <w:r w:rsidR="00104BF4" w:rsidRPr="00ED22D1">
        <w:rPr>
          <w:rFonts w:eastAsia="SimSun"/>
          <w:kern w:val="2"/>
          <w:lang w:val="fr-CA" w:eastAsia="zh-CN"/>
        </w:rPr>
        <w:t>é</w:t>
      </w:r>
      <w:r w:rsidR="00387175" w:rsidRPr="00ED22D1">
        <w:rPr>
          <w:rFonts w:eastAsia="SimSun"/>
          <w:kern w:val="2"/>
          <w:lang w:val="fr-CA" w:eastAsia="zh-CN"/>
        </w:rPr>
        <w:t>it</w:t>
      </w:r>
      <w:r w:rsidR="00104BF4" w:rsidRPr="00ED22D1">
        <w:rPr>
          <w:rFonts w:eastAsia="SimSun"/>
          <w:kern w:val="2"/>
          <w:lang w:val="fr-CA" w:eastAsia="zh-CN"/>
        </w:rPr>
        <w:t>é</w:t>
      </w:r>
      <w:r w:rsidR="00387175" w:rsidRPr="00ED22D1">
        <w:rPr>
          <w:rFonts w:eastAsia="SimSun"/>
          <w:kern w:val="2"/>
          <w:lang w:val="fr-CA" w:eastAsia="zh-CN"/>
        </w:rPr>
        <w:t>r</w:t>
      </w:r>
      <w:r w:rsidR="00104BF4" w:rsidRPr="00ED22D1">
        <w:rPr>
          <w:rFonts w:eastAsia="SimSun"/>
          <w:kern w:val="2"/>
          <w:lang w:val="fr-CA" w:eastAsia="zh-CN"/>
        </w:rPr>
        <w:t>é</w:t>
      </w:r>
      <w:r w:rsidR="00387175" w:rsidRPr="00ED22D1">
        <w:rPr>
          <w:rFonts w:eastAsia="SimSun"/>
          <w:kern w:val="2"/>
          <w:lang w:val="fr-CA" w:eastAsia="zh-CN"/>
        </w:rPr>
        <w:t xml:space="preserve"> </w:t>
      </w:r>
      <w:r w:rsidR="00104BF4" w:rsidRPr="00ED22D1">
        <w:rPr>
          <w:rFonts w:eastAsia="SimSun"/>
          <w:kern w:val="2"/>
          <w:lang w:val="fr-CA" w:eastAsia="zh-CN"/>
        </w:rPr>
        <w:t xml:space="preserve">que cette </w:t>
      </w:r>
      <w:r w:rsidR="00387175" w:rsidRPr="00ED22D1">
        <w:rPr>
          <w:rFonts w:eastAsia="SimSun"/>
          <w:kern w:val="2"/>
          <w:lang w:val="fr-CA" w:eastAsia="zh-CN"/>
        </w:rPr>
        <w:t xml:space="preserve">information </w:t>
      </w:r>
      <w:r w:rsidR="00104BF4" w:rsidRPr="00ED22D1">
        <w:rPr>
          <w:rFonts w:eastAsia="SimSun"/>
          <w:kern w:val="2"/>
          <w:lang w:val="fr-CA" w:eastAsia="zh-CN"/>
        </w:rPr>
        <w:t xml:space="preserve">sera contenue dans un rapport détaillé </w:t>
      </w:r>
      <w:r w:rsidR="00FB1DC4" w:rsidRPr="00ED22D1">
        <w:rPr>
          <w:rFonts w:eastAsia="SimSun"/>
          <w:kern w:val="2"/>
          <w:lang w:val="fr-CA" w:eastAsia="zh-CN"/>
        </w:rPr>
        <w:t>présenté</w:t>
      </w:r>
      <w:r w:rsidR="00DE118B" w:rsidRPr="00ED22D1">
        <w:rPr>
          <w:rFonts w:eastAsia="SimSun"/>
          <w:kern w:val="2"/>
          <w:lang w:val="fr-CA" w:eastAsia="zh-CN"/>
        </w:rPr>
        <w:t xml:space="preserve"> par </w:t>
      </w:r>
      <w:r w:rsidR="00921BDE" w:rsidRPr="00ED22D1">
        <w:rPr>
          <w:rFonts w:eastAsia="SimSun"/>
          <w:kern w:val="2"/>
          <w:lang w:val="fr-CA" w:eastAsia="zh-CN"/>
        </w:rPr>
        <w:t>le gouvernement</w:t>
      </w:r>
      <w:r w:rsidR="001F19C1" w:rsidRPr="00ED22D1">
        <w:rPr>
          <w:rFonts w:eastAsia="SimSun"/>
          <w:kern w:val="2"/>
          <w:lang w:val="fr-CA" w:eastAsia="zh-CN"/>
        </w:rPr>
        <w:t xml:space="preserve"> </w:t>
      </w:r>
      <w:r w:rsidR="00181884" w:rsidRPr="00ED22D1">
        <w:rPr>
          <w:rFonts w:eastAsia="SimSun"/>
          <w:kern w:val="2"/>
          <w:lang w:val="fr-CA" w:eastAsia="zh-CN"/>
        </w:rPr>
        <w:t>de la Chine</w:t>
      </w:r>
      <w:r w:rsidR="00387175" w:rsidRPr="00ED22D1">
        <w:rPr>
          <w:rFonts w:eastAsia="SimSun"/>
          <w:kern w:val="2"/>
          <w:lang w:val="fr-CA" w:eastAsia="zh-CN"/>
        </w:rPr>
        <w:t xml:space="preserve"> </w:t>
      </w:r>
      <w:r w:rsidR="00104BF4" w:rsidRPr="00ED22D1">
        <w:rPr>
          <w:rFonts w:eastAsia="SimSun"/>
          <w:kern w:val="2"/>
          <w:lang w:val="fr-CA" w:eastAsia="zh-CN"/>
        </w:rPr>
        <w:t>à la</w:t>
      </w:r>
      <w:r w:rsidR="00F5455E" w:rsidRPr="00ED22D1">
        <w:rPr>
          <w:rFonts w:eastAsia="SimSun"/>
          <w:kern w:val="2"/>
          <w:lang w:val="fr-CA" w:eastAsia="zh-CN"/>
        </w:rPr>
        <w:t xml:space="preserve"> 83</w:t>
      </w:r>
      <w:r w:rsidR="001B31BF" w:rsidRPr="00ED22D1">
        <w:rPr>
          <w:rFonts w:eastAsia="SimSun"/>
          <w:kern w:val="2"/>
          <w:vertAlign w:val="superscript"/>
          <w:lang w:val="fr-CA" w:eastAsia="zh-CN"/>
        </w:rPr>
        <w:t>e</w:t>
      </w:r>
      <w:r w:rsidR="001B31BF" w:rsidRPr="00ED22D1">
        <w:rPr>
          <w:rFonts w:eastAsia="SimSun"/>
          <w:kern w:val="2"/>
          <w:lang w:val="fr-CA" w:eastAsia="zh-CN"/>
        </w:rPr>
        <w:t xml:space="preserve"> </w:t>
      </w:r>
      <w:r w:rsidR="00DD185D" w:rsidRPr="00ED22D1">
        <w:rPr>
          <w:rFonts w:eastAsia="SimSun"/>
          <w:kern w:val="2"/>
          <w:lang w:val="fr-CA" w:eastAsia="zh-CN"/>
        </w:rPr>
        <w:t>réunion</w:t>
      </w:r>
      <w:r w:rsidR="004A6828" w:rsidRPr="00ED22D1">
        <w:rPr>
          <w:rFonts w:eastAsia="SimSun"/>
          <w:kern w:val="2"/>
          <w:lang w:val="fr-CA" w:eastAsia="zh-CN"/>
        </w:rPr>
        <w:t xml:space="preserve"> et </w:t>
      </w:r>
      <w:r w:rsidR="00104BF4" w:rsidRPr="00ED22D1">
        <w:rPr>
          <w:rFonts w:eastAsia="SimSun"/>
          <w:kern w:val="2"/>
          <w:lang w:val="fr-CA" w:eastAsia="zh-CN"/>
        </w:rPr>
        <w:t xml:space="preserve">qui couvrira tous les </w:t>
      </w:r>
      <w:r w:rsidR="00733306" w:rsidRPr="00ED22D1">
        <w:rPr>
          <w:rFonts w:eastAsia="SimSun"/>
          <w:kern w:val="2"/>
          <w:lang w:val="fr-CA" w:eastAsia="zh-CN"/>
        </w:rPr>
        <w:t>secteurs</w:t>
      </w:r>
      <w:r w:rsidR="00387175" w:rsidRPr="00ED22D1">
        <w:rPr>
          <w:rFonts w:eastAsia="SimSun"/>
          <w:kern w:val="2"/>
          <w:lang w:val="fr-CA" w:eastAsia="zh-CN"/>
        </w:rPr>
        <w:t xml:space="preserve">, </w:t>
      </w:r>
      <w:r w:rsidR="004B666A" w:rsidRPr="00ED22D1">
        <w:rPr>
          <w:rFonts w:eastAsia="SimSun"/>
          <w:kern w:val="2"/>
          <w:lang w:val="fr-CA" w:eastAsia="zh-CN"/>
        </w:rPr>
        <w:t>y compris</w:t>
      </w:r>
      <w:r w:rsidR="00387175" w:rsidRPr="00ED22D1">
        <w:rPr>
          <w:rFonts w:eastAsia="SimSun"/>
          <w:kern w:val="2"/>
          <w:lang w:val="fr-CA" w:eastAsia="zh-CN"/>
        </w:rPr>
        <w:t xml:space="preserve"> </w:t>
      </w:r>
      <w:r w:rsidR="00104BF4" w:rsidRPr="00ED22D1">
        <w:rPr>
          <w:rFonts w:eastAsia="SimSun"/>
          <w:kern w:val="2"/>
          <w:lang w:val="fr-CA" w:eastAsia="zh-CN"/>
        </w:rPr>
        <w:t>l’</w:t>
      </w:r>
      <w:r w:rsidR="001B31BF" w:rsidRPr="00ED22D1">
        <w:rPr>
          <w:rFonts w:eastAsia="SimSun"/>
          <w:kern w:val="2"/>
          <w:lang w:val="fr-CA" w:eastAsia="zh-CN"/>
        </w:rPr>
        <w:t>entretien</w:t>
      </w:r>
      <w:r w:rsidR="00387175" w:rsidRPr="00ED22D1">
        <w:rPr>
          <w:rFonts w:eastAsia="SimSun"/>
          <w:kern w:val="2"/>
          <w:lang w:val="fr-CA" w:eastAsia="zh-CN"/>
        </w:rPr>
        <w:t>.</w:t>
      </w:r>
    </w:p>
    <w:p w:rsidR="00387175" w:rsidRPr="00ED22D1" w:rsidRDefault="0055474B" w:rsidP="0055474B">
      <w:pPr>
        <w:pStyle w:val="Heading1"/>
        <w:numPr>
          <w:ilvl w:val="0"/>
          <w:numId w:val="0"/>
        </w:numPr>
        <w:rPr>
          <w:lang w:val="fr-CA"/>
        </w:rPr>
      </w:pPr>
      <w:r w:rsidRPr="00ED22D1">
        <w:rPr>
          <w:lang w:val="fr-CA"/>
        </w:rPr>
        <w:t>110.</w:t>
      </w:r>
      <w:r w:rsidRPr="00ED22D1">
        <w:rPr>
          <w:lang w:val="fr-CA"/>
        </w:rPr>
        <w:tab/>
      </w:r>
      <w:r w:rsidR="00104BF4" w:rsidRPr="00ED22D1">
        <w:rPr>
          <w:lang w:val="fr-CA"/>
        </w:rPr>
        <w:t xml:space="preserve">À une demande de </w:t>
      </w:r>
      <w:r w:rsidR="00387175" w:rsidRPr="00ED22D1">
        <w:rPr>
          <w:lang w:val="fr-CA"/>
        </w:rPr>
        <w:t>clarification</w:t>
      </w:r>
      <w:r w:rsidR="001F19C1" w:rsidRPr="00ED22D1">
        <w:rPr>
          <w:lang w:val="fr-CA"/>
        </w:rPr>
        <w:t>, le PNUE</w:t>
      </w:r>
      <w:r w:rsidR="00387175" w:rsidRPr="00ED22D1">
        <w:rPr>
          <w:lang w:val="fr-CA"/>
        </w:rPr>
        <w:t xml:space="preserve"> </w:t>
      </w:r>
      <w:r w:rsidR="00104BF4" w:rsidRPr="00ED22D1">
        <w:rPr>
          <w:lang w:val="fr-CA"/>
        </w:rPr>
        <w:t xml:space="preserve">a </w:t>
      </w:r>
      <w:r w:rsidR="00230A1A" w:rsidRPr="00ED22D1">
        <w:rPr>
          <w:lang w:val="fr-CA"/>
        </w:rPr>
        <w:t>aussi</w:t>
      </w:r>
      <w:r w:rsidR="00387175" w:rsidRPr="00ED22D1">
        <w:rPr>
          <w:lang w:val="fr-CA"/>
        </w:rPr>
        <w:t xml:space="preserve"> confirm</w:t>
      </w:r>
      <w:r w:rsidR="00104BF4" w:rsidRPr="00ED22D1">
        <w:rPr>
          <w:lang w:val="fr-CA"/>
        </w:rPr>
        <w:t>é</w:t>
      </w:r>
      <w:r w:rsidR="00387175" w:rsidRPr="00ED22D1">
        <w:rPr>
          <w:lang w:val="fr-CA"/>
        </w:rPr>
        <w:t xml:space="preserve"> </w:t>
      </w:r>
      <w:r w:rsidR="00104BF4" w:rsidRPr="00ED22D1">
        <w:rPr>
          <w:lang w:val="fr-CA"/>
        </w:rPr>
        <w:t xml:space="preserve">qu’il n’y avait aucun chevauchement </w:t>
      </w:r>
      <w:r w:rsidR="00723994">
        <w:rPr>
          <w:lang w:val="fr-CA"/>
        </w:rPr>
        <w:t>en ce qui a trait au</w:t>
      </w:r>
      <w:r w:rsidR="00104BF4" w:rsidRPr="00ED22D1">
        <w:rPr>
          <w:lang w:val="fr-CA"/>
        </w:rPr>
        <w:t xml:space="preserve"> </w:t>
      </w:r>
      <w:r w:rsidR="00393F6B" w:rsidRPr="00ED22D1">
        <w:rPr>
          <w:lang w:val="fr-CA"/>
        </w:rPr>
        <w:t>financement</w:t>
      </w:r>
      <w:r w:rsidR="00387175" w:rsidRPr="00ED22D1">
        <w:rPr>
          <w:lang w:val="fr-CA"/>
        </w:rPr>
        <w:t xml:space="preserve"> </w:t>
      </w:r>
      <w:r w:rsidR="00104BF4" w:rsidRPr="00ED22D1">
        <w:rPr>
          <w:lang w:val="fr-CA"/>
        </w:rPr>
        <w:t>fourni pour le projet de renforcement des institutions</w:t>
      </w:r>
      <w:r w:rsidR="00387175" w:rsidRPr="00ED22D1">
        <w:rPr>
          <w:lang w:val="fr-CA"/>
        </w:rPr>
        <w:t xml:space="preserve"> (IS)</w:t>
      </w:r>
      <w:r w:rsidR="00104BF4" w:rsidRPr="00ED22D1">
        <w:rPr>
          <w:lang w:val="fr-CA"/>
        </w:rPr>
        <w:t xml:space="preserve">, ni </w:t>
      </w:r>
      <w:r w:rsidR="003B202B" w:rsidRPr="00ED22D1">
        <w:rPr>
          <w:lang w:val="fr-CA"/>
        </w:rPr>
        <w:t>dans</w:t>
      </w:r>
      <w:r w:rsidR="00104BF4" w:rsidRPr="00ED22D1">
        <w:rPr>
          <w:lang w:val="fr-CA"/>
        </w:rPr>
        <w:t xml:space="preserve"> </w:t>
      </w:r>
      <w:r w:rsidR="00723994">
        <w:rPr>
          <w:lang w:val="fr-CA"/>
        </w:rPr>
        <w:t xml:space="preserve">la </w:t>
      </w:r>
      <w:r w:rsidR="00104BF4" w:rsidRPr="00ED22D1">
        <w:rPr>
          <w:lang w:val="fr-CA"/>
        </w:rPr>
        <w:t xml:space="preserve">sensibilisation et la vulgarisation des </w:t>
      </w:r>
      <w:r w:rsidR="001B45EC" w:rsidRPr="00ED22D1">
        <w:rPr>
          <w:lang w:val="fr-CA"/>
        </w:rPr>
        <w:t>activités</w:t>
      </w:r>
      <w:r w:rsidR="00387175" w:rsidRPr="00ED22D1">
        <w:rPr>
          <w:lang w:val="fr-CA"/>
        </w:rPr>
        <w:t xml:space="preserve"> </w:t>
      </w:r>
      <w:r w:rsidR="003B202B" w:rsidRPr="00ED22D1">
        <w:rPr>
          <w:lang w:val="fr-CA"/>
        </w:rPr>
        <w:t xml:space="preserve">en cours de mise en oeuvre dans le </w:t>
      </w:r>
      <w:r w:rsidR="00181884" w:rsidRPr="00ED22D1">
        <w:rPr>
          <w:lang w:val="fr-CA"/>
        </w:rPr>
        <w:t>secteur de l’entretien</w:t>
      </w:r>
      <w:r w:rsidR="00387175" w:rsidRPr="00ED22D1">
        <w:rPr>
          <w:lang w:val="fr-CA"/>
        </w:rPr>
        <w:t xml:space="preserve">, </w:t>
      </w:r>
      <w:r w:rsidR="003B202B" w:rsidRPr="00ED22D1">
        <w:rPr>
          <w:lang w:val="fr-CA"/>
        </w:rPr>
        <w:t xml:space="preserve">parce que </w:t>
      </w:r>
      <w:r w:rsidR="00BB7CCB" w:rsidRPr="00ED22D1">
        <w:rPr>
          <w:lang w:val="fr-CA"/>
        </w:rPr>
        <w:t xml:space="preserve">ces </w:t>
      </w:r>
      <w:r w:rsidR="001B45EC" w:rsidRPr="00ED22D1">
        <w:rPr>
          <w:lang w:val="fr-CA"/>
        </w:rPr>
        <w:t>activités</w:t>
      </w:r>
      <w:r w:rsidR="00723994">
        <w:rPr>
          <w:lang w:val="fr-CA"/>
        </w:rPr>
        <w:t>,</w:t>
      </w:r>
      <w:r w:rsidR="00387175" w:rsidRPr="00ED22D1">
        <w:rPr>
          <w:lang w:val="fr-CA"/>
        </w:rPr>
        <w:t xml:space="preserve"> </w:t>
      </w:r>
      <w:r w:rsidR="003B202B" w:rsidRPr="00ED22D1">
        <w:rPr>
          <w:lang w:val="fr-CA"/>
        </w:rPr>
        <w:t xml:space="preserve">incluses dans le plan du </w:t>
      </w:r>
      <w:r w:rsidR="00181884" w:rsidRPr="00ED22D1">
        <w:rPr>
          <w:lang w:val="fr-CA"/>
        </w:rPr>
        <w:t>secteur de l’entretien</w:t>
      </w:r>
      <w:r w:rsidR="00723994">
        <w:rPr>
          <w:lang w:val="fr-CA"/>
        </w:rPr>
        <w:t>,</w:t>
      </w:r>
      <w:r w:rsidR="00387175" w:rsidRPr="00ED22D1">
        <w:rPr>
          <w:lang w:val="fr-CA"/>
        </w:rPr>
        <w:t xml:space="preserve"> </w:t>
      </w:r>
      <w:r w:rsidR="003B202B" w:rsidRPr="00ED22D1">
        <w:rPr>
          <w:lang w:val="fr-CA"/>
        </w:rPr>
        <w:t>ne font pas partie du calendrier du</w:t>
      </w:r>
      <w:r w:rsidR="00723994">
        <w:rPr>
          <w:lang w:val="fr-CA"/>
        </w:rPr>
        <w:t> </w:t>
      </w:r>
      <w:r w:rsidR="003B202B" w:rsidRPr="00ED22D1">
        <w:rPr>
          <w:lang w:val="fr-CA"/>
        </w:rPr>
        <w:t>renforcement des institutions</w:t>
      </w:r>
      <w:r w:rsidR="00387175" w:rsidRPr="00ED22D1">
        <w:rPr>
          <w:lang w:val="fr-CA"/>
        </w:rPr>
        <w:t xml:space="preserve">. </w:t>
      </w:r>
    </w:p>
    <w:p w:rsidR="00387175" w:rsidRPr="00ED22D1" w:rsidRDefault="00DB7C5D" w:rsidP="00387175">
      <w:pPr>
        <w:keepNext/>
        <w:spacing w:after="240"/>
        <w:rPr>
          <w:u w:val="single"/>
          <w:lang w:val="fr-CA"/>
        </w:rPr>
      </w:pPr>
      <w:r w:rsidRPr="00ED22D1">
        <w:rPr>
          <w:u w:val="single"/>
          <w:lang w:val="fr-CA"/>
        </w:rPr>
        <w:t>Intérêts</w:t>
      </w:r>
    </w:p>
    <w:p w:rsidR="00387175" w:rsidRPr="00ED22D1" w:rsidRDefault="0055474B" w:rsidP="0055474B">
      <w:pPr>
        <w:pStyle w:val="Heading1"/>
        <w:keepNext/>
        <w:numPr>
          <w:ilvl w:val="0"/>
          <w:numId w:val="0"/>
        </w:numPr>
        <w:rPr>
          <w:lang w:val="fr-CA"/>
        </w:rPr>
      </w:pPr>
      <w:r w:rsidRPr="00ED22D1">
        <w:rPr>
          <w:lang w:val="fr-CA"/>
        </w:rPr>
        <w:t>111.</w:t>
      </w:r>
      <w:r w:rsidRPr="00ED22D1">
        <w:rPr>
          <w:lang w:val="fr-CA"/>
        </w:rPr>
        <w:tab/>
      </w:r>
      <w:r w:rsidR="003B202B" w:rsidRPr="00ED22D1">
        <w:rPr>
          <w:lang w:val="fr-CA"/>
        </w:rPr>
        <w:t xml:space="preserve">Les renseignements </w:t>
      </w:r>
      <w:r w:rsidR="00723994">
        <w:rPr>
          <w:lang w:val="fr-CA"/>
        </w:rPr>
        <w:t xml:space="preserve">quant aux </w:t>
      </w:r>
      <w:r w:rsidR="007B6A35" w:rsidRPr="00ED22D1">
        <w:rPr>
          <w:lang w:val="fr-CA"/>
        </w:rPr>
        <w:t>intérêts courus</w:t>
      </w:r>
      <w:r w:rsidR="00387175" w:rsidRPr="00ED22D1">
        <w:rPr>
          <w:lang w:val="fr-CA"/>
        </w:rPr>
        <w:t xml:space="preserve"> </w:t>
      </w:r>
      <w:r w:rsidR="003B202B" w:rsidRPr="00ED22D1">
        <w:rPr>
          <w:lang w:val="fr-CA"/>
        </w:rPr>
        <w:t xml:space="preserve">sur </w:t>
      </w:r>
      <w:r w:rsidR="00393F6B" w:rsidRPr="00ED22D1">
        <w:rPr>
          <w:lang w:val="fr-CA"/>
        </w:rPr>
        <w:t>le financement</w:t>
      </w:r>
      <w:r w:rsidR="00387175" w:rsidRPr="00ED22D1">
        <w:rPr>
          <w:lang w:val="fr-CA"/>
        </w:rPr>
        <w:t xml:space="preserve"> </w:t>
      </w:r>
      <w:r w:rsidR="00AA6E77" w:rsidRPr="00ED22D1">
        <w:rPr>
          <w:lang w:val="fr-CA"/>
        </w:rPr>
        <w:t>approuvé</w:t>
      </w:r>
      <w:r w:rsidR="00387175" w:rsidRPr="00ED22D1">
        <w:rPr>
          <w:lang w:val="fr-CA"/>
        </w:rPr>
        <w:t xml:space="preserve"> </w:t>
      </w:r>
      <w:r w:rsidR="003B202B" w:rsidRPr="00ED22D1">
        <w:rPr>
          <w:lang w:val="fr-CA"/>
        </w:rPr>
        <w:t xml:space="preserve">pour les </w:t>
      </w:r>
      <w:r w:rsidR="007B6A35" w:rsidRPr="00ED22D1">
        <w:rPr>
          <w:lang w:val="fr-CA"/>
        </w:rPr>
        <w:t>plans des</w:t>
      </w:r>
      <w:r w:rsidR="00723994">
        <w:rPr>
          <w:lang w:val="fr-CA"/>
        </w:rPr>
        <w:t> </w:t>
      </w:r>
      <w:r w:rsidR="007B6A35" w:rsidRPr="00ED22D1">
        <w:rPr>
          <w:lang w:val="fr-CA"/>
        </w:rPr>
        <w:t>secteurs</w:t>
      </w:r>
      <w:r w:rsidR="00387175" w:rsidRPr="00ED22D1">
        <w:rPr>
          <w:lang w:val="fr-CA"/>
        </w:rPr>
        <w:t xml:space="preserve"> </w:t>
      </w:r>
      <w:r w:rsidR="001F19C1" w:rsidRPr="00ED22D1">
        <w:rPr>
          <w:lang w:val="fr-CA"/>
        </w:rPr>
        <w:t>du PGEH</w:t>
      </w:r>
      <w:r w:rsidR="00387175" w:rsidRPr="00ED22D1">
        <w:rPr>
          <w:lang w:val="fr-CA"/>
        </w:rPr>
        <w:t xml:space="preserve"> </w:t>
      </w:r>
      <w:r w:rsidR="001B31BF" w:rsidRPr="00ED22D1">
        <w:rPr>
          <w:lang w:val="fr-CA"/>
        </w:rPr>
        <w:t>de la Chine</w:t>
      </w:r>
      <w:r w:rsidR="00903152" w:rsidRPr="00ED22D1">
        <w:rPr>
          <w:lang w:val="fr-CA"/>
        </w:rPr>
        <w:t xml:space="preserve"> </w:t>
      </w:r>
      <w:r w:rsidR="003B202B" w:rsidRPr="00ED22D1">
        <w:rPr>
          <w:lang w:val="fr-CA"/>
        </w:rPr>
        <w:t>sont fournis à chaque dernière</w:t>
      </w:r>
      <w:r w:rsidR="00DD185D" w:rsidRPr="00ED22D1">
        <w:rPr>
          <w:lang w:val="fr-CA"/>
        </w:rPr>
        <w:t xml:space="preserve"> réunion</w:t>
      </w:r>
      <w:r w:rsidR="00387175" w:rsidRPr="00ED22D1">
        <w:rPr>
          <w:lang w:val="fr-CA"/>
        </w:rPr>
        <w:t xml:space="preserve"> </w:t>
      </w:r>
      <w:r w:rsidR="003B202B" w:rsidRPr="00ED22D1">
        <w:rPr>
          <w:lang w:val="fr-CA"/>
        </w:rPr>
        <w:t>de l’</w:t>
      </w:r>
      <w:r w:rsidR="0052712E" w:rsidRPr="00ED22D1">
        <w:rPr>
          <w:lang w:val="fr-CA"/>
        </w:rPr>
        <w:t>année</w:t>
      </w:r>
      <w:r w:rsidR="00387175" w:rsidRPr="00ED22D1">
        <w:rPr>
          <w:lang w:val="fr-CA"/>
        </w:rPr>
        <w:t xml:space="preserve"> </w:t>
      </w:r>
      <w:r w:rsidR="003B202B" w:rsidRPr="00ED22D1">
        <w:rPr>
          <w:lang w:val="fr-CA"/>
        </w:rPr>
        <w:t>après la demande de</w:t>
      </w:r>
      <w:r w:rsidR="00723994">
        <w:rPr>
          <w:lang w:val="fr-CA"/>
        </w:rPr>
        <w:t> </w:t>
      </w:r>
      <w:r w:rsidR="003B202B" w:rsidRPr="00ED22D1">
        <w:rPr>
          <w:lang w:val="fr-CA"/>
        </w:rPr>
        <w:t>vérification financière</w:t>
      </w:r>
      <w:r w:rsidR="00387175" w:rsidRPr="00ED22D1">
        <w:rPr>
          <w:lang w:val="fr-CA"/>
        </w:rPr>
        <w:t xml:space="preserve">. </w:t>
      </w:r>
      <w:r w:rsidR="003B202B" w:rsidRPr="00ED22D1">
        <w:rPr>
          <w:lang w:val="fr-CA"/>
        </w:rPr>
        <w:t xml:space="preserve">Par conséquent l’information sur les </w:t>
      </w:r>
      <w:r w:rsidR="007B6A35" w:rsidRPr="00ED22D1">
        <w:rPr>
          <w:lang w:val="fr-CA"/>
        </w:rPr>
        <w:t>intérêts courus</w:t>
      </w:r>
      <w:r w:rsidR="00387175" w:rsidRPr="00ED22D1">
        <w:rPr>
          <w:lang w:val="fr-CA"/>
        </w:rPr>
        <w:t xml:space="preserve"> </w:t>
      </w:r>
      <w:r w:rsidR="0052712E" w:rsidRPr="00ED22D1">
        <w:rPr>
          <w:lang w:val="fr-CA"/>
        </w:rPr>
        <w:t>en 20</w:t>
      </w:r>
      <w:r w:rsidR="00387175" w:rsidRPr="00ED22D1">
        <w:rPr>
          <w:lang w:val="fr-CA"/>
        </w:rPr>
        <w:t xml:space="preserve">18 </w:t>
      </w:r>
      <w:r w:rsidR="003B202B" w:rsidRPr="00ED22D1">
        <w:rPr>
          <w:lang w:val="fr-CA"/>
        </w:rPr>
        <w:t xml:space="preserve">sera présentée </w:t>
      </w:r>
      <w:r w:rsidR="00733306" w:rsidRPr="00ED22D1">
        <w:rPr>
          <w:lang w:val="fr-CA"/>
        </w:rPr>
        <w:t>à</w:t>
      </w:r>
      <w:r w:rsidR="003B202B" w:rsidRPr="00ED22D1">
        <w:rPr>
          <w:lang w:val="fr-CA"/>
        </w:rPr>
        <w:t> </w:t>
      </w:r>
      <w:r w:rsidR="00733306" w:rsidRPr="00ED22D1">
        <w:rPr>
          <w:lang w:val="fr-CA"/>
        </w:rPr>
        <w:t>la</w:t>
      </w:r>
      <w:r w:rsidR="003B202B" w:rsidRPr="00ED22D1">
        <w:rPr>
          <w:lang w:val="fr-CA"/>
        </w:rPr>
        <w:t> 8</w:t>
      </w:r>
      <w:r w:rsidR="00387175" w:rsidRPr="00ED22D1">
        <w:rPr>
          <w:lang w:val="fr-CA"/>
        </w:rPr>
        <w:t>4</w:t>
      </w:r>
      <w:r w:rsidR="003B202B" w:rsidRPr="00ED22D1">
        <w:rPr>
          <w:vertAlign w:val="superscript"/>
          <w:lang w:val="fr-CA"/>
        </w:rPr>
        <w:t>e </w:t>
      </w:r>
      <w:r w:rsidR="00DD185D" w:rsidRPr="00ED22D1">
        <w:rPr>
          <w:lang w:val="fr-CA"/>
        </w:rPr>
        <w:t>réunion</w:t>
      </w:r>
      <w:r w:rsidR="00387175" w:rsidRPr="00ED22D1">
        <w:rPr>
          <w:lang w:val="fr-CA"/>
        </w:rPr>
        <w:t>.</w:t>
      </w:r>
    </w:p>
    <w:p w:rsidR="00387175" w:rsidRPr="00ED22D1" w:rsidRDefault="00387175" w:rsidP="00387175">
      <w:pPr>
        <w:keepNext/>
        <w:spacing w:after="240"/>
        <w:jc w:val="left"/>
        <w:rPr>
          <w:rFonts w:eastAsia="Calibri"/>
          <w:lang w:val="fr-CA"/>
        </w:rPr>
      </w:pPr>
      <w:r w:rsidRPr="00ED22D1">
        <w:rPr>
          <w:rFonts w:eastAsia="Calibri"/>
          <w:u w:val="single"/>
          <w:lang w:val="fr-CA"/>
        </w:rPr>
        <w:t>Conclusion</w:t>
      </w:r>
    </w:p>
    <w:p w:rsidR="00387175" w:rsidRPr="00ED22D1" w:rsidRDefault="0055474B" w:rsidP="0055474B">
      <w:pPr>
        <w:pStyle w:val="Heading1"/>
        <w:numPr>
          <w:ilvl w:val="0"/>
          <w:numId w:val="0"/>
        </w:numPr>
        <w:rPr>
          <w:lang w:val="fr-CA"/>
        </w:rPr>
      </w:pPr>
      <w:r w:rsidRPr="00ED22D1">
        <w:rPr>
          <w:lang w:val="fr-CA"/>
        </w:rPr>
        <w:t>112.</w:t>
      </w:r>
      <w:r w:rsidRPr="00ED22D1">
        <w:rPr>
          <w:lang w:val="fr-CA"/>
        </w:rPr>
        <w:tab/>
      </w:r>
      <w:r w:rsidR="00E71388" w:rsidRPr="00ED22D1">
        <w:rPr>
          <w:lang w:val="fr-CA"/>
        </w:rPr>
        <w:t>Le Secré</w:t>
      </w:r>
      <w:r w:rsidR="00DD185D" w:rsidRPr="00ED22D1">
        <w:rPr>
          <w:lang w:val="fr-CA"/>
        </w:rPr>
        <w:t>tariat</w:t>
      </w:r>
      <w:r w:rsidR="00387175" w:rsidRPr="00ED22D1">
        <w:rPr>
          <w:lang w:val="fr-CA"/>
        </w:rPr>
        <w:t xml:space="preserve"> </w:t>
      </w:r>
      <w:r w:rsidR="003B202B" w:rsidRPr="00ED22D1">
        <w:rPr>
          <w:lang w:val="fr-CA"/>
        </w:rPr>
        <w:t>a souligné que, bien que plusieurs des activités proposées dans la</w:t>
      </w:r>
      <w:r w:rsidR="00387175" w:rsidRPr="00ED22D1">
        <w:rPr>
          <w:lang w:val="fr-CA"/>
        </w:rPr>
        <w:t xml:space="preserve"> </w:t>
      </w:r>
      <w:r w:rsidR="00921BDE" w:rsidRPr="00ED22D1">
        <w:rPr>
          <w:lang w:val="fr-CA"/>
        </w:rPr>
        <w:t>deuxième</w:t>
      </w:r>
      <w:r w:rsidR="00387175" w:rsidRPr="00ED22D1">
        <w:rPr>
          <w:lang w:val="fr-CA"/>
        </w:rPr>
        <w:t xml:space="preserve"> tranche </w:t>
      </w:r>
      <w:r w:rsidR="003B202B" w:rsidRPr="00ED22D1">
        <w:rPr>
          <w:lang w:val="fr-CA"/>
        </w:rPr>
        <w:t>avaient été reportées</w:t>
      </w:r>
      <w:r w:rsidR="00387175" w:rsidRPr="00ED22D1">
        <w:rPr>
          <w:lang w:val="fr-CA"/>
        </w:rPr>
        <w:t xml:space="preserve">, </w:t>
      </w:r>
      <w:r w:rsidR="003B202B" w:rsidRPr="00ED22D1">
        <w:rPr>
          <w:lang w:val="fr-CA"/>
        </w:rPr>
        <w:t xml:space="preserve">les questions à régler ont été traitées, et </w:t>
      </w:r>
      <w:r w:rsidR="00723994">
        <w:rPr>
          <w:lang w:val="fr-CA"/>
        </w:rPr>
        <w:t xml:space="preserve">ont </w:t>
      </w:r>
      <w:r w:rsidR="003B202B" w:rsidRPr="00ED22D1">
        <w:rPr>
          <w:lang w:val="fr-CA"/>
        </w:rPr>
        <w:t xml:space="preserve">ainsi permis la pleine </w:t>
      </w:r>
      <w:r w:rsidR="00921BDE" w:rsidRPr="00ED22D1">
        <w:rPr>
          <w:lang w:val="fr-CA"/>
        </w:rPr>
        <w:t xml:space="preserve">mise en oeuvre </w:t>
      </w:r>
      <w:r w:rsidR="001B31BF" w:rsidRPr="00ED22D1">
        <w:rPr>
          <w:lang w:val="fr-CA"/>
        </w:rPr>
        <w:lastRenderedPageBreak/>
        <w:t>du</w:t>
      </w:r>
      <w:r w:rsidR="00723994">
        <w:rPr>
          <w:lang w:val="fr-CA"/>
        </w:rPr>
        <w:t> </w:t>
      </w:r>
      <w:r w:rsidR="001B31BF" w:rsidRPr="00ED22D1">
        <w:rPr>
          <w:lang w:val="fr-CA"/>
        </w:rPr>
        <w:t>plan du secteur de l’entretien</w:t>
      </w:r>
      <w:r w:rsidR="00387175" w:rsidRPr="00ED22D1">
        <w:rPr>
          <w:lang w:val="fr-CA"/>
        </w:rPr>
        <w:t xml:space="preserve"> </w:t>
      </w:r>
      <w:r w:rsidR="003B202B" w:rsidRPr="00ED22D1">
        <w:rPr>
          <w:lang w:val="fr-CA"/>
        </w:rPr>
        <w:t>sans aucun autre délai</w:t>
      </w:r>
      <w:r w:rsidR="00387175" w:rsidRPr="00ED22D1">
        <w:rPr>
          <w:lang w:val="fr-CA"/>
        </w:rPr>
        <w:t xml:space="preserve">. </w:t>
      </w:r>
      <w:r w:rsidR="00813533" w:rsidRPr="00ED22D1">
        <w:rPr>
          <w:lang w:val="fr-CA"/>
        </w:rPr>
        <w:t xml:space="preserve">Les activités initiales et de préparation, </w:t>
      </w:r>
      <w:r w:rsidR="004B666A" w:rsidRPr="00ED22D1">
        <w:rPr>
          <w:lang w:val="fr-CA"/>
        </w:rPr>
        <w:t>y compris</w:t>
      </w:r>
      <w:r w:rsidR="00387175" w:rsidRPr="00ED22D1">
        <w:rPr>
          <w:lang w:val="fr-CA"/>
        </w:rPr>
        <w:t xml:space="preserve"> </w:t>
      </w:r>
      <w:r w:rsidR="00723994">
        <w:rPr>
          <w:lang w:val="fr-CA"/>
        </w:rPr>
        <w:t xml:space="preserve">les </w:t>
      </w:r>
      <w:r w:rsidR="00646A93" w:rsidRPr="00ED22D1">
        <w:rPr>
          <w:lang w:val="fr-CA"/>
        </w:rPr>
        <w:t>atelier</w:t>
      </w:r>
      <w:r w:rsidR="00387175" w:rsidRPr="00ED22D1">
        <w:rPr>
          <w:lang w:val="fr-CA"/>
        </w:rPr>
        <w:t>s</w:t>
      </w:r>
      <w:r w:rsidR="00813533" w:rsidRPr="00ED22D1">
        <w:rPr>
          <w:lang w:val="fr-CA"/>
        </w:rPr>
        <w:t xml:space="preserve">, ont été </w:t>
      </w:r>
      <w:r w:rsidR="002F6D48" w:rsidRPr="00ED22D1">
        <w:rPr>
          <w:lang w:val="fr-CA"/>
        </w:rPr>
        <w:t>achevé</w:t>
      </w:r>
      <w:r w:rsidR="00723994">
        <w:rPr>
          <w:lang w:val="fr-CA"/>
        </w:rPr>
        <w:t>e</w:t>
      </w:r>
      <w:r w:rsidR="00813533" w:rsidRPr="00ED22D1">
        <w:rPr>
          <w:lang w:val="fr-CA"/>
        </w:rPr>
        <w:t>s</w:t>
      </w:r>
      <w:r w:rsidR="00387175" w:rsidRPr="00ED22D1">
        <w:rPr>
          <w:lang w:val="fr-CA"/>
        </w:rPr>
        <w:t xml:space="preserve">, </w:t>
      </w:r>
      <w:r w:rsidR="00813533" w:rsidRPr="00ED22D1">
        <w:rPr>
          <w:lang w:val="fr-CA"/>
        </w:rPr>
        <w:t>le</w:t>
      </w:r>
      <w:r w:rsidR="00387175" w:rsidRPr="00ED22D1">
        <w:rPr>
          <w:lang w:val="fr-CA"/>
        </w:rPr>
        <w:t xml:space="preserve"> </w:t>
      </w:r>
      <w:r w:rsidR="00F72AF7" w:rsidRPr="00ED22D1">
        <w:rPr>
          <w:lang w:val="fr-CA"/>
        </w:rPr>
        <w:t>plan d’activités</w:t>
      </w:r>
      <w:r w:rsidR="00387175" w:rsidRPr="00ED22D1">
        <w:rPr>
          <w:lang w:val="fr-CA"/>
        </w:rPr>
        <w:t xml:space="preserve"> </w:t>
      </w:r>
      <w:r w:rsidR="00813533" w:rsidRPr="00ED22D1">
        <w:rPr>
          <w:lang w:val="fr-CA"/>
        </w:rPr>
        <w:t xml:space="preserve">de la </w:t>
      </w:r>
      <w:r w:rsidR="004A6828" w:rsidRPr="00ED22D1">
        <w:rPr>
          <w:lang w:val="fr-CA"/>
        </w:rPr>
        <w:t xml:space="preserve">phase </w:t>
      </w:r>
      <w:r w:rsidR="00387175" w:rsidRPr="00ED22D1">
        <w:rPr>
          <w:lang w:val="fr-CA"/>
        </w:rPr>
        <w:t>II</w:t>
      </w:r>
      <w:r w:rsidR="00104BF4" w:rsidRPr="00ED22D1">
        <w:rPr>
          <w:lang w:val="fr-CA"/>
        </w:rPr>
        <w:t xml:space="preserve"> a </w:t>
      </w:r>
      <w:r w:rsidR="00903152" w:rsidRPr="00ED22D1">
        <w:rPr>
          <w:lang w:val="fr-CA"/>
        </w:rPr>
        <w:t>été</w:t>
      </w:r>
      <w:r w:rsidR="00387175" w:rsidRPr="00ED22D1">
        <w:rPr>
          <w:lang w:val="fr-CA"/>
        </w:rPr>
        <w:t xml:space="preserve"> </w:t>
      </w:r>
      <w:r w:rsidR="00813533" w:rsidRPr="00ED22D1">
        <w:rPr>
          <w:lang w:val="fr-CA"/>
        </w:rPr>
        <w:t>finalisé</w:t>
      </w:r>
      <w:r w:rsidR="00387175" w:rsidRPr="00ED22D1">
        <w:rPr>
          <w:lang w:val="fr-CA"/>
        </w:rPr>
        <w:t>,</w:t>
      </w:r>
      <w:r w:rsidR="004A6828" w:rsidRPr="00ED22D1">
        <w:rPr>
          <w:lang w:val="fr-CA"/>
        </w:rPr>
        <w:t xml:space="preserve"> et </w:t>
      </w:r>
      <w:r w:rsidR="00813533" w:rsidRPr="00ED22D1">
        <w:rPr>
          <w:lang w:val="fr-CA"/>
        </w:rPr>
        <w:t xml:space="preserve">le travail de base a été </w:t>
      </w:r>
      <w:r w:rsidR="00616B46" w:rsidRPr="00ED22D1">
        <w:rPr>
          <w:lang w:val="fr-CA"/>
        </w:rPr>
        <w:t>établi</w:t>
      </w:r>
      <w:r w:rsidR="00813533" w:rsidRPr="00ED22D1">
        <w:rPr>
          <w:lang w:val="fr-CA"/>
        </w:rPr>
        <w:t xml:space="preserve"> pour accélérer la </w:t>
      </w:r>
      <w:r w:rsidR="00921BDE" w:rsidRPr="00ED22D1">
        <w:rPr>
          <w:lang w:val="fr-CA"/>
        </w:rPr>
        <w:t xml:space="preserve">mise en oeuvre </w:t>
      </w:r>
      <w:r w:rsidR="00813533" w:rsidRPr="00ED22D1">
        <w:rPr>
          <w:lang w:val="fr-CA"/>
        </w:rPr>
        <w:t>des</w:t>
      </w:r>
      <w:r w:rsidR="00387175" w:rsidRPr="00ED22D1">
        <w:rPr>
          <w:lang w:val="fr-CA"/>
        </w:rPr>
        <w:t xml:space="preserve"> </w:t>
      </w:r>
      <w:r w:rsidR="001B45EC" w:rsidRPr="00ED22D1">
        <w:rPr>
          <w:lang w:val="fr-CA"/>
        </w:rPr>
        <w:t>activités</w:t>
      </w:r>
      <w:r w:rsidR="00387175" w:rsidRPr="00ED22D1">
        <w:rPr>
          <w:lang w:val="fr-CA"/>
        </w:rPr>
        <w:t xml:space="preserve"> </w:t>
      </w:r>
      <w:r w:rsidR="00813533" w:rsidRPr="00ED22D1">
        <w:rPr>
          <w:lang w:val="fr-CA"/>
        </w:rPr>
        <w:t>de ce</w:t>
      </w:r>
      <w:r w:rsidR="00387175" w:rsidRPr="00ED22D1">
        <w:rPr>
          <w:lang w:val="fr-CA"/>
        </w:rPr>
        <w:t xml:space="preserve"> </w:t>
      </w:r>
      <w:r w:rsidR="00733306" w:rsidRPr="00ED22D1">
        <w:rPr>
          <w:lang w:val="fr-CA"/>
        </w:rPr>
        <w:t>secteur.</w:t>
      </w:r>
      <w:r w:rsidR="00387175" w:rsidRPr="00ED22D1">
        <w:rPr>
          <w:lang w:val="fr-CA"/>
        </w:rPr>
        <w:t xml:space="preserve"> </w:t>
      </w:r>
      <w:r w:rsidR="00813533" w:rsidRPr="00ED22D1">
        <w:rPr>
          <w:lang w:val="fr-CA"/>
        </w:rPr>
        <w:t xml:space="preserve">On a aussi confirmé qu’il n’existait aucun chevauchement </w:t>
      </w:r>
      <w:r w:rsidR="00723994">
        <w:rPr>
          <w:lang w:val="fr-CA"/>
        </w:rPr>
        <w:t>du</w:t>
      </w:r>
      <w:r w:rsidR="00813533" w:rsidRPr="00ED22D1">
        <w:rPr>
          <w:lang w:val="fr-CA"/>
        </w:rPr>
        <w:t xml:space="preserve"> </w:t>
      </w:r>
      <w:r w:rsidR="00393F6B" w:rsidRPr="00ED22D1">
        <w:rPr>
          <w:lang w:val="fr-CA"/>
        </w:rPr>
        <w:t>financement</w:t>
      </w:r>
      <w:r w:rsidR="00387175" w:rsidRPr="00ED22D1">
        <w:rPr>
          <w:lang w:val="fr-CA"/>
        </w:rPr>
        <w:t xml:space="preserve"> </w:t>
      </w:r>
      <w:r w:rsidR="00813533" w:rsidRPr="00ED22D1">
        <w:rPr>
          <w:lang w:val="fr-CA"/>
        </w:rPr>
        <w:t>fourni pour le projet de renforcement des institutions</w:t>
      </w:r>
      <w:r w:rsidR="004A6828" w:rsidRPr="00ED22D1">
        <w:rPr>
          <w:lang w:val="fr-CA"/>
        </w:rPr>
        <w:t xml:space="preserve"> et </w:t>
      </w:r>
      <w:r w:rsidR="00813533" w:rsidRPr="00ED22D1">
        <w:rPr>
          <w:lang w:val="fr-CA"/>
        </w:rPr>
        <w:t xml:space="preserve">les activités de sensibilisation et de vulgarisation en cours de mise en oeuvre dans le </w:t>
      </w:r>
      <w:r w:rsidR="00181884" w:rsidRPr="00ED22D1">
        <w:rPr>
          <w:lang w:val="fr-CA"/>
        </w:rPr>
        <w:t>secteur de l’entretien</w:t>
      </w:r>
      <w:r w:rsidR="00813533" w:rsidRPr="00ED22D1">
        <w:rPr>
          <w:lang w:val="fr-CA"/>
        </w:rPr>
        <w:t>. L</w:t>
      </w:r>
      <w:r w:rsidR="00921BDE" w:rsidRPr="00ED22D1">
        <w:rPr>
          <w:lang w:val="fr-CA"/>
        </w:rPr>
        <w:t>e</w:t>
      </w:r>
      <w:r w:rsidR="00813533" w:rsidRPr="00ED22D1">
        <w:rPr>
          <w:lang w:val="fr-CA"/>
        </w:rPr>
        <w:t> </w:t>
      </w:r>
      <w:r w:rsidR="00921BDE" w:rsidRPr="00ED22D1">
        <w:rPr>
          <w:lang w:val="fr-CA"/>
        </w:rPr>
        <w:t>gouvernement</w:t>
      </w:r>
      <w:r w:rsidR="001F19C1" w:rsidRPr="00ED22D1">
        <w:rPr>
          <w:lang w:val="fr-CA"/>
        </w:rPr>
        <w:t xml:space="preserve"> </w:t>
      </w:r>
      <w:r w:rsidR="00181884" w:rsidRPr="00ED22D1">
        <w:rPr>
          <w:lang w:val="fr-CA"/>
        </w:rPr>
        <w:t>de la Chine</w:t>
      </w:r>
      <w:r w:rsidR="00387175" w:rsidRPr="00ED22D1">
        <w:rPr>
          <w:lang w:val="fr-CA"/>
        </w:rPr>
        <w:t xml:space="preserve"> </w:t>
      </w:r>
      <w:r w:rsidR="00813533" w:rsidRPr="00ED22D1">
        <w:rPr>
          <w:lang w:val="fr-CA"/>
        </w:rPr>
        <w:t>a</w:t>
      </w:r>
      <w:r w:rsidR="00387175" w:rsidRPr="00ED22D1">
        <w:rPr>
          <w:lang w:val="fr-CA"/>
        </w:rPr>
        <w:t xml:space="preserve"> </w:t>
      </w:r>
      <w:r w:rsidR="00FB1DC4" w:rsidRPr="00ED22D1">
        <w:rPr>
          <w:lang w:val="fr-CA"/>
        </w:rPr>
        <w:t>présenté</w:t>
      </w:r>
      <w:r w:rsidR="00387175" w:rsidRPr="00ED22D1">
        <w:rPr>
          <w:lang w:val="fr-CA"/>
        </w:rPr>
        <w:t xml:space="preserve"> </w:t>
      </w:r>
      <w:r w:rsidR="00813533" w:rsidRPr="00ED22D1">
        <w:rPr>
          <w:lang w:val="fr-CA"/>
        </w:rPr>
        <w:t xml:space="preserve">un rapport exhaustif sur la </w:t>
      </w:r>
      <w:r w:rsidR="00B84F94" w:rsidRPr="00ED22D1">
        <w:rPr>
          <w:lang w:val="fr-CA"/>
        </w:rPr>
        <w:t>durabilité</w:t>
      </w:r>
      <w:r w:rsidR="00387175" w:rsidRPr="00ED22D1">
        <w:rPr>
          <w:lang w:val="fr-CA"/>
        </w:rPr>
        <w:t xml:space="preserve"> </w:t>
      </w:r>
      <w:r w:rsidR="00813533" w:rsidRPr="00ED22D1">
        <w:rPr>
          <w:lang w:val="fr-CA"/>
        </w:rPr>
        <w:t>de</w:t>
      </w:r>
      <w:r w:rsidR="00387175" w:rsidRPr="00ED22D1">
        <w:rPr>
          <w:lang w:val="fr-CA"/>
        </w:rPr>
        <w:t xml:space="preserve"> </w:t>
      </w:r>
      <w:r w:rsidR="00733306" w:rsidRPr="00ED22D1">
        <w:rPr>
          <w:lang w:val="fr-CA"/>
        </w:rPr>
        <w:t>l’élimination</w:t>
      </w:r>
      <w:r w:rsidR="00387175" w:rsidRPr="00ED22D1">
        <w:rPr>
          <w:lang w:val="fr-CA"/>
        </w:rPr>
        <w:t xml:space="preserve"> </w:t>
      </w:r>
      <w:r w:rsidR="00813533" w:rsidRPr="00ED22D1">
        <w:rPr>
          <w:lang w:val="fr-CA"/>
        </w:rPr>
        <w:t>des</w:t>
      </w:r>
      <w:r w:rsidR="001B31BF" w:rsidRPr="00ED22D1">
        <w:rPr>
          <w:lang w:val="fr-CA"/>
        </w:rPr>
        <w:t xml:space="preserve"> SAO </w:t>
      </w:r>
      <w:r w:rsidR="00104BF4" w:rsidRPr="00ED22D1">
        <w:rPr>
          <w:lang w:val="fr-CA"/>
        </w:rPr>
        <w:t>à</w:t>
      </w:r>
      <w:r w:rsidR="00C7194D">
        <w:rPr>
          <w:lang w:val="fr-CA"/>
        </w:rPr>
        <w:t> </w:t>
      </w:r>
      <w:r w:rsidR="00104BF4" w:rsidRPr="00ED22D1">
        <w:rPr>
          <w:lang w:val="fr-CA"/>
        </w:rPr>
        <w:t>la</w:t>
      </w:r>
      <w:r w:rsidR="00F5455E" w:rsidRPr="00ED22D1">
        <w:rPr>
          <w:lang w:val="fr-CA"/>
        </w:rPr>
        <w:t xml:space="preserve"> 83</w:t>
      </w:r>
      <w:r w:rsidR="001B31BF" w:rsidRPr="00ED22D1">
        <w:rPr>
          <w:vertAlign w:val="superscript"/>
          <w:lang w:val="fr-CA"/>
        </w:rPr>
        <w:t xml:space="preserve">e </w:t>
      </w:r>
      <w:r w:rsidR="00DD185D" w:rsidRPr="00ED22D1">
        <w:rPr>
          <w:lang w:val="fr-CA"/>
        </w:rPr>
        <w:t>réunion</w:t>
      </w:r>
      <w:r w:rsidR="00387175" w:rsidRPr="00ED22D1">
        <w:rPr>
          <w:lang w:val="fr-CA"/>
        </w:rPr>
        <w:t xml:space="preserve">. </w:t>
      </w:r>
      <w:r w:rsidR="00813533" w:rsidRPr="00ED22D1">
        <w:rPr>
          <w:lang w:val="fr-CA"/>
        </w:rPr>
        <w:t xml:space="preserve">Le taux de décaissement global est de </w:t>
      </w:r>
      <w:r w:rsidR="00387175" w:rsidRPr="00ED22D1">
        <w:rPr>
          <w:lang w:val="fr-CA"/>
        </w:rPr>
        <w:t xml:space="preserve">48 </w:t>
      </w:r>
      <w:r w:rsidR="001B31BF" w:rsidRPr="00ED22D1">
        <w:rPr>
          <w:lang w:val="fr-CA"/>
        </w:rPr>
        <w:t>pour cent</w:t>
      </w:r>
      <w:r w:rsidR="00387175" w:rsidRPr="00ED22D1">
        <w:rPr>
          <w:lang w:val="fr-CA"/>
        </w:rPr>
        <w:t>.</w:t>
      </w:r>
    </w:p>
    <w:p w:rsidR="00387175" w:rsidRPr="00ED22D1" w:rsidRDefault="001B45EC" w:rsidP="00387175">
      <w:pPr>
        <w:keepNext/>
        <w:keepLines/>
        <w:spacing w:after="160"/>
        <w:jc w:val="left"/>
        <w:rPr>
          <w:rFonts w:eastAsia="Calibri"/>
          <w:b/>
          <w:lang w:val="fr-CA"/>
        </w:rPr>
      </w:pPr>
      <w:r w:rsidRPr="00ED22D1">
        <w:rPr>
          <w:rFonts w:eastAsia="Calibri"/>
          <w:b/>
          <w:lang w:val="fr-CA"/>
        </w:rPr>
        <w:t>RECOMMANDATION</w:t>
      </w:r>
    </w:p>
    <w:p w:rsidR="00387175" w:rsidRPr="00ED22D1" w:rsidRDefault="0055474B" w:rsidP="0055474B">
      <w:pPr>
        <w:pStyle w:val="Heading1"/>
        <w:keepNext/>
        <w:keepLines/>
        <w:numPr>
          <w:ilvl w:val="0"/>
          <w:numId w:val="0"/>
        </w:numPr>
        <w:rPr>
          <w:lang w:val="fr-CA"/>
        </w:rPr>
      </w:pPr>
      <w:r w:rsidRPr="00ED22D1">
        <w:rPr>
          <w:lang w:val="fr-CA"/>
        </w:rPr>
        <w:t>113.</w:t>
      </w:r>
      <w:r w:rsidRPr="00ED22D1">
        <w:rPr>
          <w:lang w:val="fr-CA"/>
        </w:rPr>
        <w:tab/>
      </w:r>
      <w:r w:rsidR="001B45EC" w:rsidRPr="00ED22D1">
        <w:rPr>
          <w:lang w:val="fr-CA"/>
        </w:rPr>
        <w:t xml:space="preserve">Le Comité exécutif </w:t>
      </w:r>
      <w:r w:rsidR="008158B2" w:rsidRPr="00ED22D1">
        <w:rPr>
          <w:lang w:val="fr-CA"/>
        </w:rPr>
        <w:t>pourrait souhaiter</w:t>
      </w:r>
      <w:r w:rsidR="00791BF7" w:rsidRPr="00ED22D1">
        <w:rPr>
          <w:lang w:val="fr-CA"/>
        </w:rPr>
        <w:t> :</w:t>
      </w:r>
    </w:p>
    <w:p w:rsidR="00387175" w:rsidRPr="00ED22D1" w:rsidRDefault="0055474B" w:rsidP="004C4937">
      <w:pPr>
        <w:pStyle w:val="Heading2"/>
        <w:keepNext/>
        <w:keepLines/>
        <w:numPr>
          <w:ilvl w:val="0"/>
          <w:numId w:val="0"/>
        </w:numPr>
        <w:ind w:left="1418" w:hanging="698"/>
        <w:rPr>
          <w:lang w:val="fr-CA"/>
        </w:rPr>
      </w:pPr>
      <w:r w:rsidRPr="00ED22D1">
        <w:rPr>
          <w:lang w:val="fr-CA"/>
        </w:rPr>
        <w:t>(a)</w:t>
      </w:r>
      <w:r w:rsidRPr="00ED22D1">
        <w:rPr>
          <w:lang w:val="fr-CA"/>
        </w:rPr>
        <w:tab/>
      </w:r>
      <w:r w:rsidR="008158B2" w:rsidRPr="00ED22D1">
        <w:rPr>
          <w:lang w:val="fr-CA"/>
        </w:rPr>
        <w:t xml:space="preserve">Prendre note du </w:t>
      </w:r>
      <w:r w:rsidR="00FB1DC4" w:rsidRPr="00ED22D1">
        <w:rPr>
          <w:lang w:val="fr-CA"/>
        </w:rPr>
        <w:t>rapport</w:t>
      </w:r>
      <w:r w:rsidR="004A6828" w:rsidRPr="00ED22D1">
        <w:rPr>
          <w:lang w:val="fr-CA"/>
        </w:rPr>
        <w:t xml:space="preserve"> périodique</w:t>
      </w:r>
      <w:r w:rsidR="00387175" w:rsidRPr="00ED22D1">
        <w:rPr>
          <w:lang w:val="fr-CA"/>
        </w:rPr>
        <w:t xml:space="preserve"> </w:t>
      </w:r>
      <w:r w:rsidR="00921BDE" w:rsidRPr="00ED22D1">
        <w:rPr>
          <w:lang w:val="fr-CA"/>
        </w:rPr>
        <w:t>sur la mise en oeuvre de la deuxième</w:t>
      </w:r>
      <w:r w:rsidR="00387175" w:rsidRPr="00ED22D1">
        <w:rPr>
          <w:lang w:val="fr-CA"/>
        </w:rPr>
        <w:t xml:space="preserve"> tranche </w:t>
      </w:r>
      <w:r w:rsidR="001B31BF" w:rsidRPr="00ED22D1">
        <w:rPr>
          <w:lang w:val="fr-CA"/>
        </w:rPr>
        <w:t>du plan du secteur de l’entretien</w:t>
      </w:r>
      <w:r w:rsidR="004A6828" w:rsidRPr="00ED22D1">
        <w:rPr>
          <w:lang w:val="fr-CA"/>
        </w:rPr>
        <w:t xml:space="preserve"> et</w:t>
      </w:r>
      <w:r w:rsidR="008158B2" w:rsidRPr="00ED22D1">
        <w:rPr>
          <w:lang w:val="fr-CA"/>
        </w:rPr>
        <w:t xml:space="preserve"> du</w:t>
      </w:r>
      <w:r w:rsidR="00387175" w:rsidRPr="00ED22D1">
        <w:rPr>
          <w:lang w:val="fr-CA"/>
        </w:rPr>
        <w:t xml:space="preserve"> </w:t>
      </w:r>
      <w:r w:rsidR="001B31BF" w:rsidRPr="00ED22D1">
        <w:rPr>
          <w:lang w:val="fr-CA"/>
        </w:rPr>
        <w:t>programme habilitant</w:t>
      </w:r>
      <w:r w:rsidR="00387175" w:rsidRPr="00ED22D1">
        <w:rPr>
          <w:lang w:val="fr-CA"/>
        </w:rPr>
        <w:t xml:space="preserve"> </w:t>
      </w:r>
      <w:r w:rsidR="00921BDE" w:rsidRPr="00ED22D1">
        <w:rPr>
          <w:lang w:val="fr-CA"/>
        </w:rPr>
        <w:t>de la phase</w:t>
      </w:r>
      <w:r w:rsidR="004A6828" w:rsidRPr="00ED22D1">
        <w:rPr>
          <w:lang w:val="fr-CA"/>
        </w:rPr>
        <w:t xml:space="preserve"> </w:t>
      </w:r>
      <w:r w:rsidR="00387175" w:rsidRPr="00ED22D1">
        <w:rPr>
          <w:lang w:val="fr-CA"/>
        </w:rPr>
        <w:t xml:space="preserve">II </w:t>
      </w:r>
      <w:r w:rsidR="00921BDE" w:rsidRPr="00ED22D1">
        <w:rPr>
          <w:lang w:val="fr-CA"/>
        </w:rPr>
        <w:t>du plan d’élimination</w:t>
      </w:r>
      <w:r w:rsidR="004A6828" w:rsidRPr="00ED22D1">
        <w:rPr>
          <w:lang w:val="fr-CA"/>
        </w:rPr>
        <w:t xml:space="preserve"> </w:t>
      </w:r>
      <w:r w:rsidR="008158B2" w:rsidRPr="00ED22D1">
        <w:rPr>
          <w:lang w:val="fr-CA"/>
        </w:rPr>
        <w:tab/>
      </w:r>
      <w:r w:rsidR="004A6828" w:rsidRPr="00ED22D1">
        <w:rPr>
          <w:lang w:val="fr-CA"/>
        </w:rPr>
        <w:t>des HCFC</w:t>
      </w:r>
      <w:r w:rsidR="00387175" w:rsidRPr="00ED22D1">
        <w:rPr>
          <w:lang w:val="fr-CA"/>
        </w:rPr>
        <w:t xml:space="preserve"> (</w:t>
      </w:r>
      <w:r w:rsidR="00DD185D" w:rsidRPr="00ED22D1">
        <w:rPr>
          <w:lang w:val="fr-CA"/>
        </w:rPr>
        <w:t>PGEH</w:t>
      </w:r>
      <w:r w:rsidR="00387175" w:rsidRPr="00ED22D1">
        <w:rPr>
          <w:lang w:val="fr-CA"/>
        </w:rPr>
        <w:t xml:space="preserve">) </w:t>
      </w:r>
      <w:r w:rsidR="001B31BF" w:rsidRPr="00ED22D1">
        <w:rPr>
          <w:lang w:val="fr-CA"/>
        </w:rPr>
        <w:t>de la Chine</w:t>
      </w:r>
      <w:r w:rsidR="00387175" w:rsidRPr="00ED22D1">
        <w:rPr>
          <w:lang w:val="fr-CA"/>
        </w:rPr>
        <w:t>;</w:t>
      </w:r>
      <w:r w:rsidR="004A6828" w:rsidRPr="00ED22D1">
        <w:rPr>
          <w:lang w:val="fr-CA"/>
        </w:rPr>
        <w:t xml:space="preserve"> et </w:t>
      </w:r>
    </w:p>
    <w:p w:rsidR="00387175" w:rsidRPr="00ED22D1" w:rsidRDefault="0055474B" w:rsidP="00EB650F">
      <w:pPr>
        <w:pStyle w:val="Heading2"/>
        <w:keepNext/>
        <w:keepLines/>
        <w:numPr>
          <w:ilvl w:val="0"/>
          <w:numId w:val="0"/>
        </w:numPr>
        <w:ind w:left="1418" w:hanging="698"/>
        <w:rPr>
          <w:rFonts w:eastAsia="Calibri"/>
          <w:lang w:val="fr-CA"/>
        </w:rPr>
      </w:pPr>
      <w:r w:rsidRPr="00ED22D1">
        <w:rPr>
          <w:rFonts w:eastAsia="Calibri"/>
          <w:lang w:val="fr-CA"/>
        </w:rPr>
        <w:t>(b)</w:t>
      </w:r>
      <w:r w:rsidRPr="00ED22D1">
        <w:rPr>
          <w:rFonts w:eastAsia="Calibri"/>
          <w:lang w:val="fr-CA"/>
        </w:rPr>
        <w:tab/>
      </w:r>
      <w:r w:rsidR="008158B2" w:rsidRPr="00ED22D1">
        <w:rPr>
          <w:rFonts w:eastAsia="Calibri"/>
          <w:lang w:val="fr-CA"/>
        </w:rPr>
        <w:t>Approuver</w:t>
      </w:r>
      <w:r w:rsidR="00387175" w:rsidRPr="00ED22D1">
        <w:rPr>
          <w:rFonts w:eastAsia="Calibri"/>
          <w:lang w:val="fr-CA"/>
        </w:rPr>
        <w:t xml:space="preserve"> </w:t>
      </w:r>
      <w:r w:rsidR="00874624" w:rsidRPr="00ED22D1">
        <w:rPr>
          <w:rFonts w:eastAsia="Calibri"/>
          <w:lang w:val="fr-CA"/>
        </w:rPr>
        <w:t>la troisième</w:t>
      </w:r>
      <w:r w:rsidR="00387175" w:rsidRPr="00ED22D1">
        <w:rPr>
          <w:rFonts w:eastAsia="Calibri"/>
          <w:lang w:val="fr-CA"/>
        </w:rPr>
        <w:t xml:space="preserve"> tranche </w:t>
      </w:r>
      <w:r w:rsidR="001B31BF" w:rsidRPr="00ED22D1">
        <w:rPr>
          <w:rFonts w:eastAsia="Calibri"/>
          <w:lang w:val="fr-CA"/>
        </w:rPr>
        <w:t>du plan du secteur de l’entretien</w:t>
      </w:r>
      <w:r w:rsidR="004A6828" w:rsidRPr="00ED22D1">
        <w:rPr>
          <w:rFonts w:eastAsia="Calibri"/>
          <w:lang w:val="fr-CA"/>
        </w:rPr>
        <w:t xml:space="preserve"> et </w:t>
      </w:r>
      <w:r w:rsidR="008158B2" w:rsidRPr="00ED22D1">
        <w:rPr>
          <w:rFonts w:eastAsia="Calibri"/>
          <w:lang w:val="fr-CA"/>
        </w:rPr>
        <w:t>le</w:t>
      </w:r>
      <w:r w:rsidR="00387175" w:rsidRPr="00ED22D1">
        <w:rPr>
          <w:rFonts w:eastAsia="Calibri"/>
          <w:lang w:val="fr-CA"/>
        </w:rPr>
        <w:t xml:space="preserve"> </w:t>
      </w:r>
      <w:r w:rsidR="001B31BF" w:rsidRPr="00ED22D1">
        <w:rPr>
          <w:rFonts w:eastAsia="Calibri"/>
          <w:lang w:val="fr-CA"/>
        </w:rPr>
        <w:t xml:space="preserve">programme </w:t>
      </w:r>
      <w:r w:rsidRPr="00ED22D1">
        <w:rPr>
          <w:rFonts w:eastAsia="Calibri"/>
          <w:lang w:val="fr-CA"/>
        </w:rPr>
        <w:tab/>
      </w:r>
      <w:r w:rsidR="001B31BF" w:rsidRPr="00ED22D1">
        <w:rPr>
          <w:rFonts w:eastAsia="Calibri"/>
          <w:lang w:val="fr-CA"/>
        </w:rPr>
        <w:t>habilitant</w:t>
      </w:r>
      <w:r w:rsidR="00387175" w:rsidRPr="00ED22D1">
        <w:rPr>
          <w:rFonts w:eastAsia="Calibri"/>
          <w:lang w:val="fr-CA"/>
        </w:rPr>
        <w:t xml:space="preserve"> </w:t>
      </w:r>
      <w:r w:rsidR="00921BDE" w:rsidRPr="00ED22D1">
        <w:rPr>
          <w:rFonts w:eastAsia="Calibri"/>
          <w:lang w:val="fr-CA"/>
        </w:rPr>
        <w:t>de la phase</w:t>
      </w:r>
      <w:r w:rsidR="004A6828" w:rsidRPr="00ED22D1">
        <w:rPr>
          <w:rFonts w:eastAsia="Calibri"/>
          <w:lang w:val="fr-CA"/>
        </w:rPr>
        <w:t xml:space="preserve"> </w:t>
      </w:r>
      <w:r w:rsidR="00387175" w:rsidRPr="00ED22D1">
        <w:rPr>
          <w:rFonts w:eastAsia="Calibri"/>
          <w:lang w:val="fr-CA"/>
        </w:rPr>
        <w:t xml:space="preserve">II </w:t>
      </w:r>
      <w:r w:rsidR="001F19C1" w:rsidRPr="00ED22D1">
        <w:rPr>
          <w:rFonts w:eastAsia="Calibri"/>
          <w:lang w:val="fr-CA"/>
        </w:rPr>
        <w:t>du PGEH</w:t>
      </w:r>
      <w:r w:rsidR="00387175" w:rsidRPr="00ED22D1">
        <w:rPr>
          <w:rFonts w:eastAsia="Calibri"/>
          <w:lang w:val="fr-CA"/>
        </w:rPr>
        <w:t xml:space="preserve"> </w:t>
      </w:r>
      <w:r w:rsidR="001B31BF" w:rsidRPr="00ED22D1">
        <w:rPr>
          <w:rFonts w:eastAsia="Calibri"/>
          <w:lang w:val="fr-CA"/>
        </w:rPr>
        <w:t>de la Chine</w:t>
      </w:r>
      <w:r w:rsidR="00387175" w:rsidRPr="00ED22D1">
        <w:rPr>
          <w:rFonts w:eastAsia="Calibri"/>
          <w:lang w:val="fr-CA"/>
        </w:rPr>
        <w:t>,</w:t>
      </w:r>
      <w:r w:rsidR="004A6828" w:rsidRPr="00ED22D1">
        <w:rPr>
          <w:rFonts w:eastAsia="Calibri"/>
          <w:lang w:val="fr-CA"/>
        </w:rPr>
        <w:t xml:space="preserve"> et </w:t>
      </w:r>
      <w:r w:rsidR="008158B2" w:rsidRPr="00ED22D1">
        <w:rPr>
          <w:rFonts w:eastAsia="Calibri"/>
          <w:lang w:val="fr-CA"/>
        </w:rPr>
        <w:t xml:space="preserve">le plan correspondant de </w:t>
      </w:r>
      <w:r w:rsidR="00387175" w:rsidRPr="00ED22D1">
        <w:rPr>
          <w:rFonts w:eastAsia="Calibri"/>
          <w:lang w:val="fr-CA"/>
        </w:rPr>
        <w:t xml:space="preserve">2019-2020 </w:t>
      </w:r>
      <w:r w:rsidR="008158B2" w:rsidRPr="00ED22D1">
        <w:rPr>
          <w:rFonts w:eastAsia="Calibri"/>
          <w:lang w:val="fr-CA"/>
        </w:rPr>
        <w:t>pour la</w:t>
      </w:r>
      <w:r w:rsidR="001B31BF" w:rsidRPr="00ED22D1">
        <w:rPr>
          <w:rFonts w:eastAsia="Calibri"/>
          <w:lang w:val="fr-CA"/>
        </w:rPr>
        <w:t xml:space="preserve"> mise en oeuvre de la tranche</w:t>
      </w:r>
      <w:r w:rsidR="00387175" w:rsidRPr="00ED22D1">
        <w:rPr>
          <w:rFonts w:eastAsia="Calibri"/>
          <w:lang w:val="fr-CA"/>
        </w:rPr>
        <w:t xml:space="preserve">, </w:t>
      </w:r>
      <w:r w:rsidR="001B31BF" w:rsidRPr="00ED22D1">
        <w:rPr>
          <w:rFonts w:eastAsia="Calibri"/>
          <w:lang w:val="fr-CA"/>
        </w:rPr>
        <w:t xml:space="preserve">au montant de </w:t>
      </w:r>
      <w:r w:rsidR="004A6828" w:rsidRPr="00ED22D1">
        <w:rPr>
          <w:rFonts w:eastAsia="Calibri"/>
          <w:lang w:val="fr-CA"/>
        </w:rPr>
        <w:t>4 </w:t>
      </w:r>
      <w:r w:rsidR="00387175" w:rsidRPr="00ED22D1">
        <w:rPr>
          <w:rFonts w:eastAsia="Calibri"/>
          <w:lang w:val="fr-CA"/>
        </w:rPr>
        <w:t>28</w:t>
      </w:r>
      <w:r w:rsidR="004A6828" w:rsidRPr="00ED22D1">
        <w:rPr>
          <w:rFonts w:eastAsia="Calibri"/>
          <w:lang w:val="fr-CA"/>
        </w:rPr>
        <w:t>1 </w:t>
      </w:r>
      <w:r w:rsidR="00387175" w:rsidRPr="00ED22D1">
        <w:rPr>
          <w:rFonts w:eastAsia="Calibri"/>
          <w:lang w:val="fr-CA"/>
        </w:rPr>
        <w:t>83</w:t>
      </w:r>
      <w:r w:rsidR="004A6828" w:rsidRPr="00ED22D1">
        <w:rPr>
          <w:rFonts w:eastAsia="Calibri"/>
          <w:lang w:val="fr-CA"/>
        </w:rPr>
        <w:t>1</w:t>
      </w:r>
      <w:r w:rsidR="00EC100C" w:rsidRPr="00ED22D1">
        <w:rPr>
          <w:rFonts w:eastAsia="Calibri"/>
          <w:lang w:val="fr-CA"/>
        </w:rPr>
        <w:t> $US,</w:t>
      </w:r>
      <w:r w:rsidR="004A6828" w:rsidRPr="00ED22D1">
        <w:rPr>
          <w:rFonts w:eastAsia="Calibri"/>
          <w:lang w:val="fr-CA"/>
        </w:rPr>
        <w:t> </w:t>
      </w:r>
      <w:r w:rsidR="008158B2" w:rsidRPr="00ED22D1">
        <w:rPr>
          <w:rFonts w:eastAsia="Calibri"/>
          <w:lang w:val="fr-CA"/>
        </w:rPr>
        <w:t xml:space="preserve">soit </w:t>
      </w:r>
      <w:r w:rsidR="004A6828" w:rsidRPr="00ED22D1">
        <w:rPr>
          <w:rFonts w:eastAsia="Calibri"/>
          <w:lang w:val="fr-CA"/>
        </w:rPr>
        <w:t>3 </w:t>
      </w:r>
      <w:r w:rsidR="00387175" w:rsidRPr="00ED22D1">
        <w:rPr>
          <w:rFonts w:eastAsia="Calibri"/>
          <w:lang w:val="fr-CA"/>
        </w:rPr>
        <w:t>27</w:t>
      </w:r>
      <w:r w:rsidR="004A6828" w:rsidRPr="00ED22D1">
        <w:rPr>
          <w:rFonts w:eastAsia="Calibri"/>
          <w:lang w:val="fr-CA"/>
        </w:rPr>
        <w:t>0</w:t>
      </w:r>
      <w:r w:rsidR="00BA42C0" w:rsidRPr="00ED22D1">
        <w:rPr>
          <w:rFonts w:eastAsia="Calibri"/>
          <w:lang w:val="fr-CA"/>
        </w:rPr>
        <w:t> 000 $US</w:t>
      </w:r>
      <w:r w:rsidR="004A6828" w:rsidRPr="00ED22D1">
        <w:rPr>
          <w:rFonts w:eastAsia="Calibri"/>
          <w:lang w:val="fr-CA"/>
        </w:rPr>
        <w:t> </w:t>
      </w:r>
      <w:r w:rsidR="00387175" w:rsidRPr="00ED22D1">
        <w:rPr>
          <w:rFonts w:eastAsia="Calibri"/>
          <w:lang w:val="fr-CA"/>
        </w:rPr>
        <w:t xml:space="preserve"> </w:t>
      </w:r>
      <w:r w:rsidR="001B31BF" w:rsidRPr="00ED22D1">
        <w:rPr>
          <w:rFonts w:eastAsia="Calibri"/>
          <w:lang w:val="fr-CA"/>
        </w:rPr>
        <w:t>plus des coûts</w:t>
      </w:r>
      <w:r w:rsidR="00DD185D" w:rsidRPr="00ED22D1">
        <w:rPr>
          <w:rFonts w:eastAsia="Calibri"/>
          <w:lang w:val="fr-CA"/>
        </w:rPr>
        <w:t xml:space="preserve"> d’appui d’</w:t>
      </w:r>
      <w:r w:rsidR="001B31BF" w:rsidRPr="00ED22D1">
        <w:rPr>
          <w:rFonts w:eastAsia="Calibri"/>
          <w:lang w:val="fr-CA"/>
        </w:rPr>
        <w:t>agence de</w:t>
      </w:r>
      <w:r w:rsidR="00387175" w:rsidRPr="00ED22D1">
        <w:rPr>
          <w:rFonts w:eastAsia="Calibri"/>
          <w:lang w:val="fr-CA"/>
        </w:rPr>
        <w:t xml:space="preserve"> 36</w:t>
      </w:r>
      <w:r w:rsidR="004A6828" w:rsidRPr="00ED22D1">
        <w:rPr>
          <w:rFonts w:eastAsia="Calibri"/>
          <w:lang w:val="fr-CA"/>
        </w:rPr>
        <w:t>1 </w:t>
      </w:r>
      <w:r w:rsidR="00387175" w:rsidRPr="00ED22D1">
        <w:rPr>
          <w:rFonts w:eastAsia="Calibri"/>
          <w:lang w:val="fr-CA"/>
        </w:rPr>
        <w:t>431</w:t>
      </w:r>
      <w:r w:rsidR="00EC100C" w:rsidRPr="00ED22D1">
        <w:rPr>
          <w:rFonts w:eastAsia="Calibri"/>
          <w:lang w:val="fr-CA"/>
        </w:rPr>
        <w:t> $US</w:t>
      </w:r>
      <w:r w:rsidR="00387175" w:rsidRPr="00ED22D1">
        <w:rPr>
          <w:rFonts w:eastAsia="Calibri"/>
          <w:lang w:val="fr-CA"/>
        </w:rPr>
        <w:t xml:space="preserve"> </w:t>
      </w:r>
      <w:r w:rsidR="001B31BF" w:rsidRPr="00ED22D1">
        <w:rPr>
          <w:rFonts w:eastAsia="Calibri"/>
          <w:lang w:val="fr-CA"/>
        </w:rPr>
        <w:t>pour le PNUE</w:t>
      </w:r>
      <w:r w:rsidR="00C40670">
        <w:rPr>
          <w:rFonts w:eastAsia="Calibri"/>
          <w:lang w:val="fr-CA"/>
        </w:rPr>
        <w:t>;</w:t>
      </w:r>
      <w:r w:rsidR="00387175" w:rsidRPr="00ED22D1">
        <w:rPr>
          <w:rFonts w:eastAsia="Calibri"/>
          <w:lang w:val="fr-CA"/>
        </w:rPr>
        <w:t xml:space="preserve"> 50</w:t>
      </w:r>
      <w:r w:rsidR="004A6828" w:rsidRPr="00ED22D1">
        <w:rPr>
          <w:rFonts w:eastAsia="Calibri"/>
          <w:lang w:val="fr-CA"/>
        </w:rPr>
        <w:t>0</w:t>
      </w:r>
      <w:r w:rsidR="00BA42C0" w:rsidRPr="00ED22D1">
        <w:rPr>
          <w:rFonts w:eastAsia="Calibri"/>
          <w:lang w:val="fr-CA"/>
        </w:rPr>
        <w:t> 000 $US</w:t>
      </w:r>
      <w:r w:rsidR="004A6828" w:rsidRPr="00ED22D1">
        <w:rPr>
          <w:rFonts w:eastAsia="Calibri"/>
          <w:lang w:val="fr-CA"/>
        </w:rPr>
        <w:t> </w:t>
      </w:r>
      <w:r w:rsidR="001B31BF" w:rsidRPr="00ED22D1">
        <w:rPr>
          <w:rFonts w:eastAsia="Calibri"/>
          <w:lang w:val="fr-CA"/>
        </w:rPr>
        <w:t>plus des coûts</w:t>
      </w:r>
      <w:r w:rsidR="00DD185D" w:rsidRPr="00ED22D1">
        <w:rPr>
          <w:rFonts w:eastAsia="Calibri"/>
          <w:lang w:val="fr-CA"/>
        </w:rPr>
        <w:t xml:space="preserve"> d’appui d’</w:t>
      </w:r>
      <w:r w:rsidR="001B31BF" w:rsidRPr="00ED22D1">
        <w:rPr>
          <w:rFonts w:eastAsia="Calibri"/>
          <w:lang w:val="fr-CA"/>
        </w:rPr>
        <w:t>agence de</w:t>
      </w:r>
      <w:r w:rsidR="00387175" w:rsidRPr="00ED22D1">
        <w:rPr>
          <w:rFonts w:eastAsia="Calibri"/>
          <w:lang w:val="fr-CA"/>
        </w:rPr>
        <w:t xml:space="preserve"> 6</w:t>
      </w:r>
      <w:r w:rsidR="004A6828" w:rsidRPr="00ED22D1">
        <w:rPr>
          <w:rFonts w:eastAsia="Calibri"/>
          <w:lang w:val="fr-CA"/>
        </w:rPr>
        <w:t>0</w:t>
      </w:r>
      <w:r w:rsidR="00BA42C0" w:rsidRPr="00ED22D1">
        <w:rPr>
          <w:rFonts w:eastAsia="Calibri"/>
          <w:lang w:val="fr-CA"/>
        </w:rPr>
        <w:t> 000 $US</w:t>
      </w:r>
      <w:r w:rsidR="00387175" w:rsidRPr="00ED22D1">
        <w:rPr>
          <w:rFonts w:eastAsia="Calibri"/>
          <w:lang w:val="fr-CA"/>
        </w:rPr>
        <w:t xml:space="preserve"> </w:t>
      </w:r>
      <w:r w:rsidR="00921BDE" w:rsidRPr="00ED22D1">
        <w:rPr>
          <w:rFonts w:eastAsia="Calibri"/>
          <w:lang w:val="fr-CA"/>
        </w:rPr>
        <w:t>pour le gouvernement</w:t>
      </w:r>
      <w:r w:rsidR="001F19C1" w:rsidRPr="00ED22D1">
        <w:rPr>
          <w:rFonts w:eastAsia="Calibri"/>
          <w:lang w:val="fr-CA"/>
        </w:rPr>
        <w:t xml:space="preserve"> de l’Allemagne</w:t>
      </w:r>
      <w:r w:rsidR="00C40670">
        <w:rPr>
          <w:rFonts w:eastAsia="Calibri"/>
          <w:lang w:val="fr-CA"/>
        </w:rPr>
        <w:t>;</w:t>
      </w:r>
      <w:r w:rsidR="004A6828" w:rsidRPr="00ED22D1">
        <w:rPr>
          <w:rFonts w:eastAsia="Calibri"/>
          <w:lang w:val="fr-CA"/>
        </w:rPr>
        <w:t xml:space="preserve"> et</w:t>
      </w:r>
      <w:r w:rsidR="008158B2" w:rsidRPr="00ED22D1">
        <w:rPr>
          <w:rFonts w:eastAsia="Calibri"/>
          <w:lang w:val="fr-CA"/>
        </w:rPr>
        <w:t> </w:t>
      </w:r>
      <w:r w:rsidR="00387175" w:rsidRPr="00ED22D1">
        <w:rPr>
          <w:rFonts w:eastAsia="Calibri"/>
          <w:lang w:val="fr-CA"/>
        </w:rPr>
        <w:t>8</w:t>
      </w:r>
      <w:r w:rsidR="004A6828" w:rsidRPr="00ED22D1">
        <w:rPr>
          <w:rFonts w:eastAsia="Calibri"/>
          <w:lang w:val="fr-CA"/>
        </w:rPr>
        <w:t>0</w:t>
      </w:r>
      <w:r w:rsidR="00BA42C0" w:rsidRPr="00ED22D1">
        <w:rPr>
          <w:rFonts w:eastAsia="Calibri"/>
          <w:lang w:val="fr-CA"/>
        </w:rPr>
        <w:t> 000 $US</w:t>
      </w:r>
      <w:r w:rsidR="004A6828" w:rsidRPr="00ED22D1">
        <w:rPr>
          <w:rFonts w:eastAsia="Calibri"/>
          <w:lang w:val="fr-CA"/>
        </w:rPr>
        <w:t> </w:t>
      </w:r>
      <w:r w:rsidR="00387175" w:rsidRPr="00ED22D1">
        <w:rPr>
          <w:rFonts w:eastAsia="Calibri"/>
          <w:lang w:val="fr-CA"/>
        </w:rPr>
        <w:t xml:space="preserve"> </w:t>
      </w:r>
      <w:r w:rsidR="001B31BF" w:rsidRPr="00ED22D1">
        <w:rPr>
          <w:rFonts w:eastAsia="Calibri"/>
          <w:lang w:val="fr-CA"/>
        </w:rPr>
        <w:t>plus des coûts</w:t>
      </w:r>
      <w:r w:rsidR="00DD185D" w:rsidRPr="00ED22D1">
        <w:rPr>
          <w:rFonts w:eastAsia="Calibri"/>
          <w:lang w:val="fr-CA"/>
        </w:rPr>
        <w:t xml:space="preserve"> d’appui d’</w:t>
      </w:r>
      <w:r w:rsidR="001B31BF" w:rsidRPr="00ED22D1">
        <w:rPr>
          <w:rFonts w:eastAsia="Calibri"/>
          <w:lang w:val="fr-CA"/>
        </w:rPr>
        <w:t>agence de</w:t>
      </w:r>
      <w:r w:rsidR="00387175" w:rsidRPr="00ED22D1">
        <w:rPr>
          <w:rFonts w:eastAsia="Calibri"/>
          <w:lang w:val="fr-CA"/>
        </w:rPr>
        <w:t xml:space="preserve"> 1</w:t>
      </w:r>
      <w:r w:rsidR="004A6828" w:rsidRPr="00ED22D1">
        <w:rPr>
          <w:rFonts w:eastAsia="Calibri"/>
          <w:lang w:val="fr-CA"/>
        </w:rPr>
        <w:t>0 </w:t>
      </w:r>
      <w:r w:rsidR="00387175" w:rsidRPr="00ED22D1">
        <w:rPr>
          <w:rFonts w:eastAsia="Calibri"/>
          <w:lang w:val="fr-CA"/>
        </w:rPr>
        <w:t>400</w:t>
      </w:r>
      <w:r w:rsidR="00EC100C" w:rsidRPr="00ED22D1">
        <w:rPr>
          <w:rFonts w:eastAsia="Calibri"/>
          <w:lang w:val="fr-CA"/>
        </w:rPr>
        <w:t> $US</w:t>
      </w:r>
      <w:r w:rsidR="00387175" w:rsidRPr="00ED22D1">
        <w:rPr>
          <w:rFonts w:eastAsia="Calibri"/>
          <w:lang w:val="fr-CA"/>
        </w:rPr>
        <w:t xml:space="preserve"> </w:t>
      </w:r>
      <w:r w:rsidR="00921BDE" w:rsidRPr="00ED22D1">
        <w:rPr>
          <w:rFonts w:eastAsia="Calibri"/>
          <w:lang w:val="fr-CA"/>
        </w:rPr>
        <w:t>pour le gouvernement</w:t>
      </w:r>
      <w:r w:rsidR="001F19C1" w:rsidRPr="00ED22D1">
        <w:rPr>
          <w:rFonts w:eastAsia="Calibri"/>
          <w:lang w:val="fr-CA"/>
        </w:rPr>
        <w:t xml:space="preserve"> </w:t>
      </w:r>
      <w:r w:rsidR="001B31BF" w:rsidRPr="00ED22D1">
        <w:rPr>
          <w:rFonts w:eastAsia="Calibri"/>
          <w:lang w:val="fr-CA"/>
        </w:rPr>
        <w:t>du</w:t>
      </w:r>
      <w:r w:rsidR="008158B2" w:rsidRPr="00ED22D1">
        <w:rPr>
          <w:rFonts w:eastAsia="Calibri"/>
          <w:lang w:val="fr-CA"/>
        </w:rPr>
        <w:t> </w:t>
      </w:r>
      <w:r w:rsidR="001B31BF" w:rsidRPr="00ED22D1">
        <w:rPr>
          <w:rFonts w:eastAsia="Calibri"/>
          <w:lang w:val="fr-CA"/>
        </w:rPr>
        <w:t>Japon</w:t>
      </w:r>
      <w:r w:rsidR="00387175" w:rsidRPr="00ED22D1">
        <w:rPr>
          <w:rFonts w:eastAsia="Calibri"/>
          <w:lang w:val="fr-CA"/>
        </w:rPr>
        <w:t>.</w:t>
      </w:r>
    </w:p>
    <w:p w:rsidR="00387175" w:rsidRPr="00ED22D1" w:rsidRDefault="00387175" w:rsidP="00387175">
      <w:pPr>
        <w:rPr>
          <w:lang w:val="fr-CA"/>
        </w:rPr>
      </w:pPr>
    </w:p>
    <w:p w:rsidR="00387175" w:rsidRPr="00ED22D1" w:rsidRDefault="00387175" w:rsidP="00387175">
      <w:pPr>
        <w:jc w:val="left"/>
        <w:rPr>
          <w:lang w:val="fr-CA"/>
        </w:rPr>
      </w:pPr>
      <w:r w:rsidRPr="00ED22D1">
        <w:rPr>
          <w:lang w:val="fr-CA"/>
        </w:rPr>
        <w:br w:type="page"/>
      </w:r>
    </w:p>
    <w:p w:rsidR="00387175" w:rsidRPr="00ED22D1" w:rsidRDefault="00EA1D72" w:rsidP="00387175">
      <w:pPr>
        <w:jc w:val="center"/>
        <w:rPr>
          <w:b/>
          <w:lang w:val="fr-CA"/>
        </w:rPr>
      </w:pPr>
      <w:r w:rsidRPr="00ED22D1">
        <w:rPr>
          <w:b/>
          <w:bCs/>
          <w:lang w:val="fr-CA"/>
        </w:rPr>
        <w:lastRenderedPageBreak/>
        <w:t>FICHE D’ÉVALUATION DE PROJET - PROJETS PLURIANNUELS</w:t>
      </w:r>
    </w:p>
    <w:p w:rsidR="00387175" w:rsidRPr="00ED22D1" w:rsidRDefault="00387175" w:rsidP="00387175">
      <w:pPr>
        <w:jc w:val="center"/>
        <w:rPr>
          <w:b/>
          <w:lang w:val="fr-CA"/>
        </w:rPr>
      </w:pPr>
    </w:p>
    <w:p w:rsidR="00387175" w:rsidRPr="00ED22D1" w:rsidRDefault="00D26EF9" w:rsidP="00387175">
      <w:pPr>
        <w:jc w:val="center"/>
        <w:rPr>
          <w:b/>
          <w:lang w:val="fr-CA"/>
        </w:rPr>
      </w:pPr>
      <w:r w:rsidRPr="00ED22D1">
        <w:rPr>
          <w:b/>
          <w:lang w:val="fr-CA"/>
        </w:rPr>
        <w:t>Chine</w:t>
      </w:r>
    </w:p>
    <w:p w:rsidR="00387175" w:rsidRPr="00ED22D1" w:rsidRDefault="00387175" w:rsidP="00387175">
      <w:pPr>
        <w:pStyle w:val="Title1"/>
        <w:rPr>
          <w:lang w:val="fr-CA"/>
        </w:rPr>
      </w:pPr>
    </w:p>
    <w:tbl>
      <w:tblPr>
        <w:tblStyle w:val="TableGrid"/>
        <w:tblW w:w="5000" w:type="pct"/>
        <w:tblLook w:val="04A0" w:firstRow="1" w:lastRow="0" w:firstColumn="1" w:lastColumn="0" w:noHBand="0" w:noVBand="1"/>
      </w:tblPr>
      <w:tblGrid>
        <w:gridCol w:w="3334"/>
        <w:gridCol w:w="1406"/>
        <w:gridCol w:w="2434"/>
        <w:gridCol w:w="2402"/>
      </w:tblGrid>
      <w:tr w:rsidR="00EA1D72" w:rsidRPr="00ED22D1" w:rsidTr="00387175">
        <w:trPr>
          <w:trHeight w:val="240"/>
        </w:trPr>
        <w:tc>
          <w:tcPr>
            <w:tcW w:w="1741" w:type="pct"/>
            <w:shd w:val="clear" w:color="auto" w:fill="auto"/>
          </w:tcPr>
          <w:p w:rsidR="00EA1D72" w:rsidRPr="00ED22D1" w:rsidRDefault="00EA1D72" w:rsidP="00EA1D72">
            <w:pPr>
              <w:spacing w:after="80"/>
              <w:jc w:val="left"/>
              <w:rPr>
                <w:b/>
                <w:sz w:val="20"/>
                <w:szCs w:val="24"/>
                <w:lang w:val="fr-CA"/>
              </w:rPr>
            </w:pPr>
            <w:r w:rsidRPr="00ED22D1">
              <w:rPr>
                <w:b/>
                <w:sz w:val="20"/>
                <w:szCs w:val="24"/>
                <w:lang w:val="fr-CA"/>
              </w:rPr>
              <w:t>(I) TITRE DU PROJET</w:t>
            </w:r>
          </w:p>
        </w:tc>
        <w:tc>
          <w:tcPr>
            <w:tcW w:w="734" w:type="pct"/>
            <w:shd w:val="clear" w:color="auto" w:fill="auto"/>
          </w:tcPr>
          <w:p w:rsidR="00EA1D72" w:rsidRPr="00ED22D1" w:rsidRDefault="00EA1D72" w:rsidP="00EA1D72">
            <w:pPr>
              <w:spacing w:after="80"/>
              <w:jc w:val="center"/>
              <w:rPr>
                <w:b/>
                <w:sz w:val="20"/>
                <w:szCs w:val="24"/>
                <w:lang w:val="fr-CA"/>
              </w:rPr>
            </w:pPr>
            <w:r w:rsidRPr="00ED22D1">
              <w:rPr>
                <w:b/>
                <w:sz w:val="20"/>
                <w:szCs w:val="24"/>
                <w:lang w:val="fr-CA"/>
              </w:rPr>
              <w:t>AGENCE</w:t>
            </w:r>
          </w:p>
        </w:tc>
        <w:tc>
          <w:tcPr>
            <w:tcW w:w="1271" w:type="pct"/>
            <w:shd w:val="clear" w:color="auto" w:fill="auto"/>
          </w:tcPr>
          <w:p w:rsidR="00EA1D72" w:rsidRPr="00ED22D1" w:rsidRDefault="00EA1D72" w:rsidP="00EA1D72">
            <w:pPr>
              <w:spacing w:after="80"/>
              <w:jc w:val="center"/>
              <w:rPr>
                <w:b/>
                <w:sz w:val="18"/>
                <w:lang w:val="fr-CA"/>
              </w:rPr>
            </w:pPr>
            <w:r w:rsidRPr="00ED22D1">
              <w:rPr>
                <w:b/>
                <w:sz w:val="18"/>
                <w:lang w:val="fr-CA"/>
              </w:rPr>
              <w:t>RÉUNION APPROUVÉE</w:t>
            </w:r>
          </w:p>
        </w:tc>
        <w:tc>
          <w:tcPr>
            <w:tcW w:w="1254" w:type="pct"/>
            <w:shd w:val="clear" w:color="auto" w:fill="auto"/>
          </w:tcPr>
          <w:p w:rsidR="00EA1D72" w:rsidRPr="00ED22D1" w:rsidRDefault="00EA1D72" w:rsidP="00EA1D72">
            <w:pPr>
              <w:spacing w:after="80"/>
              <w:jc w:val="center"/>
              <w:rPr>
                <w:b/>
                <w:sz w:val="20"/>
                <w:szCs w:val="24"/>
                <w:lang w:val="fr-CA"/>
              </w:rPr>
            </w:pPr>
            <w:r w:rsidRPr="00ED22D1">
              <w:rPr>
                <w:b/>
                <w:sz w:val="20"/>
                <w:szCs w:val="24"/>
                <w:lang w:val="fr-CA"/>
              </w:rPr>
              <w:t>MESURE DE RÉGLEMENTATION</w:t>
            </w:r>
          </w:p>
        </w:tc>
      </w:tr>
      <w:tr w:rsidR="00387175" w:rsidRPr="00ED22D1" w:rsidTr="00387175">
        <w:trPr>
          <w:trHeight w:val="240"/>
        </w:trPr>
        <w:tc>
          <w:tcPr>
            <w:tcW w:w="1741" w:type="pct"/>
            <w:shd w:val="clear" w:color="auto" w:fill="auto"/>
          </w:tcPr>
          <w:p w:rsidR="00387175" w:rsidRPr="00ED22D1" w:rsidRDefault="00EA1D72" w:rsidP="00EA1D72">
            <w:pPr>
              <w:spacing w:after="80"/>
              <w:jc w:val="center"/>
              <w:rPr>
                <w:sz w:val="18"/>
                <w:lang w:val="fr-CA"/>
              </w:rPr>
            </w:pPr>
            <w:r w:rsidRPr="00ED22D1">
              <w:rPr>
                <w:sz w:val="20"/>
                <w:szCs w:val="24"/>
                <w:lang w:val="fr-CA"/>
              </w:rPr>
              <w:t xml:space="preserve">Plan d’élimination des HCFC </w:t>
            </w:r>
            <w:r w:rsidR="004A6828" w:rsidRPr="00ED22D1">
              <w:rPr>
                <w:sz w:val="18"/>
                <w:lang w:val="fr-CA"/>
              </w:rPr>
              <w:t>(phase</w:t>
            </w:r>
            <w:r w:rsidR="00387175" w:rsidRPr="00ED22D1">
              <w:rPr>
                <w:sz w:val="18"/>
                <w:lang w:val="fr-CA"/>
              </w:rPr>
              <w:t xml:space="preserve"> II) </w:t>
            </w:r>
            <w:r w:rsidRPr="00ED22D1">
              <w:rPr>
                <w:sz w:val="18"/>
                <w:lang w:val="fr-CA"/>
              </w:rPr>
              <w:t>S</w:t>
            </w:r>
            <w:r w:rsidR="0052712E" w:rsidRPr="00ED22D1">
              <w:rPr>
                <w:sz w:val="18"/>
                <w:lang w:val="fr-CA"/>
              </w:rPr>
              <w:t>olvant</w:t>
            </w:r>
            <w:r w:rsidRPr="00ED22D1">
              <w:rPr>
                <w:sz w:val="18"/>
                <w:lang w:val="fr-CA"/>
              </w:rPr>
              <w:t>s</w:t>
            </w:r>
          </w:p>
        </w:tc>
        <w:tc>
          <w:tcPr>
            <w:tcW w:w="734" w:type="pct"/>
            <w:shd w:val="clear" w:color="auto" w:fill="auto"/>
          </w:tcPr>
          <w:p w:rsidR="00387175" w:rsidRPr="00ED22D1" w:rsidRDefault="001C722B" w:rsidP="00387175">
            <w:pPr>
              <w:spacing w:after="80"/>
              <w:jc w:val="center"/>
              <w:rPr>
                <w:sz w:val="18"/>
                <w:lang w:val="fr-CA"/>
              </w:rPr>
            </w:pPr>
            <w:r w:rsidRPr="00ED22D1">
              <w:rPr>
                <w:sz w:val="18"/>
                <w:lang w:val="fr-CA"/>
              </w:rPr>
              <w:t>PNUD</w:t>
            </w:r>
          </w:p>
        </w:tc>
        <w:tc>
          <w:tcPr>
            <w:tcW w:w="1271" w:type="pct"/>
            <w:shd w:val="clear" w:color="auto" w:fill="auto"/>
          </w:tcPr>
          <w:p w:rsidR="00387175" w:rsidRPr="00ED22D1" w:rsidRDefault="00EA1D72" w:rsidP="00EA1D72">
            <w:pPr>
              <w:spacing w:after="80"/>
              <w:jc w:val="center"/>
              <w:rPr>
                <w:sz w:val="18"/>
                <w:lang w:val="fr-CA"/>
              </w:rPr>
            </w:pPr>
            <w:r w:rsidRPr="00ED22D1">
              <w:rPr>
                <w:sz w:val="18"/>
                <w:lang w:val="fr-CA"/>
              </w:rPr>
              <w:t>7</w:t>
            </w:r>
            <w:r w:rsidR="00387175" w:rsidRPr="00ED22D1">
              <w:rPr>
                <w:sz w:val="18"/>
                <w:lang w:val="fr-CA"/>
              </w:rPr>
              <w:t>7</w:t>
            </w:r>
            <w:r w:rsidRPr="00ED22D1">
              <w:rPr>
                <w:sz w:val="18"/>
                <w:vertAlign w:val="superscript"/>
                <w:lang w:val="fr-CA"/>
              </w:rPr>
              <w:t>e</w:t>
            </w:r>
          </w:p>
        </w:tc>
        <w:tc>
          <w:tcPr>
            <w:tcW w:w="1254" w:type="pct"/>
            <w:shd w:val="clear" w:color="auto" w:fill="auto"/>
          </w:tcPr>
          <w:p w:rsidR="00387175" w:rsidRPr="00ED22D1" w:rsidRDefault="00387175" w:rsidP="00387175">
            <w:pPr>
              <w:spacing w:after="80"/>
              <w:jc w:val="center"/>
              <w:rPr>
                <w:sz w:val="18"/>
                <w:lang w:val="fr-CA"/>
              </w:rPr>
            </w:pPr>
            <w:r w:rsidRPr="00ED22D1">
              <w:rPr>
                <w:sz w:val="18"/>
                <w:lang w:val="fr-CA"/>
              </w:rPr>
              <w:t>100</w:t>
            </w:r>
            <w:r w:rsidR="000A507C" w:rsidRPr="00ED22D1">
              <w:rPr>
                <w:sz w:val="18"/>
                <w:lang w:val="fr-CA"/>
              </w:rPr>
              <w:t xml:space="preserve"> %</w:t>
            </w:r>
            <w:r w:rsidRPr="00ED22D1">
              <w:rPr>
                <w:sz w:val="18"/>
                <w:lang w:val="fr-CA"/>
              </w:rPr>
              <w:t xml:space="preserve"> </w:t>
            </w:r>
            <w:r w:rsidR="002D6976" w:rsidRPr="00ED22D1">
              <w:rPr>
                <w:sz w:val="18"/>
                <w:lang w:val="fr-CA"/>
              </w:rPr>
              <w:t>d’ici 20</w:t>
            </w:r>
            <w:r w:rsidRPr="00ED22D1">
              <w:rPr>
                <w:sz w:val="18"/>
                <w:lang w:val="fr-CA"/>
              </w:rPr>
              <w:t>26</w:t>
            </w:r>
          </w:p>
        </w:tc>
      </w:tr>
    </w:tbl>
    <w:p w:rsidR="00387175" w:rsidRPr="00ED22D1" w:rsidRDefault="00387175" w:rsidP="00387175">
      <w:pPr>
        <w:spacing w:after="60"/>
        <w:jc w:val="center"/>
        <w:rPr>
          <w:lang w:val="fr-CA"/>
        </w:rPr>
      </w:pPr>
    </w:p>
    <w:tbl>
      <w:tblPr>
        <w:tblStyle w:val="TableGrid"/>
        <w:tblW w:w="4999" w:type="pct"/>
        <w:tblLook w:val="04A0" w:firstRow="1" w:lastRow="0" w:firstColumn="1" w:lastColumn="0" w:noHBand="0" w:noVBand="1"/>
      </w:tblPr>
      <w:tblGrid>
        <w:gridCol w:w="4982"/>
        <w:gridCol w:w="2296"/>
        <w:gridCol w:w="2296"/>
      </w:tblGrid>
      <w:tr w:rsidR="00EA1D72" w:rsidRPr="00ED22D1" w:rsidTr="00EA1D72">
        <w:trPr>
          <w:trHeight w:val="240"/>
        </w:trPr>
        <w:tc>
          <w:tcPr>
            <w:tcW w:w="2601" w:type="pct"/>
          </w:tcPr>
          <w:p w:rsidR="00EA1D72" w:rsidRPr="00ED22D1" w:rsidRDefault="00EA1D72" w:rsidP="00EA1D72">
            <w:pPr>
              <w:spacing w:after="60"/>
              <w:jc w:val="left"/>
              <w:rPr>
                <w:b/>
                <w:sz w:val="20"/>
                <w:szCs w:val="24"/>
                <w:lang w:val="fr-CA"/>
              </w:rPr>
            </w:pPr>
            <w:r w:rsidRPr="00ED22D1">
              <w:rPr>
                <w:b/>
                <w:sz w:val="20"/>
                <w:szCs w:val="24"/>
                <w:lang w:val="fr-CA"/>
              </w:rPr>
              <w:t>(II) DERNIÈRES DONNÉES DE L’ARTICLE 7 (Annexe C Groupe l)</w:t>
            </w:r>
          </w:p>
        </w:tc>
        <w:tc>
          <w:tcPr>
            <w:tcW w:w="1199" w:type="pct"/>
            <w:shd w:val="clear" w:color="auto" w:fill="auto"/>
          </w:tcPr>
          <w:p w:rsidR="00EA1D72" w:rsidRPr="00ED22D1" w:rsidRDefault="00EA1D72" w:rsidP="00387175">
            <w:pPr>
              <w:spacing w:after="60"/>
              <w:jc w:val="center"/>
              <w:rPr>
                <w:sz w:val="18"/>
                <w:lang w:val="fr-CA"/>
              </w:rPr>
            </w:pPr>
            <w:r w:rsidRPr="00ED22D1">
              <w:rPr>
                <w:sz w:val="18"/>
                <w:lang w:val="fr-CA"/>
              </w:rPr>
              <w:t>Année : 2017</w:t>
            </w:r>
          </w:p>
        </w:tc>
        <w:tc>
          <w:tcPr>
            <w:tcW w:w="1199" w:type="pct"/>
            <w:shd w:val="clear" w:color="auto" w:fill="auto"/>
          </w:tcPr>
          <w:p w:rsidR="00EA1D72" w:rsidRPr="00ED22D1" w:rsidRDefault="00EA1D72" w:rsidP="00387175">
            <w:pPr>
              <w:spacing w:after="60"/>
              <w:jc w:val="right"/>
              <w:rPr>
                <w:sz w:val="18"/>
                <w:lang w:val="fr-CA"/>
              </w:rPr>
            </w:pPr>
            <w:r w:rsidRPr="00ED22D1">
              <w:rPr>
                <w:sz w:val="18"/>
                <w:lang w:val="fr-CA"/>
              </w:rPr>
              <w:t>14 604,66 (tonnes PAO)</w:t>
            </w:r>
          </w:p>
        </w:tc>
      </w:tr>
    </w:tbl>
    <w:p w:rsidR="00387175" w:rsidRPr="00ED22D1" w:rsidRDefault="00387175" w:rsidP="00387175">
      <w:pPr>
        <w:spacing w:after="60"/>
        <w:jc w:val="center"/>
        <w:rPr>
          <w:lang w:val="fr-CA"/>
        </w:rPr>
      </w:pPr>
    </w:p>
    <w:tbl>
      <w:tblPr>
        <w:tblStyle w:val="TableGrid30"/>
        <w:tblW w:w="5000" w:type="pct"/>
        <w:tblLook w:val="04A0" w:firstRow="1" w:lastRow="0" w:firstColumn="1" w:lastColumn="0" w:noHBand="0" w:noVBand="1"/>
      </w:tblPr>
      <w:tblGrid>
        <w:gridCol w:w="887"/>
        <w:gridCol w:w="755"/>
        <w:gridCol w:w="846"/>
        <w:gridCol w:w="896"/>
        <w:gridCol w:w="1036"/>
        <w:gridCol w:w="876"/>
        <w:gridCol w:w="736"/>
        <w:gridCol w:w="1217"/>
        <w:gridCol w:w="1072"/>
        <w:gridCol w:w="1255"/>
      </w:tblGrid>
      <w:tr w:rsidR="00387175" w:rsidRPr="00ED22D1" w:rsidTr="00EA1D72">
        <w:trPr>
          <w:trHeight w:val="240"/>
        </w:trPr>
        <w:tc>
          <w:tcPr>
            <w:tcW w:w="3757" w:type="pct"/>
            <w:gridSpan w:val="8"/>
            <w:shd w:val="clear" w:color="auto" w:fill="auto"/>
          </w:tcPr>
          <w:p w:rsidR="00387175" w:rsidRPr="00ED22D1" w:rsidRDefault="00387175" w:rsidP="00EA1D72">
            <w:pPr>
              <w:spacing w:after="60"/>
              <w:jc w:val="left"/>
              <w:rPr>
                <w:b/>
                <w:sz w:val="18"/>
                <w:szCs w:val="18"/>
                <w:lang w:val="fr-CA"/>
              </w:rPr>
            </w:pPr>
            <w:r w:rsidRPr="00ED22D1">
              <w:rPr>
                <w:b/>
                <w:sz w:val="18"/>
                <w:szCs w:val="18"/>
                <w:lang w:val="fr-CA"/>
              </w:rPr>
              <w:t xml:space="preserve">(III) </w:t>
            </w:r>
            <w:r w:rsidR="00EA1D72" w:rsidRPr="00ED22D1">
              <w:rPr>
                <w:b/>
                <w:sz w:val="18"/>
                <w:szCs w:val="18"/>
                <w:lang w:val="fr-CA"/>
              </w:rPr>
              <w:t>DERNIÈRES DONNÉES SECTORIELLES DU PROGRAMME DE PAYS            (</w:t>
            </w:r>
            <w:r w:rsidR="0052712E" w:rsidRPr="00ED22D1">
              <w:rPr>
                <w:b/>
                <w:sz w:val="18"/>
                <w:szCs w:val="18"/>
                <w:lang w:val="fr-CA"/>
              </w:rPr>
              <w:t>tonnes PAO)</w:t>
            </w:r>
          </w:p>
        </w:tc>
        <w:tc>
          <w:tcPr>
            <w:tcW w:w="1243" w:type="pct"/>
            <w:gridSpan w:val="2"/>
            <w:shd w:val="clear" w:color="auto" w:fill="auto"/>
          </w:tcPr>
          <w:p w:rsidR="00387175" w:rsidRPr="00ED22D1" w:rsidRDefault="0052712E" w:rsidP="00387175">
            <w:pPr>
              <w:spacing w:after="60"/>
              <w:jc w:val="right"/>
              <w:rPr>
                <w:b/>
                <w:sz w:val="18"/>
                <w:szCs w:val="18"/>
                <w:lang w:val="fr-CA"/>
              </w:rPr>
            </w:pPr>
            <w:r w:rsidRPr="00ED22D1">
              <w:rPr>
                <w:b/>
                <w:sz w:val="18"/>
                <w:szCs w:val="18"/>
                <w:lang w:val="fr-CA"/>
              </w:rPr>
              <w:t>Année</w:t>
            </w:r>
            <w:r w:rsidR="00791BF7" w:rsidRPr="00ED22D1">
              <w:rPr>
                <w:b/>
                <w:sz w:val="18"/>
                <w:szCs w:val="18"/>
                <w:lang w:val="fr-CA"/>
              </w:rPr>
              <w:t> :</w:t>
            </w:r>
            <w:r w:rsidR="00387175" w:rsidRPr="00ED22D1">
              <w:rPr>
                <w:b/>
                <w:sz w:val="18"/>
                <w:szCs w:val="18"/>
                <w:lang w:val="fr-CA"/>
              </w:rPr>
              <w:t xml:space="preserve"> 2017</w:t>
            </w:r>
          </w:p>
        </w:tc>
      </w:tr>
      <w:tr w:rsidR="00EA1D72" w:rsidRPr="00ED22D1" w:rsidTr="00EA1D72">
        <w:trPr>
          <w:trHeight w:val="240"/>
        </w:trPr>
        <w:tc>
          <w:tcPr>
            <w:tcW w:w="511"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Produit chimique</w:t>
            </w:r>
          </w:p>
        </w:tc>
        <w:tc>
          <w:tcPr>
            <w:tcW w:w="378"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Aérosol</w:t>
            </w:r>
          </w:p>
        </w:tc>
        <w:tc>
          <w:tcPr>
            <w:tcW w:w="442"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Mousse</w:t>
            </w:r>
          </w:p>
        </w:tc>
        <w:tc>
          <w:tcPr>
            <w:tcW w:w="447"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Lutte contre l’incendie</w:t>
            </w:r>
          </w:p>
        </w:tc>
        <w:tc>
          <w:tcPr>
            <w:tcW w:w="1081" w:type="pct"/>
            <w:gridSpan w:val="2"/>
            <w:shd w:val="clear" w:color="auto" w:fill="auto"/>
          </w:tcPr>
          <w:p w:rsidR="00EA1D72" w:rsidRPr="00ED22D1" w:rsidRDefault="00EA1D72" w:rsidP="00EA1D72">
            <w:pPr>
              <w:spacing w:after="60"/>
              <w:jc w:val="center"/>
              <w:rPr>
                <w:sz w:val="17"/>
                <w:szCs w:val="17"/>
                <w:lang w:val="fr-CA"/>
              </w:rPr>
            </w:pPr>
            <w:r w:rsidRPr="00ED22D1">
              <w:rPr>
                <w:sz w:val="17"/>
                <w:szCs w:val="17"/>
                <w:lang w:val="fr-CA"/>
              </w:rPr>
              <w:t>Réfrigération</w:t>
            </w:r>
          </w:p>
        </w:tc>
        <w:tc>
          <w:tcPr>
            <w:tcW w:w="371"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Solvant</w:t>
            </w:r>
          </w:p>
        </w:tc>
        <w:tc>
          <w:tcPr>
            <w:tcW w:w="527"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Agent           de transformation</w:t>
            </w:r>
          </w:p>
        </w:tc>
        <w:tc>
          <w:tcPr>
            <w:tcW w:w="619" w:type="pct"/>
            <w:shd w:val="clear" w:color="auto" w:fill="auto"/>
          </w:tcPr>
          <w:p w:rsidR="00EA1D72" w:rsidRPr="00ED22D1" w:rsidRDefault="00EA1D72" w:rsidP="00EA1D72">
            <w:pPr>
              <w:spacing w:after="60"/>
              <w:jc w:val="center"/>
              <w:rPr>
                <w:sz w:val="17"/>
                <w:szCs w:val="17"/>
                <w:lang w:val="fr-CA"/>
              </w:rPr>
            </w:pPr>
            <w:r w:rsidRPr="00ED22D1">
              <w:rPr>
                <w:sz w:val="17"/>
                <w:szCs w:val="17"/>
                <w:lang w:val="fr-CA"/>
              </w:rPr>
              <w:t>Utilisation   en   laboratoire</w:t>
            </w:r>
          </w:p>
        </w:tc>
        <w:tc>
          <w:tcPr>
            <w:tcW w:w="623" w:type="pct"/>
            <w:shd w:val="clear" w:color="auto" w:fill="auto"/>
          </w:tcPr>
          <w:p w:rsidR="008D5B5F" w:rsidRPr="00ED22D1" w:rsidRDefault="008D5B5F" w:rsidP="008D5B5F">
            <w:pPr>
              <w:spacing w:after="60"/>
              <w:jc w:val="center"/>
              <w:rPr>
                <w:sz w:val="17"/>
                <w:szCs w:val="17"/>
                <w:lang w:val="fr-CA"/>
              </w:rPr>
            </w:pPr>
            <w:r w:rsidRPr="00ED22D1">
              <w:rPr>
                <w:sz w:val="17"/>
                <w:szCs w:val="17"/>
                <w:lang w:val="fr-CA"/>
              </w:rPr>
              <w:t>Consommation</w:t>
            </w:r>
          </w:p>
          <w:p w:rsidR="008D5B5F" w:rsidRPr="00ED22D1" w:rsidRDefault="008D5B5F" w:rsidP="008D5B5F">
            <w:pPr>
              <w:spacing w:after="60"/>
              <w:jc w:val="center"/>
              <w:rPr>
                <w:sz w:val="17"/>
                <w:szCs w:val="17"/>
                <w:lang w:val="fr-CA"/>
              </w:rPr>
            </w:pPr>
            <w:r w:rsidRPr="00ED22D1">
              <w:rPr>
                <w:sz w:val="17"/>
                <w:szCs w:val="17"/>
                <w:lang w:val="fr-CA"/>
              </w:rPr>
              <w:t xml:space="preserve"> totale </w:t>
            </w:r>
          </w:p>
          <w:p w:rsidR="00EA1D72" w:rsidRPr="00ED22D1" w:rsidRDefault="008D5B5F" w:rsidP="008D5B5F">
            <w:pPr>
              <w:spacing w:after="60"/>
              <w:jc w:val="center"/>
              <w:rPr>
                <w:sz w:val="17"/>
                <w:szCs w:val="17"/>
                <w:lang w:val="fr-CA"/>
              </w:rPr>
            </w:pPr>
            <w:r w:rsidRPr="00ED22D1">
              <w:rPr>
                <w:sz w:val="17"/>
                <w:szCs w:val="17"/>
                <w:lang w:val="fr-CA"/>
              </w:rPr>
              <w:t>par secteur</w:t>
            </w:r>
          </w:p>
        </w:tc>
      </w:tr>
      <w:tr w:rsidR="00EA1D72" w:rsidRPr="00ED22D1" w:rsidTr="00EA1D72">
        <w:trPr>
          <w:trHeight w:val="240"/>
        </w:trPr>
        <w:tc>
          <w:tcPr>
            <w:tcW w:w="1777" w:type="pct"/>
            <w:gridSpan w:val="4"/>
            <w:shd w:val="clear" w:color="auto" w:fill="auto"/>
          </w:tcPr>
          <w:p w:rsidR="00EA1D72" w:rsidRPr="00ED22D1" w:rsidRDefault="00EA1D72" w:rsidP="00387175">
            <w:pPr>
              <w:spacing w:after="60"/>
              <w:jc w:val="center"/>
              <w:rPr>
                <w:sz w:val="18"/>
                <w:szCs w:val="18"/>
                <w:lang w:val="fr-CA"/>
              </w:rPr>
            </w:pPr>
            <w:r w:rsidRPr="00ED22D1">
              <w:rPr>
                <w:sz w:val="18"/>
                <w:szCs w:val="18"/>
                <w:lang w:val="fr-CA"/>
              </w:rPr>
              <w:t xml:space="preserve"> </w:t>
            </w:r>
          </w:p>
        </w:tc>
        <w:tc>
          <w:tcPr>
            <w:tcW w:w="624" w:type="pct"/>
            <w:shd w:val="clear" w:color="auto" w:fill="auto"/>
          </w:tcPr>
          <w:p w:rsidR="00EA1D72" w:rsidRPr="00ED22D1" w:rsidRDefault="00EA1D72" w:rsidP="00EA1D72">
            <w:pPr>
              <w:spacing w:after="60"/>
              <w:jc w:val="center"/>
              <w:rPr>
                <w:sz w:val="18"/>
                <w:szCs w:val="18"/>
                <w:lang w:val="fr-CA"/>
              </w:rPr>
            </w:pPr>
            <w:r w:rsidRPr="00ED22D1">
              <w:rPr>
                <w:sz w:val="18"/>
                <w:szCs w:val="18"/>
                <w:lang w:val="fr-CA"/>
              </w:rPr>
              <w:t>Fabrication</w:t>
            </w:r>
          </w:p>
        </w:tc>
        <w:tc>
          <w:tcPr>
            <w:tcW w:w="457" w:type="pct"/>
            <w:shd w:val="clear" w:color="auto" w:fill="auto"/>
          </w:tcPr>
          <w:p w:rsidR="00EA1D72" w:rsidRPr="00ED22D1" w:rsidRDefault="00EA1D72" w:rsidP="00EA1D72">
            <w:pPr>
              <w:spacing w:after="60"/>
              <w:jc w:val="center"/>
              <w:rPr>
                <w:sz w:val="18"/>
                <w:szCs w:val="18"/>
                <w:lang w:val="fr-CA"/>
              </w:rPr>
            </w:pPr>
            <w:r w:rsidRPr="00ED22D1">
              <w:rPr>
                <w:sz w:val="18"/>
                <w:szCs w:val="18"/>
                <w:lang w:val="fr-CA"/>
              </w:rPr>
              <w:t>Entretien</w:t>
            </w:r>
          </w:p>
        </w:tc>
        <w:tc>
          <w:tcPr>
            <w:tcW w:w="2141" w:type="pct"/>
            <w:gridSpan w:val="4"/>
            <w:shd w:val="clear" w:color="auto" w:fill="auto"/>
          </w:tcPr>
          <w:p w:rsidR="00EA1D72" w:rsidRPr="00ED22D1" w:rsidRDefault="00EA1D72" w:rsidP="00387175">
            <w:pPr>
              <w:spacing w:after="60"/>
              <w:jc w:val="center"/>
              <w:rPr>
                <w:sz w:val="18"/>
                <w:szCs w:val="18"/>
                <w:lang w:val="fr-CA"/>
              </w:rPr>
            </w:pPr>
          </w:p>
        </w:tc>
      </w:tr>
      <w:tr w:rsidR="00EA1D72" w:rsidRPr="00ED22D1" w:rsidTr="00EA1D72">
        <w:trPr>
          <w:trHeight w:val="240"/>
        </w:trPr>
        <w:tc>
          <w:tcPr>
            <w:tcW w:w="511" w:type="pct"/>
            <w:shd w:val="clear" w:color="auto" w:fill="auto"/>
          </w:tcPr>
          <w:p w:rsidR="00387175" w:rsidRPr="00ED22D1" w:rsidRDefault="00387175" w:rsidP="00387175">
            <w:pPr>
              <w:spacing w:after="60"/>
              <w:rPr>
                <w:sz w:val="18"/>
                <w:szCs w:val="18"/>
                <w:lang w:val="fr-CA"/>
              </w:rPr>
            </w:pPr>
            <w:r w:rsidRPr="00ED22D1">
              <w:rPr>
                <w:sz w:val="18"/>
                <w:szCs w:val="18"/>
                <w:lang w:val="fr-CA"/>
              </w:rPr>
              <w:t>HCFC-22</w:t>
            </w:r>
          </w:p>
        </w:tc>
        <w:tc>
          <w:tcPr>
            <w:tcW w:w="378" w:type="pct"/>
            <w:shd w:val="clear" w:color="auto" w:fill="auto"/>
          </w:tcPr>
          <w:p w:rsidR="00387175" w:rsidRPr="00ED22D1" w:rsidRDefault="00387175" w:rsidP="00387175">
            <w:pPr>
              <w:spacing w:after="60"/>
              <w:jc w:val="right"/>
              <w:rPr>
                <w:sz w:val="18"/>
                <w:szCs w:val="18"/>
                <w:lang w:val="fr-CA"/>
              </w:rPr>
            </w:pPr>
          </w:p>
        </w:tc>
        <w:tc>
          <w:tcPr>
            <w:tcW w:w="442"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1 </w:t>
            </w:r>
            <w:r w:rsidR="00387175" w:rsidRPr="00ED22D1">
              <w:rPr>
                <w:sz w:val="18"/>
                <w:szCs w:val="18"/>
                <w:lang w:val="fr-CA"/>
              </w:rPr>
              <w:t>59</w:t>
            </w:r>
            <w:r w:rsidRPr="00ED22D1">
              <w:rPr>
                <w:sz w:val="18"/>
                <w:szCs w:val="18"/>
                <w:lang w:val="fr-CA"/>
              </w:rPr>
              <w:t>5,</w:t>
            </w:r>
            <w:r w:rsidR="00387175" w:rsidRPr="00ED22D1">
              <w:rPr>
                <w:sz w:val="18"/>
                <w:szCs w:val="18"/>
                <w:lang w:val="fr-CA"/>
              </w:rPr>
              <w:t>00</w:t>
            </w:r>
          </w:p>
        </w:tc>
        <w:tc>
          <w:tcPr>
            <w:tcW w:w="447" w:type="pct"/>
            <w:shd w:val="clear" w:color="auto" w:fill="auto"/>
          </w:tcPr>
          <w:p w:rsidR="00387175" w:rsidRPr="00ED22D1" w:rsidRDefault="00387175" w:rsidP="00387175">
            <w:pPr>
              <w:spacing w:after="60"/>
              <w:jc w:val="right"/>
              <w:rPr>
                <w:sz w:val="18"/>
                <w:szCs w:val="18"/>
                <w:lang w:val="fr-CA"/>
              </w:rPr>
            </w:pPr>
          </w:p>
        </w:tc>
        <w:tc>
          <w:tcPr>
            <w:tcW w:w="624"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5 </w:t>
            </w:r>
            <w:r w:rsidR="00387175" w:rsidRPr="00ED22D1">
              <w:rPr>
                <w:sz w:val="18"/>
                <w:szCs w:val="18"/>
                <w:lang w:val="fr-CA"/>
              </w:rPr>
              <w:t>08</w:t>
            </w:r>
            <w:r w:rsidRPr="00ED22D1">
              <w:rPr>
                <w:sz w:val="18"/>
                <w:szCs w:val="18"/>
                <w:lang w:val="fr-CA"/>
              </w:rPr>
              <w:t>7,</w:t>
            </w:r>
            <w:r w:rsidR="00387175" w:rsidRPr="00ED22D1">
              <w:rPr>
                <w:sz w:val="18"/>
                <w:szCs w:val="18"/>
                <w:lang w:val="fr-CA"/>
              </w:rPr>
              <w:t>50</w:t>
            </w:r>
          </w:p>
        </w:tc>
        <w:tc>
          <w:tcPr>
            <w:tcW w:w="457"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2 </w:t>
            </w:r>
            <w:r w:rsidR="00387175" w:rsidRPr="00ED22D1">
              <w:rPr>
                <w:sz w:val="18"/>
                <w:szCs w:val="18"/>
                <w:lang w:val="fr-CA"/>
              </w:rPr>
              <w:t>83</w:t>
            </w:r>
            <w:r w:rsidRPr="00ED22D1">
              <w:rPr>
                <w:sz w:val="18"/>
                <w:szCs w:val="18"/>
                <w:lang w:val="fr-CA"/>
              </w:rPr>
              <w:t>1,</w:t>
            </w:r>
            <w:r w:rsidR="00387175" w:rsidRPr="00ED22D1">
              <w:rPr>
                <w:sz w:val="18"/>
                <w:szCs w:val="18"/>
                <w:lang w:val="fr-CA"/>
              </w:rPr>
              <w:t>55</w:t>
            </w:r>
          </w:p>
        </w:tc>
        <w:tc>
          <w:tcPr>
            <w:tcW w:w="371" w:type="pct"/>
            <w:shd w:val="clear" w:color="auto" w:fill="auto"/>
          </w:tcPr>
          <w:p w:rsidR="00387175" w:rsidRPr="00ED22D1" w:rsidRDefault="00387175" w:rsidP="00387175">
            <w:pPr>
              <w:spacing w:after="60"/>
              <w:jc w:val="right"/>
              <w:rPr>
                <w:sz w:val="18"/>
                <w:szCs w:val="18"/>
                <w:lang w:val="fr-CA"/>
              </w:rPr>
            </w:pPr>
          </w:p>
        </w:tc>
        <w:tc>
          <w:tcPr>
            <w:tcW w:w="527" w:type="pct"/>
            <w:shd w:val="clear" w:color="auto" w:fill="auto"/>
          </w:tcPr>
          <w:p w:rsidR="00387175" w:rsidRPr="00ED22D1" w:rsidRDefault="00387175" w:rsidP="00387175">
            <w:pPr>
              <w:spacing w:after="60"/>
              <w:jc w:val="right"/>
              <w:rPr>
                <w:sz w:val="18"/>
                <w:szCs w:val="18"/>
                <w:lang w:val="fr-CA"/>
              </w:rPr>
            </w:pPr>
          </w:p>
        </w:tc>
        <w:tc>
          <w:tcPr>
            <w:tcW w:w="619" w:type="pct"/>
            <w:shd w:val="clear" w:color="auto" w:fill="auto"/>
          </w:tcPr>
          <w:p w:rsidR="00387175" w:rsidRPr="00ED22D1" w:rsidRDefault="00387175" w:rsidP="00387175">
            <w:pPr>
              <w:spacing w:after="60"/>
              <w:jc w:val="right"/>
              <w:rPr>
                <w:sz w:val="18"/>
                <w:szCs w:val="18"/>
                <w:lang w:val="fr-CA"/>
              </w:rPr>
            </w:pPr>
          </w:p>
        </w:tc>
        <w:tc>
          <w:tcPr>
            <w:tcW w:w="623"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9 </w:t>
            </w:r>
            <w:r w:rsidR="00387175" w:rsidRPr="00ED22D1">
              <w:rPr>
                <w:sz w:val="18"/>
                <w:szCs w:val="18"/>
                <w:lang w:val="fr-CA"/>
              </w:rPr>
              <w:t>51</w:t>
            </w:r>
            <w:r w:rsidRPr="00ED22D1">
              <w:rPr>
                <w:sz w:val="18"/>
                <w:szCs w:val="18"/>
                <w:lang w:val="fr-CA"/>
              </w:rPr>
              <w:t>4,</w:t>
            </w:r>
            <w:r w:rsidR="00387175" w:rsidRPr="00ED22D1">
              <w:rPr>
                <w:sz w:val="18"/>
                <w:szCs w:val="18"/>
                <w:lang w:val="fr-CA"/>
              </w:rPr>
              <w:t>05</w:t>
            </w:r>
          </w:p>
        </w:tc>
      </w:tr>
      <w:tr w:rsidR="00EA1D72" w:rsidRPr="00ED22D1" w:rsidTr="00EA1D72">
        <w:trPr>
          <w:trHeight w:val="240"/>
        </w:trPr>
        <w:tc>
          <w:tcPr>
            <w:tcW w:w="511" w:type="pct"/>
            <w:shd w:val="clear" w:color="auto" w:fill="auto"/>
          </w:tcPr>
          <w:p w:rsidR="00387175" w:rsidRPr="00ED22D1" w:rsidRDefault="00387175" w:rsidP="00387175">
            <w:pPr>
              <w:spacing w:after="60"/>
              <w:rPr>
                <w:sz w:val="18"/>
                <w:szCs w:val="18"/>
                <w:lang w:val="fr-CA"/>
              </w:rPr>
            </w:pPr>
            <w:r w:rsidRPr="00ED22D1">
              <w:rPr>
                <w:sz w:val="18"/>
                <w:szCs w:val="18"/>
                <w:lang w:val="fr-CA"/>
              </w:rPr>
              <w:t>HCFC-123</w:t>
            </w:r>
          </w:p>
        </w:tc>
        <w:tc>
          <w:tcPr>
            <w:tcW w:w="378" w:type="pct"/>
            <w:shd w:val="clear" w:color="auto" w:fill="auto"/>
          </w:tcPr>
          <w:p w:rsidR="00387175" w:rsidRPr="00ED22D1" w:rsidRDefault="00387175" w:rsidP="00387175">
            <w:pPr>
              <w:spacing w:after="60"/>
              <w:jc w:val="right"/>
              <w:rPr>
                <w:sz w:val="18"/>
                <w:szCs w:val="18"/>
                <w:lang w:val="fr-CA"/>
              </w:rPr>
            </w:pPr>
          </w:p>
        </w:tc>
        <w:tc>
          <w:tcPr>
            <w:tcW w:w="442" w:type="pct"/>
            <w:shd w:val="clear" w:color="auto" w:fill="auto"/>
          </w:tcPr>
          <w:p w:rsidR="00387175" w:rsidRPr="00ED22D1" w:rsidRDefault="00387175" w:rsidP="00387175">
            <w:pPr>
              <w:spacing w:after="60"/>
              <w:jc w:val="right"/>
              <w:rPr>
                <w:sz w:val="18"/>
                <w:szCs w:val="18"/>
                <w:lang w:val="fr-CA"/>
              </w:rPr>
            </w:pPr>
          </w:p>
        </w:tc>
        <w:tc>
          <w:tcPr>
            <w:tcW w:w="447" w:type="pct"/>
            <w:shd w:val="clear" w:color="auto" w:fill="auto"/>
          </w:tcPr>
          <w:p w:rsidR="00387175" w:rsidRPr="00ED22D1" w:rsidRDefault="00387175" w:rsidP="00387175">
            <w:pPr>
              <w:spacing w:after="60"/>
              <w:jc w:val="right"/>
              <w:rPr>
                <w:sz w:val="18"/>
                <w:szCs w:val="18"/>
                <w:lang w:val="fr-CA"/>
              </w:rPr>
            </w:pPr>
          </w:p>
        </w:tc>
        <w:tc>
          <w:tcPr>
            <w:tcW w:w="624"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1</w:t>
            </w:r>
            <w:r w:rsidR="004A6828" w:rsidRPr="00ED22D1">
              <w:rPr>
                <w:sz w:val="18"/>
                <w:szCs w:val="18"/>
                <w:lang w:val="fr-CA"/>
              </w:rPr>
              <w:t>2,</w:t>
            </w:r>
            <w:r w:rsidRPr="00ED22D1">
              <w:rPr>
                <w:sz w:val="18"/>
                <w:szCs w:val="18"/>
                <w:lang w:val="fr-CA"/>
              </w:rPr>
              <w:t>88</w:t>
            </w:r>
          </w:p>
        </w:tc>
        <w:tc>
          <w:tcPr>
            <w:tcW w:w="457"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6,</w:t>
            </w:r>
            <w:r w:rsidR="00387175" w:rsidRPr="00ED22D1">
              <w:rPr>
                <w:sz w:val="18"/>
                <w:szCs w:val="18"/>
                <w:lang w:val="fr-CA"/>
              </w:rPr>
              <w:t>95</w:t>
            </w:r>
          </w:p>
        </w:tc>
        <w:tc>
          <w:tcPr>
            <w:tcW w:w="371" w:type="pct"/>
            <w:shd w:val="clear" w:color="auto" w:fill="auto"/>
          </w:tcPr>
          <w:p w:rsidR="00387175" w:rsidRPr="00ED22D1" w:rsidRDefault="00387175" w:rsidP="00387175">
            <w:pPr>
              <w:spacing w:after="60"/>
              <w:jc w:val="right"/>
              <w:rPr>
                <w:sz w:val="18"/>
                <w:szCs w:val="18"/>
                <w:lang w:val="fr-CA"/>
              </w:rPr>
            </w:pPr>
          </w:p>
        </w:tc>
        <w:tc>
          <w:tcPr>
            <w:tcW w:w="527" w:type="pct"/>
            <w:shd w:val="clear" w:color="auto" w:fill="auto"/>
          </w:tcPr>
          <w:p w:rsidR="00387175" w:rsidRPr="00ED22D1" w:rsidRDefault="00387175" w:rsidP="00387175">
            <w:pPr>
              <w:spacing w:after="60"/>
              <w:jc w:val="right"/>
              <w:rPr>
                <w:sz w:val="18"/>
                <w:szCs w:val="18"/>
                <w:lang w:val="fr-CA"/>
              </w:rPr>
            </w:pPr>
          </w:p>
        </w:tc>
        <w:tc>
          <w:tcPr>
            <w:tcW w:w="619" w:type="pct"/>
            <w:shd w:val="clear" w:color="auto" w:fill="auto"/>
          </w:tcPr>
          <w:p w:rsidR="00387175" w:rsidRPr="00ED22D1" w:rsidRDefault="00387175" w:rsidP="00387175">
            <w:pPr>
              <w:spacing w:after="60"/>
              <w:jc w:val="right"/>
              <w:rPr>
                <w:sz w:val="18"/>
                <w:szCs w:val="18"/>
                <w:lang w:val="fr-CA"/>
              </w:rPr>
            </w:pPr>
          </w:p>
        </w:tc>
        <w:tc>
          <w:tcPr>
            <w:tcW w:w="623"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1</w:t>
            </w:r>
            <w:r w:rsidR="004A6828" w:rsidRPr="00ED22D1">
              <w:rPr>
                <w:sz w:val="18"/>
                <w:szCs w:val="18"/>
                <w:lang w:val="fr-CA"/>
              </w:rPr>
              <w:t>9,</w:t>
            </w:r>
            <w:r w:rsidRPr="00ED22D1">
              <w:rPr>
                <w:sz w:val="18"/>
                <w:szCs w:val="18"/>
                <w:lang w:val="fr-CA"/>
              </w:rPr>
              <w:t>83</w:t>
            </w:r>
          </w:p>
        </w:tc>
      </w:tr>
      <w:tr w:rsidR="00EA1D72" w:rsidRPr="00ED22D1" w:rsidTr="00EA1D72">
        <w:trPr>
          <w:trHeight w:val="240"/>
        </w:trPr>
        <w:tc>
          <w:tcPr>
            <w:tcW w:w="511" w:type="pct"/>
            <w:shd w:val="clear" w:color="auto" w:fill="auto"/>
          </w:tcPr>
          <w:p w:rsidR="00387175" w:rsidRPr="00ED22D1" w:rsidRDefault="00387175" w:rsidP="00387175">
            <w:pPr>
              <w:spacing w:after="60"/>
              <w:rPr>
                <w:sz w:val="18"/>
                <w:szCs w:val="18"/>
                <w:lang w:val="fr-CA"/>
              </w:rPr>
            </w:pPr>
            <w:r w:rsidRPr="00ED22D1">
              <w:rPr>
                <w:sz w:val="18"/>
                <w:szCs w:val="18"/>
                <w:lang w:val="fr-CA"/>
              </w:rPr>
              <w:t>HCFC-124</w:t>
            </w:r>
          </w:p>
        </w:tc>
        <w:tc>
          <w:tcPr>
            <w:tcW w:w="378" w:type="pct"/>
            <w:shd w:val="clear" w:color="auto" w:fill="auto"/>
          </w:tcPr>
          <w:p w:rsidR="00387175" w:rsidRPr="00ED22D1" w:rsidRDefault="00387175" w:rsidP="00387175">
            <w:pPr>
              <w:spacing w:after="60"/>
              <w:jc w:val="right"/>
              <w:rPr>
                <w:sz w:val="18"/>
                <w:szCs w:val="18"/>
                <w:lang w:val="fr-CA"/>
              </w:rPr>
            </w:pPr>
          </w:p>
        </w:tc>
        <w:tc>
          <w:tcPr>
            <w:tcW w:w="442" w:type="pct"/>
            <w:shd w:val="clear" w:color="auto" w:fill="auto"/>
          </w:tcPr>
          <w:p w:rsidR="00387175" w:rsidRPr="00ED22D1" w:rsidRDefault="00387175" w:rsidP="00387175">
            <w:pPr>
              <w:spacing w:after="60"/>
              <w:jc w:val="right"/>
              <w:rPr>
                <w:sz w:val="18"/>
                <w:szCs w:val="18"/>
                <w:lang w:val="fr-CA"/>
              </w:rPr>
            </w:pPr>
          </w:p>
        </w:tc>
        <w:tc>
          <w:tcPr>
            <w:tcW w:w="447" w:type="pct"/>
            <w:shd w:val="clear" w:color="auto" w:fill="auto"/>
          </w:tcPr>
          <w:p w:rsidR="00387175" w:rsidRPr="00ED22D1" w:rsidRDefault="00387175" w:rsidP="00387175">
            <w:pPr>
              <w:spacing w:after="60"/>
              <w:jc w:val="right"/>
              <w:rPr>
                <w:sz w:val="18"/>
                <w:szCs w:val="18"/>
                <w:lang w:val="fr-CA"/>
              </w:rPr>
            </w:pPr>
          </w:p>
        </w:tc>
        <w:tc>
          <w:tcPr>
            <w:tcW w:w="624" w:type="pct"/>
            <w:shd w:val="clear" w:color="auto" w:fill="auto"/>
          </w:tcPr>
          <w:p w:rsidR="00387175" w:rsidRPr="00ED22D1" w:rsidRDefault="00387175" w:rsidP="00387175">
            <w:pPr>
              <w:spacing w:after="60"/>
              <w:jc w:val="right"/>
              <w:rPr>
                <w:sz w:val="18"/>
                <w:szCs w:val="18"/>
                <w:lang w:val="fr-CA"/>
              </w:rPr>
            </w:pPr>
          </w:p>
        </w:tc>
        <w:tc>
          <w:tcPr>
            <w:tcW w:w="457"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w:t>
            </w:r>
            <w:r w:rsidR="004A6828" w:rsidRPr="00ED22D1">
              <w:rPr>
                <w:sz w:val="18"/>
                <w:szCs w:val="18"/>
                <w:lang w:val="fr-CA"/>
              </w:rPr>
              <w:t>0,</w:t>
            </w:r>
            <w:r w:rsidRPr="00ED22D1">
              <w:rPr>
                <w:sz w:val="18"/>
                <w:szCs w:val="18"/>
                <w:lang w:val="fr-CA"/>
              </w:rPr>
              <w:t>13</w:t>
            </w:r>
          </w:p>
        </w:tc>
        <w:tc>
          <w:tcPr>
            <w:tcW w:w="371" w:type="pct"/>
            <w:shd w:val="clear" w:color="auto" w:fill="auto"/>
          </w:tcPr>
          <w:p w:rsidR="00387175" w:rsidRPr="00ED22D1" w:rsidRDefault="00387175" w:rsidP="00387175">
            <w:pPr>
              <w:spacing w:after="60"/>
              <w:jc w:val="right"/>
              <w:rPr>
                <w:sz w:val="18"/>
                <w:szCs w:val="18"/>
                <w:lang w:val="fr-CA"/>
              </w:rPr>
            </w:pPr>
          </w:p>
        </w:tc>
        <w:tc>
          <w:tcPr>
            <w:tcW w:w="527" w:type="pct"/>
            <w:shd w:val="clear" w:color="auto" w:fill="auto"/>
          </w:tcPr>
          <w:p w:rsidR="00387175" w:rsidRPr="00ED22D1" w:rsidRDefault="00387175" w:rsidP="00387175">
            <w:pPr>
              <w:spacing w:after="60"/>
              <w:jc w:val="right"/>
              <w:rPr>
                <w:sz w:val="18"/>
                <w:szCs w:val="18"/>
                <w:lang w:val="fr-CA"/>
              </w:rPr>
            </w:pPr>
          </w:p>
        </w:tc>
        <w:tc>
          <w:tcPr>
            <w:tcW w:w="619" w:type="pct"/>
            <w:shd w:val="clear" w:color="auto" w:fill="auto"/>
          </w:tcPr>
          <w:p w:rsidR="00387175" w:rsidRPr="00ED22D1" w:rsidRDefault="00387175" w:rsidP="00387175">
            <w:pPr>
              <w:spacing w:after="60"/>
              <w:jc w:val="right"/>
              <w:rPr>
                <w:sz w:val="18"/>
                <w:szCs w:val="18"/>
                <w:lang w:val="fr-CA"/>
              </w:rPr>
            </w:pPr>
          </w:p>
        </w:tc>
        <w:tc>
          <w:tcPr>
            <w:tcW w:w="623"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w:t>
            </w:r>
            <w:r w:rsidR="004A6828" w:rsidRPr="00ED22D1">
              <w:rPr>
                <w:sz w:val="18"/>
                <w:szCs w:val="18"/>
                <w:lang w:val="fr-CA"/>
              </w:rPr>
              <w:t>0,</w:t>
            </w:r>
            <w:r w:rsidRPr="00ED22D1">
              <w:rPr>
                <w:sz w:val="18"/>
                <w:szCs w:val="18"/>
                <w:lang w:val="fr-CA"/>
              </w:rPr>
              <w:t>13</w:t>
            </w:r>
          </w:p>
        </w:tc>
      </w:tr>
      <w:tr w:rsidR="00EA1D72" w:rsidRPr="00ED22D1" w:rsidTr="00EA1D72">
        <w:trPr>
          <w:trHeight w:val="240"/>
        </w:trPr>
        <w:tc>
          <w:tcPr>
            <w:tcW w:w="511" w:type="pct"/>
            <w:shd w:val="clear" w:color="auto" w:fill="auto"/>
          </w:tcPr>
          <w:p w:rsidR="00387175" w:rsidRPr="00ED22D1" w:rsidRDefault="00387175" w:rsidP="00387175">
            <w:pPr>
              <w:spacing w:after="60"/>
              <w:rPr>
                <w:sz w:val="18"/>
                <w:szCs w:val="18"/>
                <w:lang w:val="fr-CA"/>
              </w:rPr>
            </w:pPr>
            <w:r w:rsidRPr="00ED22D1">
              <w:rPr>
                <w:sz w:val="18"/>
                <w:szCs w:val="18"/>
                <w:lang w:val="fr-CA"/>
              </w:rPr>
              <w:t>HCFC-141b</w:t>
            </w:r>
          </w:p>
        </w:tc>
        <w:tc>
          <w:tcPr>
            <w:tcW w:w="378" w:type="pct"/>
            <w:shd w:val="clear" w:color="auto" w:fill="auto"/>
          </w:tcPr>
          <w:p w:rsidR="00387175" w:rsidRPr="00ED22D1" w:rsidRDefault="00387175" w:rsidP="00387175">
            <w:pPr>
              <w:spacing w:after="60"/>
              <w:jc w:val="right"/>
              <w:rPr>
                <w:sz w:val="18"/>
                <w:szCs w:val="18"/>
                <w:lang w:val="fr-CA"/>
              </w:rPr>
            </w:pPr>
          </w:p>
        </w:tc>
        <w:tc>
          <w:tcPr>
            <w:tcW w:w="442"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4 </w:t>
            </w:r>
            <w:r w:rsidR="00387175" w:rsidRPr="00ED22D1">
              <w:rPr>
                <w:sz w:val="18"/>
                <w:szCs w:val="18"/>
                <w:lang w:val="fr-CA"/>
              </w:rPr>
              <w:t>00</w:t>
            </w:r>
            <w:r w:rsidRPr="00ED22D1">
              <w:rPr>
                <w:sz w:val="18"/>
                <w:szCs w:val="18"/>
                <w:lang w:val="fr-CA"/>
              </w:rPr>
              <w:t>8,</w:t>
            </w:r>
            <w:r w:rsidR="00387175" w:rsidRPr="00ED22D1">
              <w:rPr>
                <w:sz w:val="18"/>
                <w:szCs w:val="18"/>
                <w:lang w:val="fr-CA"/>
              </w:rPr>
              <w:t>26</w:t>
            </w:r>
          </w:p>
        </w:tc>
        <w:tc>
          <w:tcPr>
            <w:tcW w:w="447" w:type="pct"/>
            <w:shd w:val="clear" w:color="auto" w:fill="auto"/>
          </w:tcPr>
          <w:p w:rsidR="00387175" w:rsidRPr="00ED22D1" w:rsidRDefault="00387175" w:rsidP="00387175">
            <w:pPr>
              <w:spacing w:after="60"/>
              <w:jc w:val="right"/>
              <w:rPr>
                <w:sz w:val="18"/>
                <w:szCs w:val="18"/>
                <w:lang w:val="fr-CA"/>
              </w:rPr>
            </w:pPr>
          </w:p>
        </w:tc>
        <w:tc>
          <w:tcPr>
            <w:tcW w:w="624" w:type="pct"/>
            <w:shd w:val="clear" w:color="auto" w:fill="auto"/>
          </w:tcPr>
          <w:p w:rsidR="00387175" w:rsidRPr="00ED22D1" w:rsidRDefault="00387175" w:rsidP="00387175">
            <w:pPr>
              <w:spacing w:after="60"/>
              <w:jc w:val="right"/>
              <w:rPr>
                <w:sz w:val="18"/>
                <w:szCs w:val="18"/>
                <w:lang w:val="fr-CA"/>
              </w:rPr>
            </w:pPr>
          </w:p>
        </w:tc>
        <w:tc>
          <w:tcPr>
            <w:tcW w:w="457" w:type="pct"/>
            <w:shd w:val="clear" w:color="auto" w:fill="auto"/>
          </w:tcPr>
          <w:p w:rsidR="00387175" w:rsidRPr="00ED22D1" w:rsidRDefault="00387175" w:rsidP="00387175">
            <w:pPr>
              <w:spacing w:after="60"/>
              <w:jc w:val="right"/>
              <w:rPr>
                <w:sz w:val="18"/>
                <w:szCs w:val="18"/>
                <w:lang w:val="fr-CA"/>
              </w:rPr>
            </w:pPr>
          </w:p>
        </w:tc>
        <w:tc>
          <w:tcPr>
            <w:tcW w:w="371"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39</w:t>
            </w:r>
            <w:r w:rsidR="004A6828" w:rsidRPr="00ED22D1">
              <w:rPr>
                <w:sz w:val="18"/>
                <w:szCs w:val="18"/>
                <w:lang w:val="fr-CA"/>
              </w:rPr>
              <w:t>6,</w:t>
            </w:r>
            <w:r w:rsidRPr="00ED22D1">
              <w:rPr>
                <w:sz w:val="18"/>
                <w:szCs w:val="18"/>
                <w:lang w:val="fr-CA"/>
              </w:rPr>
              <w:t>00</w:t>
            </w:r>
          </w:p>
        </w:tc>
        <w:tc>
          <w:tcPr>
            <w:tcW w:w="527" w:type="pct"/>
            <w:shd w:val="clear" w:color="auto" w:fill="auto"/>
          </w:tcPr>
          <w:p w:rsidR="00387175" w:rsidRPr="00ED22D1" w:rsidRDefault="00387175" w:rsidP="00387175">
            <w:pPr>
              <w:spacing w:after="60"/>
              <w:jc w:val="right"/>
              <w:rPr>
                <w:sz w:val="18"/>
                <w:szCs w:val="18"/>
                <w:lang w:val="fr-CA"/>
              </w:rPr>
            </w:pPr>
          </w:p>
        </w:tc>
        <w:tc>
          <w:tcPr>
            <w:tcW w:w="619" w:type="pct"/>
            <w:shd w:val="clear" w:color="auto" w:fill="auto"/>
          </w:tcPr>
          <w:p w:rsidR="00387175" w:rsidRPr="00ED22D1" w:rsidRDefault="00387175" w:rsidP="00387175">
            <w:pPr>
              <w:spacing w:after="60"/>
              <w:jc w:val="right"/>
              <w:rPr>
                <w:sz w:val="18"/>
                <w:szCs w:val="18"/>
                <w:lang w:val="fr-CA"/>
              </w:rPr>
            </w:pPr>
          </w:p>
        </w:tc>
        <w:tc>
          <w:tcPr>
            <w:tcW w:w="623"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4 </w:t>
            </w:r>
            <w:r w:rsidR="00387175" w:rsidRPr="00ED22D1">
              <w:rPr>
                <w:sz w:val="18"/>
                <w:szCs w:val="18"/>
                <w:lang w:val="fr-CA"/>
              </w:rPr>
              <w:t>40</w:t>
            </w:r>
            <w:r w:rsidRPr="00ED22D1">
              <w:rPr>
                <w:sz w:val="18"/>
                <w:szCs w:val="18"/>
                <w:lang w:val="fr-CA"/>
              </w:rPr>
              <w:t>4,</w:t>
            </w:r>
            <w:r w:rsidR="00387175" w:rsidRPr="00ED22D1">
              <w:rPr>
                <w:sz w:val="18"/>
                <w:szCs w:val="18"/>
                <w:lang w:val="fr-CA"/>
              </w:rPr>
              <w:t>26</w:t>
            </w:r>
          </w:p>
        </w:tc>
      </w:tr>
      <w:tr w:rsidR="00EA1D72" w:rsidRPr="00ED22D1" w:rsidTr="00EA1D72">
        <w:trPr>
          <w:trHeight w:val="240"/>
        </w:trPr>
        <w:tc>
          <w:tcPr>
            <w:tcW w:w="511" w:type="pct"/>
            <w:shd w:val="clear" w:color="auto" w:fill="auto"/>
          </w:tcPr>
          <w:p w:rsidR="00387175" w:rsidRPr="00ED22D1" w:rsidRDefault="00387175" w:rsidP="00387175">
            <w:pPr>
              <w:spacing w:after="60"/>
              <w:rPr>
                <w:sz w:val="18"/>
                <w:szCs w:val="18"/>
                <w:lang w:val="fr-CA"/>
              </w:rPr>
            </w:pPr>
            <w:r w:rsidRPr="00ED22D1">
              <w:rPr>
                <w:sz w:val="18"/>
                <w:szCs w:val="18"/>
                <w:lang w:val="fr-CA"/>
              </w:rPr>
              <w:t>HCFC-142b</w:t>
            </w:r>
          </w:p>
        </w:tc>
        <w:tc>
          <w:tcPr>
            <w:tcW w:w="378" w:type="pct"/>
            <w:shd w:val="clear" w:color="auto" w:fill="auto"/>
          </w:tcPr>
          <w:p w:rsidR="00387175" w:rsidRPr="00ED22D1" w:rsidRDefault="00387175" w:rsidP="00387175">
            <w:pPr>
              <w:spacing w:after="60"/>
              <w:jc w:val="right"/>
              <w:rPr>
                <w:sz w:val="18"/>
                <w:szCs w:val="18"/>
                <w:lang w:val="fr-CA"/>
              </w:rPr>
            </w:pPr>
          </w:p>
        </w:tc>
        <w:tc>
          <w:tcPr>
            <w:tcW w:w="442"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61</w:t>
            </w:r>
            <w:r w:rsidR="004A6828" w:rsidRPr="00ED22D1">
              <w:rPr>
                <w:sz w:val="18"/>
                <w:szCs w:val="18"/>
                <w:lang w:val="fr-CA"/>
              </w:rPr>
              <w:t>7,</w:t>
            </w:r>
            <w:r w:rsidRPr="00ED22D1">
              <w:rPr>
                <w:sz w:val="18"/>
                <w:szCs w:val="18"/>
                <w:lang w:val="fr-CA"/>
              </w:rPr>
              <w:t>50</w:t>
            </w:r>
          </w:p>
        </w:tc>
        <w:tc>
          <w:tcPr>
            <w:tcW w:w="447" w:type="pct"/>
            <w:shd w:val="clear" w:color="auto" w:fill="auto"/>
          </w:tcPr>
          <w:p w:rsidR="00387175" w:rsidRPr="00ED22D1" w:rsidRDefault="00387175" w:rsidP="00387175">
            <w:pPr>
              <w:spacing w:after="60"/>
              <w:jc w:val="right"/>
              <w:rPr>
                <w:sz w:val="18"/>
                <w:szCs w:val="18"/>
                <w:lang w:val="fr-CA"/>
              </w:rPr>
            </w:pPr>
          </w:p>
        </w:tc>
        <w:tc>
          <w:tcPr>
            <w:tcW w:w="624"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5,</w:t>
            </w:r>
            <w:r w:rsidR="00387175" w:rsidRPr="00ED22D1">
              <w:rPr>
                <w:sz w:val="18"/>
                <w:szCs w:val="18"/>
                <w:lang w:val="fr-CA"/>
              </w:rPr>
              <w:t>85</w:t>
            </w:r>
          </w:p>
        </w:tc>
        <w:tc>
          <w:tcPr>
            <w:tcW w:w="457"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4</w:t>
            </w:r>
            <w:r w:rsidR="004A6828" w:rsidRPr="00ED22D1">
              <w:rPr>
                <w:sz w:val="18"/>
                <w:szCs w:val="18"/>
                <w:lang w:val="fr-CA"/>
              </w:rPr>
              <w:t>3,</w:t>
            </w:r>
            <w:r w:rsidRPr="00ED22D1">
              <w:rPr>
                <w:sz w:val="18"/>
                <w:szCs w:val="18"/>
                <w:lang w:val="fr-CA"/>
              </w:rPr>
              <w:t>06</w:t>
            </w:r>
          </w:p>
        </w:tc>
        <w:tc>
          <w:tcPr>
            <w:tcW w:w="371" w:type="pct"/>
            <w:shd w:val="clear" w:color="auto" w:fill="auto"/>
          </w:tcPr>
          <w:p w:rsidR="00387175" w:rsidRPr="00ED22D1" w:rsidRDefault="00387175" w:rsidP="00387175">
            <w:pPr>
              <w:spacing w:after="60"/>
              <w:jc w:val="right"/>
              <w:rPr>
                <w:sz w:val="18"/>
                <w:szCs w:val="18"/>
                <w:lang w:val="fr-CA"/>
              </w:rPr>
            </w:pPr>
          </w:p>
        </w:tc>
        <w:tc>
          <w:tcPr>
            <w:tcW w:w="527" w:type="pct"/>
            <w:shd w:val="clear" w:color="auto" w:fill="auto"/>
          </w:tcPr>
          <w:p w:rsidR="00387175" w:rsidRPr="00ED22D1" w:rsidRDefault="00387175" w:rsidP="00387175">
            <w:pPr>
              <w:spacing w:after="60"/>
              <w:jc w:val="right"/>
              <w:rPr>
                <w:sz w:val="18"/>
                <w:szCs w:val="18"/>
                <w:lang w:val="fr-CA"/>
              </w:rPr>
            </w:pPr>
          </w:p>
        </w:tc>
        <w:tc>
          <w:tcPr>
            <w:tcW w:w="619" w:type="pct"/>
            <w:shd w:val="clear" w:color="auto" w:fill="auto"/>
          </w:tcPr>
          <w:p w:rsidR="00387175" w:rsidRPr="00ED22D1" w:rsidRDefault="00387175" w:rsidP="00387175">
            <w:pPr>
              <w:spacing w:after="60"/>
              <w:jc w:val="right"/>
              <w:rPr>
                <w:sz w:val="18"/>
                <w:szCs w:val="18"/>
                <w:lang w:val="fr-CA"/>
              </w:rPr>
            </w:pPr>
          </w:p>
        </w:tc>
        <w:tc>
          <w:tcPr>
            <w:tcW w:w="623" w:type="pct"/>
            <w:shd w:val="clear" w:color="auto" w:fill="auto"/>
          </w:tcPr>
          <w:p w:rsidR="00387175" w:rsidRPr="00ED22D1" w:rsidRDefault="00387175" w:rsidP="00387175">
            <w:pPr>
              <w:spacing w:after="60"/>
              <w:jc w:val="right"/>
              <w:rPr>
                <w:sz w:val="18"/>
                <w:szCs w:val="18"/>
                <w:lang w:val="fr-CA"/>
              </w:rPr>
            </w:pPr>
            <w:r w:rsidRPr="00ED22D1">
              <w:rPr>
                <w:sz w:val="18"/>
                <w:szCs w:val="18"/>
                <w:lang w:val="fr-CA"/>
              </w:rPr>
              <w:t>66</w:t>
            </w:r>
            <w:r w:rsidR="004A6828" w:rsidRPr="00ED22D1">
              <w:rPr>
                <w:sz w:val="18"/>
                <w:szCs w:val="18"/>
                <w:lang w:val="fr-CA"/>
              </w:rPr>
              <w:t>6,</w:t>
            </w:r>
            <w:r w:rsidRPr="00ED22D1">
              <w:rPr>
                <w:sz w:val="18"/>
                <w:szCs w:val="18"/>
                <w:lang w:val="fr-CA"/>
              </w:rPr>
              <w:t>41</w:t>
            </w:r>
          </w:p>
        </w:tc>
      </w:tr>
      <w:tr w:rsidR="00EA1D72" w:rsidRPr="00ED22D1" w:rsidTr="00EA1D72">
        <w:trPr>
          <w:trHeight w:val="240"/>
        </w:trPr>
        <w:tc>
          <w:tcPr>
            <w:tcW w:w="511" w:type="pct"/>
            <w:shd w:val="clear" w:color="auto" w:fill="auto"/>
          </w:tcPr>
          <w:p w:rsidR="00387175" w:rsidRPr="00ED22D1" w:rsidRDefault="00387175" w:rsidP="00387175">
            <w:pPr>
              <w:spacing w:after="60"/>
              <w:rPr>
                <w:sz w:val="18"/>
                <w:szCs w:val="18"/>
                <w:lang w:val="fr-CA"/>
              </w:rPr>
            </w:pPr>
            <w:r w:rsidRPr="00ED22D1">
              <w:rPr>
                <w:sz w:val="18"/>
                <w:szCs w:val="18"/>
                <w:lang w:val="fr-CA"/>
              </w:rPr>
              <w:t>HCFC-225ca</w:t>
            </w:r>
          </w:p>
        </w:tc>
        <w:tc>
          <w:tcPr>
            <w:tcW w:w="378" w:type="pct"/>
            <w:shd w:val="clear" w:color="auto" w:fill="auto"/>
          </w:tcPr>
          <w:p w:rsidR="00387175" w:rsidRPr="00ED22D1" w:rsidRDefault="00387175" w:rsidP="00387175">
            <w:pPr>
              <w:spacing w:after="60"/>
              <w:jc w:val="right"/>
              <w:rPr>
                <w:sz w:val="18"/>
                <w:szCs w:val="18"/>
                <w:lang w:val="fr-CA"/>
              </w:rPr>
            </w:pPr>
          </w:p>
        </w:tc>
        <w:tc>
          <w:tcPr>
            <w:tcW w:w="442" w:type="pct"/>
            <w:shd w:val="clear" w:color="auto" w:fill="auto"/>
          </w:tcPr>
          <w:p w:rsidR="00387175" w:rsidRPr="00ED22D1" w:rsidRDefault="00387175" w:rsidP="00387175">
            <w:pPr>
              <w:spacing w:after="60"/>
              <w:jc w:val="right"/>
              <w:rPr>
                <w:sz w:val="18"/>
                <w:szCs w:val="18"/>
                <w:lang w:val="fr-CA"/>
              </w:rPr>
            </w:pPr>
          </w:p>
        </w:tc>
        <w:tc>
          <w:tcPr>
            <w:tcW w:w="447" w:type="pct"/>
            <w:shd w:val="clear" w:color="auto" w:fill="auto"/>
          </w:tcPr>
          <w:p w:rsidR="00387175" w:rsidRPr="00ED22D1" w:rsidRDefault="00387175" w:rsidP="00387175">
            <w:pPr>
              <w:spacing w:after="60"/>
              <w:jc w:val="right"/>
              <w:rPr>
                <w:sz w:val="18"/>
                <w:szCs w:val="18"/>
                <w:lang w:val="fr-CA"/>
              </w:rPr>
            </w:pPr>
          </w:p>
        </w:tc>
        <w:tc>
          <w:tcPr>
            <w:tcW w:w="624" w:type="pct"/>
            <w:shd w:val="clear" w:color="auto" w:fill="auto"/>
          </w:tcPr>
          <w:p w:rsidR="00387175" w:rsidRPr="00ED22D1" w:rsidRDefault="00387175" w:rsidP="00387175">
            <w:pPr>
              <w:spacing w:after="60"/>
              <w:jc w:val="right"/>
              <w:rPr>
                <w:sz w:val="18"/>
                <w:szCs w:val="18"/>
                <w:lang w:val="fr-CA"/>
              </w:rPr>
            </w:pPr>
          </w:p>
        </w:tc>
        <w:tc>
          <w:tcPr>
            <w:tcW w:w="457" w:type="pct"/>
            <w:shd w:val="clear" w:color="auto" w:fill="auto"/>
          </w:tcPr>
          <w:p w:rsidR="00387175" w:rsidRPr="00ED22D1" w:rsidRDefault="00387175" w:rsidP="00387175">
            <w:pPr>
              <w:spacing w:after="60"/>
              <w:jc w:val="right"/>
              <w:rPr>
                <w:sz w:val="18"/>
                <w:szCs w:val="18"/>
                <w:lang w:val="fr-CA"/>
              </w:rPr>
            </w:pPr>
          </w:p>
        </w:tc>
        <w:tc>
          <w:tcPr>
            <w:tcW w:w="371"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0,</w:t>
            </w:r>
            <w:r w:rsidR="00387175" w:rsidRPr="00ED22D1">
              <w:rPr>
                <w:sz w:val="18"/>
                <w:szCs w:val="18"/>
                <w:lang w:val="fr-CA"/>
              </w:rPr>
              <w:t>96</w:t>
            </w:r>
          </w:p>
        </w:tc>
        <w:tc>
          <w:tcPr>
            <w:tcW w:w="527" w:type="pct"/>
            <w:shd w:val="clear" w:color="auto" w:fill="auto"/>
          </w:tcPr>
          <w:p w:rsidR="00387175" w:rsidRPr="00ED22D1" w:rsidRDefault="00387175" w:rsidP="00387175">
            <w:pPr>
              <w:spacing w:after="60"/>
              <w:jc w:val="right"/>
              <w:rPr>
                <w:sz w:val="18"/>
                <w:szCs w:val="18"/>
                <w:lang w:val="fr-CA"/>
              </w:rPr>
            </w:pPr>
          </w:p>
        </w:tc>
        <w:tc>
          <w:tcPr>
            <w:tcW w:w="619" w:type="pct"/>
            <w:shd w:val="clear" w:color="auto" w:fill="auto"/>
          </w:tcPr>
          <w:p w:rsidR="00387175" w:rsidRPr="00ED22D1" w:rsidRDefault="00387175" w:rsidP="00387175">
            <w:pPr>
              <w:spacing w:after="60"/>
              <w:jc w:val="right"/>
              <w:rPr>
                <w:sz w:val="18"/>
                <w:szCs w:val="18"/>
                <w:lang w:val="fr-CA"/>
              </w:rPr>
            </w:pPr>
          </w:p>
        </w:tc>
        <w:tc>
          <w:tcPr>
            <w:tcW w:w="623" w:type="pct"/>
            <w:shd w:val="clear" w:color="auto" w:fill="auto"/>
          </w:tcPr>
          <w:p w:rsidR="00387175" w:rsidRPr="00ED22D1" w:rsidRDefault="004A6828" w:rsidP="00387175">
            <w:pPr>
              <w:spacing w:after="60"/>
              <w:jc w:val="right"/>
              <w:rPr>
                <w:sz w:val="18"/>
                <w:szCs w:val="18"/>
                <w:lang w:val="fr-CA"/>
              </w:rPr>
            </w:pPr>
            <w:r w:rsidRPr="00ED22D1">
              <w:rPr>
                <w:sz w:val="18"/>
                <w:szCs w:val="18"/>
                <w:lang w:val="fr-CA"/>
              </w:rPr>
              <w:t>0,</w:t>
            </w:r>
            <w:r w:rsidR="00387175" w:rsidRPr="00ED22D1">
              <w:rPr>
                <w:sz w:val="18"/>
                <w:szCs w:val="18"/>
                <w:lang w:val="fr-CA"/>
              </w:rPr>
              <w:t>96</w:t>
            </w:r>
          </w:p>
        </w:tc>
      </w:tr>
    </w:tbl>
    <w:p w:rsidR="00387175" w:rsidRPr="00ED22D1" w:rsidRDefault="00387175" w:rsidP="00387175">
      <w:pPr>
        <w:pStyle w:val="StyleHeader4Para4Left0Firstline0"/>
        <w:numPr>
          <w:ilvl w:val="0"/>
          <w:numId w:val="0"/>
        </w:numPr>
        <w:spacing w:after="0"/>
        <w:rPr>
          <w:sz w:val="22"/>
          <w:lang w:val="fr-CA"/>
        </w:rPr>
      </w:pPr>
    </w:p>
    <w:tbl>
      <w:tblPr>
        <w:tblStyle w:val="TableGrid"/>
        <w:tblW w:w="5000" w:type="pct"/>
        <w:tblLook w:val="04A0" w:firstRow="1" w:lastRow="0" w:firstColumn="1" w:lastColumn="0" w:noHBand="0" w:noVBand="1"/>
      </w:tblPr>
      <w:tblGrid>
        <w:gridCol w:w="2291"/>
        <w:gridCol w:w="1210"/>
        <w:gridCol w:w="4865"/>
        <w:gridCol w:w="1210"/>
      </w:tblGrid>
      <w:tr w:rsidR="00387175" w:rsidRPr="00C80221" w:rsidTr="00387175">
        <w:trPr>
          <w:trHeight w:val="240"/>
        </w:trPr>
        <w:tc>
          <w:tcPr>
            <w:tcW w:w="5000" w:type="pct"/>
            <w:gridSpan w:val="4"/>
            <w:shd w:val="clear" w:color="auto" w:fill="auto"/>
          </w:tcPr>
          <w:p w:rsidR="00387175" w:rsidRPr="00ED22D1" w:rsidRDefault="00387175" w:rsidP="00387175">
            <w:pPr>
              <w:spacing w:after="60"/>
              <w:jc w:val="left"/>
              <w:rPr>
                <w:b/>
                <w:sz w:val="18"/>
                <w:lang w:val="fr-CA"/>
              </w:rPr>
            </w:pPr>
            <w:r w:rsidRPr="00ED22D1">
              <w:rPr>
                <w:b/>
                <w:sz w:val="18"/>
                <w:lang w:val="fr-CA"/>
              </w:rPr>
              <w:t xml:space="preserve">(IV) </w:t>
            </w:r>
            <w:r w:rsidR="00EA1D72" w:rsidRPr="00ED22D1">
              <w:rPr>
                <w:b/>
                <w:sz w:val="18"/>
                <w:szCs w:val="18"/>
                <w:lang w:val="fr-CA"/>
              </w:rPr>
              <w:t>DONNÉES SUR LA CONSOMMATION</w:t>
            </w:r>
            <w:r w:rsidR="00EA1D72" w:rsidRPr="00ED22D1">
              <w:rPr>
                <w:b/>
                <w:sz w:val="18"/>
                <w:lang w:val="fr-CA"/>
              </w:rPr>
              <w:t xml:space="preserve"> </w:t>
            </w:r>
            <w:r w:rsidR="0052712E" w:rsidRPr="00ED22D1">
              <w:rPr>
                <w:b/>
                <w:sz w:val="18"/>
                <w:lang w:val="fr-CA"/>
              </w:rPr>
              <w:t>(tonnes PAO)</w:t>
            </w:r>
          </w:p>
        </w:tc>
      </w:tr>
      <w:tr w:rsidR="00387175" w:rsidRPr="00ED22D1" w:rsidTr="00387175">
        <w:trPr>
          <w:trHeight w:val="240"/>
        </w:trPr>
        <w:tc>
          <w:tcPr>
            <w:tcW w:w="1196" w:type="pct"/>
            <w:shd w:val="clear" w:color="auto" w:fill="auto"/>
          </w:tcPr>
          <w:p w:rsidR="00387175" w:rsidRPr="00ED22D1" w:rsidRDefault="00EA1D72" w:rsidP="00EA1D72">
            <w:pPr>
              <w:spacing w:after="60"/>
              <w:jc w:val="center"/>
              <w:rPr>
                <w:sz w:val="18"/>
                <w:lang w:val="fr-CA"/>
              </w:rPr>
            </w:pPr>
            <w:r w:rsidRPr="00ED22D1">
              <w:rPr>
                <w:sz w:val="18"/>
                <w:lang w:val="fr-CA"/>
              </w:rPr>
              <w:t xml:space="preserve">Référence </w:t>
            </w:r>
            <w:r w:rsidR="00387175" w:rsidRPr="00ED22D1">
              <w:rPr>
                <w:sz w:val="18"/>
                <w:lang w:val="fr-CA"/>
              </w:rPr>
              <w:t>2009 - 2010</w:t>
            </w:r>
            <w:r w:rsidR="00791BF7" w:rsidRPr="00ED22D1">
              <w:rPr>
                <w:sz w:val="18"/>
                <w:lang w:val="fr-CA"/>
              </w:rPr>
              <w:t> :</w:t>
            </w:r>
          </w:p>
        </w:tc>
        <w:tc>
          <w:tcPr>
            <w:tcW w:w="632" w:type="pct"/>
            <w:shd w:val="clear" w:color="auto" w:fill="auto"/>
          </w:tcPr>
          <w:p w:rsidR="00387175" w:rsidRPr="00ED22D1" w:rsidRDefault="00387175" w:rsidP="00387175">
            <w:pPr>
              <w:spacing w:after="60"/>
              <w:jc w:val="right"/>
              <w:rPr>
                <w:sz w:val="18"/>
                <w:lang w:val="fr-CA"/>
              </w:rPr>
            </w:pPr>
            <w:r w:rsidRPr="00ED22D1">
              <w:rPr>
                <w:sz w:val="18"/>
                <w:lang w:val="fr-CA"/>
              </w:rPr>
              <w:t>1</w:t>
            </w:r>
            <w:r w:rsidR="004A6828" w:rsidRPr="00ED22D1">
              <w:rPr>
                <w:sz w:val="18"/>
                <w:lang w:val="fr-CA"/>
              </w:rPr>
              <w:t>9 </w:t>
            </w:r>
            <w:r w:rsidRPr="00ED22D1">
              <w:rPr>
                <w:sz w:val="18"/>
                <w:lang w:val="fr-CA"/>
              </w:rPr>
              <w:t>26</w:t>
            </w:r>
            <w:r w:rsidR="004A6828" w:rsidRPr="00ED22D1">
              <w:rPr>
                <w:sz w:val="18"/>
                <w:lang w:val="fr-CA"/>
              </w:rPr>
              <w:t>9,</w:t>
            </w:r>
            <w:r w:rsidRPr="00ED22D1">
              <w:rPr>
                <w:sz w:val="18"/>
                <w:lang w:val="fr-CA"/>
              </w:rPr>
              <w:t>0</w:t>
            </w:r>
          </w:p>
        </w:tc>
        <w:tc>
          <w:tcPr>
            <w:tcW w:w="2540" w:type="pct"/>
            <w:shd w:val="clear" w:color="auto" w:fill="auto"/>
          </w:tcPr>
          <w:p w:rsidR="00387175" w:rsidRPr="00ED22D1" w:rsidRDefault="00EA1D72" w:rsidP="00387175">
            <w:pPr>
              <w:spacing w:after="60"/>
              <w:jc w:val="center"/>
              <w:rPr>
                <w:sz w:val="18"/>
                <w:lang w:val="fr-CA"/>
              </w:rPr>
            </w:pPr>
            <w:r w:rsidRPr="00ED22D1">
              <w:rPr>
                <w:sz w:val="18"/>
                <w:szCs w:val="18"/>
                <w:lang w:val="fr-CA"/>
              </w:rPr>
              <w:t>Point de départ des réductions globales durables</w:t>
            </w:r>
            <w:r w:rsidRPr="00ED22D1">
              <w:rPr>
                <w:sz w:val="20"/>
                <w:szCs w:val="24"/>
                <w:lang w:val="fr-CA"/>
              </w:rPr>
              <w:t> </w:t>
            </w:r>
            <w:r w:rsidR="00791BF7" w:rsidRPr="00ED22D1">
              <w:rPr>
                <w:sz w:val="18"/>
                <w:lang w:val="fr-CA"/>
              </w:rPr>
              <w:t>:</w:t>
            </w:r>
          </w:p>
        </w:tc>
        <w:tc>
          <w:tcPr>
            <w:tcW w:w="632" w:type="pct"/>
            <w:shd w:val="clear" w:color="auto" w:fill="auto"/>
          </w:tcPr>
          <w:p w:rsidR="00387175" w:rsidRPr="00ED22D1" w:rsidRDefault="00387175" w:rsidP="00387175">
            <w:pPr>
              <w:spacing w:after="60"/>
              <w:jc w:val="right"/>
              <w:rPr>
                <w:sz w:val="18"/>
                <w:lang w:val="fr-CA"/>
              </w:rPr>
            </w:pPr>
            <w:r w:rsidRPr="00ED22D1">
              <w:rPr>
                <w:sz w:val="18"/>
                <w:lang w:val="fr-CA"/>
              </w:rPr>
              <w:t>1</w:t>
            </w:r>
            <w:r w:rsidR="004A6828" w:rsidRPr="00ED22D1">
              <w:rPr>
                <w:sz w:val="18"/>
                <w:lang w:val="fr-CA"/>
              </w:rPr>
              <w:t>8 </w:t>
            </w:r>
            <w:r w:rsidRPr="00ED22D1">
              <w:rPr>
                <w:sz w:val="18"/>
                <w:lang w:val="fr-CA"/>
              </w:rPr>
              <w:t>86</w:t>
            </w:r>
            <w:r w:rsidR="004A6828" w:rsidRPr="00ED22D1">
              <w:rPr>
                <w:sz w:val="18"/>
                <w:lang w:val="fr-CA"/>
              </w:rPr>
              <w:t>5,</w:t>
            </w:r>
            <w:r w:rsidRPr="00ED22D1">
              <w:rPr>
                <w:sz w:val="18"/>
                <w:lang w:val="fr-CA"/>
              </w:rPr>
              <w:t>44</w:t>
            </w:r>
          </w:p>
        </w:tc>
      </w:tr>
      <w:tr w:rsidR="00387175" w:rsidRPr="00C80221" w:rsidTr="00387175">
        <w:trPr>
          <w:trHeight w:val="240"/>
        </w:trPr>
        <w:tc>
          <w:tcPr>
            <w:tcW w:w="5000" w:type="pct"/>
            <w:gridSpan w:val="4"/>
            <w:shd w:val="clear" w:color="auto" w:fill="auto"/>
          </w:tcPr>
          <w:p w:rsidR="00387175" w:rsidRPr="00ED22D1" w:rsidRDefault="00EA1D72" w:rsidP="00387175">
            <w:pPr>
              <w:spacing w:after="60"/>
              <w:jc w:val="center"/>
              <w:rPr>
                <w:b/>
                <w:sz w:val="18"/>
                <w:lang w:val="fr-CA"/>
              </w:rPr>
            </w:pPr>
            <w:r w:rsidRPr="00ED22D1">
              <w:rPr>
                <w:b/>
                <w:sz w:val="18"/>
                <w:szCs w:val="18"/>
                <w:lang w:val="fr-CA"/>
              </w:rPr>
              <w:t>CONSOMMATION ADMISSIBLE AU FINANCEMENT</w:t>
            </w:r>
            <w:r w:rsidRPr="00ED22D1">
              <w:rPr>
                <w:b/>
                <w:sz w:val="20"/>
                <w:szCs w:val="24"/>
                <w:lang w:val="fr-CA"/>
              </w:rPr>
              <w:t xml:space="preserve"> </w:t>
            </w:r>
            <w:r w:rsidR="0052712E" w:rsidRPr="00ED22D1">
              <w:rPr>
                <w:b/>
                <w:sz w:val="18"/>
                <w:lang w:val="fr-CA"/>
              </w:rPr>
              <w:t>(tonnes PAO)</w:t>
            </w:r>
          </w:p>
        </w:tc>
      </w:tr>
      <w:tr w:rsidR="00387175" w:rsidRPr="00ED22D1" w:rsidTr="00616B46">
        <w:trPr>
          <w:trHeight w:val="60"/>
        </w:trPr>
        <w:tc>
          <w:tcPr>
            <w:tcW w:w="1196" w:type="pct"/>
            <w:shd w:val="clear" w:color="auto" w:fill="auto"/>
          </w:tcPr>
          <w:p w:rsidR="00387175" w:rsidRPr="00ED22D1" w:rsidRDefault="00921BDE" w:rsidP="00387175">
            <w:pPr>
              <w:spacing w:after="60"/>
              <w:jc w:val="center"/>
              <w:rPr>
                <w:sz w:val="18"/>
                <w:lang w:val="fr-CA"/>
              </w:rPr>
            </w:pPr>
            <w:r w:rsidRPr="00ED22D1">
              <w:rPr>
                <w:sz w:val="18"/>
                <w:lang w:val="fr-CA"/>
              </w:rPr>
              <w:t>Déjà</w:t>
            </w:r>
            <w:r w:rsidR="00387175" w:rsidRPr="00ED22D1">
              <w:rPr>
                <w:sz w:val="18"/>
                <w:lang w:val="fr-CA"/>
              </w:rPr>
              <w:t xml:space="preserve"> </w:t>
            </w:r>
            <w:r w:rsidR="00AA6E77" w:rsidRPr="00ED22D1">
              <w:rPr>
                <w:sz w:val="18"/>
                <w:lang w:val="fr-CA"/>
              </w:rPr>
              <w:t>approuvé</w:t>
            </w:r>
            <w:r w:rsidR="00616B46" w:rsidRPr="00ED22D1">
              <w:rPr>
                <w:sz w:val="18"/>
                <w:lang w:val="fr-CA"/>
              </w:rPr>
              <w:t>e</w:t>
            </w:r>
            <w:r w:rsidR="00791BF7" w:rsidRPr="00ED22D1">
              <w:rPr>
                <w:sz w:val="18"/>
                <w:lang w:val="fr-CA"/>
              </w:rPr>
              <w:t> :</w:t>
            </w:r>
          </w:p>
        </w:tc>
        <w:tc>
          <w:tcPr>
            <w:tcW w:w="632" w:type="pct"/>
            <w:shd w:val="clear" w:color="auto" w:fill="auto"/>
          </w:tcPr>
          <w:p w:rsidR="00387175" w:rsidRPr="00ED22D1" w:rsidRDefault="00387175" w:rsidP="00387175">
            <w:pPr>
              <w:spacing w:after="60"/>
              <w:jc w:val="right"/>
              <w:rPr>
                <w:sz w:val="18"/>
                <w:lang w:val="fr-CA"/>
              </w:rPr>
            </w:pPr>
            <w:r w:rsidRPr="00ED22D1">
              <w:rPr>
                <w:sz w:val="18"/>
                <w:lang w:val="fr-CA"/>
              </w:rPr>
              <w:t>1</w:t>
            </w:r>
            <w:r w:rsidR="004A6828" w:rsidRPr="00ED22D1">
              <w:rPr>
                <w:sz w:val="18"/>
                <w:lang w:val="fr-CA"/>
              </w:rPr>
              <w:t>2 </w:t>
            </w:r>
            <w:r w:rsidRPr="00ED22D1">
              <w:rPr>
                <w:sz w:val="18"/>
                <w:lang w:val="fr-CA"/>
              </w:rPr>
              <w:t>16</w:t>
            </w:r>
            <w:r w:rsidR="004A6828" w:rsidRPr="00ED22D1">
              <w:rPr>
                <w:sz w:val="18"/>
                <w:lang w:val="fr-CA"/>
              </w:rPr>
              <w:t>1,</w:t>
            </w:r>
            <w:r w:rsidRPr="00ED22D1">
              <w:rPr>
                <w:sz w:val="18"/>
                <w:lang w:val="fr-CA"/>
              </w:rPr>
              <w:t>02</w:t>
            </w:r>
          </w:p>
        </w:tc>
        <w:tc>
          <w:tcPr>
            <w:tcW w:w="2540" w:type="pct"/>
            <w:shd w:val="clear" w:color="auto" w:fill="auto"/>
          </w:tcPr>
          <w:p w:rsidR="00387175" w:rsidRPr="00ED22D1" w:rsidRDefault="00387175" w:rsidP="00616B46">
            <w:pPr>
              <w:spacing w:after="60"/>
              <w:jc w:val="center"/>
              <w:rPr>
                <w:sz w:val="18"/>
                <w:lang w:val="fr-CA"/>
              </w:rPr>
            </w:pPr>
            <w:r w:rsidRPr="00ED22D1">
              <w:rPr>
                <w:sz w:val="18"/>
                <w:lang w:val="fr-CA"/>
              </w:rPr>
              <w:t>R</w:t>
            </w:r>
            <w:r w:rsidR="00616B46" w:rsidRPr="00ED22D1">
              <w:rPr>
                <w:sz w:val="18"/>
                <w:lang w:val="fr-CA"/>
              </w:rPr>
              <w:t>estante</w:t>
            </w:r>
            <w:r w:rsidR="00791BF7" w:rsidRPr="00ED22D1">
              <w:rPr>
                <w:sz w:val="18"/>
                <w:lang w:val="fr-CA"/>
              </w:rPr>
              <w:t> :</w:t>
            </w:r>
          </w:p>
        </w:tc>
        <w:tc>
          <w:tcPr>
            <w:tcW w:w="632" w:type="pct"/>
            <w:shd w:val="clear" w:color="auto" w:fill="auto"/>
          </w:tcPr>
          <w:p w:rsidR="00387175" w:rsidRPr="00ED22D1" w:rsidRDefault="004A6828" w:rsidP="00387175">
            <w:pPr>
              <w:spacing w:after="60"/>
              <w:jc w:val="right"/>
              <w:rPr>
                <w:sz w:val="18"/>
                <w:lang w:val="fr-CA"/>
              </w:rPr>
            </w:pPr>
            <w:r w:rsidRPr="00ED22D1">
              <w:rPr>
                <w:sz w:val="18"/>
                <w:lang w:val="fr-CA"/>
              </w:rPr>
              <w:t>6 </w:t>
            </w:r>
            <w:r w:rsidR="00387175" w:rsidRPr="00ED22D1">
              <w:rPr>
                <w:sz w:val="18"/>
                <w:lang w:val="fr-CA"/>
              </w:rPr>
              <w:t>70</w:t>
            </w:r>
            <w:r w:rsidRPr="00ED22D1">
              <w:rPr>
                <w:sz w:val="18"/>
                <w:lang w:val="fr-CA"/>
              </w:rPr>
              <w:t>4,</w:t>
            </w:r>
            <w:r w:rsidR="00387175" w:rsidRPr="00ED22D1">
              <w:rPr>
                <w:sz w:val="18"/>
                <w:lang w:val="fr-CA"/>
              </w:rPr>
              <w:t>42</w:t>
            </w:r>
          </w:p>
        </w:tc>
      </w:tr>
    </w:tbl>
    <w:p w:rsidR="00387175" w:rsidRPr="00ED22D1" w:rsidRDefault="00387175" w:rsidP="00387175">
      <w:pPr>
        <w:pStyle w:val="StyleHeader4Para4Left0Firstline0"/>
        <w:numPr>
          <w:ilvl w:val="0"/>
          <w:numId w:val="0"/>
        </w:numPr>
        <w:spacing w:after="0"/>
        <w:rPr>
          <w:sz w:val="22"/>
          <w:lang w:val="fr-CA"/>
        </w:rPr>
      </w:pPr>
    </w:p>
    <w:tbl>
      <w:tblPr>
        <w:tblStyle w:val="TableGrid"/>
        <w:tblW w:w="5000" w:type="pct"/>
        <w:tblLook w:val="04A0" w:firstRow="1" w:lastRow="0" w:firstColumn="1" w:lastColumn="0" w:noHBand="0" w:noVBand="1"/>
      </w:tblPr>
      <w:tblGrid>
        <w:gridCol w:w="969"/>
        <w:gridCol w:w="3237"/>
        <w:gridCol w:w="1343"/>
        <w:gridCol w:w="1343"/>
        <w:gridCol w:w="1343"/>
        <w:gridCol w:w="1341"/>
      </w:tblGrid>
      <w:tr w:rsidR="00387175" w:rsidRPr="00ED22D1" w:rsidTr="008D5B5F">
        <w:trPr>
          <w:trHeight w:val="240"/>
        </w:trPr>
        <w:tc>
          <w:tcPr>
            <w:tcW w:w="2196" w:type="pct"/>
            <w:gridSpan w:val="2"/>
            <w:shd w:val="clear" w:color="auto" w:fill="auto"/>
          </w:tcPr>
          <w:p w:rsidR="00387175" w:rsidRPr="00ED22D1" w:rsidRDefault="00387175" w:rsidP="00387175">
            <w:pPr>
              <w:spacing w:after="60"/>
              <w:jc w:val="left"/>
              <w:rPr>
                <w:b/>
                <w:sz w:val="18"/>
                <w:lang w:val="fr-CA"/>
              </w:rPr>
            </w:pPr>
            <w:r w:rsidRPr="00ED22D1">
              <w:rPr>
                <w:b/>
                <w:sz w:val="18"/>
                <w:lang w:val="fr-CA"/>
              </w:rPr>
              <w:t xml:space="preserve">(V) </w:t>
            </w:r>
            <w:r w:rsidR="008D5B5F" w:rsidRPr="00ED22D1">
              <w:rPr>
                <w:b/>
                <w:sz w:val="18"/>
                <w:szCs w:val="18"/>
                <w:lang w:val="fr-CA"/>
              </w:rPr>
              <w:t>PLAN D’ACTIVITÉS</w:t>
            </w:r>
          </w:p>
        </w:tc>
        <w:tc>
          <w:tcPr>
            <w:tcW w:w="701" w:type="pct"/>
            <w:shd w:val="clear" w:color="auto" w:fill="auto"/>
          </w:tcPr>
          <w:p w:rsidR="00387175" w:rsidRPr="00ED22D1" w:rsidRDefault="00387175" w:rsidP="00387175">
            <w:pPr>
              <w:spacing w:after="60"/>
              <w:jc w:val="center"/>
              <w:rPr>
                <w:b/>
                <w:sz w:val="18"/>
                <w:lang w:val="fr-CA"/>
              </w:rPr>
            </w:pPr>
            <w:r w:rsidRPr="00ED22D1">
              <w:rPr>
                <w:b/>
                <w:sz w:val="18"/>
                <w:lang w:val="fr-CA"/>
              </w:rPr>
              <w:t>2019</w:t>
            </w:r>
          </w:p>
        </w:tc>
        <w:tc>
          <w:tcPr>
            <w:tcW w:w="701" w:type="pct"/>
            <w:shd w:val="clear" w:color="auto" w:fill="auto"/>
          </w:tcPr>
          <w:p w:rsidR="00387175" w:rsidRPr="00ED22D1" w:rsidRDefault="00387175" w:rsidP="00387175">
            <w:pPr>
              <w:spacing w:after="60"/>
              <w:jc w:val="center"/>
              <w:rPr>
                <w:b/>
                <w:sz w:val="18"/>
                <w:lang w:val="fr-CA"/>
              </w:rPr>
            </w:pPr>
            <w:r w:rsidRPr="00ED22D1">
              <w:rPr>
                <w:b/>
                <w:sz w:val="18"/>
                <w:lang w:val="fr-CA"/>
              </w:rPr>
              <w:t>2020</w:t>
            </w:r>
          </w:p>
        </w:tc>
        <w:tc>
          <w:tcPr>
            <w:tcW w:w="701" w:type="pct"/>
          </w:tcPr>
          <w:p w:rsidR="00387175" w:rsidRPr="00ED22D1" w:rsidRDefault="00387175" w:rsidP="00387175">
            <w:pPr>
              <w:spacing w:after="60"/>
              <w:jc w:val="center"/>
              <w:rPr>
                <w:b/>
                <w:sz w:val="18"/>
                <w:lang w:val="fr-CA"/>
              </w:rPr>
            </w:pPr>
            <w:r w:rsidRPr="00ED22D1">
              <w:rPr>
                <w:b/>
                <w:sz w:val="18"/>
                <w:lang w:val="fr-CA"/>
              </w:rPr>
              <w:t>2021</w:t>
            </w:r>
          </w:p>
        </w:tc>
        <w:tc>
          <w:tcPr>
            <w:tcW w:w="700" w:type="pct"/>
            <w:shd w:val="clear" w:color="auto" w:fill="auto"/>
          </w:tcPr>
          <w:p w:rsidR="00387175" w:rsidRPr="00ED22D1" w:rsidRDefault="00387175" w:rsidP="00387175">
            <w:pPr>
              <w:spacing w:after="60"/>
              <w:jc w:val="center"/>
              <w:rPr>
                <w:b/>
                <w:sz w:val="18"/>
                <w:lang w:val="fr-CA"/>
              </w:rPr>
            </w:pPr>
            <w:r w:rsidRPr="00ED22D1">
              <w:rPr>
                <w:b/>
                <w:sz w:val="18"/>
                <w:lang w:val="fr-CA"/>
              </w:rPr>
              <w:t>Total</w:t>
            </w:r>
          </w:p>
        </w:tc>
      </w:tr>
      <w:tr w:rsidR="008D5B5F" w:rsidRPr="00ED22D1" w:rsidTr="008D5B5F">
        <w:trPr>
          <w:trHeight w:val="240"/>
        </w:trPr>
        <w:tc>
          <w:tcPr>
            <w:tcW w:w="506" w:type="pct"/>
            <w:vMerge w:val="restart"/>
            <w:shd w:val="clear" w:color="auto" w:fill="auto"/>
          </w:tcPr>
          <w:p w:rsidR="008D5B5F" w:rsidRPr="00ED22D1" w:rsidRDefault="008D5B5F" w:rsidP="00387175">
            <w:pPr>
              <w:spacing w:after="60"/>
              <w:jc w:val="center"/>
              <w:rPr>
                <w:sz w:val="18"/>
                <w:lang w:val="fr-CA"/>
              </w:rPr>
            </w:pPr>
            <w:r w:rsidRPr="00ED22D1">
              <w:rPr>
                <w:sz w:val="18"/>
                <w:lang w:val="fr-CA"/>
              </w:rPr>
              <w:t>PNUD</w:t>
            </w:r>
          </w:p>
        </w:tc>
        <w:tc>
          <w:tcPr>
            <w:tcW w:w="1690" w:type="pct"/>
            <w:shd w:val="clear" w:color="auto" w:fill="auto"/>
          </w:tcPr>
          <w:p w:rsidR="008D5B5F" w:rsidRPr="00ED22D1" w:rsidRDefault="008D5B5F" w:rsidP="009826CA">
            <w:pPr>
              <w:spacing w:after="60"/>
              <w:jc w:val="left"/>
              <w:rPr>
                <w:sz w:val="18"/>
                <w:szCs w:val="18"/>
                <w:lang w:val="fr-CA"/>
              </w:rPr>
            </w:pPr>
            <w:r w:rsidRPr="00ED22D1">
              <w:rPr>
                <w:sz w:val="18"/>
                <w:szCs w:val="18"/>
                <w:lang w:val="fr-CA"/>
              </w:rPr>
              <w:t>Élimination des SAO (tonnes PAO)</w:t>
            </w:r>
          </w:p>
        </w:tc>
        <w:tc>
          <w:tcPr>
            <w:tcW w:w="701" w:type="pct"/>
            <w:shd w:val="clear" w:color="auto" w:fill="auto"/>
          </w:tcPr>
          <w:p w:rsidR="008D5B5F" w:rsidRPr="00ED22D1" w:rsidRDefault="008D5B5F" w:rsidP="00387175">
            <w:pPr>
              <w:spacing w:after="60"/>
              <w:jc w:val="right"/>
              <w:rPr>
                <w:sz w:val="18"/>
                <w:lang w:val="fr-CA"/>
              </w:rPr>
            </w:pPr>
            <w:r w:rsidRPr="00ED22D1">
              <w:rPr>
                <w:sz w:val="18"/>
                <w:lang w:val="fr-CA"/>
              </w:rPr>
              <w:t>28,51</w:t>
            </w:r>
          </w:p>
        </w:tc>
        <w:tc>
          <w:tcPr>
            <w:tcW w:w="701" w:type="pct"/>
            <w:shd w:val="clear" w:color="auto" w:fill="auto"/>
          </w:tcPr>
          <w:p w:rsidR="008D5B5F" w:rsidRPr="00ED22D1" w:rsidRDefault="008D5B5F" w:rsidP="00387175">
            <w:pPr>
              <w:spacing w:after="60"/>
              <w:jc w:val="right"/>
              <w:rPr>
                <w:sz w:val="18"/>
                <w:lang w:val="fr-CA"/>
              </w:rPr>
            </w:pPr>
            <w:r w:rsidRPr="00ED22D1">
              <w:rPr>
                <w:sz w:val="18"/>
                <w:lang w:val="fr-CA"/>
              </w:rPr>
              <w:t>31,10</w:t>
            </w:r>
          </w:p>
        </w:tc>
        <w:tc>
          <w:tcPr>
            <w:tcW w:w="701" w:type="pct"/>
          </w:tcPr>
          <w:p w:rsidR="008D5B5F" w:rsidRPr="00ED22D1" w:rsidRDefault="008D5B5F" w:rsidP="00387175">
            <w:pPr>
              <w:spacing w:after="60"/>
              <w:jc w:val="right"/>
              <w:rPr>
                <w:sz w:val="18"/>
                <w:lang w:val="fr-CA"/>
              </w:rPr>
            </w:pPr>
            <w:r w:rsidRPr="00ED22D1">
              <w:rPr>
                <w:sz w:val="18"/>
                <w:lang w:val="fr-CA"/>
              </w:rPr>
              <w:t>34,69</w:t>
            </w:r>
          </w:p>
        </w:tc>
        <w:tc>
          <w:tcPr>
            <w:tcW w:w="700" w:type="pct"/>
            <w:shd w:val="clear" w:color="auto" w:fill="auto"/>
          </w:tcPr>
          <w:p w:rsidR="008D5B5F" w:rsidRPr="00ED22D1" w:rsidRDefault="008D5B5F" w:rsidP="00387175">
            <w:pPr>
              <w:spacing w:after="60"/>
              <w:jc w:val="right"/>
              <w:rPr>
                <w:sz w:val="18"/>
                <w:lang w:val="fr-CA"/>
              </w:rPr>
            </w:pPr>
            <w:r w:rsidRPr="00ED22D1">
              <w:rPr>
                <w:sz w:val="18"/>
                <w:lang w:val="fr-CA"/>
              </w:rPr>
              <w:t>94,30</w:t>
            </w:r>
          </w:p>
        </w:tc>
      </w:tr>
      <w:tr w:rsidR="008D5B5F" w:rsidRPr="00ED22D1" w:rsidTr="008D5B5F">
        <w:trPr>
          <w:trHeight w:val="240"/>
        </w:trPr>
        <w:tc>
          <w:tcPr>
            <w:tcW w:w="506" w:type="pct"/>
            <w:vMerge/>
            <w:shd w:val="clear" w:color="auto" w:fill="auto"/>
          </w:tcPr>
          <w:p w:rsidR="008D5B5F" w:rsidRPr="00ED22D1" w:rsidRDefault="008D5B5F" w:rsidP="00387175">
            <w:pPr>
              <w:spacing w:after="60"/>
              <w:jc w:val="center"/>
              <w:rPr>
                <w:sz w:val="18"/>
                <w:lang w:val="fr-CA"/>
              </w:rPr>
            </w:pPr>
          </w:p>
        </w:tc>
        <w:tc>
          <w:tcPr>
            <w:tcW w:w="1690" w:type="pct"/>
            <w:shd w:val="clear" w:color="auto" w:fill="auto"/>
          </w:tcPr>
          <w:p w:rsidR="008D5B5F" w:rsidRPr="00ED22D1" w:rsidRDefault="008D5B5F" w:rsidP="009826CA">
            <w:pPr>
              <w:spacing w:after="60"/>
              <w:jc w:val="left"/>
              <w:rPr>
                <w:sz w:val="18"/>
                <w:szCs w:val="18"/>
                <w:lang w:val="fr-CA"/>
              </w:rPr>
            </w:pPr>
            <w:r w:rsidRPr="00ED22D1">
              <w:rPr>
                <w:sz w:val="18"/>
                <w:szCs w:val="18"/>
                <w:lang w:val="fr-CA"/>
              </w:rPr>
              <w:t>Financement ($US)</w:t>
            </w:r>
          </w:p>
        </w:tc>
        <w:tc>
          <w:tcPr>
            <w:tcW w:w="701" w:type="pct"/>
            <w:shd w:val="clear" w:color="auto" w:fill="auto"/>
          </w:tcPr>
          <w:p w:rsidR="008D5B5F" w:rsidRPr="00ED22D1" w:rsidRDefault="008D5B5F" w:rsidP="00387175">
            <w:pPr>
              <w:spacing w:after="60"/>
              <w:jc w:val="right"/>
              <w:rPr>
                <w:sz w:val="18"/>
                <w:lang w:val="fr-CA"/>
              </w:rPr>
            </w:pPr>
            <w:r w:rsidRPr="00ED22D1">
              <w:rPr>
                <w:sz w:val="18"/>
                <w:lang w:val="fr-CA"/>
              </w:rPr>
              <w:t>3 167 125</w:t>
            </w:r>
          </w:p>
        </w:tc>
        <w:tc>
          <w:tcPr>
            <w:tcW w:w="701" w:type="pct"/>
            <w:shd w:val="clear" w:color="auto" w:fill="auto"/>
          </w:tcPr>
          <w:p w:rsidR="008D5B5F" w:rsidRPr="00ED22D1" w:rsidRDefault="008D5B5F" w:rsidP="00387175">
            <w:pPr>
              <w:spacing w:after="60"/>
              <w:jc w:val="right"/>
              <w:rPr>
                <w:sz w:val="18"/>
                <w:lang w:val="fr-CA"/>
              </w:rPr>
            </w:pPr>
            <w:r w:rsidRPr="00ED22D1">
              <w:rPr>
                <w:sz w:val="18"/>
                <w:lang w:val="fr-CA"/>
              </w:rPr>
              <w:t>3 455 062</w:t>
            </w:r>
          </w:p>
        </w:tc>
        <w:tc>
          <w:tcPr>
            <w:tcW w:w="701" w:type="pct"/>
          </w:tcPr>
          <w:p w:rsidR="008D5B5F" w:rsidRPr="00ED22D1" w:rsidRDefault="008D5B5F" w:rsidP="00387175">
            <w:pPr>
              <w:spacing w:after="60"/>
              <w:jc w:val="right"/>
              <w:rPr>
                <w:sz w:val="18"/>
                <w:lang w:val="fr-CA"/>
              </w:rPr>
            </w:pPr>
            <w:r w:rsidRPr="00ED22D1">
              <w:rPr>
                <w:sz w:val="18"/>
                <w:lang w:val="fr-CA"/>
              </w:rPr>
              <w:t>3 853 159</w:t>
            </w:r>
          </w:p>
        </w:tc>
        <w:tc>
          <w:tcPr>
            <w:tcW w:w="700" w:type="pct"/>
            <w:shd w:val="clear" w:color="auto" w:fill="auto"/>
          </w:tcPr>
          <w:p w:rsidR="008D5B5F" w:rsidRPr="00ED22D1" w:rsidRDefault="008D5B5F" w:rsidP="00387175">
            <w:pPr>
              <w:spacing w:after="60"/>
              <w:jc w:val="right"/>
              <w:rPr>
                <w:sz w:val="18"/>
                <w:lang w:val="fr-CA"/>
              </w:rPr>
            </w:pPr>
            <w:r w:rsidRPr="00ED22D1">
              <w:rPr>
                <w:sz w:val="18"/>
                <w:lang w:val="fr-CA"/>
              </w:rPr>
              <w:t>10 475 346</w:t>
            </w:r>
          </w:p>
        </w:tc>
      </w:tr>
    </w:tbl>
    <w:p w:rsidR="00387175" w:rsidRPr="00ED22D1" w:rsidRDefault="00387175" w:rsidP="00387175">
      <w:pPr>
        <w:pStyle w:val="Title1"/>
        <w:rPr>
          <w:lang w:val="fr-CA"/>
        </w:rPr>
      </w:pPr>
    </w:p>
    <w:p w:rsidR="00387175" w:rsidRPr="00ED22D1" w:rsidRDefault="00387175" w:rsidP="00387175">
      <w:pPr>
        <w:pStyle w:val="Title1"/>
        <w:rPr>
          <w:lang w:val="fr-CA"/>
        </w:rPr>
        <w:sectPr w:rsidR="00387175" w:rsidRPr="00ED22D1" w:rsidSect="00387175">
          <w:headerReference w:type="even" r:id="rId38"/>
          <w:headerReference w:type="default" r:id="rId39"/>
          <w:footerReference w:type="even" r:id="rId40"/>
          <w:footerReference w:type="default" r:id="rId41"/>
          <w:headerReference w:type="first" r:id="rId42"/>
          <w:footerReference w:type="first" r:id="rId43"/>
          <w:pgSz w:w="12240" w:h="15840" w:code="1"/>
          <w:pgMar w:top="720" w:right="1440" w:bottom="864" w:left="1440" w:header="720" w:footer="475" w:gutter="0"/>
          <w:cols w:space="720"/>
          <w:docGrid w:linePitch="299"/>
        </w:sectPr>
      </w:pPr>
    </w:p>
    <w:tbl>
      <w:tblPr>
        <w:tblStyle w:val="TableGrid"/>
        <w:tblW w:w="5000" w:type="pct"/>
        <w:tblLook w:val="04A0" w:firstRow="1" w:lastRow="0" w:firstColumn="1" w:lastColumn="0" w:noHBand="0" w:noVBand="1"/>
      </w:tblPr>
      <w:tblGrid>
        <w:gridCol w:w="1226"/>
        <w:gridCol w:w="955"/>
        <w:gridCol w:w="1022"/>
        <w:gridCol w:w="932"/>
        <w:gridCol w:w="932"/>
        <w:gridCol w:w="932"/>
        <w:gridCol w:w="936"/>
        <w:gridCol w:w="932"/>
        <w:gridCol w:w="932"/>
        <w:gridCol w:w="932"/>
        <w:gridCol w:w="932"/>
        <w:gridCol w:w="932"/>
        <w:gridCol w:w="932"/>
        <w:gridCol w:w="932"/>
        <w:gridCol w:w="1013"/>
      </w:tblGrid>
      <w:tr w:rsidR="00387175" w:rsidRPr="00ED22D1" w:rsidTr="00976A64">
        <w:tc>
          <w:tcPr>
            <w:tcW w:w="1107" w:type="pct"/>
            <w:gridSpan w:val="3"/>
            <w:shd w:val="clear" w:color="auto" w:fill="auto"/>
          </w:tcPr>
          <w:p w:rsidR="00387175" w:rsidRPr="00ED22D1" w:rsidRDefault="00387175" w:rsidP="00387175">
            <w:pPr>
              <w:spacing w:after="60"/>
              <w:jc w:val="left"/>
              <w:rPr>
                <w:b/>
                <w:sz w:val="16"/>
                <w:szCs w:val="16"/>
                <w:lang w:val="fr-CA"/>
              </w:rPr>
            </w:pPr>
            <w:r w:rsidRPr="00ED22D1">
              <w:rPr>
                <w:b/>
                <w:sz w:val="16"/>
                <w:szCs w:val="16"/>
                <w:lang w:val="fr-CA"/>
              </w:rPr>
              <w:lastRenderedPageBreak/>
              <w:t xml:space="preserve">(VI) </w:t>
            </w:r>
            <w:r w:rsidR="00976A64" w:rsidRPr="00ED22D1">
              <w:rPr>
                <w:b/>
                <w:sz w:val="18"/>
                <w:szCs w:val="18"/>
                <w:lang w:val="fr-CA"/>
              </w:rPr>
              <w:t>DONNÉES DU PROJET</w:t>
            </w:r>
          </w:p>
        </w:tc>
        <w:tc>
          <w:tcPr>
            <w:tcW w:w="322" w:type="pct"/>
            <w:shd w:val="clear" w:color="auto" w:fill="auto"/>
          </w:tcPr>
          <w:p w:rsidR="00387175" w:rsidRPr="00ED22D1" w:rsidRDefault="00387175" w:rsidP="00387175">
            <w:pPr>
              <w:jc w:val="center"/>
              <w:rPr>
                <w:b/>
                <w:bCs/>
                <w:sz w:val="16"/>
                <w:szCs w:val="16"/>
                <w:lang w:val="fr-CA"/>
              </w:rPr>
            </w:pPr>
            <w:r w:rsidRPr="00ED22D1">
              <w:rPr>
                <w:b/>
                <w:bCs/>
                <w:sz w:val="16"/>
                <w:szCs w:val="16"/>
                <w:lang w:val="fr-CA"/>
              </w:rPr>
              <w:t>2016</w:t>
            </w:r>
          </w:p>
        </w:tc>
        <w:tc>
          <w:tcPr>
            <w:tcW w:w="322" w:type="pct"/>
            <w:shd w:val="clear" w:color="auto" w:fill="auto"/>
          </w:tcPr>
          <w:p w:rsidR="00387175" w:rsidRPr="00ED22D1" w:rsidRDefault="00387175" w:rsidP="00387175">
            <w:pPr>
              <w:jc w:val="center"/>
              <w:rPr>
                <w:b/>
                <w:bCs/>
                <w:sz w:val="16"/>
                <w:szCs w:val="16"/>
                <w:lang w:val="fr-CA"/>
              </w:rPr>
            </w:pPr>
            <w:r w:rsidRPr="00ED22D1">
              <w:rPr>
                <w:b/>
                <w:bCs/>
                <w:sz w:val="16"/>
                <w:szCs w:val="16"/>
                <w:lang w:val="fr-CA"/>
              </w:rPr>
              <w:t>2017</w:t>
            </w:r>
          </w:p>
        </w:tc>
        <w:tc>
          <w:tcPr>
            <w:tcW w:w="322" w:type="pct"/>
            <w:shd w:val="clear" w:color="auto" w:fill="auto"/>
          </w:tcPr>
          <w:p w:rsidR="00387175" w:rsidRPr="00ED22D1" w:rsidRDefault="00387175" w:rsidP="00387175">
            <w:pPr>
              <w:jc w:val="center"/>
              <w:rPr>
                <w:b/>
                <w:bCs/>
                <w:sz w:val="16"/>
                <w:szCs w:val="16"/>
                <w:lang w:val="fr-CA"/>
              </w:rPr>
            </w:pPr>
            <w:r w:rsidRPr="00ED22D1">
              <w:rPr>
                <w:b/>
                <w:bCs/>
                <w:sz w:val="16"/>
                <w:szCs w:val="16"/>
                <w:lang w:val="fr-CA"/>
              </w:rPr>
              <w:t>2018*</w:t>
            </w:r>
          </w:p>
        </w:tc>
        <w:tc>
          <w:tcPr>
            <w:tcW w:w="323" w:type="pct"/>
            <w:shd w:val="clear" w:color="auto" w:fill="auto"/>
          </w:tcPr>
          <w:p w:rsidR="00387175" w:rsidRPr="00ED22D1" w:rsidRDefault="00387175" w:rsidP="00387175">
            <w:pPr>
              <w:jc w:val="center"/>
              <w:rPr>
                <w:b/>
                <w:bCs/>
                <w:sz w:val="16"/>
                <w:szCs w:val="16"/>
                <w:lang w:val="fr-CA"/>
              </w:rPr>
            </w:pPr>
            <w:r w:rsidRPr="00ED22D1">
              <w:rPr>
                <w:b/>
                <w:bCs/>
                <w:sz w:val="16"/>
                <w:szCs w:val="16"/>
                <w:lang w:val="fr-CA"/>
              </w:rPr>
              <w:t>2019</w:t>
            </w:r>
          </w:p>
        </w:tc>
        <w:tc>
          <w:tcPr>
            <w:tcW w:w="322" w:type="pct"/>
            <w:shd w:val="clear" w:color="auto" w:fill="auto"/>
          </w:tcPr>
          <w:p w:rsidR="00387175" w:rsidRPr="00ED22D1" w:rsidRDefault="00387175" w:rsidP="00387175">
            <w:pPr>
              <w:jc w:val="center"/>
              <w:rPr>
                <w:b/>
                <w:bCs/>
                <w:sz w:val="16"/>
                <w:szCs w:val="16"/>
                <w:lang w:val="fr-CA"/>
              </w:rPr>
            </w:pPr>
            <w:r w:rsidRPr="00ED22D1">
              <w:rPr>
                <w:b/>
                <w:bCs/>
                <w:sz w:val="16"/>
                <w:szCs w:val="16"/>
                <w:lang w:val="fr-CA"/>
              </w:rPr>
              <w:t>2020</w:t>
            </w:r>
          </w:p>
        </w:tc>
        <w:tc>
          <w:tcPr>
            <w:tcW w:w="322" w:type="pct"/>
            <w:shd w:val="clear" w:color="auto" w:fill="auto"/>
          </w:tcPr>
          <w:p w:rsidR="00387175" w:rsidRPr="00ED22D1" w:rsidRDefault="00387175" w:rsidP="00387175">
            <w:pPr>
              <w:jc w:val="center"/>
              <w:rPr>
                <w:b/>
                <w:bCs/>
                <w:sz w:val="16"/>
                <w:szCs w:val="16"/>
                <w:lang w:val="fr-CA"/>
              </w:rPr>
            </w:pPr>
            <w:r w:rsidRPr="00ED22D1">
              <w:rPr>
                <w:b/>
                <w:bCs/>
                <w:sz w:val="16"/>
                <w:szCs w:val="16"/>
                <w:lang w:val="fr-CA"/>
              </w:rPr>
              <w:t>2021</w:t>
            </w:r>
          </w:p>
        </w:tc>
        <w:tc>
          <w:tcPr>
            <w:tcW w:w="322" w:type="pct"/>
          </w:tcPr>
          <w:p w:rsidR="00387175" w:rsidRPr="00ED22D1" w:rsidRDefault="00387175" w:rsidP="00387175">
            <w:pPr>
              <w:spacing w:after="60"/>
              <w:jc w:val="center"/>
              <w:rPr>
                <w:b/>
                <w:sz w:val="16"/>
                <w:szCs w:val="16"/>
                <w:lang w:val="fr-CA"/>
              </w:rPr>
            </w:pPr>
            <w:r w:rsidRPr="00ED22D1">
              <w:rPr>
                <w:b/>
                <w:sz w:val="16"/>
                <w:szCs w:val="16"/>
                <w:lang w:val="fr-CA"/>
              </w:rPr>
              <w:t>2022</w:t>
            </w:r>
          </w:p>
        </w:tc>
        <w:tc>
          <w:tcPr>
            <w:tcW w:w="322" w:type="pct"/>
          </w:tcPr>
          <w:p w:rsidR="00387175" w:rsidRPr="00ED22D1" w:rsidRDefault="00387175" w:rsidP="00387175">
            <w:pPr>
              <w:spacing w:after="60"/>
              <w:jc w:val="center"/>
              <w:rPr>
                <w:b/>
                <w:sz w:val="16"/>
                <w:szCs w:val="16"/>
                <w:lang w:val="fr-CA"/>
              </w:rPr>
            </w:pPr>
            <w:r w:rsidRPr="00ED22D1">
              <w:rPr>
                <w:b/>
                <w:sz w:val="16"/>
                <w:szCs w:val="16"/>
                <w:lang w:val="fr-CA"/>
              </w:rPr>
              <w:t>2023</w:t>
            </w:r>
          </w:p>
        </w:tc>
        <w:tc>
          <w:tcPr>
            <w:tcW w:w="322" w:type="pct"/>
          </w:tcPr>
          <w:p w:rsidR="00387175" w:rsidRPr="00ED22D1" w:rsidRDefault="00387175" w:rsidP="00387175">
            <w:pPr>
              <w:spacing w:after="60"/>
              <w:jc w:val="center"/>
              <w:rPr>
                <w:b/>
                <w:sz w:val="16"/>
                <w:szCs w:val="16"/>
                <w:lang w:val="fr-CA"/>
              </w:rPr>
            </w:pPr>
            <w:r w:rsidRPr="00ED22D1">
              <w:rPr>
                <w:b/>
                <w:sz w:val="16"/>
                <w:szCs w:val="16"/>
                <w:lang w:val="fr-CA"/>
              </w:rPr>
              <w:t>2024</w:t>
            </w:r>
          </w:p>
        </w:tc>
        <w:tc>
          <w:tcPr>
            <w:tcW w:w="322" w:type="pct"/>
          </w:tcPr>
          <w:p w:rsidR="00387175" w:rsidRPr="00ED22D1" w:rsidRDefault="00387175" w:rsidP="00387175">
            <w:pPr>
              <w:spacing w:after="60"/>
              <w:jc w:val="center"/>
              <w:rPr>
                <w:b/>
                <w:sz w:val="16"/>
                <w:szCs w:val="16"/>
                <w:lang w:val="fr-CA"/>
              </w:rPr>
            </w:pPr>
            <w:r w:rsidRPr="00ED22D1">
              <w:rPr>
                <w:b/>
                <w:sz w:val="16"/>
                <w:szCs w:val="16"/>
                <w:lang w:val="fr-CA"/>
              </w:rPr>
              <w:t>2025</w:t>
            </w:r>
          </w:p>
        </w:tc>
        <w:tc>
          <w:tcPr>
            <w:tcW w:w="322" w:type="pct"/>
          </w:tcPr>
          <w:p w:rsidR="00387175" w:rsidRPr="00ED22D1" w:rsidRDefault="00387175" w:rsidP="00387175">
            <w:pPr>
              <w:spacing w:after="60"/>
              <w:jc w:val="center"/>
              <w:rPr>
                <w:b/>
                <w:sz w:val="16"/>
                <w:szCs w:val="16"/>
                <w:lang w:val="fr-CA"/>
              </w:rPr>
            </w:pPr>
            <w:r w:rsidRPr="00ED22D1">
              <w:rPr>
                <w:b/>
                <w:sz w:val="16"/>
                <w:szCs w:val="16"/>
                <w:lang w:val="fr-CA"/>
              </w:rPr>
              <w:t>2026</w:t>
            </w:r>
          </w:p>
        </w:tc>
        <w:tc>
          <w:tcPr>
            <w:tcW w:w="350" w:type="pct"/>
            <w:shd w:val="clear" w:color="auto" w:fill="auto"/>
          </w:tcPr>
          <w:p w:rsidR="00387175" w:rsidRPr="00ED22D1" w:rsidRDefault="00387175" w:rsidP="00387175">
            <w:pPr>
              <w:spacing w:after="60"/>
              <w:jc w:val="center"/>
              <w:rPr>
                <w:b/>
                <w:sz w:val="16"/>
                <w:szCs w:val="16"/>
                <w:lang w:val="fr-CA"/>
              </w:rPr>
            </w:pPr>
            <w:r w:rsidRPr="00ED22D1">
              <w:rPr>
                <w:b/>
                <w:sz w:val="16"/>
                <w:szCs w:val="16"/>
                <w:lang w:val="fr-CA"/>
              </w:rPr>
              <w:t>Total</w:t>
            </w:r>
          </w:p>
        </w:tc>
      </w:tr>
      <w:tr w:rsidR="00976A64" w:rsidRPr="00ED22D1" w:rsidTr="00976A64">
        <w:tc>
          <w:tcPr>
            <w:tcW w:w="1107" w:type="pct"/>
            <w:gridSpan w:val="3"/>
            <w:shd w:val="clear" w:color="auto" w:fill="auto"/>
          </w:tcPr>
          <w:p w:rsidR="00976A64" w:rsidRPr="00ED22D1" w:rsidRDefault="00976A64" w:rsidP="00046133">
            <w:pPr>
              <w:autoSpaceDE w:val="0"/>
              <w:autoSpaceDN w:val="0"/>
              <w:adjustRightInd w:val="0"/>
              <w:jc w:val="left"/>
              <w:rPr>
                <w:sz w:val="16"/>
                <w:szCs w:val="16"/>
                <w:lang w:val="fr-CA"/>
              </w:rPr>
            </w:pPr>
            <w:r w:rsidRPr="00ED22D1">
              <w:rPr>
                <w:sz w:val="16"/>
                <w:szCs w:val="16"/>
                <w:lang w:val="fr-CA"/>
              </w:rPr>
              <w:t>Limites de consommation du Protocole de Montréal</w:t>
            </w:r>
          </w:p>
        </w:tc>
        <w:tc>
          <w:tcPr>
            <w:tcW w:w="322" w:type="pct"/>
            <w:shd w:val="clear" w:color="auto" w:fill="auto"/>
          </w:tcPr>
          <w:p w:rsidR="00976A64" w:rsidRPr="00ED22D1" w:rsidRDefault="00976A64" w:rsidP="00387175">
            <w:pPr>
              <w:jc w:val="right"/>
              <w:rPr>
                <w:color w:val="000000"/>
                <w:sz w:val="16"/>
                <w:szCs w:val="16"/>
                <w:lang w:val="fr-CA"/>
              </w:rPr>
            </w:pPr>
            <w:r w:rsidRPr="00ED22D1">
              <w:rPr>
                <w:color w:val="000000"/>
                <w:sz w:val="16"/>
                <w:szCs w:val="16"/>
                <w:lang w:val="fr-CA"/>
              </w:rPr>
              <w:t xml:space="preserve">17 342,1 </w:t>
            </w:r>
          </w:p>
        </w:tc>
        <w:tc>
          <w:tcPr>
            <w:tcW w:w="322" w:type="pct"/>
            <w:shd w:val="clear" w:color="auto" w:fill="auto"/>
          </w:tcPr>
          <w:p w:rsidR="00976A64" w:rsidRPr="00ED22D1" w:rsidRDefault="00976A64" w:rsidP="00387175">
            <w:pPr>
              <w:jc w:val="right"/>
              <w:rPr>
                <w:color w:val="000000"/>
                <w:sz w:val="16"/>
                <w:szCs w:val="16"/>
                <w:lang w:val="fr-CA"/>
              </w:rPr>
            </w:pPr>
            <w:r w:rsidRPr="00ED22D1">
              <w:rPr>
                <w:color w:val="000000"/>
                <w:sz w:val="16"/>
                <w:szCs w:val="16"/>
                <w:lang w:val="fr-CA"/>
              </w:rPr>
              <w:t xml:space="preserve">17 342,1 </w:t>
            </w:r>
          </w:p>
        </w:tc>
        <w:tc>
          <w:tcPr>
            <w:tcW w:w="322" w:type="pct"/>
            <w:shd w:val="clear" w:color="auto" w:fill="auto"/>
          </w:tcPr>
          <w:p w:rsidR="00976A64" w:rsidRPr="00ED22D1" w:rsidRDefault="00976A64" w:rsidP="00387175">
            <w:pPr>
              <w:jc w:val="right"/>
              <w:rPr>
                <w:color w:val="000000"/>
                <w:sz w:val="16"/>
                <w:szCs w:val="16"/>
                <w:lang w:val="fr-CA"/>
              </w:rPr>
            </w:pPr>
            <w:r w:rsidRPr="00ED22D1">
              <w:rPr>
                <w:color w:val="000000"/>
                <w:sz w:val="16"/>
                <w:szCs w:val="16"/>
                <w:lang w:val="fr-CA"/>
              </w:rPr>
              <w:t xml:space="preserve">17 342,1 </w:t>
            </w:r>
          </w:p>
        </w:tc>
        <w:tc>
          <w:tcPr>
            <w:tcW w:w="323" w:type="pct"/>
            <w:shd w:val="clear" w:color="auto" w:fill="auto"/>
          </w:tcPr>
          <w:p w:rsidR="00976A64" w:rsidRPr="00ED22D1" w:rsidRDefault="00976A64" w:rsidP="00387175">
            <w:pPr>
              <w:jc w:val="right"/>
              <w:rPr>
                <w:color w:val="000000"/>
                <w:sz w:val="16"/>
                <w:szCs w:val="16"/>
                <w:lang w:val="fr-CA"/>
              </w:rPr>
            </w:pPr>
            <w:r w:rsidRPr="00ED22D1">
              <w:rPr>
                <w:color w:val="000000"/>
                <w:sz w:val="16"/>
                <w:szCs w:val="16"/>
                <w:lang w:val="fr-CA"/>
              </w:rPr>
              <w:t xml:space="preserve">17 342,1 </w:t>
            </w:r>
          </w:p>
        </w:tc>
        <w:tc>
          <w:tcPr>
            <w:tcW w:w="322" w:type="pct"/>
            <w:shd w:val="clear" w:color="auto" w:fill="auto"/>
          </w:tcPr>
          <w:p w:rsidR="00976A64" w:rsidRPr="00ED22D1" w:rsidRDefault="00976A64" w:rsidP="00387175">
            <w:pPr>
              <w:jc w:val="right"/>
              <w:rPr>
                <w:color w:val="000000"/>
                <w:sz w:val="16"/>
                <w:szCs w:val="16"/>
                <w:lang w:val="fr-CA"/>
              </w:rPr>
            </w:pPr>
            <w:r w:rsidRPr="00ED22D1">
              <w:rPr>
                <w:color w:val="000000"/>
                <w:sz w:val="16"/>
                <w:szCs w:val="16"/>
                <w:lang w:val="fr-CA"/>
              </w:rPr>
              <w:t xml:space="preserve">12 524,9 </w:t>
            </w:r>
          </w:p>
        </w:tc>
        <w:tc>
          <w:tcPr>
            <w:tcW w:w="322" w:type="pct"/>
            <w:shd w:val="clear" w:color="auto" w:fill="auto"/>
          </w:tcPr>
          <w:p w:rsidR="00976A64" w:rsidRPr="00ED22D1" w:rsidRDefault="00976A64" w:rsidP="00387175">
            <w:pPr>
              <w:jc w:val="right"/>
              <w:rPr>
                <w:color w:val="000000"/>
                <w:sz w:val="16"/>
                <w:szCs w:val="16"/>
                <w:lang w:val="fr-CA"/>
              </w:rPr>
            </w:pPr>
            <w:r w:rsidRPr="00ED22D1">
              <w:rPr>
                <w:color w:val="000000"/>
                <w:sz w:val="16"/>
                <w:szCs w:val="16"/>
                <w:lang w:val="fr-CA"/>
              </w:rPr>
              <w:t xml:space="preserve">12 524,9 </w:t>
            </w:r>
          </w:p>
        </w:tc>
        <w:tc>
          <w:tcPr>
            <w:tcW w:w="322" w:type="pct"/>
          </w:tcPr>
          <w:p w:rsidR="00976A64" w:rsidRPr="00ED22D1" w:rsidRDefault="00976A64" w:rsidP="00387175">
            <w:pPr>
              <w:jc w:val="right"/>
              <w:rPr>
                <w:color w:val="000000"/>
                <w:sz w:val="16"/>
                <w:szCs w:val="16"/>
                <w:lang w:val="fr-CA"/>
              </w:rPr>
            </w:pPr>
            <w:r w:rsidRPr="00ED22D1">
              <w:rPr>
                <w:color w:val="000000"/>
                <w:sz w:val="16"/>
                <w:szCs w:val="16"/>
                <w:lang w:val="fr-CA"/>
              </w:rPr>
              <w:t xml:space="preserve">12 524,9 </w:t>
            </w:r>
          </w:p>
        </w:tc>
        <w:tc>
          <w:tcPr>
            <w:tcW w:w="322" w:type="pct"/>
          </w:tcPr>
          <w:p w:rsidR="00976A64" w:rsidRPr="00ED22D1" w:rsidRDefault="00976A64" w:rsidP="00387175">
            <w:pPr>
              <w:jc w:val="right"/>
              <w:rPr>
                <w:color w:val="000000"/>
                <w:sz w:val="16"/>
                <w:szCs w:val="16"/>
                <w:lang w:val="fr-CA"/>
              </w:rPr>
            </w:pPr>
            <w:r w:rsidRPr="00ED22D1">
              <w:rPr>
                <w:color w:val="000000"/>
                <w:sz w:val="16"/>
                <w:szCs w:val="16"/>
                <w:lang w:val="fr-CA"/>
              </w:rPr>
              <w:t xml:space="preserve">12 524,9 </w:t>
            </w:r>
          </w:p>
        </w:tc>
        <w:tc>
          <w:tcPr>
            <w:tcW w:w="322" w:type="pct"/>
          </w:tcPr>
          <w:p w:rsidR="00976A64" w:rsidRPr="00ED22D1" w:rsidRDefault="00976A64" w:rsidP="00387175">
            <w:pPr>
              <w:jc w:val="right"/>
              <w:rPr>
                <w:color w:val="000000"/>
                <w:sz w:val="16"/>
                <w:szCs w:val="16"/>
                <w:lang w:val="fr-CA"/>
              </w:rPr>
            </w:pPr>
            <w:r w:rsidRPr="00ED22D1">
              <w:rPr>
                <w:color w:val="000000"/>
                <w:sz w:val="16"/>
                <w:szCs w:val="16"/>
                <w:lang w:val="fr-CA"/>
              </w:rPr>
              <w:t xml:space="preserve">12 524,9 </w:t>
            </w:r>
          </w:p>
        </w:tc>
        <w:tc>
          <w:tcPr>
            <w:tcW w:w="322" w:type="pct"/>
          </w:tcPr>
          <w:p w:rsidR="00976A64" w:rsidRPr="00ED22D1" w:rsidRDefault="00976A64" w:rsidP="00387175">
            <w:pPr>
              <w:jc w:val="right"/>
              <w:rPr>
                <w:color w:val="000000"/>
                <w:sz w:val="16"/>
                <w:szCs w:val="16"/>
                <w:lang w:val="fr-CA"/>
              </w:rPr>
            </w:pPr>
            <w:r w:rsidRPr="00ED22D1">
              <w:rPr>
                <w:color w:val="000000"/>
                <w:sz w:val="16"/>
                <w:szCs w:val="16"/>
                <w:lang w:val="fr-CA"/>
              </w:rPr>
              <w:t xml:space="preserve">6 262,4 </w:t>
            </w:r>
          </w:p>
        </w:tc>
        <w:tc>
          <w:tcPr>
            <w:tcW w:w="322" w:type="pct"/>
          </w:tcPr>
          <w:p w:rsidR="00976A64" w:rsidRPr="00ED22D1" w:rsidRDefault="00976A64" w:rsidP="00387175">
            <w:pPr>
              <w:jc w:val="right"/>
              <w:rPr>
                <w:color w:val="000000"/>
                <w:sz w:val="16"/>
                <w:szCs w:val="16"/>
                <w:lang w:val="fr-CA"/>
              </w:rPr>
            </w:pPr>
            <w:r w:rsidRPr="00ED22D1">
              <w:rPr>
                <w:color w:val="000000"/>
                <w:sz w:val="16"/>
                <w:szCs w:val="16"/>
                <w:lang w:val="fr-CA"/>
              </w:rPr>
              <w:t xml:space="preserve">6 262,4 </w:t>
            </w: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s.o.</w:t>
            </w:r>
          </w:p>
        </w:tc>
      </w:tr>
      <w:tr w:rsidR="00976A64" w:rsidRPr="00ED22D1" w:rsidTr="00976A64">
        <w:tc>
          <w:tcPr>
            <w:tcW w:w="1107" w:type="pct"/>
            <w:gridSpan w:val="3"/>
            <w:shd w:val="clear" w:color="auto" w:fill="auto"/>
          </w:tcPr>
          <w:p w:rsidR="00976A64" w:rsidRPr="00ED22D1" w:rsidRDefault="00976A64" w:rsidP="00046133">
            <w:pPr>
              <w:autoSpaceDE w:val="0"/>
              <w:autoSpaceDN w:val="0"/>
              <w:adjustRightInd w:val="0"/>
              <w:jc w:val="left"/>
              <w:rPr>
                <w:sz w:val="16"/>
                <w:szCs w:val="16"/>
                <w:lang w:val="fr-CA"/>
              </w:rPr>
            </w:pPr>
            <w:r w:rsidRPr="00ED22D1">
              <w:rPr>
                <w:sz w:val="16"/>
                <w:szCs w:val="16"/>
                <w:lang w:val="fr-CA"/>
              </w:rPr>
              <w:t xml:space="preserve">Consommation maximale admissible </w:t>
            </w:r>
            <w:r w:rsidR="008D5B5F" w:rsidRPr="00ED22D1">
              <w:rPr>
                <w:sz w:val="16"/>
                <w:szCs w:val="16"/>
                <w:lang w:val="fr-CA"/>
              </w:rPr>
              <w:t xml:space="preserve">    </w:t>
            </w:r>
            <w:r w:rsidRPr="00ED22D1">
              <w:rPr>
                <w:sz w:val="16"/>
                <w:szCs w:val="16"/>
                <w:lang w:val="fr-CA"/>
              </w:rPr>
              <w:t>(tonnes PAO)</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455,2</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455,2</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395,4</w:t>
            </w:r>
          </w:p>
        </w:tc>
        <w:tc>
          <w:tcPr>
            <w:tcW w:w="323"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395,4</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321,2</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321,2</w:t>
            </w:r>
          </w:p>
        </w:tc>
        <w:tc>
          <w:tcPr>
            <w:tcW w:w="322" w:type="pct"/>
          </w:tcPr>
          <w:p w:rsidR="00976A64" w:rsidRPr="00ED22D1" w:rsidRDefault="00976A64" w:rsidP="00387175">
            <w:pPr>
              <w:spacing w:after="60"/>
              <w:jc w:val="right"/>
              <w:rPr>
                <w:sz w:val="16"/>
                <w:szCs w:val="16"/>
                <w:lang w:val="fr-CA"/>
              </w:rPr>
            </w:pPr>
            <w:r w:rsidRPr="00ED22D1">
              <w:rPr>
                <w:sz w:val="16"/>
                <w:szCs w:val="16"/>
                <w:lang w:val="fr-CA"/>
              </w:rPr>
              <w:t>321,2</w:t>
            </w:r>
          </w:p>
        </w:tc>
        <w:tc>
          <w:tcPr>
            <w:tcW w:w="322" w:type="pct"/>
          </w:tcPr>
          <w:p w:rsidR="00976A64" w:rsidRPr="00ED22D1" w:rsidRDefault="00976A64" w:rsidP="00387175">
            <w:pPr>
              <w:spacing w:after="60"/>
              <w:jc w:val="right"/>
              <w:rPr>
                <w:sz w:val="16"/>
                <w:szCs w:val="16"/>
                <w:lang w:val="fr-CA"/>
              </w:rPr>
            </w:pPr>
            <w:r w:rsidRPr="00ED22D1">
              <w:rPr>
                <w:sz w:val="16"/>
                <w:szCs w:val="16"/>
                <w:lang w:val="fr-CA"/>
              </w:rPr>
              <w:t>148,3</w:t>
            </w:r>
          </w:p>
        </w:tc>
        <w:tc>
          <w:tcPr>
            <w:tcW w:w="322" w:type="pct"/>
          </w:tcPr>
          <w:p w:rsidR="00976A64" w:rsidRPr="00ED22D1" w:rsidRDefault="00976A64" w:rsidP="00387175">
            <w:pPr>
              <w:spacing w:after="60"/>
              <w:jc w:val="right"/>
              <w:rPr>
                <w:sz w:val="16"/>
                <w:szCs w:val="16"/>
                <w:lang w:val="fr-CA"/>
              </w:rPr>
            </w:pPr>
            <w:r w:rsidRPr="00ED22D1">
              <w:rPr>
                <w:sz w:val="16"/>
                <w:szCs w:val="16"/>
                <w:lang w:val="fr-CA"/>
              </w:rPr>
              <w:t>148,3</w:t>
            </w:r>
          </w:p>
        </w:tc>
        <w:tc>
          <w:tcPr>
            <w:tcW w:w="322" w:type="pct"/>
          </w:tcPr>
          <w:p w:rsidR="00976A64" w:rsidRPr="00ED22D1" w:rsidRDefault="00976A64" w:rsidP="00387175">
            <w:pPr>
              <w:spacing w:after="60"/>
              <w:jc w:val="right"/>
              <w:rPr>
                <w:sz w:val="16"/>
                <w:szCs w:val="16"/>
                <w:lang w:val="fr-CA"/>
              </w:rPr>
            </w:pPr>
            <w:r w:rsidRPr="00ED22D1">
              <w:rPr>
                <w:sz w:val="16"/>
                <w:szCs w:val="16"/>
                <w:lang w:val="fr-CA"/>
              </w:rPr>
              <w:t>55,0</w:t>
            </w:r>
          </w:p>
        </w:tc>
        <w:tc>
          <w:tcPr>
            <w:tcW w:w="322" w:type="pct"/>
          </w:tcPr>
          <w:p w:rsidR="00976A64" w:rsidRPr="00ED22D1" w:rsidRDefault="00976A64" w:rsidP="00387175">
            <w:pPr>
              <w:spacing w:after="60"/>
              <w:jc w:val="right"/>
              <w:rPr>
                <w:sz w:val="16"/>
                <w:szCs w:val="16"/>
                <w:lang w:val="fr-CA"/>
              </w:rPr>
            </w:pPr>
            <w:r w:rsidRPr="00ED22D1">
              <w:rPr>
                <w:sz w:val="16"/>
                <w:szCs w:val="16"/>
                <w:lang w:val="fr-CA"/>
              </w:rPr>
              <w:t>0,0</w:t>
            </w: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s.o.</w:t>
            </w:r>
          </w:p>
        </w:tc>
      </w:tr>
      <w:tr w:rsidR="00976A64" w:rsidRPr="00ED22D1" w:rsidTr="00976A64">
        <w:tc>
          <w:tcPr>
            <w:tcW w:w="424" w:type="pct"/>
            <w:vMerge w:val="restart"/>
            <w:shd w:val="clear" w:color="auto" w:fill="auto"/>
          </w:tcPr>
          <w:p w:rsidR="00976A64" w:rsidRPr="00ED22D1" w:rsidRDefault="00976A64" w:rsidP="00976A64">
            <w:pPr>
              <w:spacing w:after="60"/>
              <w:jc w:val="left"/>
              <w:rPr>
                <w:sz w:val="16"/>
                <w:szCs w:val="16"/>
                <w:lang w:val="fr-CA"/>
              </w:rPr>
            </w:pPr>
            <w:r w:rsidRPr="00ED22D1">
              <w:rPr>
                <w:sz w:val="16"/>
                <w:szCs w:val="16"/>
                <w:lang w:val="fr-CA"/>
              </w:rPr>
              <w:t>Financement convenu  ($US)</w:t>
            </w:r>
          </w:p>
        </w:tc>
        <w:tc>
          <w:tcPr>
            <w:tcW w:w="330" w:type="pct"/>
            <w:vMerge w:val="restart"/>
            <w:shd w:val="clear" w:color="auto" w:fill="auto"/>
          </w:tcPr>
          <w:p w:rsidR="00976A64" w:rsidRPr="00ED22D1" w:rsidRDefault="00976A64" w:rsidP="00387175">
            <w:pPr>
              <w:spacing w:after="60"/>
              <w:jc w:val="center"/>
              <w:rPr>
                <w:sz w:val="16"/>
                <w:szCs w:val="16"/>
                <w:lang w:val="fr-CA"/>
              </w:rPr>
            </w:pPr>
            <w:r w:rsidRPr="00ED22D1">
              <w:rPr>
                <w:sz w:val="16"/>
                <w:szCs w:val="16"/>
                <w:lang w:val="fr-CA"/>
              </w:rPr>
              <w:t>PNUD</w:t>
            </w:r>
          </w:p>
        </w:tc>
        <w:tc>
          <w:tcPr>
            <w:tcW w:w="353" w:type="pct"/>
            <w:shd w:val="clear" w:color="auto" w:fill="auto"/>
          </w:tcPr>
          <w:p w:rsidR="00976A64" w:rsidRPr="00ED22D1" w:rsidRDefault="00976A64" w:rsidP="00046133">
            <w:pPr>
              <w:spacing w:after="60"/>
              <w:jc w:val="left"/>
              <w:rPr>
                <w:sz w:val="16"/>
                <w:szCs w:val="16"/>
                <w:lang w:val="fr-CA"/>
              </w:rPr>
            </w:pPr>
            <w:r w:rsidRPr="00ED22D1">
              <w:rPr>
                <w:sz w:val="16"/>
                <w:szCs w:val="16"/>
                <w:lang w:val="fr-CA"/>
              </w:rPr>
              <w:t>Coûts du projet</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2 821 937</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3 777 190</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2 959 930</w:t>
            </w:r>
          </w:p>
        </w:tc>
        <w:tc>
          <w:tcPr>
            <w:tcW w:w="323"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3 229 030</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3 601 083</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7 888 921</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7 128 589</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3 664 360</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5 481 592</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2 707 880</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4 002 054</w:t>
            </w:r>
          </w:p>
        </w:tc>
        <w:tc>
          <w:tcPr>
            <w:tcW w:w="350"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47 262 566</w:t>
            </w:r>
          </w:p>
        </w:tc>
      </w:tr>
      <w:tr w:rsidR="00976A64" w:rsidRPr="00ED22D1" w:rsidTr="00976A64">
        <w:tc>
          <w:tcPr>
            <w:tcW w:w="424" w:type="pct"/>
            <w:vMerge/>
            <w:shd w:val="clear" w:color="auto" w:fill="auto"/>
          </w:tcPr>
          <w:p w:rsidR="00976A64" w:rsidRPr="00ED22D1" w:rsidRDefault="00976A64" w:rsidP="00387175">
            <w:pPr>
              <w:spacing w:after="60"/>
              <w:jc w:val="center"/>
              <w:rPr>
                <w:sz w:val="16"/>
                <w:szCs w:val="16"/>
                <w:lang w:val="fr-CA"/>
              </w:rPr>
            </w:pPr>
          </w:p>
        </w:tc>
        <w:tc>
          <w:tcPr>
            <w:tcW w:w="330" w:type="pct"/>
            <w:vMerge/>
            <w:shd w:val="clear" w:color="auto" w:fill="auto"/>
          </w:tcPr>
          <w:p w:rsidR="00976A64" w:rsidRPr="00ED22D1" w:rsidRDefault="00976A64" w:rsidP="00387175">
            <w:pPr>
              <w:spacing w:after="60"/>
              <w:jc w:val="center"/>
              <w:rPr>
                <w:sz w:val="16"/>
                <w:szCs w:val="16"/>
                <w:lang w:val="fr-CA"/>
              </w:rPr>
            </w:pPr>
          </w:p>
        </w:tc>
        <w:tc>
          <w:tcPr>
            <w:tcW w:w="353" w:type="pct"/>
            <w:shd w:val="clear" w:color="auto" w:fill="auto"/>
          </w:tcPr>
          <w:p w:rsidR="00976A64" w:rsidRPr="00ED22D1" w:rsidRDefault="00976A64" w:rsidP="00046133">
            <w:pPr>
              <w:spacing w:after="60"/>
              <w:jc w:val="left"/>
              <w:rPr>
                <w:sz w:val="16"/>
                <w:szCs w:val="16"/>
                <w:lang w:val="fr-CA"/>
              </w:rPr>
            </w:pPr>
            <w:r w:rsidRPr="00ED22D1">
              <w:rPr>
                <w:sz w:val="16"/>
                <w:szCs w:val="16"/>
                <w:lang w:val="fr-CA"/>
              </w:rPr>
              <w:t>Coûts d’appui</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197 536</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264 403</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207 195</w:t>
            </w:r>
          </w:p>
        </w:tc>
        <w:tc>
          <w:tcPr>
            <w:tcW w:w="323"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226 032</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252 076</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552 224</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499 001</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256 505</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383 711</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189 552</w:t>
            </w:r>
          </w:p>
        </w:tc>
        <w:tc>
          <w:tcPr>
            <w:tcW w:w="322"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280 144</w:t>
            </w: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3 308 380</w:t>
            </w:r>
          </w:p>
        </w:tc>
      </w:tr>
      <w:tr w:rsidR="00976A64" w:rsidRPr="00ED22D1" w:rsidTr="00976A64">
        <w:tc>
          <w:tcPr>
            <w:tcW w:w="754" w:type="pct"/>
            <w:gridSpan w:val="2"/>
            <w:vMerge w:val="restart"/>
            <w:shd w:val="clear" w:color="auto" w:fill="auto"/>
          </w:tcPr>
          <w:p w:rsidR="00976A64" w:rsidRPr="00ED22D1" w:rsidRDefault="00976A64" w:rsidP="00046133">
            <w:pPr>
              <w:spacing w:after="60"/>
              <w:jc w:val="left"/>
              <w:rPr>
                <w:sz w:val="16"/>
                <w:szCs w:val="16"/>
                <w:lang w:val="fr-CA"/>
              </w:rPr>
            </w:pPr>
            <w:r w:rsidRPr="00ED22D1">
              <w:rPr>
                <w:sz w:val="16"/>
                <w:szCs w:val="16"/>
                <w:lang w:val="fr-CA"/>
              </w:rPr>
              <w:t>Financement approuvé par ExCom ($US)</w:t>
            </w:r>
          </w:p>
        </w:tc>
        <w:tc>
          <w:tcPr>
            <w:tcW w:w="353" w:type="pct"/>
            <w:shd w:val="clear" w:color="auto" w:fill="auto"/>
          </w:tcPr>
          <w:p w:rsidR="00976A64" w:rsidRPr="00ED22D1" w:rsidRDefault="00976A64" w:rsidP="00046133">
            <w:pPr>
              <w:spacing w:after="60"/>
              <w:jc w:val="left"/>
              <w:rPr>
                <w:sz w:val="16"/>
                <w:szCs w:val="16"/>
                <w:lang w:val="fr-CA"/>
              </w:rPr>
            </w:pPr>
            <w:r w:rsidRPr="00ED22D1">
              <w:rPr>
                <w:sz w:val="16"/>
                <w:szCs w:val="16"/>
                <w:lang w:val="fr-CA"/>
              </w:rPr>
              <w:t>Coûts du projet</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2 821 937</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3 777 190</w:t>
            </w:r>
          </w:p>
        </w:tc>
        <w:tc>
          <w:tcPr>
            <w:tcW w:w="322" w:type="pct"/>
            <w:shd w:val="clear" w:color="auto" w:fill="auto"/>
          </w:tcPr>
          <w:p w:rsidR="00976A64" w:rsidRPr="00ED22D1" w:rsidRDefault="00976A64" w:rsidP="00387175">
            <w:pPr>
              <w:spacing w:after="60"/>
              <w:jc w:val="right"/>
              <w:rPr>
                <w:sz w:val="16"/>
                <w:szCs w:val="16"/>
                <w:lang w:val="fr-CA"/>
              </w:rPr>
            </w:pPr>
          </w:p>
        </w:tc>
        <w:tc>
          <w:tcPr>
            <w:tcW w:w="323"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6 599 127</w:t>
            </w:r>
          </w:p>
        </w:tc>
      </w:tr>
      <w:tr w:rsidR="00976A64" w:rsidRPr="00ED22D1" w:rsidTr="00976A64">
        <w:tc>
          <w:tcPr>
            <w:tcW w:w="754" w:type="pct"/>
            <w:gridSpan w:val="2"/>
            <w:vMerge/>
            <w:shd w:val="clear" w:color="auto" w:fill="auto"/>
          </w:tcPr>
          <w:p w:rsidR="00976A64" w:rsidRPr="00ED22D1" w:rsidRDefault="00976A64" w:rsidP="00387175">
            <w:pPr>
              <w:spacing w:after="60"/>
              <w:jc w:val="center"/>
              <w:rPr>
                <w:sz w:val="16"/>
                <w:szCs w:val="16"/>
                <w:lang w:val="fr-CA"/>
              </w:rPr>
            </w:pPr>
          </w:p>
        </w:tc>
        <w:tc>
          <w:tcPr>
            <w:tcW w:w="353" w:type="pct"/>
            <w:shd w:val="clear" w:color="auto" w:fill="auto"/>
          </w:tcPr>
          <w:p w:rsidR="00976A64" w:rsidRPr="00ED22D1" w:rsidRDefault="00976A64" w:rsidP="00046133">
            <w:pPr>
              <w:spacing w:after="60"/>
              <w:jc w:val="left"/>
              <w:rPr>
                <w:sz w:val="16"/>
                <w:szCs w:val="16"/>
                <w:lang w:val="fr-CA"/>
              </w:rPr>
            </w:pPr>
            <w:r w:rsidRPr="00ED22D1">
              <w:rPr>
                <w:sz w:val="16"/>
                <w:szCs w:val="16"/>
                <w:lang w:val="fr-CA"/>
              </w:rPr>
              <w:t>Coûts d’appui</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197 536</w:t>
            </w:r>
          </w:p>
        </w:tc>
        <w:tc>
          <w:tcPr>
            <w:tcW w:w="322" w:type="pct"/>
            <w:shd w:val="clear" w:color="auto" w:fill="auto"/>
          </w:tcPr>
          <w:p w:rsidR="00976A64" w:rsidRPr="00ED22D1" w:rsidRDefault="00976A64" w:rsidP="00387175">
            <w:pPr>
              <w:spacing w:after="60"/>
              <w:jc w:val="right"/>
              <w:rPr>
                <w:sz w:val="16"/>
                <w:szCs w:val="16"/>
                <w:lang w:val="fr-CA"/>
              </w:rPr>
            </w:pPr>
            <w:r w:rsidRPr="00ED22D1">
              <w:rPr>
                <w:color w:val="000000"/>
                <w:sz w:val="16"/>
                <w:szCs w:val="16"/>
                <w:lang w:val="fr-CA"/>
              </w:rPr>
              <w:t>264 403</w:t>
            </w:r>
          </w:p>
        </w:tc>
        <w:tc>
          <w:tcPr>
            <w:tcW w:w="322" w:type="pct"/>
            <w:shd w:val="clear" w:color="auto" w:fill="auto"/>
          </w:tcPr>
          <w:p w:rsidR="00976A64" w:rsidRPr="00ED22D1" w:rsidRDefault="00976A64" w:rsidP="00387175">
            <w:pPr>
              <w:spacing w:after="60"/>
              <w:jc w:val="right"/>
              <w:rPr>
                <w:sz w:val="16"/>
                <w:szCs w:val="16"/>
                <w:lang w:val="fr-CA"/>
              </w:rPr>
            </w:pPr>
          </w:p>
        </w:tc>
        <w:tc>
          <w:tcPr>
            <w:tcW w:w="323"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461 939</w:t>
            </w:r>
          </w:p>
        </w:tc>
      </w:tr>
      <w:tr w:rsidR="00976A64" w:rsidRPr="00ED22D1" w:rsidTr="00976A64">
        <w:tc>
          <w:tcPr>
            <w:tcW w:w="754" w:type="pct"/>
            <w:gridSpan w:val="2"/>
            <w:vMerge w:val="restart"/>
            <w:shd w:val="clear" w:color="auto" w:fill="auto"/>
          </w:tcPr>
          <w:p w:rsidR="00976A64" w:rsidRPr="00ED22D1" w:rsidRDefault="00976A64" w:rsidP="00046133">
            <w:pPr>
              <w:spacing w:after="60"/>
              <w:jc w:val="left"/>
              <w:rPr>
                <w:sz w:val="16"/>
                <w:szCs w:val="16"/>
                <w:lang w:val="fr-CA"/>
              </w:rPr>
            </w:pPr>
            <w:r w:rsidRPr="00ED22D1">
              <w:rPr>
                <w:sz w:val="16"/>
                <w:szCs w:val="16"/>
                <w:lang w:val="fr-CA"/>
              </w:rPr>
              <w:t>Total du financement soumis pour approbation à la présente réunion ($US)</w:t>
            </w:r>
          </w:p>
        </w:tc>
        <w:tc>
          <w:tcPr>
            <w:tcW w:w="353" w:type="pct"/>
            <w:shd w:val="clear" w:color="auto" w:fill="auto"/>
          </w:tcPr>
          <w:p w:rsidR="00976A64" w:rsidRPr="00ED22D1" w:rsidRDefault="00976A64" w:rsidP="00046133">
            <w:pPr>
              <w:spacing w:after="60"/>
              <w:jc w:val="left"/>
              <w:rPr>
                <w:sz w:val="16"/>
                <w:szCs w:val="16"/>
                <w:lang w:val="fr-CA"/>
              </w:rPr>
            </w:pPr>
            <w:r w:rsidRPr="00ED22D1">
              <w:rPr>
                <w:sz w:val="16"/>
                <w:szCs w:val="16"/>
                <w:lang w:val="fr-CA"/>
              </w:rPr>
              <w:t>Coûts du projet</w:t>
            </w: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color w:val="000000"/>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3"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5 549 492*</w:t>
            </w: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5 549 492</w:t>
            </w:r>
          </w:p>
        </w:tc>
      </w:tr>
      <w:tr w:rsidR="00976A64" w:rsidRPr="00ED22D1" w:rsidTr="00976A64">
        <w:tc>
          <w:tcPr>
            <w:tcW w:w="754" w:type="pct"/>
            <w:gridSpan w:val="2"/>
            <w:vMerge/>
            <w:shd w:val="clear" w:color="auto" w:fill="auto"/>
          </w:tcPr>
          <w:p w:rsidR="00976A64" w:rsidRPr="00ED22D1" w:rsidRDefault="00976A64" w:rsidP="00387175">
            <w:pPr>
              <w:spacing w:after="60"/>
              <w:jc w:val="center"/>
              <w:rPr>
                <w:sz w:val="16"/>
                <w:szCs w:val="16"/>
                <w:lang w:val="fr-CA"/>
              </w:rPr>
            </w:pPr>
          </w:p>
        </w:tc>
        <w:tc>
          <w:tcPr>
            <w:tcW w:w="353" w:type="pct"/>
            <w:shd w:val="clear" w:color="auto" w:fill="auto"/>
          </w:tcPr>
          <w:p w:rsidR="00976A64" w:rsidRPr="00ED22D1" w:rsidRDefault="00976A64" w:rsidP="00046133">
            <w:pPr>
              <w:spacing w:after="60"/>
              <w:jc w:val="left"/>
              <w:rPr>
                <w:sz w:val="16"/>
                <w:szCs w:val="16"/>
                <w:lang w:val="fr-CA"/>
              </w:rPr>
            </w:pPr>
            <w:r w:rsidRPr="00ED22D1">
              <w:rPr>
                <w:sz w:val="16"/>
                <w:szCs w:val="16"/>
                <w:lang w:val="fr-CA"/>
              </w:rPr>
              <w:t>Coûts d’appui</w:t>
            </w: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color w:val="000000"/>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3"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388 464</w:t>
            </w: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shd w:val="clear" w:color="auto" w:fill="auto"/>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22" w:type="pct"/>
          </w:tcPr>
          <w:p w:rsidR="00976A64" w:rsidRPr="00ED22D1" w:rsidRDefault="00976A64" w:rsidP="00387175">
            <w:pPr>
              <w:spacing w:after="60"/>
              <w:jc w:val="right"/>
              <w:rPr>
                <w:sz w:val="16"/>
                <w:szCs w:val="16"/>
                <w:lang w:val="fr-CA"/>
              </w:rPr>
            </w:pPr>
          </w:p>
        </w:tc>
        <w:tc>
          <w:tcPr>
            <w:tcW w:w="350" w:type="pct"/>
            <w:shd w:val="clear" w:color="auto" w:fill="auto"/>
          </w:tcPr>
          <w:p w:rsidR="00976A64" w:rsidRPr="00ED22D1" w:rsidRDefault="00976A64" w:rsidP="00387175">
            <w:pPr>
              <w:spacing w:after="60"/>
              <w:jc w:val="right"/>
              <w:rPr>
                <w:sz w:val="16"/>
                <w:szCs w:val="16"/>
                <w:lang w:val="fr-CA"/>
              </w:rPr>
            </w:pPr>
            <w:r w:rsidRPr="00ED22D1">
              <w:rPr>
                <w:sz w:val="16"/>
                <w:szCs w:val="16"/>
                <w:lang w:val="fr-CA"/>
              </w:rPr>
              <w:t>388 464</w:t>
            </w:r>
          </w:p>
        </w:tc>
      </w:tr>
    </w:tbl>
    <w:p w:rsidR="00387175" w:rsidRPr="00ED22D1" w:rsidRDefault="00387175" w:rsidP="00387175">
      <w:pPr>
        <w:pStyle w:val="StyleHeader4Para4Left0Firstline0"/>
        <w:numPr>
          <w:ilvl w:val="0"/>
          <w:numId w:val="0"/>
        </w:numPr>
        <w:spacing w:after="0"/>
        <w:rPr>
          <w:sz w:val="16"/>
          <w:lang w:val="fr-CA"/>
        </w:rPr>
      </w:pPr>
      <w:r w:rsidRPr="00ED22D1">
        <w:rPr>
          <w:sz w:val="16"/>
          <w:lang w:val="fr-CA"/>
        </w:rPr>
        <w:t xml:space="preserve">* </w:t>
      </w:r>
      <w:r w:rsidR="00874624" w:rsidRPr="00ED22D1">
        <w:rPr>
          <w:sz w:val="16"/>
          <w:lang w:val="fr-CA"/>
        </w:rPr>
        <w:t>La troisième</w:t>
      </w:r>
      <w:r w:rsidRPr="00ED22D1">
        <w:rPr>
          <w:sz w:val="16"/>
          <w:lang w:val="fr-CA"/>
        </w:rPr>
        <w:t xml:space="preserve"> (2018) tranche </w:t>
      </w:r>
      <w:r w:rsidR="00976A64" w:rsidRPr="00ED22D1">
        <w:rPr>
          <w:sz w:val="16"/>
          <w:lang w:val="fr-CA"/>
        </w:rPr>
        <w:t xml:space="preserve">a été </w:t>
      </w:r>
      <w:r w:rsidR="00FB1DC4" w:rsidRPr="00ED22D1">
        <w:rPr>
          <w:sz w:val="16"/>
          <w:lang w:val="fr-CA"/>
        </w:rPr>
        <w:t>présenté</w:t>
      </w:r>
      <w:r w:rsidR="00976A64" w:rsidRPr="00ED22D1">
        <w:rPr>
          <w:sz w:val="16"/>
          <w:lang w:val="fr-CA"/>
        </w:rPr>
        <w:t>e</w:t>
      </w:r>
      <w:r w:rsidRPr="00ED22D1">
        <w:rPr>
          <w:sz w:val="16"/>
          <w:lang w:val="fr-CA"/>
        </w:rPr>
        <w:t xml:space="preserve"> </w:t>
      </w:r>
      <w:r w:rsidR="00733306" w:rsidRPr="00ED22D1">
        <w:rPr>
          <w:sz w:val="16"/>
          <w:lang w:val="fr-CA"/>
        </w:rPr>
        <w:t xml:space="preserve">à la </w:t>
      </w:r>
      <w:r w:rsidR="00976A64" w:rsidRPr="00ED22D1">
        <w:rPr>
          <w:sz w:val="16"/>
          <w:lang w:val="fr-CA"/>
        </w:rPr>
        <w:t>8</w:t>
      </w:r>
      <w:r w:rsidRPr="00ED22D1">
        <w:rPr>
          <w:sz w:val="16"/>
          <w:lang w:val="fr-CA"/>
        </w:rPr>
        <w:t>2</w:t>
      </w:r>
      <w:r w:rsidR="00976A64" w:rsidRPr="00ED22D1">
        <w:rPr>
          <w:sz w:val="16"/>
          <w:vertAlign w:val="superscript"/>
          <w:lang w:val="fr-CA"/>
        </w:rPr>
        <w:t>e</w:t>
      </w:r>
      <w:r w:rsidR="00976A64" w:rsidRPr="00ED22D1">
        <w:rPr>
          <w:sz w:val="16"/>
          <w:lang w:val="fr-CA"/>
        </w:rPr>
        <w:t xml:space="preserve"> </w:t>
      </w:r>
      <w:r w:rsidR="00DD185D" w:rsidRPr="00ED22D1">
        <w:rPr>
          <w:sz w:val="16"/>
          <w:lang w:val="fr-CA"/>
        </w:rPr>
        <w:t>réunion</w:t>
      </w:r>
      <w:r w:rsidR="004A6828" w:rsidRPr="00ED22D1">
        <w:rPr>
          <w:sz w:val="16"/>
          <w:lang w:val="fr-CA"/>
        </w:rPr>
        <w:t xml:space="preserve"> et </w:t>
      </w:r>
      <w:r w:rsidR="00976A64" w:rsidRPr="00ED22D1">
        <w:rPr>
          <w:sz w:val="16"/>
          <w:lang w:val="fr-CA"/>
        </w:rPr>
        <w:t>reportée pour examen à la 8</w:t>
      </w:r>
      <w:r w:rsidRPr="00ED22D1">
        <w:rPr>
          <w:sz w:val="16"/>
          <w:lang w:val="fr-CA"/>
        </w:rPr>
        <w:t>3</w:t>
      </w:r>
      <w:r w:rsidR="00976A64" w:rsidRPr="00ED22D1">
        <w:rPr>
          <w:sz w:val="16"/>
          <w:vertAlign w:val="superscript"/>
          <w:lang w:val="fr-CA"/>
        </w:rPr>
        <w:t>e</w:t>
      </w:r>
      <w:r w:rsidR="00976A64" w:rsidRPr="00ED22D1">
        <w:rPr>
          <w:sz w:val="16"/>
          <w:lang w:val="fr-CA"/>
        </w:rPr>
        <w:t xml:space="preserve"> </w:t>
      </w:r>
      <w:r w:rsidR="00DD185D" w:rsidRPr="00ED22D1">
        <w:rPr>
          <w:sz w:val="16"/>
          <w:lang w:val="fr-CA"/>
        </w:rPr>
        <w:t>réunion</w:t>
      </w:r>
      <w:r w:rsidRPr="00ED22D1">
        <w:rPr>
          <w:sz w:val="16"/>
          <w:lang w:val="fr-CA"/>
        </w:rPr>
        <w:t xml:space="preserve"> (</w:t>
      </w:r>
      <w:r w:rsidR="00AA6E77" w:rsidRPr="00ED22D1">
        <w:rPr>
          <w:sz w:val="16"/>
          <w:lang w:val="fr-CA"/>
        </w:rPr>
        <w:t>décision</w:t>
      </w:r>
      <w:r w:rsidRPr="00ED22D1">
        <w:rPr>
          <w:sz w:val="16"/>
          <w:lang w:val="fr-CA"/>
        </w:rPr>
        <w:t> 82/71</w:t>
      </w:r>
      <w:r w:rsidR="00976A64" w:rsidRPr="00ED22D1">
        <w:rPr>
          <w:sz w:val="16"/>
          <w:lang w:val="fr-CA"/>
        </w:rPr>
        <w:t> </w:t>
      </w:r>
      <w:r w:rsidRPr="00ED22D1">
        <w:rPr>
          <w:sz w:val="16"/>
          <w:lang w:val="fr-CA"/>
        </w:rPr>
        <w:t>b))</w:t>
      </w:r>
      <w:r w:rsidR="0031390F" w:rsidRPr="00ED22D1">
        <w:rPr>
          <w:sz w:val="16"/>
          <w:lang w:val="fr-CA"/>
        </w:rPr>
        <w:t>. Le</w:t>
      </w:r>
      <w:r w:rsidR="00393F6B" w:rsidRPr="00ED22D1">
        <w:rPr>
          <w:sz w:val="16"/>
          <w:lang w:val="fr-CA"/>
        </w:rPr>
        <w:t xml:space="preserve"> financement</w:t>
      </w:r>
      <w:r w:rsidRPr="00ED22D1">
        <w:rPr>
          <w:sz w:val="16"/>
          <w:lang w:val="fr-CA"/>
        </w:rPr>
        <w:t xml:space="preserve"> </w:t>
      </w:r>
      <w:r w:rsidR="00976A64" w:rsidRPr="00ED22D1">
        <w:rPr>
          <w:sz w:val="16"/>
          <w:lang w:val="fr-CA"/>
        </w:rPr>
        <w:t>demandé est conforme à l’accord révisé</w:t>
      </w:r>
      <w:r w:rsidRPr="00ED22D1">
        <w:rPr>
          <w:sz w:val="16"/>
          <w:lang w:val="fr-CA"/>
        </w:rPr>
        <w:t>.</w:t>
      </w:r>
    </w:p>
    <w:p w:rsidR="00387175" w:rsidRPr="00ED22D1" w:rsidRDefault="00387175" w:rsidP="00387175">
      <w:pPr>
        <w:pStyle w:val="StyleHeader4Para4Left0Firstline0"/>
        <w:numPr>
          <w:ilvl w:val="0"/>
          <w:numId w:val="0"/>
        </w:numPr>
        <w:spacing w:after="0"/>
        <w:rPr>
          <w:sz w:val="16"/>
          <w:lang w:val="fr-CA"/>
        </w:rPr>
      </w:pPr>
    </w:p>
    <w:tbl>
      <w:tblPr>
        <w:tblStyle w:val="TableGrid"/>
        <w:tblW w:w="5000" w:type="pct"/>
        <w:tblLook w:val="04A0" w:firstRow="1" w:lastRow="0" w:firstColumn="1" w:lastColumn="0" w:noHBand="0" w:noVBand="1"/>
      </w:tblPr>
      <w:tblGrid>
        <w:gridCol w:w="3262"/>
        <w:gridCol w:w="11210"/>
      </w:tblGrid>
      <w:tr w:rsidR="00976A64" w:rsidRPr="00ED22D1" w:rsidTr="00387175">
        <w:trPr>
          <w:trHeight w:val="240"/>
        </w:trPr>
        <w:tc>
          <w:tcPr>
            <w:tcW w:w="1127" w:type="pct"/>
            <w:shd w:val="clear" w:color="auto" w:fill="auto"/>
          </w:tcPr>
          <w:p w:rsidR="00976A64" w:rsidRPr="00ED22D1" w:rsidRDefault="00976A64" w:rsidP="00046133">
            <w:pPr>
              <w:spacing w:after="60"/>
              <w:rPr>
                <w:b/>
                <w:sz w:val="18"/>
                <w:szCs w:val="20"/>
                <w:lang w:val="fr-CA"/>
              </w:rPr>
            </w:pPr>
            <w:r w:rsidRPr="00ED22D1">
              <w:rPr>
                <w:b/>
                <w:sz w:val="18"/>
                <w:szCs w:val="20"/>
                <w:lang w:val="fr-CA"/>
              </w:rPr>
              <w:t>Recommandation du Secrétariat</w:t>
            </w:r>
            <w:r w:rsidR="00791BF7" w:rsidRPr="00ED22D1">
              <w:rPr>
                <w:b/>
                <w:sz w:val="18"/>
                <w:szCs w:val="20"/>
                <w:lang w:val="fr-CA"/>
              </w:rPr>
              <w:t> :</w:t>
            </w:r>
          </w:p>
        </w:tc>
        <w:tc>
          <w:tcPr>
            <w:tcW w:w="3873" w:type="pct"/>
            <w:shd w:val="clear" w:color="auto" w:fill="auto"/>
          </w:tcPr>
          <w:p w:rsidR="00976A64" w:rsidRPr="00ED22D1" w:rsidRDefault="00976A64" w:rsidP="00046133">
            <w:pPr>
              <w:spacing w:after="60"/>
              <w:jc w:val="center"/>
              <w:rPr>
                <w:sz w:val="18"/>
                <w:szCs w:val="20"/>
                <w:lang w:val="fr-CA"/>
              </w:rPr>
            </w:pPr>
            <w:r w:rsidRPr="00ED22D1">
              <w:rPr>
                <w:sz w:val="18"/>
                <w:szCs w:val="20"/>
                <w:lang w:val="fr-CA"/>
              </w:rPr>
              <w:t>Pour examen individuel</w:t>
            </w:r>
          </w:p>
        </w:tc>
      </w:tr>
    </w:tbl>
    <w:p w:rsidR="00387175" w:rsidRPr="00ED22D1" w:rsidRDefault="00387175" w:rsidP="00387175">
      <w:pPr>
        <w:pStyle w:val="Title1"/>
        <w:rPr>
          <w:lang w:val="fr-CA"/>
        </w:rPr>
        <w:sectPr w:rsidR="00387175" w:rsidRPr="00ED22D1" w:rsidSect="000325DF">
          <w:headerReference w:type="first" r:id="rId44"/>
          <w:pgSz w:w="15840" w:h="12240" w:orient="landscape" w:code="1"/>
          <w:pgMar w:top="1440" w:right="720" w:bottom="1440" w:left="864" w:header="720" w:footer="475" w:gutter="0"/>
          <w:pgNumType w:start="48"/>
          <w:cols w:space="720"/>
          <w:titlePg/>
          <w:docGrid w:linePitch="299"/>
        </w:sectPr>
      </w:pPr>
    </w:p>
    <w:p w:rsidR="00387175" w:rsidRPr="00ED22D1" w:rsidRDefault="008D5B5F" w:rsidP="00387175">
      <w:pPr>
        <w:pStyle w:val="StyleHeader4Para4Left0Firstline0"/>
        <w:numPr>
          <w:ilvl w:val="0"/>
          <w:numId w:val="0"/>
        </w:numPr>
        <w:jc w:val="center"/>
        <w:rPr>
          <w:b/>
          <w:sz w:val="22"/>
          <w:lang w:val="fr-CA"/>
        </w:rPr>
      </w:pPr>
      <w:r w:rsidRPr="00ED22D1">
        <w:rPr>
          <w:b/>
          <w:sz w:val="22"/>
          <w:lang w:val="fr-CA"/>
        </w:rPr>
        <w:lastRenderedPageBreak/>
        <w:t>DESCRIPTION DU PROJET</w:t>
      </w:r>
    </w:p>
    <w:p w:rsidR="00387175" w:rsidRPr="00ED22D1" w:rsidRDefault="00387175" w:rsidP="00387175">
      <w:pPr>
        <w:rPr>
          <w:lang w:val="fr-CA"/>
        </w:rPr>
      </w:pPr>
    </w:p>
    <w:p w:rsidR="00387175" w:rsidRPr="00ED22D1" w:rsidRDefault="00EB650F" w:rsidP="00EB650F">
      <w:pPr>
        <w:pStyle w:val="Heading1"/>
        <w:numPr>
          <w:ilvl w:val="0"/>
          <w:numId w:val="0"/>
        </w:numPr>
        <w:rPr>
          <w:lang w:val="fr-CA"/>
        </w:rPr>
      </w:pPr>
      <w:r w:rsidRPr="00ED22D1">
        <w:rPr>
          <w:lang w:val="fr-CA"/>
        </w:rPr>
        <w:t>114.</w:t>
      </w:r>
      <w:r w:rsidRPr="00ED22D1">
        <w:rPr>
          <w:lang w:val="fr-CA"/>
        </w:rPr>
        <w:tab/>
      </w:r>
      <w:r w:rsidR="001A5231" w:rsidRPr="00ED22D1">
        <w:rPr>
          <w:lang w:val="fr-CA"/>
        </w:rPr>
        <w:t>Au nom du</w:t>
      </w:r>
      <w:r w:rsidR="00921BDE" w:rsidRPr="00ED22D1">
        <w:rPr>
          <w:lang w:val="fr-CA"/>
        </w:rPr>
        <w:t xml:space="preserve"> gouvernement</w:t>
      </w:r>
      <w:r w:rsidR="001F19C1" w:rsidRPr="00ED22D1">
        <w:rPr>
          <w:lang w:val="fr-CA"/>
        </w:rPr>
        <w:t xml:space="preserve"> </w:t>
      </w:r>
      <w:r w:rsidR="00181884" w:rsidRPr="00ED22D1">
        <w:rPr>
          <w:lang w:val="fr-CA"/>
        </w:rPr>
        <w:t>de la Chine</w:t>
      </w:r>
      <w:r w:rsidR="001F19C1" w:rsidRPr="00ED22D1">
        <w:rPr>
          <w:lang w:val="fr-CA"/>
        </w:rPr>
        <w:t>, le PNUD</w:t>
      </w:r>
      <w:r w:rsidR="00387175" w:rsidRPr="00ED22D1">
        <w:rPr>
          <w:lang w:val="fr-CA"/>
        </w:rPr>
        <w:t xml:space="preserve">, </w:t>
      </w:r>
      <w:r w:rsidR="008D5B5F" w:rsidRPr="00ED22D1">
        <w:rPr>
          <w:lang w:val="fr-CA"/>
        </w:rPr>
        <w:t>à titre d’agence d’exécution désignée</w:t>
      </w:r>
      <w:r w:rsidR="00387175" w:rsidRPr="00ED22D1">
        <w:rPr>
          <w:lang w:val="fr-CA"/>
        </w:rPr>
        <w:t xml:space="preserve">, </w:t>
      </w:r>
      <w:r w:rsidR="008D5B5F" w:rsidRPr="00ED22D1">
        <w:rPr>
          <w:lang w:val="fr-CA"/>
        </w:rPr>
        <w:t>a</w:t>
      </w:r>
      <w:r w:rsidR="00071E26" w:rsidRPr="00ED22D1">
        <w:rPr>
          <w:lang w:val="fr-CA"/>
        </w:rPr>
        <w:t> </w:t>
      </w:r>
      <w:r w:rsidR="008D5B5F" w:rsidRPr="00ED22D1">
        <w:rPr>
          <w:lang w:val="fr-CA"/>
        </w:rPr>
        <w:t>présenté de nouveau</w:t>
      </w:r>
      <w:r w:rsidR="00387175" w:rsidRPr="00ED22D1">
        <w:rPr>
          <w:rStyle w:val="FootnoteReference"/>
          <w:lang w:val="fr-CA"/>
        </w:rPr>
        <w:footnoteReference w:id="20"/>
      </w:r>
      <w:r w:rsidR="00387175" w:rsidRPr="00ED22D1">
        <w:rPr>
          <w:lang w:val="fr-CA"/>
        </w:rPr>
        <w:t xml:space="preserve"> </w:t>
      </w:r>
      <w:r w:rsidR="008D5B5F" w:rsidRPr="00ED22D1">
        <w:rPr>
          <w:lang w:val="fr-CA"/>
        </w:rPr>
        <w:t>une</w:t>
      </w:r>
      <w:r w:rsidR="00387175" w:rsidRPr="00ED22D1">
        <w:rPr>
          <w:lang w:val="fr-CA"/>
        </w:rPr>
        <w:t xml:space="preserve"> </w:t>
      </w:r>
      <w:r w:rsidR="008D5B5F" w:rsidRPr="00ED22D1">
        <w:rPr>
          <w:lang w:val="fr-CA"/>
        </w:rPr>
        <w:t xml:space="preserve">demande de </w:t>
      </w:r>
      <w:r w:rsidR="00D15079" w:rsidRPr="00ED22D1">
        <w:rPr>
          <w:lang w:val="fr-CA"/>
        </w:rPr>
        <w:t>financement</w:t>
      </w:r>
      <w:r w:rsidR="00387175" w:rsidRPr="00ED22D1">
        <w:rPr>
          <w:lang w:val="fr-CA"/>
        </w:rPr>
        <w:t xml:space="preserve"> </w:t>
      </w:r>
      <w:r w:rsidR="008D5B5F" w:rsidRPr="00ED22D1">
        <w:rPr>
          <w:lang w:val="fr-CA"/>
        </w:rPr>
        <w:t>pour</w:t>
      </w:r>
      <w:r w:rsidR="00387175" w:rsidRPr="00ED22D1">
        <w:rPr>
          <w:lang w:val="fr-CA"/>
        </w:rPr>
        <w:t xml:space="preserve"> </w:t>
      </w:r>
      <w:r w:rsidR="00874624" w:rsidRPr="00ED22D1">
        <w:rPr>
          <w:lang w:val="fr-CA"/>
        </w:rPr>
        <w:t>la troisième</w:t>
      </w:r>
      <w:r w:rsidR="00387175" w:rsidRPr="00ED22D1">
        <w:rPr>
          <w:lang w:val="fr-CA"/>
        </w:rPr>
        <w:t xml:space="preserve"> tranche </w:t>
      </w:r>
      <w:r w:rsidR="00502C24" w:rsidRPr="00ED22D1">
        <w:rPr>
          <w:lang w:val="fr-CA"/>
        </w:rPr>
        <w:t xml:space="preserve">du plan </w:t>
      </w:r>
      <w:r w:rsidR="004A6828" w:rsidRPr="00ED22D1">
        <w:rPr>
          <w:lang w:val="fr-CA"/>
        </w:rPr>
        <w:t>du secteur des solvants</w:t>
      </w:r>
      <w:r w:rsidR="00387175" w:rsidRPr="00ED22D1">
        <w:rPr>
          <w:lang w:val="fr-CA"/>
        </w:rPr>
        <w:t xml:space="preserve"> </w:t>
      </w:r>
      <w:r w:rsidR="00921BDE" w:rsidRPr="00ED22D1">
        <w:rPr>
          <w:lang w:val="fr-CA"/>
        </w:rPr>
        <w:t>de la phase</w:t>
      </w:r>
      <w:r w:rsidR="004A6828" w:rsidRPr="00ED22D1">
        <w:rPr>
          <w:lang w:val="fr-CA"/>
        </w:rPr>
        <w:t xml:space="preserve"> </w:t>
      </w:r>
      <w:r w:rsidR="00387175" w:rsidRPr="00ED22D1">
        <w:rPr>
          <w:lang w:val="fr-CA"/>
        </w:rPr>
        <w:t xml:space="preserve">II </w:t>
      </w:r>
      <w:r w:rsidR="00921BDE" w:rsidRPr="00ED22D1">
        <w:rPr>
          <w:lang w:val="fr-CA"/>
        </w:rPr>
        <w:t>du plan d’élimination</w:t>
      </w:r>
      <w:r w:rsidR="004A6828" w:rsidRPr="00ED22D1">
        <w:rPr>
          <w:lang w:val="fr-CA"/>
        </w:rPr>
        <w:t xml:space="preserve"> des HCFC</w:t>
      </w:r>
      <w:r w:rsidR="00387175" w:rsidRPr="00ED22D1">
        <w:rPr>
          <w:lang w:val="fr-CA"/>
        </w:rPr>
        <w:t xml:space="preserve"> (</w:t>
      </w:r>
      <w:r w:rsidR="00DD185D" w:rsidRPr="00ED22D1">
        <w:rPr>
          <w:lang w:val="fr-CA"/>
        </w:rPr>
        <w:t>PGEH</w:t>
      </w:r>
      <w:r w:rsidR="00387175" w:rsidRPr="00ED22D1">
        <w:rPr>
          <w:lang w:val="fr-CA"/>
        </w:rPr>
        <w:t xml:space="preserve">), </w:t>
      </w:r>
      <w:r w:rsidR="00AC27D1" w:rsidRPr="00ED22D1">
        <w:rPr>
          <w:lang w:val="fr-CA"/>
        </w:rPr>
        <w:t xml:space="preserve">pour un montant de </w:t>
      </w:r>
      <w:r w:rsidR="004A6828" w:rsidRPr="00ED22D1">
        <w:rPr>
          <w:lang w:val="fr-CA"/>
        </w:rPr>
        <w:t>5 </w:t>
      </w:r>
      <w:r w:rsidR="00387175" w:rsidRPr="00ED22D1">
        <w:rPr>
          <w:lang w:val="fr-CA"/>
        </w:rPr>
        <w:t>54</w:t>
      </w:r>
      <w:r w:rsidR="004A6828" w:rsidRPr="00ED22D1">
        <w:rPr>
          <w:lang w:val="fr-CA"/>
        </w:rPr>
        <w:t>9 </w:t>
      </w:r>
      <w:r w:rsidR="00387175" w:rsidRPr="00ED22D1">
        <w:rPr>
          <w:lang w:val="fr-CA"/>
        </w:rPr>
        <w:t>49</w:t>
      </w:r>
      <w:r w:rsidR="004A6828" w:rsidRPr="00ED22D1">
        <w:rPr>
          <w:lang w:val="fr-CA"/>
        </w:rPr>
        <w:t>2</w:t>
      </w:r>
      <w:r w:rsidR="00EC100C" w:rsidRPr="00ED22D1">
        <w:rPr>
          <w:lang w:val="fr-CA"/>
        </w:rPr>
        <w:t> $US</w:t>
      </w:r>
      <w:r w:rsidR="008D5B5F" w:rsidRPr="00ED22D1">
        <w:rPr>
          <w:lang w:val="fr-CA"/>
        </w:rPr>
        <w:t>,</w:t>
      </w:r>
      <w:r w:rsidR="00B70069" w:rsidRPr="00ED22D1">
        <w:rPr>
          <w:lang w:val="fr-CA"/>
        </w:rPr>
        <w:t xml:space="preserve"> </w:t>
      </w:r>
      <w:r w:rsidR="001B31BF" w:rsidRPr="00ED22D1">
        <w:rPr>
          <w:lang w:val="fr-CA"/>
        </w:rPr>
        <w:t>plus</w:t>
      </w:r>
      <w:r w:rsidR="00B70069" w:rsidRPr="00ED22D1">
        <w:rPr>
          <w:lang w:val="fr-CA"/>
        </w:rPr>
        <w:t> </w:t>
      </w:r>
      <w:r w:rsidR="001B31BF" w:rsidRPr="00ED22D1">
        <w:rPr>
          <w:lang w:val="fr-CA"/>
        </w:rPr>
        <w:t>des coûts</w:t>
      </w:r>
      <w:r w:rsidR="00DD185D" w:rsidRPr="00ED22D1">
        <w:rPr>
          <w:lang w:val="fr-CA"/>
        </w:rPr>
        <w:t xml:space="preserve"> d’appui d’</w:t>
      </w:r>
      <w:r w:rsidR="001B31BF" w:rsidRPr="00ED22D1">
        <w:rPr>
          <w:lang w:val="fr-CA"/>
        </w:rPr>
        <w:t>agence de</w:t>
      </w:r>
      <w:r w:rsidR="00387175" w:rsidRPr="00ED22D1">
        <w:rPr>
          <w:lang w:val="fr-CA"/>
        </w:rPr>
        <w:t xml:space="preserve"> 38</w:t>
      </w:r>
      <w:r w:rsidR="004A6828" w:rsidRPr="00ED22D1">
        <w:rPr>
          <w:lang w:val="fr-CA"/>
        </w:rPr>
        <w:t>8 </w:t>
      </w:r>
      <w:r w:rsidR="00387175" w:rsidRPr="00ED22D1">
        <w:rPr>
          <w:lang w:val="fr-CA"/>
        </w:rPr>
        <w:t>46</w:t>
      </w:r>
      <w:r w:rsidR="004A6828" w:rsidRPr="00ED22D1">
        <w:rPr>
          <w:lang w:val="fr-CA"/>
        </w:rPr>
        <w:t>4</w:t>
      </w:r>
      <w:r w:rsidR="00EC100C" w:rsidRPr="00ED22D1">
        <w:rPr>
          <w:lang w:val="fr-CA"/>
        </w:rPr>
        <w:t> $US.</w:t>
      </w:r>
      <w:r w:rsidR="00387175" w:rsidRPr="00ED22D1">
        <w:rPr>
          <w:rStyle w:val="FootnoteReference"/>
          <w:lang w:val="fr-CA"/>
        </w:rPr>
        <w:footnoteReference w:id="21"/>
      </w:r>
      <w:r w:rsidR="00387175" w:rsidRPr="00ED22D1">
        <w:rPr>
          <w:lang w:val="fr-CA"/>
        </w:rPr>
        <w:t xml:space="preserve"> </w:t>
      </w:r>
      <w:r w:rsidR="008D5B5F" w:rsidRPr="00ED22D1">
        <w:rPr>
          <w:lang w:val="fr-CA"/>
        </w:rPr>
        <w:t>La</w:t>
      </w:r>
      <w:r w:rsidR="00387175" w:rsidRPr="00ED22D1">
        <w:rPr>
          <w:lang w:val="fr-CA"/>
        </w:rPr>
        <w:t xml:space="preserve"> </w:t>
      </w:r>
      <w:r w:rsidR="00E81764" w:rsidRPr="00ED22D1">
        <w:rPr>
          <w:lang w:val="fr-CA"/>
        </w:rPr>
        <w:t>présentation</w:t>
      </w:r>
      <w:r w:rsidR="00387175" w:rsidRPr="00ED22D1">
        <w:rPr>
          <w:lang w:val="fr-CA"/>
        </w:rPr>
        <w:t xml:space="preserve"> </w:t>
      </w:r>
      <w:r w:rsidR="008D5B5F" w:rsidRPr="00ED22D1">
        <w:rPr>
          <w:lang w:val="fr-CA"/>
        </w:rPr>
        <w:t>comprenait un</w:t>
      </w:r>
      <w:r w:rsidR="00387175" w:rsidRPr="00ED22D1">
        <w:rPr>
          <w:lang w:val="fr-CA"/>
        </w:rPr>
        <w:t xml:space="preserve"> </w:t>
      </w:r>
      <w:r w:rsidR="004A6828" w:rsidRPr="00ED22D1">
        <w:rPr>
          <w:lang w:val="fr-CA"/>
        </w:rPr>
        <w:t>rapport périodique</w:t>
      </w:r>
      <w:r w:rsidR="00387175" w:rsidRPr="00ED22D1">
        <w:rPr>
          <w:lang w:val="fr-CA"/>
        </w:rPr>
        <w:t xml:space="preserve"> </w:t>
      </w:r>
      <w:r w:rsidR="00921BDE" w:rsidRPr="00ED22D1">
        <w:rPr>
          <w:lang w:val="fr-CA"/>
        </w:rPr>
        <w:t>sur la mise en oeuvre de la deuxième</w:t>
      </w:r>
      <w:r w:rsidR="00387175" w:rsidRPr="00ED22D1">
        <w:rPr>
          <w:lang w:val="fr-CA"/>
        </w:rPr>
        <w:t xml:space="preserve"> tranche</w:t>
      </w:r>
      <w:r w:rsidR="004A6828" w:rsidRPr="00ED22D1">
        <w:rPr>
          <w:lang w:val="fr-CA"/>
        </w:rPr>
        <w:t xml:space="preserve"> et </w:t>
      </w:r>
      <w:r w:rsidR="00502C24" w:rsidRPr="00ED22D1">
        <w:rPr>
          <w:lang w:val="fr-CA"/>
        </w:rPr>
        <w:t xml:space="preserve">le plan </w:t>
      </w:r>
      <w:r w:rsidR="001B31BF" w:rsidRPr="00ED22D1">
        <w:rPr>
          <w:lang w:val="fr-CA"/>
        </w:rPr>
        <w:t>de mise en oeuvre de la tranche</w:t>
      </w:r>
      <w:r w:rsidR="00387175" w:rsidRPr="00ED22D1">
        <w:rPr>
          <w:lang w:val="fr-CA"/>
        </w:rPr>
        <w:t xml:space="preserve"> 2019-202</w:t>
      </w:r>
      <w:r w:rsidR="004A6828" w:rsidRPr="00ED22D1">
        <w:rPr>
          <w:lang w:val="fr-CA"/>
        </w:rPr>
        <w:t>0</w:t>
      </w:r>
      <w:r w:rsidR="008D5B5F" w:rsidRPr="00ED22D1">
        <w:rPr>
          <w:lang w:val="fr-CA"/>
        </w:rPr>
        <w:t>.</w:t>
      </w:r>
    </w:p>
    <w:p w:rsidR="00387175" w:rsidRPr="00ED22D1" w:rsidRDefault="004A6828" w:rsidP="00387175">
      <w:pPr>
        <w:spacing w:after="240"/>
        <w:rPr>
          <w:u w:val="single"/>
          <w:lang w:val="fr-CA"/>
        </w:rPr>
      </w:pPr>
      <w:r w:rsidRPr="00ED22D1">
        <w:rPr>
          <w:u w:val="single"/>
          <w:lang w:val="fr-CA"/>
        </w:rPr>
        <w:t>Rapport périodique</w:t>
      </w:r>
      <w:r w:rsidR="00387175" w:rsidRPr="00ED22D1">
        <w:rPr>
          <w:u w:val="single"/>
          <w:lang w:val="fr-CA"/>
        </w:rPr>
        <w:t xml:space="preserve"> </w:t>
      </w:r>
      <w:r w:rsidR="00921BDE" w:rsidRPr="00ED22D1">
        <w:rPr>
          <w:u w:val="single"/>
          <w:lang w:val="fr-CA"/>
        </w:rPr>
        <w:t>sur la mise en oeuvre de la deuxième</w:t>
      </w:r>
      <w:r w:rsidR="00387175" w:rsidRPr="00ED22D1">
        <w:rPr>
          <w:u w:val="single"/>
          <w:lang w:val="fr-CA"/>
        </w:rPr>
        <w:t xml:space="preserve"> tranche </w:t>
      </w:r>
    </w:p>
    <w:p w:rsidR="00387175" w:rsidRPr="00ED22D1" w:rsidRDefault="00EB650F" w:rsidP="00EB650F">
      <w:pPr>
        <w:pStyle w:val="Heading1"/>
        <w:numPr>
          <w:ilvl w:val="0"/>
          <w:numId w:val="0"/>
        </w:numPr>
        <w:rPr>
          <w:lang w:val="fr-CA"/>
        </w:rPr>
      </w:pPr>
      <w:r w:rsidRPr="00ED22D1">
        <w:rPr>
          <w:lang w:val="fr-CA"/>
        </w:rPr>
        <w:t>115.</w:t>
      </w:r>
      <w:r w:rsidRPr="00ED22D1">
        <w:rPr>
          <w:lang w:val="fr-CA"/>
        </w:rPr>
        <w:tab/>
      </w:r>
      <w:r w:rsidR="008D5B5F" w:rsidRPr="00ED22D1">
        <w:rPr>
          <w:lang w:val="fr-CA"/>
        </w:rPr>
        <w:t>L’</w:t>
      </w:r>
      <w:r w:rsidR="00387175" w:rsidRPr="00ED22D1">
        <w:rPr>
          <w:lang w:val="fr-CA"/>
        </w:rPr>
        <w:t xml:space="preserve">International Environmental Cooperation Center (IECO) </w:t>
      </w:r>
      <w:r w:rsidR="008D5B5F" w:rsidRPr="00ED22D1">
        <w:rPr>
          <w:lang w:val="fr-CA"/>
        </w:rPr>
        <w:t xml:space="preserve">a continué de mettre en oeuvre des </w:t>
      </w:r>
      <w:r w:rsidR="00B70069" w:rsidRPr="00ED22D1">
        <w:rPr>
          <w:lang w:val="fr-CA"/>
        </w:rPr>
        <w:t>permis</w:t>
      </w:r>
      <w:r w:rsidR="008D5B5F" w:rsidRPr="00ED22D1">
        <w:rPr>
          <w:lang w:val="fr-CA"/>
        </w:rPr>
        <w:t xml:space="preserve"> de contingentement</w:t>
      </w:r>
      <w:r w:rsidR="00387175" w:rsidRPr="00ED22D1">
        <w:rPr>
          <w:lang w:val="fr-CA"/>
        </w:rPr>
        <w:t xml:space="preserve"> </w:t>
      </w:r>
      <w:r w:rsidR="008D5B5F" w:rsidRPr="00ED22D1">
        <w:rPr>
          <w:lang w:val="fr-CA"/>
        </w:rPr>
        <w:t xml:space="preserve">aux </w:t>
      </w:r>
      <w:r w:rsidR="00921BDE" w:rsidRPr="00ED22D1">
        <w:rPr>
          <w:lang w:val="fr-CA"/>
        </w:rPr>
        <w:t>entreprise</w:t>
      </w:r>
      <w:r w:rsidR="00387175" w:rsidRPr="00ED22D1">
        <w:rPr>
          <w:lang w:val="fr-CA"/>
        </w:rPr>
        <w:t xml:space="preserve">s </w:t>
      </w:r>
      <w:r w:rsidR="008D5B5F" w:rsidRPr="00ED22D1">
        <w:rPr>
          <w:lang w:val="fr-CA"/>
        </w:rPr>
        <w:t xml:space="preserve">de solvants </w:t>
      </w:r>
      <w:r w:rsidR="005901C1" w:rsidRPr="00ED22D1">
        <w:rPr>
          <w:lang w:val="fr-CA"/>
        </w:rPr>
        <w:t>consommant</w:t>
      </w:r>
      <w:r w:rsidR="00387175" w:rsidRPr="00ED22D1">
        <w:rPr>
          <w:lang w:val="fr-CA"/>
        </w:rPr>
        <w:t xml:space="preserve"> </w:t>
      </w:r>
      <w:r w:rsidR="008D5B5F" w:rsidRPr="00ED22D1">
        <w:rPr>
          <w:lang w:val="fr-CA"/>
        </w:rPr>
        <w:t>plus de</w:t>
      </w:r>
      <w:r w:rsidR="00387175" w:rsidRPr="00ED22D1">
        <w:rPr>
          <w:lang w:val="fr-CA"/>
        </w:rPr>
        <w:t xml:space="preserve"> 100 </w:t>
      </w:r>
      <w:r w:rsidR="00181884" w:rsidRPr="00ED22D1">
        <w:rPr>
          <w:lang w:val="fr-CA"/>
        </w:rPr>
        <w:t>tonnes métriques</w:t>
      </w:r>
      <w:r w:rsidR="00387175" w:rsidRPr="00ED22D1">
        <w:rPr>
          <w:lang w:val="fr-CA"/>
        </w:rPr>
        <w:t xml:space="preserve"> (</w:t>
      </w:r>
      <w:r w:rsidR="001279D7" w:rsidRPr="00ED22D1">
        <w:rPr>
          <w:lang w:val="fr-CA"/>
        </w:rPr>
        <w:t>tm</w:t>
      </w:r>
      <w:r w:rsidR="00387175" w:rsidRPr="00ED22D1">
        <w:rPr>
          <w:lang w:val="fr-CA"/>
        </w:rPr>
        <w:t xml:space="preserve">) </w:t>
      </w:r>
      <w:r w:rsidR="008D5B5F" w:rsidRPr="00ED22D1">
        <w:rPr>
          <w:lang w:val="fr-CA"/>
        </w:rPr>
        <w:t>de</w:t>
      </w:r>
      <w:r w:rsidR="006F76DF">
        <w:rPr>
          <w:lang w:val="fr-CA"/>
        </w:rPr>
        <w:t> </w:t>
      </w:r>
      <w:r w:rsidR="008D5B5F" w:rsidRPr="00ED22D1">
        <w:rPr>
          <w:lang w:val="fr-CA"/>
        </w:rPr>
        <w:t>HCFC</w:t>
      </w:r>
      <w:r w:rsidR="00350E4F" w:rsidRPr="00ED22D1">
        <w:rPr>
          <w:lang w:val="fr-CA"/>
        </w:rPr>
        <w:t xml:space="preserve"> par </w:t>
      </w:r>
      <w:r w:rsidR="0052712E" w:rsidRPr="00ED22D1">
        <w:rPr>
          <w:lang w:val="fr-CA"/>
        </w:rPr>
        <w:t>année</w:t>
      </w:r>
      <w:r w:rsidR="00387175" w:rsidRPr="00ED22D1">
        <w:rPr>
          <w:lang w:val="fr-CA"/>
        </w:rPr>
        <w:t>.</w:t>
      </w:r>
    </w:p>
    <w:p w:rsidR="00387175" w:rsidRPr="00ED22D1" w:rsidRDefault="009826CA" w:rsidP="00387175">
      <w:pPr>
        <w:spacing w:after="240"/>
        <w:rPr>
          <w:lang w:val="fr-CA"/>
        </w:rPr>
      </w:pPr>
      <w:r w:rsidRPr="00ED22D1">
        <w:rPr>
          <w:i/>
          <w:lang w:val="fr-CA"/>
        </w:rPr>
        <w:t>Activités au niveau de l’e</w:t>
      </w:r>
      <w:r w:rsidR="00921BDE" w:rsidRPr="00ED22D1">
        <w:rPr>
          <w:i/>
          <w:lang w:val="fr-CA"/>
        </w:rPr>
        <w:t>ntreprise</w:t>
      </w:r>
    </w:p>
    <w:p w:rsidR="00387175" w:rsidRPr="00ED22D1" w:rsidRDefault="00EB650F" w:rsidP="00EB650F">
      <w:pPr>
        <w:pStyle w:val="Heading1"/>
        <w:numPr>
          <w:ilvl w:val="0"/>
          <w:numId w:val="0"/>
        </w:numPr>
        <w:rPr>
          <w:lang w:val="fr-CA"/>
        </w:rPr>
      </w:pPr>
      <w:r w:rsidRPr="00ED22D1">
        <w:rPr>
          <w:lang w:val="fr-CA"/>
        </w:rPr>
        <w:t>116.</w:t>
      </w:r>
      <w:r w:rsidRPr="00ED22D1">
        <w:rPr>
          <w:lang w:val="fr-CA"/>
        </w:rPr>
        <w:tab/>
      </w:r>
      <w:r w:rsidR="009826CA" w:rsidRPr="00ED22D1">
        <w:rPr>
          <w:lang w:val="fr-CA"/>
        </w:rPr>
        <w:t>En date d’</w:t>
      </w:r>
      <w:r w:rsidR="00350E4F" w:rsidRPr="00ED22D1">
        <w:rPr>
          <w:lang w:val="fr-CA"/>
        </w:rPr>
        <w:t>avril</w:t>
      </w:r>
      <w:r w:rsidR="00387175" w:rsidRPr="00ED22D1">
        <w:rPr>
          <w:lang w:val="fr-CA"/>
        </w:rPr>
        <w:t xml:space="preserve"> 201</w:t>
      </w:r>
      <w:r w:rsidR="004A6828" w:rsidRPr="00ED22D1">
        <w:rPr>
          <w:lang w:val="fr-CA"/>
        </w:rPr>
        <w:t>8</w:t>
      </w:r>
      <w:r w:rsidR="009826CA" w:rsidRPr="00ED22D1">
        <w:rPr>
          <w:lang w:val="fr-CA"/>
        </w:rPr>
        <w:t>,</w:t>
      </w:r>
      <w:r w:rsidR="004A6828" w:rsidRPr="00ED22D1">
        <w:rPr>
          <w:lang w:val="fr-CA"/>
        </w:rPr>
        <w:t> </w:t>
      </w:r>
      <w:r w:rsidR="009826CA" w:rsidRPr="00ED22D1">
        <w:rPr>
          <w:lang w:val="fr-CA"/>
        </w:rPr>
        <w:t>la totalité des</w:t>
      </w:r>
      <w:r w:rsidR="00387175" w:rsidRPr="00ED22D1">
        <w:rPr>
          <w:lang w:val="fr-CA"/>
        </w:rPr>
        <w:t xml:space="preserve"> 24 </w:t>
      </w:r>
      <w:r w:rsidR="00921BDE" w:rsidRPr="00ED22D1">
        <w:rPr>
          <w:lang w:val="fr-CA"/>
        </w:rPr>
        <w:t>entreprise</w:t>
      </w:r>
      <w:r w:rsidR="00387175" w:rsidRPr="00ED22D1">
        <w:rPr>
          <w:lang w:val="fr-CA"/>
        </w:rPr>
        <w:t>s</w:t>
      </w:r>
      <w:r w:rsidR="0080736A" w:rsidRPr="00ED22D1">
        <w:rPr>
          <w:lang w:val="fr-CA"/>
        </w:rPr>
        <w:t xml:space="preserve"> identifié</w:t>
      </w:r>
      <w:r w:rsidR="009826CA" w:rsidRPr="00ED22D1">
        <w:rPr>
          <w:lang w:val="fr-CA"/>
        </w:rPr>
        <w:t>es</w:t>
      </w:r>
      <w:r w:rsidR="00387175" w:rsidRPr="00ED22D1">
        <w:rPr>
          <w:lang w:val="fr-CA"/>
        </w:rPr>
        <w:t xml:space="preserve"> </w:t>
      </w:r>
      <w:r w:rsidR="009826CA" w:rsidRPr="00ED22D1">
        <w:rPr>
          <w:lang w:val="fr-CA"/>
        </w:rPr>
        <w:t xml:space="preserve">comme faisant partie des tranches antérieures avaient signé des </w:t>
      </w:r>
      <w:r w:rsidR="00921BDE" w:rsidRPr="00ED22D1">
        <w:rPr>
          <w:lang w:val="fr-CA"/>
        </w:rPr>
        <w:t>contrats</w:t>
      </w:r>
      <w:r w:rsidR="00387175" w:rsidRPr="00ED22D1">
        <w:rPr>
          <w:lang w:val="fr-CA"/>
        </w:rPr>
        <w:t xml:space="preserve"> </w:t>
      </w:r>
      <w:r w:rsidR="00B84F94" w:rsidRPr="00ED22D1">
        <w:rPr>
          <w:lang w:val="fr-CA"/>
        </w:rPr>
        <w:t>avec</w:t>
      </w:r>
      <w:r w:rsidR="00F320D6" w:rsidRPr="00ED22D1">
        <w:rPr>
          <w:lang w:val="fr-CA"/>
        </w:rPr>
        <w:t xml:space="preserve"> l’IECO</w:t>
      </w:r>
      <w:r w:rsidR="00387175" w:rsidRPr="00ED22D1">
        <w:rPr>
          <w:lang w:val="fr-CA"/>
        </w:rPr>
        <w:t xml:space="preserve">. </w:t>
      </w:r>
      <w:r w:rsidR="009826CA" w:rsidRPr="00ED22D1">
        <w:rPr>
          <w:lang w:val="fr-CA"/>
        </w:rPr>
        <w:t>Vingt de</w:t>
      </w:r>
      <w:r w:rsidR="00387175" w:rsidRPr="00ED22D1">
        <w:rPr>
          <w:lang w:val="fr-CA"/>
        </w:rPr>
        <w:t xml:space="preserve"> </w:t>
      </w:r>
      <w:r w:rsidR="00BB7CCB" w:rsidRPr="00ED22D1">
        <w:rPr>
          <w:lang w:val="fr-CA"/>
        </w:rPr>
        <w:t xml:space="preserve">ces </w:t>
      </w:r>
      <w:r w:rsidR="00921BDE" w:rsidRPr="00ED22D1">
        <w:rPr>
          <w:lang w:val="fr-CA"/>
        </w:rPr>
        <w:t>entreprise</w:t>
      </w:r>
      <w:r w:rsidR="00387175" w:rsidRPr="00ED22D1">
        <w:rPr>
          <w:lang w:val="fr-CA"/>
        </w:rPr>
        <w:t xml:space="preserve">s </w:t>
      </w:r>
      <w:r w:rsidR="009826CA" w:rsidRPr="00ED22D1">
        <w:rPr>
          <w:lang w:val="fr-CA"/>
        </w:rPr>
        <w:t xml:space="preserve">avaient </w:t>
      </w:r>
      <w:r w:rsidR="00F320D6" w:rsidRPr="00ED22D1">
        <w:rPr>
          <w:lang w:val="fr-CA"/>
        </w:rPr>
        <w:t>signé</w:t>
      </w:r>
      <w:r w:rsidR="00387175" w:rsidRPr="00ED22D1">
        <w:rPr>
          <w:lang w:val="fr-CA"/>
        </w:rPr>
        <w:t xml:space="preserve"> </w:t>
      </w:r>
      <w:r w:rsidR="009826CA" w:rsidRPr="00ED22D1">
        <w:rPr>
          <w:lang w:val="fr-CA"/>
        </w:rPr>
        <w:t xml:space="preserve">des </w:t>
      </w:r>
      <w:r w:rsidR="00921BDE" w:rsidRPr="00ED22D1">
        <w:rPr>
          <w:lang w:val="fr-CA"/>
        </w:rPr>
        <w:t>contrats</w:t>
      </w:r>
      <w:r w:rsidR="00387175" w:rsidRPr="00ED22D1">
        <w:rPr>
          <w:lang w:val="fr-CA"/>
        </w:rPr>
        <w:t xml:space="preserve"> </w:t>
      </w:r>
      <w:r w:rsidR="00B84F94" w:rsidRPr="00ED22D1">
        <w:rPr>
          <w:lang w:val="fr-CA"/>
        </w:rPr>
        <w:t xml:space="preserve">avec </w:t>
      </w:r>
      <w:r w:rsidR="00616B46" w:rsidRPr="00ED22D1">
        <w:rPr>
          <w:lang w:val="fr-CA"/>
        </w:rPr>
        <w:t>les</w:t>
      </w:r>
      <w:r w:rsidR="009826CA" w:rsidRPr="00ED22D1">
        <w:rPr>
          <w:lang w:val="fr-CA"/>
        </w:rPr>
        <w:t xml:space="preserve"> fournisseurs d’</w:t>
      </w:r>
      <w:r w:rsidR="00921BDE" w:rsidRPr="00ED22D1">
        <w:rPr>
          <w:lang w:val="fr-CA"/>
        </w:rPr>
        <w:t>équipements</w:t>
      </w:r>
      <w:r w:rsidR="00387175" w:rsidRPr="00ED22D1">
        <w:rPr>
          <w:lang w:val="fr-CA"/>
        </w:rPr>
        <w:t xml:space="preserve">, </w:t>
      </w:r>
      <w:r w:rsidR="009826CA" w:rsidRPr="00ED22D1">
        <w:rPr>
          <w:lang w:val="fr-CA"/>
        </w:rPr>
        <w:t xml:space="preserve">dont </w:t>
      </w:r>
      <w:r w:rsidR="00387175" w:rsidRPr="00ED22D1">
        <w:rPr>
          <w:lang w:val="fr-CA"/>
        </w:rPr>
        <w:t xml:space="preserve">15 </w:t>
      </w:r>
      <w:r w:rsidR="009826CA" w:rsidRPr="00ED22D1">
        <w:rPr>
          <w:lang w:val="fr-CA"/>
        </w:rPr>
        <w:t xml:space="preserve">avaient fourni les </w:t>
      </w:r>
      <w:r w:rsidR="00387175" w:rsidRPr="00ED22D1">
        <w:rPr>
          <w:lang w:val="fr-CA"/>
        </w:rPr>
        <w:t xml:space="preserve">documents </w:t>
      </w:r>
      <w:r w:rsidR="009826CA" w:rsidRPr="00ED22D1">
        <w:rPr>
          <w:lang w:val="fr-CA"/>
        </w:rPr>
        <w:t xml:space="preserve">appropriés </w:t>
      </w:r>
      <w:r w:rsidR="00F5455E" w:rsidRPr="00ED22D1">
        <w:rPr>
          <w:lang w:val="fr-CA"/>
        </w:rPr>
        <w:t>à</w:t>
      </w:r>
      <w:r w:rsidR="006F76DF">
        <w:rPr>
          <w:lang w:val="fr-CA"/>
        </w:rPr>
        <w:t> </w:t>
      </w:r>
      <w:r w:rsidR="00F5455E" w:rsidRPr="00ED22D1">
        <w:rPr>
          <w:lang w:val="fr-CA"/>
        </w:rPr>
        <w:t>l’IECO</w:t>
      </w:r>
      <w:r w:rsidR="009826CA" w:rsidRPr="00ED22D1">
        <w:rPr>
          <w:lang w:val="fr-CA"/>
        </w:rPr>
        <w:t>. Trois</w:t>
      </w:r>
      <w:r w:rsidR="00387175" w:rsidRPr="00ED22D1">
        <w:rPr>
          <w:lang w:val="fr-CA"/>
        </w:rPr>
        <w:t xml:space="preserve"> </w:t>
      </w:r>
      <w:r w:rsidR="00921BDE" w:rsidRPr="00ED22D1">
        <w:rPr>
          <w:lang w:val="fr-CA"/>
        </w:rPr>
        <w:t>entreprise</w:t>
      </w:r>
      <w:r w:rsidR="00387175" w:rsidRPr="00ED22D1">
        <w:rPr>
          <w:lang w:val="fr-CA"/>
        </w:rPr>
        <w:t xml:space="preserve">s </w:t>
      </w:r>
      <w:r w:rsidR="009826CA" w:rsidRPr="00ED22D1">
        <w:rPr>
          <w:lang w:val="fr-CA"/>
        </w:rPr>
        <w:t xml:space="preserve">avaient reçu les </w:t>
      </w:r>
      <w:r w:rsidR="00921BDE" w:rsidRPr="00ED22D1">
        <w:rPr>
          <w:lang w:val="fr-CA"/>
        </w:rPr>
        <w:t>équipements</w:t>
      </w:r>
      <w:r w:rsidR="004A6828" w:rsidRPr="00ED22D1">
        <w:rPr>
          <w:lang w:val="fr-CA"/>
        </w:rPr>
        <w:t xml:space="preserve"> et </w:t>
      </w:r>
      <w:r w:rsidR="009826CA" w:rsidRPr="00ED22D1">
        <w:rPr>
          <w:lang w:val="fr-CA"/>
        </w:rPr>
        <w:t xml:space="preserve">les avaient installés dans leurs ateliers, tandis que deux attendent la livraison des </w:t>
      </w:r>
      <w:r w:rsidR="00921BDE" w:rsidRPr="00ED22D1">
        <w:rPr>
          <w:lang w:val="fr-CA"/>
        </w:rPr>
        <w:t>équipements</w:t>
      </w:r>
      <w:r w:rsidR="00387175" w:rsidRPr="00ED22D1">
        <w:rPr>
          <w:lang w:val="fr-CA"/>
        </w:rPr>
        <w:t xml:space="preserve">. </w:t>
      </w:r>
      <w:r w:rsidR="009826CA" w:rsidRPr="00ED22D1">
        <w:rPr>
          <w:lang w:val="fr-CA"/>
        </w:rPr>
        <w:t>Les quatre entreprises qui restent sont à préparer des soumissions pour l’achat d’</w:t>
      </w:r>
      <w:r w:rsidR="00921BDE" w:rsidRPr="00ED22D1">
        <w:rPr>
          <w:lang w:val="fr-CA"/>
        </w:rPr>
        <w:t>équipements</w:t>
      </w:r>
      <w:r w:rsidR="00387175" w:rsidRPr="00ED22D1">
        <w:rPr>
          <w:lang w:val="fr-CA"/>
        </w:rPr>
        <w:t xml:space="preserve">. </w:t>
      </w:r>
      <w:r w:rsidR="009826CA" w:rsidRPr="00ED22D1">
        <w:rPr>
          <w:lang w:val="fr-CA"/>
        </w:rPr>
        <w:t xml:space="preserve">L’élimination totale associée à </w:t>
      </w:r>
      <w:r w:rsidR="00BB7CCB" w:rsidRPr="00ED22D1">
        <w:rPr>
          <w:lang w:val="fr-CA"/>
        </w:rPr>
        <w:t xml:space="preserve">ces </w:t>
      </w:r>
      <w:r w:rsidR="00921BDE" w:rsidRPr="00ED22D1">
        <w:rPr>
          <w:lang w:val="fr-CA"/>
        </w:rPr>
        <w:t>entreprise</w:t>
      </w:r>
      <w:r w:rsidR="00387175" w:rsidRPr="00ED22D1">
        <w:rPr>
          <w:lang w:val="fr-CA"/>
        </w:rPr>
        <w:t>s</w:t>
      </w:r>
      <w:r w:rsidR="00903152" w:rsidRPr="00ED22D1">
        <w:rPr>
          <w:lang w:val="fr-CA"/>
        </w:rPr>
        <w:t xml:space="preserve"> est </w:t>
      </w:r>
      <w:r w:rsidR="009826CA" w:rsidRPr="00ED22D1">
        <w:rPr>
          <w:lang w:val="fr-CA"/>
        </w:rPr>
        <w:t xml:space="preserve">de </w:t>
      </w:r>
      <w:r w:rsidR="004A6828" w:rsidRPr="00ED22D1">
        <w:rPr>
          <w:lang w:val="fr-CA"/>
        </w:rPr>
        <w:t>1</w:t>
      </w:r>
      <w:r w:rsidR="009826CA" w:rsidRPr="00ED22D1">
        <w:rPr>
          <w:lang w:val="fr-CA"/>
        </w:rPr>
        <w:t> </w:t>
      </w:r>
      <w:r w:rsidR="00387175" w:rsidRPr="00ED22D1">
        <w:rPr>
          <w:lang w:val="fr-CA"/>
        </w:rPr>
        <w:t>17</w:t>
      </w:r>
      <w:r w:rsidR="004A6828" w:rsidRPr="00ED22D1">
        <w:rPr>
          <w:lang w:val="fr-CA"/>
        </w:rPr>
        <w:t>6,</w:t>
      </w:r>
      <w:r w:rsidR="00387175" w:rsidRPr="00ED22D1">
        <w:rPr>
          <w:lang w:val="fr-CA"/>
        </w:rPr>
        <w:t>19</w:t>
      </w:r>
      <w:r w:rsidR="004B666A" w:rsidRPr="00ED22D1">
        <w:rPr>
          <w:lang w:val="fr-CA"/>
        </w:rPr>
        <w:t xml:space="preserve"> tm </w:t>
      </w:r>
      <w:r w:rsidR="00387175" w:rsidRPr="00ED22D1">
        <w:rPr>
          <w:lang w:val="fr-CA"/>
        </w:rPr>
        <w:t>(12</w:t>
      </w:r>
      <w:r w:rsidR="004A6828" w:rsidRPr="00ED22D1">
        <w:rPr>
          <w:lang w:val="fr-CA"/>
        </w:rPr>
        <w:t>9,</w:t>
      </w:r>
      <w:r w:rsidR="00387175" w:rsidRPr="00ED22D1">
        <w:rPr>
          <w:lang w:val="fr-CA"/>
        </w:rPr>
        <w:t>38</w:t>
      </w:r>
      <w:r w:rsidR="006F76DF">
        <w:rPr>
          <w:lang w:val="fr-CA"/>
        </w:rPr>
        <w:t> </w:t>
      </w:r>
      <w:r w:rsidR="0052712E" w:rsidRPr="00ED22D1">
        <w:rPr>
          <w:lang w:val="fr-CA"/>
        </w:rPr>
        <w:t>tonnes PAO)</w:t>
      </w:r>
      <w:r w:rsidR="00387175" w:rsidRPr="00ED22D1">
        <w:rPr>
          <w:lang w:val="fr-CA"/>
        </w:rPr>
        <w:t xml:space="preserve"> </w:t>
      </w:r>
      <w:r w:rsidR="008D5B5F" w:rsidRPr="00ED22D1">
        <w:rPr>
          <w:lang w:val="fr-CA"/>
        </w:rPr>
        <w:t>de HCFC</w:t>
      </w:r>
      <w:r w:rsidR="00387175" w:rsidRPr="00ED22D1">
        <w:rPr>
          <w:lang w:val="fr-CA"/>
        </w:rPr>
        <w:t xml:space="preserve">-141b, </w:t>
      </w:r>
      <w:r w:rsidR="009826CA" w:rsidRPr="00ED22D1">
        <w:rPr>
          <w:lang w:val="fr-CA"/>
        </w:rPr>
        <w:t xml:space="preserve">ce qui représente </w:t>
      </w:r>
      <w:r w:rsidR="00387175" w:rsidRPr="00ED22D1">
        <w:rPr>
          <w:lang w:val="fr-CA"/>
        </w:rPr>
        <w:t xml:space="preserve">28 </w:t>
      </w:r>
      <w:r w:rsidR="001B31BF" w:rsidRPr="00ED22D1">
        <w:rPr>
          <w:lang w:val="fr-CA"/>
        </w:rPr>
        <w:t>pour cent</w:t>
      </w:r>
      <w:r w:rsidR="00387175" w:rsidRPr="00ED22D1">
        <w:rPr>
          <w:lang w:val="fr-CA"/>
        </w:rPr>
        <w:t xml:space="preserve"> </w:t>
      </w:r>
      <w:r w:rsidR="009826CA" w:rsidRPr="00ED22D1">
        <w:rPr>
          <w:lang w:val="fr-CA"/>
        </w:rPr>
        <w:t xml:space="preserve">de l’objectif de </w:t>
      </w:r>
      <w:r w:rsidR="00903152" w:rsidRPr="00ED22D1">
        <w:rPr>
          <w:lang w:val="fr-CA"/>
        </w:rPr>
        <w:t>réduction</w:t>
      </w:r>
      <w:r w:rsidR="00387175" w:rsidRPr="00ED22D1">
        <w:rPr>
          <w:lang w:val="fr-CA"/>
        </w:rPr>
        <w:t xml:space="preserve"> </w:t>
      </w:r>
      <w:r w:rsidR="009826CA" w:rsidRPr="00ED22D1">
        <w:rPr>
          <w:lang w:val="fr-CA"/>
        </w:rPr>
        <w:t>de</w:t>
      </w:r>
      <w:r w:rsidR="006F76DF">
        <w:rPr>
          <w:lang w:val="fr-CA"/>
        </w:rPr>
        <w:t> </w:t>
      </w:r>
      <w:r w:rsidR="00387175" w:rsidRPr="00ED22D1">
        <w:rPr>
          <w:lang w:val="fr-CA"/>
        </w:rPr>
        <w:t>45</w:t>
      </w:r>
      <w:r w:rsidR="004A6828" w:rsidRPr="00ED22D1">
        <w:rPr>
          <w:lang w:val="fr-CA"/>
        </w:rPr>
        <w:t>5,</w:t>
      </w:r>
      <w:r w:rsidR="00387175" w:rsidRPr="00ED22D1">
        <w:rPr>
          <w:lang w:val="fr-CA"/>
        </w:rPr>
        <w:t>2</w:t>
      </w:r>
      <w:r w:rsidR="009826CA" w:rsidRPr="00ED22D1">
        <w:rPr>
          <w:lang w:val="fr-CA"/>
        </w:rPr>
        <w:t> </w:t>
      </w:r>
      <w:r w:rsidR="00F96C70" w:rsidRPr="00ED22D1">
        <w:rPr>
          <w:lang w:val="fr-CA"/>
        </w:rPr>
        <w:t>tonnes PAO</w:t>
      </w:r>
      <w:r w:rsidR="00387175" w:rsidRPr="00ED22D1">
        <w:rPr>
          <w:lang w:val="fr-CA"/>
        </w:rPr>
        <w:t xml:space="preserve"> </w:t>
      </w:r>
      <w:r w:rsidR="009826CA" w:rsidRPr="00ED22D1">
        <w:rPr>
          <w:lang w:val="fr-CA"/>
        </w:rPr>
        <w:t xml:space="preserve">de HCFC pour la </w:t>
      </w:r>
      <w:r w:rsidR="004A6828" w:rsidRPr="00ED22D1">
        <w:rPr>
          <w:lang w:val="fr-CA"/>
        </w:rPr>
        <w:t xml:space="preserve">phase </w:t>
      </w:r>
      <w:r w:rsidR="00387175" w:rsidRPr="00ED22D1">
        <w:rPr>
          <w:lang w:val="fr-CA"/>
        </w:rPr>
        <w:t xml:space="preserve">II </w:t>
      </w:r>
      <w:r w:rsidR="001B31BF" w:rsidRPr="00ED22D1">
        <w:rPr>
          <w:lang w:val="fr-CA"/>
        </w:rPr>
        <w:t>du secteur des solvants</w:t>
      </w:r>
      <w:r w:rsidR="00387175" w:rsidRPr="00ED22D1">
        <w:rPr>
          <w:lang w:val="fr-CA"/>
        </w:rPr>
        <w:t xml:space="preserve">. </w:t>
      </w:r>
      <w:r w:rsidR="009826CA" w:rsidRPr="00ED22D1">
        <w:rPr>
          <w:lang w:val="fr-CA"/>
        </w:rPr>
        <w:t xml:space="preserve">La valeur totale de la </w:t>
      </w:r>
      <w:r w:rsidR="00FB1DC4" w:rsidRPr="00ED22D1">
        <w:rPr>
          <w:lang w:val="fr-CA"/>
        </w:rPr>
        <w:t>reconversion</w:t>
      </w:r>
      <w:r w:rsidR="00387175" w:rsidRPr="00ED22D1">
        <w:rPr>
          <w:lang w:val="fr-CA"/>
        </w:rPr>
        <w:t xml:space="preserve"> </w:t>
      </w:r>
      <w:r w:rsidR="009826CA" w:rsidRPr="00ED22D1">
        <w:rPr>
          <w:lang w:val="fr-CA"/>
        </w:rPr>
        <w:t>de</w:t>
      </w:r>
      <w:r w:rsidR="00387175" w:rsidRPr="00ED22D1">
        <w:rPr>
          <w:lang w:val="fr-CA"/>
        </w:rPr>
        <w:t xml:space="preserve"> </w:t>
      </w:r>
      <w:r w:rsidR="00BB7CCB" w:rsidRPr="00ED22D1">
        <w:rPr>
          <w:lang w:val="fr-CA"/>
        </w:rPr>
        <w:t xml:space="preserve">ces </w:t>
      </w:r>
      <w:r w:rsidR="00387175" w:rsidRPr="00ED22D1">
        <w:rPr>
          <w:lang w:val="fr-CA"/>
        </w:rPr>
        <w:t>24 </w:t>
      </w:r>
      <w:r w:rsidR="00921BDE" w:rsidRPr="00ED22D1">
        <w:rPr>
          <w:lang w:val="fr-CA"/>
        </w:rPr>
        <w:t>entreprise</w:t>
      </w:r>
      <w:r w:rsidR="00387175" w:rsidRPr="00ED22D1">
        <w:rPr>
          <w:lang w:val="fr-CA"/>
        </w:rPr>
        <w:t xml:space="preserve">s </w:t>
      </w:r>
      <w:r w:rsidR="009826CA" w:rsidRPr="00ED22D1">
        <w:rPr>
          <w:lang w:val="fr-CA"/>
        </w:rPr>
        <w:t>à des solutions de remplacement à faible potentiel de réchauffement de la planète</w:t>
      </w:r>
      <w:r w:rsidR="00387175" w:rsidRPr="00ED22D1">
        <w:rPr>
          <w:rStyle w:val="FootnoteReference"/>
          <w:lang w:val="fr-CA"/>
        </w:rPr>
        <w:footnoteReference w:id="22"/>
      </w:r>
      <w:r w:rsidR="00387175" w:rsidRPr="00ED22D1">
        <w:rPr>
          <w:lang w:val="fr-CA"/>
        </w:rPr>
        <w:t xml:space="preserve"> </w:t>
      </w:r>
      <w:r w:rsidR="001F38F8" w:rsidRPr="00ED22D1">
        <w:rPr>
          <w:lang w:val="fr-CA"/>
        </w:rPr>
        <w:t>est de</w:t>
      </w:r>
      <w:r w:rsidR="00387A9A" w:rsidRPr="00ED22D1">
        <w:rPr>
          <w:lang w:val="fr-CA"/>
        </w:rPr>
        <w:t xml:space="preserve"> 20</w:t>
      </w:r>
      <w:r w:rsidR="004A6828" w:rsidRPr="00ED22D1">
        <w:rPr>
          <w:lang w:val="fr-CA"/>
        </w:rPr>
        <w:t> </w:t>
      </w:r>
      <w:r w:rsidR="00387175" w:rsidRPr="00ED22D1">
        <w:rPr>
          <w:lang w:val="fr-CA"/>
        </w:rPr>
        <w:t>04</w:t>
      </w:r>
      <w:r w:rsidR="004A6828" w:rsidRPr="00ED22D1">
        <w:rPr>
          <w:lang w:val="fr-CA"/>
        </w:rPr>
        <w:t>0 </w:t>
      </w:r>
      <w:r w:rsidR="00387175" w:rsidRPr="00ED22D1">
        <w:rPr>
          <w:lang w:val="fr-CA"/>
        </w:rPr>
        <w:t>54</w:t>
      </w:r>
      <w:r w:rsidR="004A6828" w:rsidRPr="00ED22D1">
        <w:rPr>
          <w:lang w:val="fr-CA"/>
        </w:rPr>
        <w:t>6</w:t>
      </w:r>
      <w:r w:rsidR="00EC100C" w:rsidRPr="00ED22D1">
        <w:rPr>
          <w:lang w:val="fr-CA"/>
        </w:rPr>
        <w:t> $US.</w:t>
      </w:r>
    </w:p>
    <w:p w:rsidR="00387175" w:rsidRPr="00ED22D1" w:rsidRDefault="001F38F8" w:rsidP="00EB650F">
      <w:pPr>
        <w:pStyle w:val="Heading1"/>
        <w:numPr>
          <w:ilvl w:val="0"/>
          <w:numId w:val="0"/>
        </w:numPr>
        <w:rPr>
          <w:lang w:val="fr-CA"/>
        </w:rPr>
      </w:pPr>
      <w:r w:rsidRPr="00ED22D1">
        <w:rPr>
          <w:lang w:val="fr-CA"/>
        </w:rPr>
        <w:t>117.</w:t>
      </w:r>
      <w:r w:rsidRPr="00ED22D1">
        <w:rPr>
          <w:lang w:val="fr-CA"/>
        </w:rPr>
        <w:tab/>
      </w:r>
      <w:r w:rsidR="00873769">
        <w:rPr>
          <w:lang w:val="fr-CA"/>
        </w:rPr>
        <w:t>27</w:t>
      </w:r>
      <w:r w:rsidR="009826CA" w:rsidRPr="00ED22D1">
        <w:rPr>
          <w:lang w:val="fr-CA"/>
        </w:rPr>
        <w:t xml:space="preserve"> autres </w:t>
      </w:r>
      <w:r w:rsidR="00921BDE" w:rsidRPr="00ED22D1">
        <w:rPr>
          <w:lang w:val="fr-CA"/>
        </w:rPr>
        <w:t>entreprise</w:t>
      </w:r>
      <w:r w:rsidR="00387175" w:rsidRPr="00ED22D1">
        <w:rPr>
          <w:lang w:val="fr-CA"/>
        </w:rPr>
        <w:t>s</w:t>
      </w:r>
      <w:r w:rsidR="006F76DF">
        <w:rPr>
          <w:lang w:val="fr-CA"/>
        </w:rPr>
        <w:t>,</w:t>
      </w:r>
      <w:r w:rsidR="00387175" w:rsidRPr="00ED22D1">
        <w:rPr>
          <w:lang w:val="fr-CA"/>
        </w:rPr>
        <w:t xml:space="preserve"> </w:t>
      </w:r>
      <w:r w:rsidR="006F76DF">
        <w:rPr>
          <w:lang w:val="fr-CA"/>
        </w:rPr>
        <w:t xml:space="preserve">dont </w:t>
      </w:r>
      <w:r w:rsidR="009826CA" w:rsidRPr="00ED22D1">
        <w:rPr>
          <w:lang w:val="fr-CA"/>
        </w:rPr>
        <w:t xml:space="preserve">la plupart </w:t>
      </w:r>
      <w:r w:rsidR="006F76DF">
        <w:rPr>
          <w:lang w:val="fr-CA"/>
        </w:rPr>
        <w:t xml:space="preserve">sont </w:t>
      </w:r>
      <w:r w:rsidR="009826CA" w:rsidRPr="00ED22D1">
        <w:rPr>
          <w:lang w:val="fr-CA"/>
        </w:rPr>
        <w:t>des petites et moyennes entreprises (PME)</w:t>
      </w:r>
      <w:r w:rsidRPr="00ED22D1">
        <w:rPr>
          <w:lang w:val="fr-CA"/>
        </w:rPr>
        <w:t xml:space="preserve">, </w:t>
      </w:r>
      <w:r w:rsidR="006F76DF">
        <w:rPr>
          <w:lang w:val="fr-CA"/>
        </w:rPr>
        <w:t>et </w:t>
      </w:r>
      <w:r w:rsidRPr="00ED22D1">
        <w:rPr>
          <w:lang w:val="fr-CA"/>
        </w:rPr>
        <w:t xml:space="preserve">dont la consommation annuelle est de </w:t>
      </w:r>
      <w:r w:rsidR="009826CA" w:rsidRPr="00ED22D1">
        <w:rPr>
          <w:lang w:val="fr-CA"/>
        </w:rPr>
        <w:t xml:space="preserve">plus de cinq tonnes métriques de </w:t>
      </w:r>
      <w:r w:rsidR="008D5B5F" w:rsidRPr="00ED22D1">
        <w:rPr>
          <w:lang w:val="fr-CA"/>
        </w:rPr>
        <w:t>HCFC</w:t>
      </w:r>
      <w:r w:rsidR="00387175" w:rsidRPr="00ED22D1">
        <w:rPr>
          <w:lang w:val="fr-CA"/>
        </w:rPr>
        <w:t xml:space="preserve">-141b) </w:t>
      </w:r>
      <w:r w:rsidR="009826CA" w:rsidRPr="00ED22D1">
        <w:rPr>
          <w:lang w:val="fr-CA"/>
        </w:rPr>
        <w:t xml:space="preserve">avaient </w:t>
      </w:r>
      <w:r w:rsidR="00FB1DC4" w:rsidRPr="00ED22D1">
        <w:rPr>
          <w:lang w:val="fr-CA"/>
        </w:rPr>
        <w:t>présenté</w:t>
      </w:r>
      <w:r w:rsidR="00387175" w:rsidRPr="00ED22D1">
        <w:rPr>
          <w:lang w:val="fr-CA"/>
        </w:rPr>
        <w:t xml:space="preserve"> </w:t>
      </w:r>
      <w:r w:rsidRPr="00ED22D1">
        <w:rPr>
          <w:lang w:val="fr-CA"/>
        </w:rPr>
        <w:t xml:space="preserve">des propositions pour la </w:t>
      </w:r>
      <w:r w:rsidR="00FB1DC4" w:rsidRPr="00ED22D1">
        <w:rPr>
          <w:lang w:val="fr-CA"/>
        </w:rPr>
        <w:t>reconversion</w:t>
      </w:r>
      <w:r w:rsidR="00387175" w:rsidRPr="00ED22D1">
        <w:rPr>
          <w:lang w:val="fr-CA"/>
        </w:rPr>
        <w:t xml:space="preserve"> </w:t>
      </w:r>
      <w:r w:rsidRPr="00ED22D1">
        <w:rPr>
          <w:lang w:val="fr-CA"/>
        </w:rPr>
        <w:t>qui entraînerai</w:t>
      </w:r>
      <w:r w:rsidR="006F76DF">
        <w:rPr>
          <w:lang w:val="fr-CA"/>
        </w:rPr>
        <w:t>en</w:t>
      </w:r>
      <w:r w:rsidRPr="00ED22D1">
        <w:rPr>
          <w:lang w:val="fr-CA"/>
        </w:rPr>
        <w:t xml:space="preserve">t une élimination supplémentaire de </w:t>
      </w:r>
      <w:r w:rsidR="00387175" w:rsidRPr="00ED22D1">
        <w:rPr>
          <w:lang w:val="fr-CA"/>
        </w:rPr>
        <w:t>43</w:t>
      </w:r>
      <w:r w:rsidR="004A6828" w:rsidRPr="00ED22D1">
        <w:rPr>
          <w:lang w:val="fr-CA"/>
        </w:rPr>
        <w:t>6,</w:t>
      </w:r>
      <w:r w:rsidR="00387175" w:rsidRPr="00ED22D1">
        <w:rPr>
          <w:lang w:val="fr-CA"/>
        </w:rPr>
        <w:t>00</w:t>
      </w:r>
      <w:r w:rsidR="004B666A" w:rsidRPr="00ED22D1">
        <w:rPr>
          <w:lang w:val="fr-CA"/>
        </w:rPr>
        <w:t xml:space="preserve"> tm </w:t>
      </w:r>
      <w:r w:rsidR="00387175" w:rsidRPr="00ED22D1">
        <w:rPr>
          <w:lang w:val="fr-CA"/>
        </w:rPr>
        <w:t>(4</w:t>
      </w:r>
      <w:r w:rsidR="004A6828" w:rsidRPr="00ED22D1">
        <w:rPr>
          <w:lang w:val="fr-CA"/>
        </w:rPr>
        <w:t>7,</w:t>
      </w:r>
      <w:r w:rsidR="00387175" w:rsidRPr="00ED22D1">
        <w:rPr>
          <w:lang w:val="fr-CA"/>
        </w:rPr>
        <w:t>96</w:t>
      </w:r>
      <w:r w:rsidR="0052712E" w:rsidRPr="00ED22D1">
        <w:rPr>
          <w:lang w:val="fr-CA"/>
        </w:rPr>
        <w:t xml:space="preserve"> tonnes PAO)</w:t>
      </w:r>
      <w:r w:rsidR="00387175" w:rsidRPr="00ED22D1">
        <w:rPr>
          <w:lang w:val="fr-CA"/>
        </w:rPr>
        <w:t xml:space="preserve"> </w:t>
      </w:r>
      <w:r w:rsidR="008D5B5F" w:rsidRPr="00ED22D1">
        <w:rPr>
          <w:lang w:val="fr-CA"/>
        </w:rPr>
        <w:t>de</w:t>
      </w:r>
      <w:r w:rsidRPr="00ED22D1">
        <w:rPr>
          <w:lang w:val="fr-CA"/>
        </w:rPr>
        <w:t> </w:t>
      </w:r>
      <w:r w:rsidR="008D5B5F" w:rsidRPr="00ED22D1">
        <w:rPr>
          <w:lang w:val="fr-CA"/>
        </w:rPr>
        <w:t>HCFC</w:t>
      </w:r>
      <w:r w:rsidRPr="00ED22D1">
        <w:rPr>
          <w:lang w:val="fr-CA"/>
        </w:rPr>
        <w:noBreakHyphen/>
      </w:r>
      <w:r w:rsidR="00387175" w:rsidRPr="00ED22D1">
        <w:rPr>
          <w:lang w:val="fr-CA"/>
        </w:rPr>
        <w:t xml:space="preserve">141b. </w:t>
      </w:r>
      <w:r w:rsidRPr="00ED22D1">
        <w:rPr>
          <w:lang w:val="fr-CA"/>
        </w:rPr>
        <w:t>Les vérifications de base de 2</w:t>
      </w:r>
      <w:r w:rsidR="00387175" w:rsidRPr="00ED22D1">
        <w:rPr>
          <w:lang w:val="fr-CA"/>
        </w:rPr>
        <w:t xml:space="preserve">6 </w:t>
      </w:r>
      <w:r w:rsidRPr="00ED22D1">
        <w:rPr>
          <w:lang w:val="fr-CA"/>
        </w:rPr>
        <w:t xml:space="preserve">de ces </w:t>
      </w:r>
      <w:r w:rsidR="00387175" w:rsidRPr="00ED22D1">
        <w:rPr>
          <w:lang w:val="fr-CA"/>
        </w:rPr>
        <w:t xml:space="preserve">27 </w:t>
      </w:r>
      <w:r w:rsidR="00921BDE" w:rsidRPr="00ED22D1">
        <w:rPr>
          <w:lang w:val="fr-CA"/>
        </w:rPr>
        <w:t>entreprise</w:t>
      </w:r>
      <w:r w:rsidR="00387175" w:rsidRPr="00ED22D1">
        <w:rPr>
          <w:lang w:val="fr-CA"/>
        </w:rPr>
        <w:t xml:space="preserve">s </w:t>
      </w:r>
      <w:r w:rsidRPr="00ED22D1">
        <w:rPr>
          <w:lang w:val="fr-CA"/>
        </w:rPr>
        <w:t xml:space="preserve">ont été achevées, ce qui a donné comme résultat une consommation de base </w:t>
      </w:r>
      <w:r w:rsidR="006F76DF">
        <w:rPr>
          <w:lang w:val="fr-CA"/>
        </w:rPr>
        <w:t xml:space="preserve">de HCFC </w:t>
      </w:r>
      <w:r w:rsidRPr="00ED22D1">
        <w:rPr>
          <w:lang w:val="fr-CA"/>
        </w:rPr>
        <w:t xml:space="preserve">vérifiée de </w:t>
      </w:r>
      <w:r w:rsidR="00387175" w:rsidRPr="00ED22D1">
        <w:rPr>
          <w:lang w:val="fr-CA"/>
        </w:rPr>
        <w:t>37</w:t>
      </w:r>
      <w:r w:rsidR="004A6828" w:rsidRPr="00ED22D1">
        <w:rPr>
          <w:lang w:val="fr-CA"/>
        </w:rPr>
        <w:t>2,</w:t>
      </w:r>
      <w:r w:rsidR="00387175" w:rsidRPr="00ED22D1">
        <w:rPr>
          <w:lang w:val="fr-CA"/>
        </w:rPr>
        <w:t>19</w:t>
      </w:r>
      <w:r w:rsidR="004B666A" w:rsidRPr="00ED22D1">
        <w:rPr>
          <w:lang w:val="fr-CA"/>
        </w:rPr>
        <w:t xml:space="preserve"> tm </w:t>
      </w:r>
      <w:r w:rsidR="00387175" w:rsidRPr="00ED22D1">
        <w:rPr>
          <w:lang w:val="fr-CA"/>
        </w:rPr>
        <w:t>(4</w:t>
      </w:r>
      <w:r w:rsidR="004A6828" w:rsidRPr="00ED22D1">
        <w:rPr>
          <w:lang w:val="fr-CA"/>
        </w:rPr>
        <w:t>0,</w:t>
      </w:r>
      <w:r w:rsidR="00387175" w:rsidRPr="00ED22D1">
        <w:rPr>
          <w:lang w:val="fr-CA"/>
        </w:rPr>
        <w:t>92</w:t>
      </w:r>
      <w:r w:rsidR="0052712E" w:rsidRPr="00ED22D1">
        <w:rPr>
          <w:lang w:val="fr-CA"/>
        </w:rPr>
        <w:t xml:space="preserve"> tonnes PAO)</w:t>
      </w:r>
      <w:r w:rsidR="00387175" w:rsidRPr="00ED22D1">
        <w:rPr>
          <w:lang w:val="fr-CA"/>
        </w:rPr>
        <w:t xml:space="preserve">. </w:t>
      </w:r>
      <w:r w:rsidRPr="00ED22D1">
        <w:rPr>
          <w:lang w:val="fr-CA"/>
        </w:rPr>
        <w:t xml:space="preserve">On a demandé à </w:t>
      </w:r>
      <w:r w:rsidR="006F76DF">
        <w:rPr>
          <w:lang w:val="fr-CA"/>
        </w:rPr>
        <w:t>l’</w:t>
      </w:r>
      <w:r w:rsidRPr="00ED22D1">
        <w:rPr>
          <w:lang w:val="fr-CA"/>
        </w:rPr>
        <w:t xml:space="preserve">une </w:t>
      </w:r>
      <w:r w:rsidR="006F76DF">
        <w:rPr>
          <w:lang w:val="fr-CA"/>
        </w:rPr>
        <w:t xml:space="preserve">de </w:t>
      </w:r>
      <w:r w:rsidRPr="00ED22D1">
        <w:rPr>
          <w:lang w:val="fr-CA"/>
        </w:rPr>
        <w:t xml:space="preserve">ces </w:t>
      </w:r>
      <w:r w:rsidR="00387175" w:rsidRPr="00ED22D1">
        <w:rPr>
          <w:lang w:val="fr-CA"/>
        </w:rPr>
        <w:t xml:space="preserve">26 </w:t>
      </w:r>
      <w:r w:rsidRPr="00ED22D1">
        <w:rPr>
          <w:lang w:val="fr-CA"/>
        </w:rPr>
        <w:t xml:space="preserve">de présenter d’autres documents afin de confirmer sa demande. </w:t>
      </w:r>
      <w:r w:rsidR="006F76DF">
        <w:rPr>
          <w:lang w:val="fr-CA"/>
        </w:rPr>
        <w:t xml:space="preserve">On a aussi demandé à autre de </w:t>
      </w:r>
      <w:r w:rsidRPr="00ED22D1">
        <w:rPr>
          <w:lang w:val="fr-CA"/>
        </w:rPr>
        <w:t>présenter une nouvelle demande en raison du manque de documentation à l’appui</w:t>
      </w:r>
      <w:r w:rsidR="00387175" w:rsidRPr="00ED22D1">
        <w:rPr>
          <w:lang w:val="fr-CA"/>
        </w:rPr>
        <w:t xml:space="preserve">. </w:t>
      </w:r>
      <w:r w:rsidR="004A6828" w:rsidRPr="00ED22D1">
        <w:rPr>
          <w:lang w:val="fr-CA"/>
        </w:rPr>
        <w:t>Entre</w:t>
      </w:r>
      <w:r w:rsidR="00921BDE" w:rsidRPr="00ED22D1">
        <w:rPr>
          <w:lang w:val="fr-CA"/>
        </w:rPr>
        <w:t xml:space="preserve"> septembre</w:t>
      </w:r>
      <w:r w:rsidR="004A6828" w:rsidRPr="00ED22D1">
        <w:rPr>
          <w:lang w:val="fr-CA"/>
        </w:rPr>
        <w:t xml:space="preserve"> et</w:t>
      </w:r>
      <w:r w:rsidR="001B31BF" w:rsidRPr="00ED22D1">
        <w:rPr>
          <w:lang w:val="fr-CA"/>
        </w:rPr>
        <w:t xml:space="preserve"> décembre</w:t>
      </w:r>
      <w:r w:rsidR="00387175" w:rsidRPr="00ED22D1">
        <w:rPr>
          <w:lang w:val="fr-CA"/>
        </w:rPr>
        <w:t xml:space="preserve"> 201</w:t>
      </w:r>
      <w:r w:rsidR="004A6828" w:rsidRPr="00ED22D1">
        <w:rPr>
          <w:lang w:val="fr-CA"/>
        </w:rPr>
        <w:t>8</w:t>
      </w:r>
      <w:r w:rsidRPr="00ED22D1">
        <w:rPr>
          <w:lang w:val="fr-CA"/>
        </w:rPr>
        <w:t>,</w:t>
      </w:r>
      <w:r w:rsidR="004A6828" w:rsidRPr="00ED22D1">
        <w:rPr>
          <w:lang w:val="fr-CA"/>
        </w:rPr>
        <w:t> </w:t>
      </w:r>
      <w:r w:rsidR="00F320D6" w:rsidRPr="00ED22D1">
        <w:rPr>
          <w:lang w:val="fr-CA"/>
        </w:rPr>
        <w:t>l’IECO</w:t>
      </w:r>
      <w:r w:rsidR="00387175" w:rsidRPr="00ED22D1">
        <w:rPr>
          <w:lang w:val="fr-CA"/>
        </w:rPr>
        <w:t xml:space="preserve"> </w:t>
      </w:r>
      <w:r w:rsidRPr="00ED22D1">
        <w:rPr>
          <w:lang w:val="fr-CA"/>
        </w:rPr>
        <w:t>a organisé à cinq entreprises des</w:t>
      </w:r>
      <w:r w:rsidR="006F76DF">
        <w:rPr>
          <w:lang w:val="fr-CA"/>
        </w:rPr>
        <w:t> </w:t>
      </w:r>
      <w:r w:rsidRPr="00ED22D1">
        <w:rPr>
          <w:lang w:val="fr-CA"/>
        </w:rPr>
        <w:t xml:space="preserve">visites par des spécialistes techniques afin de déterminer l’avancement des projets </w:t>
      </w:r>
      <w:r w:rsidR="004A6828" w:rsidRPr="00ED22D1">
        <w:rPr>
          <w:lang w:val="fr-CA"/>
        </w:rPr>
        <w:t xml:space="preserve">et </w:t>
      </w:r>
      <w:r w:rsidRPr="00ED22D1">
        <w:rPr>
          <w:lang w:val="fr-CA"/>
        </w:rPr>
        <w:t>de discuter des</w:t>
      </w:r>
      <w:r w:rsidR="006F76DF">
        <w:rPr>
          <w:lang w:val="fr-CA"/>
        </w:rPr>
        <w:t> </w:t>
      </w:r>
      <w:r w:rsidRPr="00ED22D1">
        <w:rPr>
          <w:lang w:val="fr-CA"/>
        </w:rPr>
        <w:t xml:space="preserve">problèmes </w:t>
      </w:r>
      <w:r w:rsidR="00343CE4" w:rsidRPr="00ED22D1">
        <w:rPr>
          <w:lang w:val="fr-CA"/>
        </w:rPr>
        <w:t xml:space="preserve">associés à la mise en oeuvre de leur </w:t>
      </w:r>
      <w:r w:rsidR="001B45EC" w:rsidRPr="00ED22D1">
        <w:rPr>
          <w:lang w:val="fr-CA"/>
        </w:rPr>
        <w:t>projet</w:t>
      </w:r>
      <w:r w:rsidR="00387175" w:rsidRPr="00ED22D1">
        <w:rPr>
          <w:lang w:val="fr-CA"/>
        </w:rPr>
        <w:t xml:space="preserve">. </w:t>
      </w:r>
      <w:r w:rsidR="00343CE4" w:rsidRPr="00ED22D1">
        <w:rPr>
          <w:lang w:val="fr-CA"/>
        </w:rPr>
        <w:t xml:space="preserve">Un survol de l’avancement dans la </w:t>
      </w:r>
      <w:r w:rsidR="00921BDE" w:rsidRPr="00ED22D1">
        <w:rPr>
          <w:lang w:val="fr-CA"/>
        </w:rPr>
        <w:t>mise en</w:t>
      </w:r>
      <w:r w:rsidR="006F76DF">
        <w:rPr>
          <w:lang w:val="fr-CA"/>
        </w:rPr>
        <w:t> </w:t>
      </w:r>
      <w:r w:rsidR="00921BDE" w:rsidRPr="00ED22D1">
        <w:rPr>
          <w:lang w:val="fr-CA"/>
        </w:rPr>
        <w:t xml:space="preserve">oeuvre </w:t>
      </w:r>
      <w:r w:rsidR="00502C24" w:rsidRPr="00ED22D1">
        <w:rPr>
          <w:lang w:val="fr-CA"/>
        </w:rPr>
        <w:t xml:space="preserve">du plan </w:t>
      </w:r>
      <w:r w:rsidR="004A6828" w:rsidRPr="00ED22D1">
        <w:rPr>
          <w:lang w:val="fr-CA"/>
        </w:rPr>
        <w:t>du secteur des solvants</w:t>
      </w:r>
      <w:r w:rsidR="00903152" w:rsidRPr="00ED22D1">
        <w:rPr>
          <w:lang w:val="fr-CA"/>
        </w:rPr>
        <w:t xml:space="preserve"> est présenté</w:t>
      </w:r>
      <w:r w:rsidR="00387175" w:rsidRPr="00ED22D1">
        <w:rPr>
          <w:lang w:val="fr-CA"/>
        </w:rPr>
        <w:t xml:space="preserve"> </w:t>
      </w:r>
      <w:r w:rsidR="00343CE4" w:rsidRPr="00ED22D1">
        <w:rPr>
          <w:lang w:val="fr-CA"/>
        </w:rPr>
        <w:t>au</w:t>
      </w:r>
      <w:r w:rsidR="00CE7FEC" w:rsidRPr="00ED22D1">
        <w:rPr>
          <w:lang w:val="fr-CA"/>
        </w:rPr>
        <w:t xml:space="preserve"> tableau </w:t>
      </w:r>
      <w:r w:rsidR="004A6828" w:rsidRPr="00ED22D1">
        <w:rPr>
          <w:lang w:val="fr-CA"/>
        </w:rPr>
        <w:t>1</w:t>
      </w:r>
      <w:r w:rsidR="00D05BD1" w:rsidRPr="00ED22D1">
        <w:rPr>
          <w:lang w:val="fr-CA"/>
        </w:rPr>
        <w:t>.</w:t>
      </w:r>
      <w:r w:rsidR="00387175" w:rsidRPr="00ED22D1">
        <w:rPr>
          <w:lang w:val="fr-CA"/>
        </w:rPr>
        <w:t xml:space="preserve"> </w:t>
      </w:r>
    </w:p>
    <w:p w:rsidR="00343CE4" w:rsidRPr="00ED22D1" w:rsidRDefault="00343CE4" w:rsidP="00343CE4">
      <w:pPr>
        <w:rPr>
          <w:lang w:val="fr-CA"/>
        </w:rPr>
      </w:pPr>
    </w:p>
    <w:p w:rsidR="00343CE4" w:rsidRPr="00ED22D1" w:rsidRDefault="00343CE4" w:rsidP="00343CE4">
      <w:pPr>
        <w:rPr>
          <w:lang w:val="fr-CA"/>
        </w:rPr>
      </w:pPr>
    </w:p>
    <w:p w:rsidR="00387175" w:rsidRPr="00ED22D1" w:rsidRDefault="00CE7FEC" w:rsidP="00387175">
      <w:pPr>
        <w:keepNext/>
        <w:rPr>
          <w:b/>
          <w:lang w:val="fr-CA"/>
        </w:rPr>
      </w:pPr>
      <w:r w:rsidRPr="00ED22D1">
        <w:rPr>
          <w:b/>
          <w:lang w:val="fr-CA"/>
        </w:rPr>
        <w:lastRenderedPageBreak/>
        <w:t xml:space="preserve">Tableau </w:t>
      </w:r>
      <w:r w:rsidR="004A6828" w:rsidRPr="00ED22D1">
        <w:rPr>
          <w:b/>
          <w:lang w:val="fr-CA"/>
        </w:rPr>
        <w:t>1</w:t>
      </w:r>
      <w:r w:rsidR="00D05BD1" w:rsidRPr="00ED22D1">
        <w:rPr>
          <w:b/>
          <w:lang w:val="fr-CA"/>
        </w:rPr>
        <w:t>.</w:t>
      </w:r>
      <w:r w:rsidR="00387175" w:rsidRPr="00ED22D1">
        <w:rPr>
          <w:b/>
          <w:lang w:val="fr-CA"/>
        </w:rPr>
        <w:t xml:space="preserve"> </w:t>
      </w:r>
      <w:r w:rsidR="00572798" w:rsidRPr="00ED22D1">
        <w:rPr>
          <w:b/>
          <w:lang w:val="fr-CA"/>
        </w:rPr>
        <w:t xml:space="preserve">Avancement dans la </w:t>
      </w:r>
      <w:r w:rsidR="00921BDE" w:rsidRPr="00ED22D1">
        <w:rPr>
          <w:b/>
          <w:lang w:val="fr-CA"/>
        </w:rPr>
        <w:t xml:space="preserve">mise en oeuvre </w:t>
      </w:r>
      <w:r w:rsidR="00502C24" w:rsidRPr="00ED22D1">
        <w:rPr>
          <w:b/>
          <w:lang w:val="fr-CA"/>
        </w:rPr>
        <w:t xml:space="preserve">du plan </w:t>
      </w:r>
      <w:r w:rsidR="004A6828" w:rsidRPr="00ED22D1">
        <w:rPr>
          <w:b/>
          <w:lang w:val="fr-CA"/>
        </w:rPr>
        <w:t>du secteur des solvants</w:t>
      </w:r>
      <w:r w:rsidR="00387175" w:rsidRPr="00ED22D1">
        <w:rPr>
          <w:b/>
          <w:lang w:val="fr-CA"/>
        </w:rPr>
        <w:t xml:space="preserve"> </w:t>
      </w:r>
      <w:r w:rsidR="00181884" w:rsidRPr="00ED22D1">
        <w:rPr>
          <w:b/>
          <w:lang w:val="fr-CA"/>
        </w:rPr>
        <w:t>en Chine</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339"/>
        <w:gridCol w:w="1009"/>
        <w:gridCol w:w="1449"/>
        <w:gridCol w:w="1462"/>
        <w:gridCol w:w="1426"/>
      </w:tblGrid>
      <w:tr w:rsidR="00343CE4" w:rsidRPr="00C80221" w:rsidTr="00E842CA">
        <w:trPr>
          <w:trHeight w:val="403"/>
        </w:trPr>
        <w:tc>
          <w:tcPr>
            <w:tcW w:w="1470" w:type="pct"/>
            <w:shd w:val="clear" w:color="auto" w:fill="auto"/>
            <w:vAlign w:val="center"/>
            <w:hideMark/>
          </w:tcPr>
          <w:p w:rsidR="00387175" w:rsidRPr="00ED22D1" w:rsidRDefault="00B70069" w:rsidP="00387175">
            <w:pPr>
              <w:keepNext/>
              <w:jc w:val="center"/>
              <w:rPr>
                <w:b/>
                <w:bCs/>
                <w:color w:val="000000"/>
                <w:sz w:val="20"/>
                <w:szCs w:val="20"/>
                <w:lang w:val="fr-CA"/>
              </w:rPr>
            </w:pPr>
            <w:r w:rsidRPr="00ED22D1">
              <w:rPr>
                <w:b/>
                <w:bCs/>
                <w:color w:val="000000"/>
                <w:sz w:val="20"/>
                <w:szCs w:val="20"/>
                <w:lang w:val="fr-CA"/>
              </w:rPr>
              <w:t>État</w:t>
            </w:r>
          </w:p>
        </w:tc>
        <w:tc>
          <w:tcPr>
            <w:tcW w:w="707" w:type="pct"/>
            <w:vMerge w:val="restart"/>
            <w:shd w:val="clear" w:color="auto" w:fill="auto"/>
            <w:vAlign w:val="center"/>
            <w:hideMark/>
          </w:tcPr>
          <w:p w:rsidR="00387175" w:rsidRPr="00ED22D1" w:rsidRDefault="00387175" w:rsidP="00343CE4">
            <w:pPr>
              <w:keepNext/>
              <w:jc w:val="center"/>
              <w:rPr>
                <w:b/>
                <w:bCs/>
                <w:color w:val="000000"/>
                <w:sz w:val="20"/>
                <w:szCs w:val="20"/>
                <w:lang w:val="fr-CA"/>
              </w:rPr>
            </w:pPr>
            <w:r w:rsidRPr="00ED22D1">
              <w:rPr>
                <w:b/>
                <w:bCs/>
                <w:color w:val="000000"/>
                <w:sz w:val="20"/>
                <w:szCs w:val="20"/>
                <w:lang w:val="fr-CA"/>
              </w:rPr>
              <w:t>N</w:t>
            </w:r>
            <w:r w:rsidR="00343CE4" w:rsidRPr="00ED22D1">
              <w:rPr>
                <w:b/>
                <w:bCs/>
                <w:color w:val="000000"/>
                <w:sz w:val="20"/>
                <w:szCs w:val="20"/>
                <w:lang w:val="fr-CA"/>
              </w:rPr>
              <w:t>o</w:t>
            </w:r>
            <w:r w:rsidRPr="00ED22D1">
              <w:rPr>
                <w:b/>
                <w:bCs/>
                <w:color w:val="000000"/>
                <w:sz w:val="20"/>
                <w:szCs w:val="20"/>
                <w:lang w:val="fr-CA"/>
              </w:rPr>
              <w:t>mb</w:t>
            </w:r>
            <w:r w:rsidR="00343CE4" w:rsidRPr="00ED22D1">
              <w:rPr>
                <w:b/>
                <w:bCs/>
                <w:color w:val="000000"/>
                <w:sz w:val="20"/>
                <w:szCs w:val="20"/>
                <w:lang w:val="fr-CA"/>
              </w:rPr>
              <w:t>r</w:t>
            </w:r>
            <w:r w:rsidRPr="00ED22D1">
              <w:rPr>
                <w:b/>
                <w:bCs/>
                <w:color w:val="000000"/>
                <w:sz w:val="20"/>
                <w:szCs w:val="20"/>
                <w:lang w:val="fr-CA"/>
              </w:rPr>
              <w:t xml:space="preserve">e </w:t>
            </w:r>
            <w:r w:rsidR="00343CE4" w:rsidRPr="00ED22D1">
              <w:rPr>
                <w:b/>
                <w:bCs/>
                <w:color w:val="000000"/>
                <w:sz w:val="20"/>
                <w:szCs w:val="20"/>
                <w:lang w:val="fr-CA"/>
              </w:rPr>
              <w:t>d’</w:t>
            </w:r>
            <w:r w:rsidR="00921BDE" w:rsidRPr="00ED22D1">
              <w:rPr>
                <w:b/>
                <w:bCs/>
                <w:color w:val="000000"/>
                <w:sz w:val="20"/>
                <w:szCs w:val="20"/>
                <w:lang w:val="fr-CA"/>
              </w:rPr>
              <w:t>entreprise</w:t>
            </w:r>
            <w:r w:rsidRPr="00ED22D1">
              <w:rPr>
                <w:b/>
                <w:bCs/>
                <w:color w:val="000000"/>
                <w:sz w:val="20"/>
                <w:szCs w:val="20"/>
                <w:lang w:val="fr-CA"/>
              </w:rPr>
              <w:t>s</w:t>
            </w:r>
          </w:p>
        </w:tc>
        <w:tc>
          <w:tcPr>
            <w:tcW w:w="533" w:type="pct"/>
            <w:vMerge w:val="restart"/>
            <w:vAlign w:val="center"/>
          </w:tcPr>
          <w:p w:rsidR="00387175" w:rsidRPr="00ED22D1" w:rsidRDefault="00387175" w:rsidP="00343CE4">
            <w:pPr>
              <w:keepNext/>
              <w:jc w:val="center"/>
              <w:rPr>
                <w:b/>
                <w:bCs/>
                <w:color w:val="000000"/>
                <w:sz w:val="20"/>
                <w:szCs w:val="20"/>
                <w:lang w:val="fr-CA"/>
              </w:rPr>
            </w:pPr>
            <w:r w:rsidRPr="00ED22D1">
              <w:rPr>
                <w:b/>
                <w:bCs/>
                <w:color w:val="000000"/>
                <w:sz w:val="20"/>
                <w:szCs w:val="20"/>
                <w:lang w:val="fr-CA"/>
              </w:rPr>
              <w:t>N</w:t>
            </w:r>
            <w:r w:rsidR="00343CE4" w:rsidRPr="00ED22D1">
              <w:rPr>
                <w:b/>
                <w:bCs/>
                <w:color w:val="000000"/>
                <w:sz w:val="20"/>
                <w:szCs w:val="20"/>
                <w:lang w:val="fr-CA"/>
              </w:rPr>
              <w:t>ombre de circuits</w:t>
            </w:r>
          </w:p>
        </w:tc>
        <w:tc>
          <w:tcPr>
            <w:tcW w:w="1536" w:type="pct"/>
            <w:gridSpan w:val="2"/>
            <w:shd w:val="clear" w:color="auto" w:fill="auto"/>
            <w:vAlign w:val="center"/>
            <w:hideMark/>
          </w:tcPr>
          <w:p w:rsidR="00387175" w:rsidRPr="00ED22D1" w:rsidRDefault="00181884" w:rsidP="00387175">
            <w:pPr>
              <w:keepNext/>
              <w:jc w:val="center"/>
              <w:rPr>
                <w:b/>
                <w:bCs/>
                <w:color w:val="000000"/>
                <w:sz w:val="20"/>
                <w:szCs w:val="20"/>
                <w:lang w:val="fr-CA"/>
              </w:rPr>
            </w:pPr>
            <w:r w:rsidRPr="00ED22D1">
              <w:rPr>
                <w:b/>
                <w:bCs/>
                <w:color w:val="000000"/>
                <w:sz w:val="20"/>
                <w:szCs w:val="20"/>
                <w:lang w:val="fr-CA"/>
              </w:rPr>
              <w:t>Consommation de HCFC</w:t>
            </w:r>
          </w:p>
        </w:tc>
        <w:tc>
          <w:tcPr>
            <w:tcW w:w="754" w:type="pct"/>
            <w:vMerge w:val="restart"/>
            <w:shd w:val="clear" w:color="auto" w:fill="auto"/>
            <w:vAlign w:val="center"/>
            <w:hideMark/>
          </w:tcPr>
          <w:p w:rsidR="00387175" w:rsidRPr="00ED22D1" w:rsidRDefault="00343CE4" w:rsidP="00343CE4">
            <w:pPr>
              <w:keepNext/>
              <w:jc w:val="center"/>
              <w:rPr>
                <w:b/>
                <w:bCs/>
                <w:color w:val="000000"/>
                <w:sz w:val="20"/>
                <w:szCs w:val="20"/>
                <w:lang w:val="fr-CA"/>
              </w:rPr>
            </w:pPr>
            <w:r w:rsidRPr="00ED22D1">
              <w:rPr>
                <w:b/>
                <w:bCs/>
                <w:color w:val="000000"/>
                <w:sz w:val="20"/>
                <w:szCs w:val="20"/>
                <w:lang w:val="fr-CA"/>
              </w:rPr>
              <w:t xml:space="preserve">Date estimative    de la </w:t>
            </w:r>
            <w:r w:rsidR="00FB1DC4" w:rsidRPr="00ED22D1">
              <w:rPr>
                <w:b/>
                <w:bCs/>
                <w:color w:val="000000"/>
                <w:sz w:val="20"/>
                <w:szCs w:val="20"/>
                <w:lang w:val="fr-CA"/>
              </w:rPr>
              <w:t>reconversion</w:t>
            </w:r>
            <w:r w:rsidR="00387175" w:rsidRPr="00ED22D1">
              <w:rPr>
                <w:b/>
                <w:bCs/>
                <w:color w:val="000000"/>
                <w:sz w:val="20"/>
                <w:szCs w:val="20"/>
                <w:lang w:val="fr-CA"/>
              </w:rPr>
              <w:t> </w:t>
            </w:r>
          </w:p>
        </w:tc>
      </w:tr>
      <w:tr w:rsidR="00343CE4" w:rsidRPr="00ED22D1" w:rsidTr="00E842CA">
        <w:trPr>
          <w:trHeight w:val="92"/>
        </w:trPr>
        <w:tc>
          <w:tcPr>
            <w:tcW w:w="1470" w:type="pct"/>
            <w:shd w:val="clear" w:color="auto" w:fill="auto"/>
            <w:hideMark/>
          </w:tcPr>
          <w:p w:rsidR="00387175" w:rsidRPr="00ED22D1" w:rsidRDefault="00343CE4" w:rsidP="00343CE4">
            <w:pPr>
              <w:widowControl w:val="0"/>
              <w:jc w:val="left"/>
              <w:rPr>
                <w:b/>
                <w:bCs/>
                <w:color w:val="000000"/>
                <w:sz w:val="20"/>
                <w:szCs w:val="20"/>
                <w:lang w:val="fr-CA"/>
              </w:rPr>
            </w:pPr>
            <w:r w:rsidRPr="00ED22D1">
              <w:rPr>
                <w:b/>
                <w:bCs/>
                <w:color w:val="000000"/>
                <w:sz w:val="20"/>
                <w:szCs w:val="20"/>
                <w:lang w:val="fr-CA"/>
              </w:rPr>
              <w:t>Reconversions des e</w:t>
            </w:r>
            <w:r w:rsidR="00921BDE" w:rsidRPr="00ED22D1">
              <w:rPr>
                <w:b/>
                <w:bCs/>
                <w:color w:val="000000"/>
                <w:sz w:val="20"/>
                <w:szCs w:val="20"/>
                <w:lang w:val="fr-CA"/>
              </w:rPr>
              <w:t>ntreprise</w:t>
            </w:r>
            <w:r w:rsidR="00387175" w:rsidRPr="00ED22D1">
              <w:rPr>
                <w:b/>
                <w:bCs/>
                <w:color w:val="000000"/>
                <w:sz w:val="20"/>
                <w:szCs w:val="20"/>
                <w:lang w:val="fr-CA"/>
              </w:rPr>
              <w:t>s</w:t>
            </w:r>
          </w:p>
        </w:tc>
        <w:tc>
          <w:tcPr>
            <w:tcW w:w="707" w:type="pct"/>
            <w:vMerge/>
            <w:shd w:val="clear" w:color="auto" w:fill="auto"/>
            <w:hideMark/>
          </w:tcPr>
          <w:p w:rsidR="00387175" w:rsidRPr="00ED22D1" w:rsidRDefault="00387175" w:rsidP="00387175">
            <w:pPr>
              <w:widowControl w:val="0"/>
              <w:jc w:val="center"/>
              <w:rPr>
                <w:b/>
                <w:bCs/>
                <w:color w:val="000000"/>
                <w:sz w:val="20"/>
                <w:szCs w:val="20"/>
                <w:lang w:val="fr-CA"/>
              </w:rPr>
            </w:pPr>
          </w:p>
        </w:tc>
        <w:tc>
          <w:tcPr>
            <w:tcW w:w="533" w:type="pct"/>
            <w:vMerge/>
          </w:tcPr>
          <w:p w:rsidR="00387175" w:rsidRPr="00ED22D1" w:rsidRDefault="00387175" w:rsidP="00387175">
            <w:pPr>
              <w:widowControl w:val="0"/>
              <w:jc w:val="center"/>
              <w:rPr>
                <w:b/>
                <w:bCs/>
                <w:color w:val="000000"/>
                <w:sz w:val="20"/>
                <w:szCs w:val="20"/>
                <w:lang w:val="fr-CA"/>
              </w:rPr>
            </w:pPr>
          </w:p>
        </w:tc>
        <w:tc>
          <w:tcPr>
            <w:tcW w:w="765" w:type="pct"/>
            <w:shd w:val="clear" w:color="auto" w:fill="auto"/>
            <w:hideMark/>
          </w:tcPr>
          <w:p w:rsidR="00387175" w:rsidRPr="00ED22D1" w:rsidRDefault="00343CE4" w:rsidP="00343CE4">
            <w:pPr>
              <w:widowControl w:val="0"/>
              <w:jc w:val="center"/>
              <w:rPr>
                <w:b/>
                <w:bCs/>
                <w:color w:val="000000"/>
                <w:sz w:val="20"/>
                <w:szCs w:val="20"/>
                <w:lang w:val="fr-CA"/>
              </w:rPr>
            </w:pPr>
            <w:r w:rsidRPr="00ED22D1">
              <w:rPr>
                <w:b/>
                <w:bCs/>
                <w:color w:val="000000"/>
                <w:sz w:val="20"/>
                <w:szCs w:val="20"/>
                <w:lang w:val="fr-CA"/>
              </w:rPr>
              <w:t>Tonnes métriques</w:t>
            </w:r>
          </w:p>
        </w:tc>
        <w:tc>
          <w:tcPr>
            <w:tcW w:w="772" w:type="pct"/>
            <w:shd w:val="clear" w:color="auto" w:fill="auto"/>
          </w:tcPr>
          <w:p w:rsidR="00387175" w:rsidRPr="00ED22D1" w:rsidRDefault="00181884" w:rsidP="00387175">
            <w:pPr>
              <w:widowControl w:val="0"/>
              <w:jc w:val="center"/>
              <w:rPr>
                <w:b/>
                <w:bCs/>
                <w:color w:val="000000"/>
                <w:sz w:val="20"/>
                <w:szCs w:val="20"/>
                <w:lang w:val="fr-CA"/>
              </w:rPr>
            </w:pPr>
            <w:r w:rsidRPr="00ED22D1">
              <w:rPr>
                <w:b/>
                <w:bCs/>
                <w:color w:val="000000"/>
                <w:sz w:val="20"/>
                <w:szCs w:val="20"/>
                <w:lang w:val="fr-CA"/>
              </w:rPr>
              <w:t>Tonnes PAO</w:t>
            </w:r>
          </w:p>
        </w:tc>
        <w:tc>
          <w:tcPr>
            <w:tcW w:w="754" w:type="pct"/>
            <w:vMerge/>
            <w:shd w:val="clear" w:color="auto" w:fill="auto"/>
            <w:hideMark/>
          </w:tcPr>
          <w:p w:rsidR="00387175" w:rsidRPr="00ED22D1" w:rsidRDefault="00387175" w:rsidP="00387175">
            <w:pPr>
              <w:widowControl w:val="0"/>
              <w:jc w:val="center"/>
              <w:rPr>
                <w:b/>
                <w:bCs/>
                <w:color w:val="000000"/>
                <w:sz w:val="20"/>
                <w:szCs w:val="20"/>
                <w:lang w:val="fr-CA"/>
              </w:rPr>
            </w:pPr>
          </w:p>
        </w:tc>
      </w:tr>
      <w:tr w:rsidR="00343CE4" w:rsidRPr="00ED22D1" w:rsidTr="00E842CA">
        <w:trPr>
          <w:trHeight w:val="184"/>
        </w:trPr>
        <w:tc>
          <w:tcPr>
            <w:tcW w:w="1470" w:type="pct"/>
            <w:shd w:val="clear" w:color="auto" w:fill="auto"/>
            <w:hideMark/>
          </w:tcPr>
          <w:p w:rsidR="00387175" w:rsidRPr="00ED22D1" w:rsidRDefault="00921BDE" w:rsidP="00387175">
            <w:pPr>
              <w:widowControl w:val="0"/>
              <w:jc w:val="left"/>
              <w:rPr>
                <w:color w:val="000000"/>
                <w:sz w:val="20"/>
                <w:szCs w:val="20"/>
                <w:lang w:val="fr-CA"/>
              </w:rPr>
            </w:pPr>
            <w:r w:rsidRPr="00ED22D1">
              <w:rPr>
                <w:color w:val="000000"/>
                <w:sz w:val="20"/>
                <w:szCs w:val="20"/>
                <w:lang w:val="fr-CA"/>
              </w:rPr>
              <w:t>Contrats</w:t>
            </w:r>
            <w:r w:rsidR="00F320D6" w:rsidRPr="00ED22D1">
              <w:rPr>
                <w:color w:val="000000"/>
                <w:sz w:val="20"/>
                <w:szCs w:val="20"/>
                <w:lang w:val="fr-CA"/>
              </w:rPr>
              <w:t xml:space="preserve"> signé</w:t>
            </w:r>
            <w:r w:rsidR="00F26A58" w:rsidRPr="00ED22D1">
              <w:rPr>
                <w:color w:val="000000"/>
                <w:sz w:val="20"/>
                <w:szCs w:val="20"/>
                <w:lang w:val="fr-CA"/>
              </w:rPr>
              <w:t>s</w:t>
            </w:r>
            <w:r w:rsidR="00387175" w:rsidRPr="00ED22D1">
              <w:rPr>
                <w:color w:val="000000"/>
                <w:sz w:val="20"/>
                <w:szCs w:val="20"/>
                <w:lang w:val="fr-CA"/>
              </w:rPr>
              <w:t xml:space="preserve"> </w:t>
            </w:r>
          </w:p>
        </w:tc>
        <w:tc>
          <w:tcPr>
            <w:tcW w:w="707" w:type="pct"/>
            <w:shd w:val="clear" w:color="auto" w:fill="auto"/>
            <w:hideMark/>
          </w:tcPr>
          <w:p w:rsidR="00387175" w:rsidRPr="00ED22D1" w:rsidRDefault="00387175" w:rsidP="00387175">
            <w:pPr>
              <w:widowControl w:val="0"/>
              <w:jc w:val="right"/>
              <w:rPr>
                <w:color w:val="000000"/>
                <w:sz w:val="20"/>
                <w:szCs w:val="20"/>
                <w:lang w:val="fr-CA"/>
              </w:rPr>
            </w:pPr>
            <w:r w:rsidRPr="00ED22D1">
              <w:rPr>
                <w:color w:val="000000"/>
                <w:sz w:val="20"/>
                <w:szCs w:val="20"/>
                <w:lang w:val="fr-CA"/>
              </w:rPr>
              <w:t>24</w:t>
            </w:r>
          </w:p>
        </w:tc>
        <w:tc>
          <w:tcPr>
            <w:tcW w:w="533" w:type="pct"/>
          </w:tcPr>
          <w:p w:rsidR="00387175" w:rsidRPr="00ED22D1" w:rsidRDefault="00387175" w:rsidP="00387175">
            <w:pPr>
              <w:widowControl w:val="0"/>
              <w:jc w:val="right"/>
              <w:rPr>
                <w:sz w:val="20"/>
                <w:szCs w:val="20"/>
                <w:lang w:val="fr-CA"/>
              </w:rPr>
            </w:pPr>
            <w:r w:rsidRPr="00ED22D1">
              <w:rPr>
                <w:sz w:val="20"/>
                <w:szCs w:val="20"/>
                <w:lang w:val="fr-CA"/>
              </w:rPr>
              <w:t>514</w:t>
            </w:r>
          </w:p>
        </w:tc>
        <w:tc>
          <w:tcPr>
            <w:tcW w:w="765" w:type="pct"/>
            <w:shd w:val="clear" w:color="auto" w:fill="auto"/>
            <w:hideMark/>
          </w:tcPr>
          <w:p w:rsidR="00387175" w:rsidRPr="00ED22D1" w:rsidRDefault="004A6828" w:rsidP="00387175">
            <w:pPr>
              <w:widowControl w:val="0"/>
              <w:jc w:val="right"/>
              <w:rPr>
                <w:color w:val="000000"/>
                <w:sz w:val="20"/>
                <w:szCs w:val="20"/>
                <w:lang w:val="fr-CA"/>
              </w:rPr>
            </w:pPr>
            <w:r w:rsidRPr="00ED22D1">
              <w:rPr>
                <w:bCs/>
                <w:color w:val="000000"/>
                <w:sz w:val="20"/>
                <w:szCs w:val="20"/>
                <w:lang w:val="fr-CA"/>
              </w:rPr>
              <w:t>1 </w:t>
            </w:r>
            <w:r w:rsidR="00387175" w:rsidRPr="00ED22D1">
              <w:rPr>
                <w:bCs/>
                <w:color w:val="000000"/>
                <w:sz w:val="20"/>
                <w:szCs w:val="20"/>
                <w:lang w:val="fr-CA"/>
              </w:rPr>
              <w:t>17</w:t>
            </w:r>
            <w:r w:rsidRPr="00ED22D1">
              <w:rPr>
                <w:bCs/>
                <w:color w:val="000000"/>
                <w:sz w:val="20"/>
                <w:szCs w:val="20"/>
                <w:lang w:val="fr-CA"/>
              </w:rPr>
              <w:t>6,</w:t>
            </w:r>
            <w:r w:rsidR="00387175" w:rsidRPr="00ED22D1">
              <w:rPr>
                <w:bCs/>
                <w:color w:val="000000"/>
                <w:sz w:val="20"/>
                <w:szCs w:val="20"/>
                <w:lang w:val="fr-CA"/>
              </w:rPr>
              <w:t>19</w:t>
            </w:r>
          </w:p>
        </w:tc>
        <w:tc>
          <w:tcPr>
            <w:tcW w:w="772" w:type="pct"/>
            <w:shd w:val="clear" w:color="auto" w:fill="auto"/>
          </w:tcPr>
          <w:p w:rsidR="00387175" w:rsidRPr="00ED22D1" w:rsidRDefault="00387175" w:rsidP="00387175">
            <w:pPr>
              <w:widowControl w:val="0"/>
              <w:jc w:val="right"/>
              <w:rPr>
                <w:color w:val="000000"/>
                <w:sz w:val="20"/>
                <w:szCs w:val="20"/>
                <w:lang w:val="fr-CA"/>
              </w:rPr>
            </w:pPr>
            <w:r w:rsidRPr="00ED22D1">
              <w:rPr>
                <w:color w:val="000000"/>
                <w:sz w:val="20"/>
                <w:szCs w:val="20"/>
                <w:lang w:val="fr-CA"/>
              </w:rPr>
              <w:t>12</w:t>
            </w:r>
            <w:r w:rsidR="004A6828" w:rsidRPr="00ED22D1">
              <w:rPr>
                <w:color w:val="000000"/>
                <w:sz w:val="20"/>
                <w:szCs w:val="20"/>
                <w:lang w:val="fr-CA"/>
              </w:rPr>
              <w:t>9,</w:t>
            </w:r>
            <w:r w:rsidRPr="00ED22D1">
              <w:rPr>
                <w:color w:val="000000"/>
                <w:sz w:val="20"/>
                <w:szCs w:val="20"/>
                <w:lang w:val="fr-CA"/>
              </w:rPr>
              <w:t>38</w:t>
            </w:r>
          </w:p>
        </w:tc>
        <w:tc>
          <w:tcPr>
            <w:tcW w:w="754" w:type="pct"/>
            <w:shd w:val="clear" w:color="auto" w:fill="auto"/>
            <w:hideMark/>
          </w:tcPr>
          <w:p w:rsidR="00387175" w:rsidRPr="00ED22D1" w:rsidRDefault="001B31BF" w:rsidP="00F26A58">
            <w:pPr>
              <w:widowControl w:val="0"/>
              <w:jc w:val="center"/>
              <w:rPr>
                <w:color w:val="000000"/>
                <w:sz w:val="20"/>
                <w:szCs w:val="20"/>
                <w:lang w:val="fr-CA"/>
              </w:rPr>
            </w:pPr>
            <w:r w:rsidRPr="00ED22D1">
              <w:rPr>
                <w:color w:val="000000"/>
                <w:sz w:val="20"/>
                <w:szCs w:val="20"/>
                <w:lang w:val="fr-CA"/>
              </w:rPr>
              <w:t>Décembre</w:t>
            </w:r>
            <w:r w:rsidR="00387175" w:rsidRPr="00ED22D1">
              <w:rPr>
                <w:color w:val="000000"/>
                <w:sz w:val="20"/>
                <w:szCs w:val="20"/>
                <w:lang w:val="fr-CA"/>
              </w:rPr>
              <w:t xml:space="preserve"> 2019</w:t>
            </w:r>
          </w:p>
        </w:tc>
      </w:tr>
      <w:tr w:rsidR="00343CE4" w:rsidRPr="00ED22D1" w:rsidTr="00E842CA">
        <w:trPr>
          <w:trHeight w:val="42"/>
        </w:trPr>
        <w:tc>
          <w:tcPr>
            <w:tcW w:w="1470" w:type="pct"/>
            <w:shd w:val="clear" w:color="auto" w:fill="auto"/>
            <w:hideMark/>
          </w:tcPr>
          <w:p w:rsidR="00387175" w:rsidRPr="00ED22D1" w:rsidRDefault="00921BDE" w:rsidP="000768BB">
            <w:pPr>
              <w:widowControl w:val="0"/>
              <w:jc w:val="left"/>
              <w:rPr>
                <w:color w:val="000000"/>
                <w:sz w:val="20"/>
                <w:szCs w:val="20"/>
                <w:lang w:val="fr-CA"/>
              </w:rPr>
            </w:pPr>
            <w:r w:rsidRPr="00ED22D1">
              <w:rPr>
                <w:color w:val="000000"/>
                <w:sz w:val="20"/>
                <w:szCs w:val="20"/>
                <w:lang w:val="fr-CA"/>
              </w:rPr>
              <w:t>Contrats</w:t>
            </w:r>
            <w:r w:rsidR="00387175" w:rsidRPr="00ED22D1">
              <w:rPr>
                <w:color w:val="000000"/>
                <w:sz w:val="20"/>
                <w:szCs w:val="20"/>
                <w:lang w:val="fr-CA"/>
              </w:rPr>
              <w:t xml:space="preserve"> </w:t>
            </w:r>
            <w:r w:rsidR="000768BB" w:rsidRPr="00ED22D1">
              <w:rPr>
                <w:color w:val="000000"/>
                <w:sz w:val="20"/>
                <w:szCs w:val="20"/>
                <w:lang w:val="fr-CA"/>
              </w:rPr>
              <w:t>à signer</w:t>
            </w:r>
            <w:r w:rsidR="00387175" w:rsidRPr="00ED22D1">
              <w:rPr>
                <w:color w:val="000000"/>
                <w:sz w:val="20"/>
                <w:szCs w:val="20"/>
                <w:lang w:val="fr-CA"/>
              </w:rPr>
              <w:t xml:space="preserve"> </w:t>
            </w:r>
          </w:p>
        </w:tc>
        <w:tc>
          <w:tcPr>
            <w:tcW w:w="707" w:type="pct"/>
            <w:shd w:val="clear" w:color="auto" w:fill="auto"/>
            <w:hideMark/>
          </w:tcPr>
          <w:p w:rsidR="00387175" w:rsidRPr="00ED22D1" w:rsidRDefault="00387175" w:rsidP="00387175">
            <w:pPr>
              <w:widowControl w:val="0"/>
              <w:jc w:val="right"/>
              <w:rPr>
                <w:color w:val="000000"/>
                <w:sz w:val="20"/>
                <w:szCs w:val="20"/>
                <w:lang w:val="fr-CA"/>
              </w:rPr>
            </w:pPr>
            <w:r w:rsidRPr="00ED22D1">
              <w:rPr>
                <w:color w:val="000000"/>
                <w:sz w:val="20"/>
                <w:szCs w:val="20"/>
                <w:lang w:val="fr-CA"/>
              </w:rPr>
              <w:t>26</w:t>
            </w:r>
          </w:p>
        </w:tc>
        <w:tc>
          <w:tcPr>
            <w:tcW w:w="533" w:type="pct"/>
          </w:tcPr>
          <w:p w:rsidR="00387175" w:rsidRPr="00ED22D1" w:rsidRDefault="00387175" w:rsidP="00387175">
            <w:pPr>
              <w:widowControl w:val="0"/>
              <w:jc w:val="right"/>
              <w:rPr>
                <w:color w:val="000000"/>
                <w:sz w:val="20"/>
                <w:szCs w:val="20"/>
                <w:lang w:val="fr-CA"/>
              </w:rPr>
            </w:pPr>
            <w:r w:rsidRPr="00ED22D1">
              <w:rPr>
                <w:color w:val="000000"/>
                <w:sz w:val="20"/>
                <w:szCs w:val="20"/>
                <w:lang w:val="fr-CA"/>
              </w:rPr>
              <w:t>354</w:t>
            </w:r>
          </w:p>
        </w:tc>
        <w:tc>
          <w:tcPr>
            <w:tcW w:w="765" w:type="pct"/>
            <w:shd w:val="clear" w:color="auto" w:fill="auto"/>
          </w:tcPr>
          <w:p w:rsidR="00387175" w:rsidRPr="00ED22D1" w:rsidRDefault="00387175" w:rsidP="00387175">
            <w:pPr>
              <w:widowControl w:val="0"/>
              <w:jc w:val="right"/>
              <w:rPr>
                <w:color w:val="000000"/>
                <w:sz w:val="20"/>
                <w:szCs w:val="20"/>
                <w:lang w:val="fr-CA"/>
              </w:rPr>
            </w:pPr>
            <w:r w:rsidRPr="00ED22D1">
              <w:rPr>
                <w:color w:val="000000"/>
                <w:sz w:val="20"/>
                <w:szCs w:val="20"/>
                <w:lang w:val="fr-CA"/>
              </w:rPr>
              <w:t>37</w:t>
            </w:r>
            <w:r w:rsidR="004A6828" w:rsidRPr="00ED22D1">
              <w:rPr>
                <w:color w:val="000000"/>
                <w:sz w:val="20"/>
                <w:szCs w:val="20"/>
                <w:lang w:val="fr-CA"/>
              </w:rPr>
              <w:t>2,</w:t>
            </w:r>
            <w:r w:rsidRPr="00ED22D1">
              <w:rPr>
                <w:color w:val="000000"/>
                <w:sz w:val="20"/>
                <w:szCs w:val="20"/>
                <w:lang w:val="fr-CA"/>
              </w:rPr>
              <w:t>19*</w:t>
            </w:r>
          </w:p>
        </w:tc>
        <w:tc>
          <w:tcPr>
            <w:tcW w:w="772" w:type="pct"/>
            <w:shd w:val="clear" w:color="auto" w:fill="auto"/>
          </w:tcPr>
          <w:p w:rsidR="00387175" w:rsidRPr="00ED22D1" w:rsidRDefault="00387175" w:rsidP="00387175">
            <w:pPr>
              <w:widowControl w:val="0"/>
              <w:jc w:val="right"/>
              <w:rPr>
                <w:color w:val="000000"/>
                <w:sz w:val="20"/>
                <w:szCs w:val="20"/>
                <w:lang w:val="fr-CA"/>
              </w:rPr>
            </w:pPr>
            <w:r w:rsidRPr="00ED22D1">
              <w:rPr>
                <w:color w:val="000000"/>
                <w:sz w:val="20"/>
                <w:szCs w:val="20"/>
                <w:lang w:val="fr-CA"/>
              </w:rPr>
              <w:t>4</w:t>
            </w:r>
            <w:r w:rsidR="004A6828" w:rsidRPr="00ED22D1">
              <w:rPr>
                <w:color w:val="000000"/>
                <w:sz w:val="20"/>
                <w:szCs w:val="20"/>
                <w:lang w:val="fr-CA"/>
              </w:rPr>
              <w:t>0,</w:t>
            </w:r>
            <w:r w:rsidRPr="00ED22D1">
              <w:rPr>
                <w:color w:val="000000"/>
                <w:sz w:val="20"/>
                <w:szCs w:val="20"/>
                <w:lang w:val="fr-CA"/>
              </w:rPr>
              <w:t>92</w:t>
            </w:r>
          </w:p>
        </w:tc>
        <w:tc>
          <w:tcPr>
            <w:tcW w:w="754" w:type="pct"/>
            <w:shd w:val="clear" w:color="auto" w:fill="auto"/>
          </w:tcPr>
          <w:p w:rsidR="00387175" w:rsidRPr="00ED22D1" w:rsidRDefault="00387175" w:rsidP="00387175">
            <w:pPr>
              <w:widowControl w:val="0"/>
              <w:jc w:val="right"/>
              <w:rPr>
                <w:color w:val="000000"/>
                <w:sz w:val="20"/>
                <w:szCs w:val="20"/>
                <w:lang w:val="fr-CA"/>
              </w:rPr>
            </w:pPr>
            <w:r w:rsidRPr="00ED22D1">
              <w:rPr>
                <w:color w:val="000000"/>
                <w:sz w:val="20"/>
                <w:szCs w:val="20"/>
                <w:lang w:val="fr-CA"/>
              </w:rPr>
              <w:t>**</w:t>
            </w:r>
          </w:p>
        </w:tc>
      </w:tr>
      <w:tr w:rsidR="00343CE4" w:rsidRPr="00ED22D1" w:rsidTr="00E842CA">
        <w:trPr>
          <w:trHeight w:val="50"/>
        </w:trPr>
        <w:tc>
          <w:tcPr>
            <w:tcW w:w="1470" w:type="pct"/>
            <w:shd w:val="clear" w:color="auto" w:fill="auto"/>
            <w:hideMark/>
          </w:tcPr>
          <w:p w:rsidR="00387175" w:rsidRPr="00ED22D1" w:rsidRDefault="00387175" w:rsidP="00387175">
            <w:pPr>
              <w:widowControl w:val="0"/>
              <w:jc w:val="left"/>
              <w:rPr>
                <w:b/>
                <w:bCs/>
                <w:color w:val="000000"/>
                <w:sz w:val="20"/>
                <w:szCs w:val="20"/>
                <w:lang w:val="fr-CA"/>
              </w:rPr>
            </w:pPr>
            <w:r w:rsidRPr="00ED22D1">
              <w:rPr>
                <w:b/>
                <w:bCs/>
                <w:color w:val="000000"/>
                <w:sz w:val="20"/>
                <w:szCs w:val="20"/>
                <w:lang w:val="fr-CA"/>
              </w:rPr>
              <w:t xml:space="preserve">Total </w:t>
            </w:r>
          </w:p>
        </w:tc>
        <w:tc>
          <w:tcPr>
            <w:tcW w:w="707" w:type="pct"/>
            <w:shd w:val="clear" w:color="auto" w:fill="auto"/>
            <w:hideMark/>
          </w:tcPr>
          <w:p w:rsidR="00387175" w:rsidRPr="00ED22D1" w:rsidRDefault="00387175" w:rsidP="00387175">
            <w:pPr>
              <w:widowControl w:val="0"/>
              <w:jc w:val="right"/>
              <w:rPr>
                <w:b/>
                <w:bCs/>
                <w:color w:val="000000"/>
                <w:sz w:val="20"/>
                <w:szCs w:val="20"/>
                <w:lang w:val="fr-CA"/>
              </w:rPr>
            </w:pPr>
            <w:r w:rsidRPr="00ED22D1">
              <w:rPr>
                <w:b/>
                <w:bCs/>
                <w:color w:val="000000"/>
                <w:sz w:val="20"/>
                <w:szCs w:val="20"/>
                <w:lang w:val="fr-CA"/>
              </w:rPr>
              <w:t>50</w:t>
            </w:r>
          </w:p>
        </w:tc>
        <w:tc>
          <w:tcPr>
            <w:tcW w:w="533" w:type="pct"/>
          </w:tcPr>
          <w:p w:rsidR="00387175" w:rsidRPr="00ED22D1" w:rsidRDefault="00387175" w:rsidP="00387175">
            <w:pPr>
              <w:widowControl w:val="0"/>
              <w:jc w:val="right"/>
              <w:rPr>
                <w:b/>
                <w:bCs/>
                <w:color w:val="000000"/>
                <w:sz w:val="20"/>
                <w:szCs w:val="20"/>
                <w:lang w:val="fr-CA"/>
              </w:rPr>
            </w:pPr>
            <w:r w:rsidRPr="00ED22D1">
              <w:rPr>
                <w:b/>
                <w:bCs/>
                <w:color w:val="000000"/>
                <w:sz w:val="20"/>
                <w:szCs w:val="20"/>
                <w:lang w:val="fr-CA"/>
              </w:rPr>
              <w:t>868</w:t>
            </w:r>
          </w:p>
        </w:tc>
        <w:tc>
          <w:tcPr>
            <w:tcW w:w="765" w:type="pct"/>
            <w:shd w:val="clear" w:color="auto" w:fill="auto"/>
            <w:hideMark/>
          </w:tcPr>
          <w:p w:rsidR="00387175" w:rsidRPr="00ED22D1" w:rsidRDefault="004A6828" w:rsidP="00387175">
            <w:pPr>
              <w:widowControl w:val="0"/>
              <w:jc w:val="right"/>
              <w:rPr>
                <w:b/>
                <w:bCs/>
                <w:color w:val="000000"/>
                <w:sz w:val="20"/>
                <w:szCs w:val="20"/>
                <w:lang w:val="fr-CA"/>
              </w:rPr>
            </w:pPr>
            <w:r w:rsidRPr="00ED22D1">
              <w:rPr>
                <w:b/>
                <w:bCs/>
                <w:color w:val="000000"/>
                <w:sz w:val="20"/>
                <w:szCs w:val="20"/>
                <w:lang w:val="fr-CA"/>
              </w:rPr>
              <w:t>1 </w:t>
            </w:r>
            <w:r w:rsidR="00387175" w:rsidRPr="00ED22D1">
              <w:rPr>
                <w:b/>
                <w:bCs/>
                <w:color w:val="000000"/>
                <w:sz w:val="20"/>
                <w:szCs w:val="20"/>
                <w:lang w:val="fr-CA"/>
              </w:rPr>
              <w:t>54</w:t>
            </w:r>
            <w:r w:rsidRPr="00ED22D1">
              <w:rPr>
                <w:b/>
                <w:bCs/>
                <w:color w:val="000000"/>
                <w:sz w:val="20"/>
                <w:szCs w:val="20"/>
                <w:lang w:val="fr-CA"/>
              </w:rPr>
              <w:t>8,</w:t>
            </w:r>
            <w:r w:rsidR="00387175" w:rsidRPr="00ED22D1">
              <w:rPr>
                <w:b/>
                <w:bCs/>
                <w:color w:val="000000"/>
                <w:sz w:val="20"/>
                <w:szCs w:val="20"/>
                <w:lang w:val="fr-CA"/>
              </w:rPr>
              <w:t>38</w:t>
            </w:r>
          </w:p>
        </w:tc>
        <w:tc>
          <w:tcPr>
            <w:tcW w:w="772" w:type="pct"/>
            <w:shd w:val="clear" w:color="auto" w:fill="auto"/>
          </w:tcPr>
          <w:p w:rsidR="00387175" w:rsidRPr="00ED22D1" w:rsidRDefault="00387175" w:rsidP="00387175">
            <w:pPr>
              <w:widowControl w:val="0"/>
              <w:jc w:val="right"/>
              <w:rPr>
                <w:b/>
                <w:bCs/>
                <w:color w:val="000000"/>
                <w:sz w:val="20"/>
                <w:szCs w:val="20"/>
                <w:lang w:val="fr-CA"/>
              </w:rPr>
            </w:pPr>
            <w:r w:rsidRPr="00ED22D1">
              <w:rPr>
                <w:b/>
                <w:bCs/>
                <w:color w:val="000000"/>
                <w:sz w:val="20"/>
                <w:szCs w:val="20"/>
                <w:lang w:val="fr-CA"/>
              </w:rPr>
              <w:t>17</w:t>
            </w:r>
            <w:r w:rsidR="004A6828" w:rsidRPr="00ED22D1">
              <w:rPr>
                <w:b/>
                <w:bCs/>
                <w:color w:val="000000"/>
                <w:sz w:val="20"/>
                <w:szCs w:val="20"/>
                <w:lang w:val="fr-CA"/>
              </w:rPr>
              <w:t>0,</w:t>
            </w:r>
            <w:r w:rsidRPr="00ED22D1">
              <w:rPr>
                <w:b/>
                <w:bCs/>
                <w:color w:val="000000"/>
                <w:sz w:val="20"/>
                <w:szCs w:val="20"/>
                <w:lang w:val="fr-CA"/>
              </w:rPr>
              <w:t>30</w:t>
            </w:r>
          </w:p>
        </w:tc>
        <w:tc>
          <w:tcPr>
            <w:tcW w:w="754" w:type="pct"/>
            <w:shd w:val="clear" w:color="auto" w:fill="auto"/>
          </w:tcPr>
          <w:p w:rsidR="00387175" w:rsidRPr="00ED22D1" w:rsidRDefault="00F12D89" w:rsidP="00387175">
            <w:pPr>
              <w:widowControl w:val="0"/>
              <w:jc w:val="right"/>
              <w:rPr>
                <w:color w:val="000000"/>
                <w:sz w:val="20"/>
                <w:szCs w:val="20"/>
                <w:lang w:val="fr-CA"/>
              </w:rPr>
            </w:pPr>
            <w:r w:rsidRPr="00ED22D1">
              <w:rPr>
                <w:color w:val="000000"/>
                <w:sz w:val="20"/>
                <w:szCs w:val="20"/>
                <w:lang w:val="fr-CA"/>
              </w:rPr>
              <w:t>s.o.</w:t>
            </w:r>
          </w:p>
        </w:tc>
      </w:tr>
    </w:tbl>
    <w:p w:rsidR="00387175" w:rsidRPr="00ED22D1" w:rsidRDefault="00387175" w:rsidP="00387175">
      <w:pPr>
        <w:widowControl w:val="0"/>
        <w:rPr>
          <w:sz w:val="16"/>
          <w:lang w:val="fr-CA"/>
        </w:rPr>
      </w:pPr>
      <w:r w:rsidRPr="00ED22D1">
        <w:rPr>
          <w:sz w:val="16"/>
          <w:lang w:val="fr-CA"/>
        </w:rPr>
        <w:t>* B</w:t>
      </w:r>
      <w:r w:rsidR="00343CE4" w:rsidRPr="00ED22D1">
        <w:rPr>
          <w:sz w:val="16"/>
          <w:lang w:val="fr-CA"/>
        </w:rPr>
        <w:t xml:space="preserve">asé sur la vérification de </w:t>
      </w:r>
      <w:r w:rsidR="00CD72DB" w:rsidRPr="00ED22D1">
        <w:rPr>
          <w:sz w:val="16"/>
          <w:lang w:val="fr-CA"/>
        </w:rPr>
        <w:t>référence</w:t>
      </w:r>
      <w:r w:rsidRPr="00ED22D1">
        <w:rPr>
          <w:sz w:val="16"/>
          <w:lang w:val="fr-CA"/>
        </w:rPr>
        <w:t>.</w:t>
      </w:r>
    </w:p>
    <w:p w:rsidR="00387175" w:rsidRPr="00ED22D1" w:rsidRDefault="00387175" w:rsidP="00387175">
      <w:pPr>
        <w:widowControl w:val="0"/>
        <w:rPr>
          <w:sz w:val="16"/>
          <w:lang w:val="fr-CA"/>
        </w:rPr>
      </w:pPr>
      <w:r w:rsidRPr="00ED22D1">
        <w:rPr>
          <w:sz w:val="16"/>
          <w:lang w:val="fr-CA"/>
        </w:rPr>
        <w:t>** D</w:t>
      </w:r>
      <w:r w:rsidR="00343CE4" w:rsidRPr="00ED22D1">
        <w:rPr>
          <w:sz w:val="16"/>
          <w:lang w:val="fr-CA"/>
        </w:rPr>
        <w:t xml:space="preserve">épend de l’approbation de la troisième tranche par le </w:t>
      </w:r>
      <w:r w:rsidR="00DD185D" w:rsidRPr="00ED22D1">
        <w:rPr>
          <w:sz w:val="16"/>
          <w:lang w:val="fr-CA"/>
        </w:rPr>
        <w:t>Comité exécutif</w:t>
      </w:r>
      <w:r w:rsidRPr="00ED22D1">
        <w:rPr>
          <w:sz w:val="16"/>
          <w:lang w:val="fr-CA"/>
        </w:rPr>
        <w:t>.</w:t>
      </w:r>
    </w:p>
    <w:p w:rsidR="00387175" w:rsidRPr="00ED22D1" w:rsidRDefault="00387175" w:rsidP="00387175">
      <w:pPr>
        <w:widowControl w:val="0"/>
        <w:rPr>
          <w:lang w:val="fr-CA"/>
        </w:rPr>
      </w:pPr>
    </w:p>
    <w:p w:rsidR="00387175" w:rsidRPr="00C05580" w:rsidRDefault="00DE118B" w:rsidP="00387175">
      <w:pPr>
        <w:pStyle w:val="Heading1"/>
        <w:keepNext/>
        <w:numPr>
          <w:ilvl w:val="0"/>
          <w:numId w:val="0"/>
        </w:numPr>
        <w:rPr>
          <w:lang w:val="fr-CA"/>
        </w:rPr>
      </w:pPr>
      <w:r w:rsidRPr="00ED22D1">
        <w:rPr>
          <w:i/>
          <w:lang w:val="fr-CA"/>
        </w:rPr>
        <w:t>Assistance technique</w:t>
      </w:r>
    </w:p>
    <w:p w:rsidR="00387175" w:rsidRPr="00ED22D1" w:rsidRDefault="00EB650F" w:rsidP="00EB650F">
      <w:pPr>
        <w:pStyle w:val="Heading1"/>
        <w:keepNext/>
        <w:numPr>
          <w:ilvl w:val="0"/>
          <w:numId w:val="0"/>
        </w:numPr>
        <w:rPr>
          <w:lang w:val="fr-CA"/>
        </w:rPr>
      </w:pPr>
      <w:r w:rsidRPr="00ED22D1">
        <w:rPr>
          <w:lang w:val="fr-CA"/>
        </w:rPr>
        <w:t>118.</w:t>
      </w:r>
      <w:r w:rsidRPr="00ED22D1">
        <w:rPr>
          <w:lang w:val="fr-CA"/>
        </w:rPr>
        <w:tab/>
      </w:r>
      <w:r w:rsidR="00F26A58" w:rsidRPr="00ED22D1">
        <w:rPr>
          <w:lang w:val="fr-CA"/>
        </w:rPr>
        <w:t>Les activités suivantes ont été mises en oeuvre</w:t>
      </w:r>
      <w:r w:rsidR="00791BF7" w:rsidRPr="00ED22D1">
        <w:rPr>
          <w:lang w:val="fr-CA"/>
        </w:rPr>
        <w:t> :</w:t>
      </w:r>
    </w:p>
    <w:p w:rsidR="00387175" w:rsidRPr="00ED22D1" w:rsidRDefault="00EB650F" w:rsidP="0014774E">
      <w:pPr>
        <w:pStyle w:val="Heading2"/>
        <w:keepNext/>
        <w:widowControl/>
        <w:numPr>
          <w:ilvl w:val="0"/>
          <w:numId w:val="0"/>
        </w:numPr>
        <w:ind w:left="1418" w:hanging="698"/>
        <w:rPr>
          <w:lang w:val="fr-CA"/>
        </w:rPr>
      </w:pPr>
      <w:r w:rsidRPr="00ED22D1">
        <w:rPr>
          <w:lang w:val="fr-CA"/>
        </w:rPr>
        <w:t>(a)</w:t>
      </w:r>
      <w:r w:rsidRPr="00ED22D1">
        <w:rPr>
          <w:lang w:val="fr-CA"/>
        </w:rPr>
        <w:tab/>
      </w:r>
      <w:r w:rsidR="00F26A58" w:rsidRPr="00ED22D1">
        <w:rPr>
          <w:lang w:val="fr-CA"/>
        </w:rPr>
        <w:t xml:space="preserve">Deuxième réunion </w:t>
      </w:r>
      <w:r w:rsidR="00C05580">
        <w:rPr>
          <w:lang w:val="fr-CA"/>
        </w:rPr>
        <w:t xml:space="preserve">de mise en oeuvre </w:t>
      </w:r>
      <w:r w:rsidR="00F26A58" w:rsidRPr="00ED22D1">
        <w:rPr>
          <w:lang w:val="fr-CA"/>
        </w:rPr>
        <w:t>des entreprises bénéficiaires afin de discuter</w:t>
      </w:r>
      <w:r w:rsidR="00387175" w:rsidRPr="00ED22D1">
        <w:rPr>
          <w:lang w:val="fr-CA"/>
        </w:rPr>
        <w:t>,</w:t>
      </w:r>
      <w:r w:rsidR="00F26A58" w:rsidRPr="00ED22D1">
        <w:rPr>
          <w:lang w:val="fr-CA"/>
        </w:rPr>
        <w:t xml:space="preserve"> d’examiner et de raju</w:t>
      </w:r>
      <w:r w:rsidR="00B70069" w:rsidRPr="00ED22D1">
        <w:rPr>
          <w:lang w:val="fr-CA"/>
        </w:rPr>
        <w:t>s</w:t>
      </w:r>
      <w:r w:rsidR="00F26A58" w:rsidRPr="00ED22D1">
        <w:rPr>
          <w:lang w:val="fr-CA"/>
        </w:rPr>
        <w:t xml:space="preserve">ter les plans de </w:t>
      </w:r>
      <w:r w:rsidR="00921BDE" w:rsidRPr="00ED22D1">
        <w:rPr>
          <w:lang w:val="fr-CA"/>
        </w:rPr>
        <w:t xml:space="preserve">mise en oeuvre </w:t>
      </w:r>
      <w:r w:rsidR="00F26A58" w:rsidRPr="00ED22D1">
        <w:rPr>
          <w:lang w:val="fr-CA"/>
        </w:rPr>
        <w:t xml:space="preserve">en conformité avec les </w:t>
      </w:r>
      <w:r w:rsidR="00C05580">
        <w:rPr>
          <w:lang w:val="fr-CA"/>
        </w:rPr>
        <w:tab/>
      </w:r>
      <w:r w:rsidR="00F26A58" w:rsidRPr="00ED22D1">
        <w:rPr>
          <w:lang w:val="fr-CA"/>
        </w:rPr>
        <w:t>directi</w:t>
      </w:r>
      <w:r w:rsidR="00B70069" w:rsidRPr="00ED22D1">
        <w:rPr>
          <w:lang w:val="fr-CA"/>
        </w:rPr>
        <w:t>v</w:t>
      </w:r>
      <w:r w:rsidR="00F26A58" w:rsidRPr="00ED22D1">
        <w:rPr>
          <w:lang w:val="fr-CA"/>
        </w:rPr>
        <w:t xml:space="preserve">es des </w:t>
      </w:r>
      <w:r w:rsidR="00616B46" w:rsidRPr="00ED22D1">
        <w:rPr>
          <w:lang w:val="fr-CA"/>
        </w:rPr>
        <w:t>spécialistes</w:t>
      </w:r>
      <w:r w:rsidR="00F26A58" w:rsidRPr="00ED22D1">
        <w:rPr>
          <w:lang w:val="fr-CA"/>
        </w:rPr>
        <w:t xml:space="preserve"> techniques</w:t>
      </w:r>
      <w:r w:rsidR="00387175" w:rsidRPr="00ED22D1">
        <w:rPr>
          <w:lang w:val="fr-CA"/>
        </w:rPr>
        <w:t xml:space="preserve">; </w:t>
      </w:r>
      <w:r w:rsidR="00BB4D0D" w:rsidRPr="00ED22D1">
        <w:rPr>
          <w:lang w:val="fr-CA"/>
        </w:rPr>
        <w:tab/>
      </w:r>
      <w:r w:rsidR="00F26A58" w:rsidRPr="00ED22D1">
        <w:rPr>
          <w:lang w:val="fr-CA"/>
        </w:rPr>
        <w:t>On a dispensé un atelier de</w:t>
      </w:r>
      <w:r w:rsidR="00387175" w:rsidRPr="00ED22D1">
        <w:rPr>
          <w:lang w:val="fr-CA"/>
        </w:rPr>
        <w:t xml:space="preserve"> </w:t>
      </w:r>
      <w:r w:rsidR="00DE118B" w:rsidRPr="00ED22D1">
        <w:rPr>
          <w:lang w:val="fr-CA"/>
        </w:rPr>
        <w:t>formation</w:t>
      </w:r>
      <w:r w:rsidR="00387175" w:rsidRPr="00ED22D1">
        <w:rPr>
          <w:lang w:val="fr-CA"/>
        </w:rPr>
        <w:t xml:space="preserve"> </w:t>
      </w:r>
      <w:r w:rsidR="00F26A58" w:rsidRPr="00ED22D1">
        <w:rPr>
          <w:lang w:val="fr-CA"/>
        </w:rPr>
        <w:t xml:space="preserve">sur le </w:t>
      </w:r>
      <w:r w:rsidR="00C05580">
        <w:rPr>
          <w:lang w:val="fr-CA"/>
        </w:rPr>
        <w:tab/>
      </w:r>
      <w:r w:rsidR="001B45EC" w:rsidRPr="00ED22D1">
        <w:rPr>
          <w:lang w:val="fr-CA"/>
        </w:rPr>
        <w:t>projet</w:t>
      </w:r>
      <w:r w:rsidR="00387175" w:rsidRPr="00ED22D1">
        <w:rPr>
          <w:lang w:val="fr-CA"/>
        </w:rPr>
        <w:t xml:space="preserve"> </w:t>
      </w:r>
      <w:r w:rsidR="00F26A58" w:rsidRPr="00ED22D1">
        <w:rPr>
          <w:lang w:val="fr-CA"/>
        </w:rPr>
        <w:t xml:space="preserve">de </w:t>
      </w:r>
      <w:r w:rsidR="00921BDE" w:rsidRPr="00ED22D1">
        <w:rPr>
          <w:lang w:val="fr-CA"/>
        </w:rPr>
        <w:t xml:space="preserve">mise en oeuvre </w:t>
      </w:r>
      <w:r w:rsidR="00F26A58" w:rsidRPr="00ED22D1">
        <w:rPr>
          <w:lang w:val="fr-CA"/>
        </w:rPr>
        <w:t>pour les</w:t>
      </w:r>
      <w:r w:rsidR="00C05580">
        <w:rPr>
          <w:lang w:val="fr-CA"/>
        </w:rPr>
        <w:t xml:space="preserve"> </w:t>
      </w:r>
      <w:r w:rsidR="00F26A58" w:rsidRPr="00ED22D1">
        <w:rPr>
          <w:lang w:val="fr-CA"/>
        </w:rPr>
        <w:t xml:space="preserve">gestionnaires de projets, </w:t>
      </w:r>
      <w:r w:rsidR="00C05580">
        <w:rPr>
          <w:lang w:val="fr-CA"/>
        </w:rPr>
        <w:t xml:space="preserve">et </w:t>
      </w:r>
      <w:r w:rsidR="00F26A58" w:rsidRPr="00ED22D1">
        <w:rPr>
          <w:lang w:val="fr-CA"/>
        </w:rPr>
        <w:t xml:space="preserve">le </w:t>
      </w:r>
      <w:r w:rsidR="00616B46" w:rsidRPr="00ED22D1">
        <w:rPr>
          <w:lang w:val="fr-CA"/>
        </w:rPr>
        <w:t>personnel</w:t>
      </w:r>
      <w:r w:rsidR="00F26A58" w:rsidRPr="00ED22D1">
        <w:rPr>
          <w:lang w:val="fr-CA"/>
        </w:rPr>
        <w:t xml:space="preserve"> financier et </w:t>
      </w:r>
      <w:r w:rsidR="00C05580">
        <w:rPr>
          <w:lang w:val="fr-CA"/>
        </w:rPr>
        <w:tab/>
      </w:r>
      <w:r w:rsidR="00F26A58" w:rsidRPr="00ED22D1">
        <w:rPr>
          <w:lang w:val="fr-CA"/>
        </w:rPr>
        <w:t xml:space="preserve">de l’approvisionnement provenant des </w:t>
      </w:r>
      <w:r w:rsidR="00387175" w:rsidRPr="00ED22D1">
        <w:rPr>
          <w:lang w:val="fr-CA"/>
        </w:rPr>
        <w:t xml:space="preserve">24 </w:t>
      </w:r>
      <w:r w:rsidR="00921BDE" w:rsidRPr="00ED22D1">
        <w:rPr>
          <w:lang w:val="fr-CA"/>
        </w:rPr>
        <w:t>entreprise</w:t>
      </w:r>
      <w:r w:rsidR="00387175" w:rsidRPr="00ED22D1">
        <w:rPr>
          <w:lang w:val="fr-CA"/>
        </w:rPr>
        <w:t xml:space="preserve">s; </w:t>
      </w:r>
    </w:p>
    <w:p w:rsidR="00387175" w:rsidRPr="00ED22D1" w:rsidRDefault="00EB650F" w:rsidP="00EB650F">
      <w:pPr>
        <w:pStyle w:val="Heading2"/>
        <w:numPr>
          <w:ilvl w:val="0"/>
          <w:numId w:val="0"/>
        </w:numPr>
        <w:ind w:left="1418" w:hanging="698"/>
        <w:rPr>
          <w:lang w:val="fr-CA"/>
        </w:rPr>
      </w:pPr>
      <w:r w:rsidRPr="00ED22D1">
        <w:rPr>
          <w:lang w:val="fr-CA"/>
        </w:rPr>
        <w:t>(b)</w:t>
      </w:r>
      <w:r w:rsidRPr="00ED22D1">
        <w:rPr>
          <w:lang w:val="fr-CA"/>
        </w:rPr>
        <w:tab/>
      </w:r>
      <w:r w:rsidR="002F6D48" w:rsidRPr="00ED22D1">
        <w:rPr>
          <w:lang w:val="fr-CA"/>
        </w:rPr>
        <w:t>Achevé</w:t>
      </w:r>
      <w:r w:rsidR="00387175" w:rsidRPr="00ED22D1">
        <w:rPr>
          <w:lang w:val="fr-CA"/>
        </w:rPr>
        <w:t xml:space="preserve"> </w:t>
      </w:r>
      <w:r w:rsidR="00BB4D0D" w:rsidRPr="00ED22D1">
        <w:rPr>
          <w:lang w:val="fr-CA"/>
        </w:rPr>
        <w:t>les directives de reconversion technique des entreprises de dispositifs médicaux (</w:t>
      </w:r>
      <w:r w:rsidR="00387175" w:rsidRPr="00ED22D1">
        <w:rPr>
          <w:i/>
          <w:lang w:val="fr-CA"/>
        </w:rPr>
        <w:t>Technical</w:t>
      </w:r>
      <w:r w:rsidR="00FB1DC4" w:rsidRPr="00ED22D1">
        <w:rPr>
          <w:i/>
          <w:lang w:val="fr-CA"/>
        </w:rPr>
        <w:t xml:space="preserve"> </w:t>
      </w:r>
      <w:r w:rsidR="00BB4D0D" w:rsidRPr="00ED22D1">
        <w:rPr>
          <w:i/>
          <w:lang w:val="fr-CA"/>
        </w:rPr>
        <w:t>C</w:t>
      </w:r>
      <w:r w:rsidR="00FB1DC4" w:rsidRPr="00ED22D1">
        <w:rPr>
          <w:i/>
          <w:lang w:val="fr-CA"/>
        </w:rPr>
        <w:t>onversion</w:t>
      </w:r>
      <w:r w:rsidR="00387175" w:rsidRPr="00ED22D1">
        <w:rPr>
          <w:i/>
          <w:lang w:val="fr-CA"/>
        </w:rPr>
        <w:t xml:space="preserve"> Guideline for Medical Devices </w:t>
      </w:r>
      <w:r w:rsidR="00921BDE" w:rsidRPr="00ED22D1">
        <w:rPr>
          <w:i/>
          <w:lang w:val="fr-CA"/>
        </w:rPr>
        <w:t>Ent</w:t>
      </w:r>
      <w:r w:rsidR="00BB4D0D" w:rsidRPr="00ED22D1">
        <w:rPr>
          <w:i/>
          <w:lang w:val="fr-CA"/>
        </w:rPr>
        <w:t>e</w:t>
      </w:r>
      <w:r w:rsidR="00921BDE" w:rsidRPr="00ED22D1">
        <w:rPr>
          <w:i/>
          <w:lang w:val="fr-CA"/>
        </w:rPr>
        <w:t>rprise</w:t>
      </w:r>
      <w:r w:rsidR="00387175" w:rsidRPr="00ED22D1">
        <w:rPr>
          <w:i/>
          <w:lang w:val="fr-CA"/>
        </w:rPr>
        <w:t>s</w:t>
      </w:r>
      <w:r w:rsidR="00BB4D0D" w:rsidRPr="00ED22D1">
        <w:rPr>
          <w:i/>
          <w:lang w:val="fr-CA"/>
        </w:rPr>
        <w:t>)</w:t>
      </w:r>
      <w:r w:rsidR="00387175" w:rsidRPr="00ED22D1">
        <w:rPr>
          <w:lang w:val="fr-CA"/>
        </w:rPr>
        <w:t>,</w:t>
      </w:r>
      <w:r w:rsidR="004A6828" w:rsidRPr="00ED22D1">
        <w:rPr>
          <w:lang w:val="fr-CA"/>
        </w:rPr>
        <w:t xml:space="preserve"> et </w:t>
      </w:r>
      <w:r w:rsidR="00BB4D0D" w:rsidRPr="00ED22D1">
        <w:rPr>
          <w:lang w:val="fr-CA"/>
        </w:rPr>
        <w:t>les avons utilisées pour former les</w:t>
      </w:r>
      <w:r w:rsidR="00387175" w:rsidRPr="00ED22D1">
        <w:rPr>
          <w:lang w:val="fr-CA"/>
        </w:rPr>
        <w:t xml:space="preserve"> </w:t>
      </w:r>
      <w:r w:rsidR="00BB4D0D" w:rsidRPr="00ED22D1">
        <w:rPr>
          <w:lang w:val="fr-CA"/>
        </w:rPr>
        <w:t xml:space="preserve">entreprises </w:t>
      </w:r>
      <w:r w:rsidR="00393F6B" w:rsidRPr="00ED22D1">
        <w:rPr>
          <w:lang w:val="fr-CA"/>
        </w:rPr>
        <w:t>bénéficiaires</w:t>
      </w:r>
      <w:r w:rsidR="00387175" w:rsidRPr="00ED22D1">
        <w:rPr>
          <w:lang w:val="fr-CA"/>
        </w:rPr>
        <w:t xml:space="preserve"> </w:t>
      </w:r>
      <w:r w:rsidR="00BB4D0D" w:rsidRPr="00ED22D1">
        <w:rPr>
          <w:lang w:val="fr-CA"/>
        </w:rPr>
        <w:t>de matériel médical jetable</w:t>
      </w:r>
      <w:r w:rsidR="00387175" w:rsidRPr="00ED22D1">
        <w:rPr>
          <w:lang w:val="fr-CA"/>
        </w:rPr>
        <w:t xml:space="preserve"> (DMD), </w:t>
      </w:r>
      <w:r w:rsidR="00BB4D0D" w:rsidRPr="00ED22D1">
        <w:rPr>
          <w:lang w:val="fr-CA"/>
        </w:rPr>
        <w:t xml:space="preserve">recueilli du </w:t>
      </w:r>
      <w:r w:rsidR="00387175" w:rsidRPr="00ED22D1">
        <w:rPr>
          <w:lang w:val="fr-CA"/>
        </w:rPr>
        <w:t xml:space="preserve">feedback </w:t>
      </w:r>
      <w:r w:rsidR="00BB4D0D" w:rsidRPr="00ED22D1">
        <w:rPr>
          <w:lang w:val="fr-CA"/>
        </w:rPr>
        <w:t xml:space="preserve">sur les lignes directrices, révisé ces données en se fondant sur le feedback reçu, </w:t>
      </w:r>
      <w:r w:rsidR="004A6828" w:rsidRPr="00ED22D1">
        <w:rPr>
          <w:lang w:val="fr-CA"/>
        </w:rPr>
        <w:t xml:space="preserve">et </w:t>
      </w:r>
      <w:r w:rsidR="00BB4D0D" w:rsidRPr="00ED22D1">
        <w:rPr>
          <w:lang w:val="fr-CA"/>
        </w:rPr>
        <w:t>fait circuler les lignes directrices révisées au</w:t>
      </w:r>
      <w:r w:rsidR="000D1338" w:rsidRPr="00ED22D1">
        <w:rPr>
          <w:lang w:val="fr-CA"/>
        </w:rPr>
        <w:t>x</w:t>
      </w:r>
      <w:r w:rsidR="00BB4D0D" w:rsidRPr="00ED22D1">
        <w:rPr>
          <w:lang w:val="fr-CA"/>
        </w:rPr>
        <w:t xml:space="preserve"> </w:t>
      </w:r>
      <w:r w:rsidR="00387175" w:rsidRPr="00ED22D1">
        <w:rPr>
          <w:lang w:val="fr-CA"/>
        </w:rPr>
        <w:t xml:space="preserve">participants </w:t>
      </w:r>
      <w:r w:rsidR="00BB4D0D" w:rsidRPr="00ED22D1">
        <w:rPr>
          <w:lang w:val="fr-CA"/>
        </w:rPr>
        <w:t xml:space="preserve">lors de la réunion annuelle de la </w:t>
      </w:r>
      <w:r w:rsidR="00F320D6" w:rsidRPr="00ED22D1">
        <w:rPr>
          <w:lang w:val="fr-CA"/>
        </w:rPr>
        <w:t>China</w:t>
      </w:r>
      <w:r w:rsidR="00387175" w:rsidRPr="00ED22D1">
        <w:rPr>
          <w:lang w:val="fr-CA"/>
        </w:rPr>
        <w:t xml:space="preserve"> Association for Medical Devices Industry Medical Macromolecule Products;</w:t>
      </w:r>
    </w:p>
    <w:p w:rsidR="00387175" w:rsidRPr="00ED22D1" w:rsidRDefault="00EB650F" w:rsidP="00343CE4">
      <w:pPr>
        <w:pStyle w:val="Heading2"/>
        <w:numPr>
          <w:ilvl w:val="0"/>
          <w:numId w:val="0"/>
        </w:numPr>
        <w:ind w:left="720"/>
        <w:rPr>
          <w:lang w:val="fr-CA"/>
        </w:rPr>
      </w:pPr>
      <w:r w:rsidRPr="00ED22D1">
        <w:rPr>
          <w:lang w:val="fr-CA"/>
        </w:rPr>
        <w:t>(c)</w:t>
      </w:r>
      <w:r w:rsidRPr="00ED22D1">
        <w:rPr>
          <w:lang w:val="fr-CA"/>
        </w:rPr>
        <w:tab/>
      </w:r>
      <w:r w:rsidR="00387175" w:rsidRPr="00ED22D1">
        <w:rPr>
          <w:lang w:val="fr-CA"/>
        </w:rPr>
        <w:t>Sign</w:t>
      </w:r>
      <w:r w:rsidR="00CD1A8F" w:rsidRPr="00ED22D1">
        <w:rPr>
          <w:lang w:val="fr-CA"/>
        </w:rPr>
        <w:t xml:space="preserve">é un </w:t>
      </w:r>
      <w:r w:rsidR="00F320D6" w:rsidRPr="00ED22D1">
        <w:rPr>
          <w:lang w:val="fr-CA"/>
        </w:rPr>
        <w:t xml:space="preserve">contrat </w:t>
      </w:r>
      <w:r w:rsidR="00B84F94" w:rsidRPr="00ED22D1">
        <w:rPr>
          <w:lang w:val="fr-CA"/>
        </w:rPr>
        <w:t xml:space="preserve">avec </w:t>
      </w:r>
      <w:r w:rsidR="00CD1A8F" w:rsidRPr="00ED22D1">
        <w:rPr>
          <w:lang w:val="fr-CA"/>
        </w:rPr>
        <w:t>la</w:t>
      </w:r>
      <w:r w:rsidR="00387175" w:rsidRPr="00ED22D1">
        <w:rPr>
          <w:lang w:val="fr-CA"/>
        </w:rPr>
        <w:t xml:space="preserve"> </w:t>
      </w:r>
      <w:r w:rsidR="00F320D6" w:rsidRPr="00ED22D1">
        <w:rPr>
          <w:lang w:val="fr-CA"/>
        </w:rPr>
        <w:t>China</w:t>
      </w:r>
      <w:r w:rsidR="00387175" w:rsidRPr="00ED22D1">
        <w:rPr>
          <w:lang w:val="fr-CA"/>
        </w:rPr>
        <w:t xml:space="preserve"> Industry Cleaning Association </w:t>
      </w:r>
      <w:r w:rsidR="00CD1A8F" w:rsidRPr="00ED22D1">
        <w:rPr>
          <w:lang w:val="fr-CA"/>
        </w:rPr>
        <w:t xml:space="preserve">comme agence d’exécution </w:t>
      </w:r>
      <w:r w:rsidR="00CD1A8F" w:rsidRPr="00ED22D1">
        <w:rPr>
          <w:lang w:val="fr-CA"/>
        </w:rPr>
        <w:tab/>
        <w:t>de soutien pour la mise en oeuvre</w:t>
      </w:r>
      <w:r w:rsidR="00387175" w:rsidRPr="00ED22D1">
        <w:rPr>
          <w:lang w:val="fr-CA"/>
        </w:rPr>
        <w:t xml:space="preserve"> (ISA) </w:t>
      </w:r>
      <w:r w:rsidR="00CD1A8F" w:rsidRPr="00ED22D1">
        <w:rPr>
          <w:lang w:val="fr-CA"/>
        </w:rPr>
        <w:t>e</w:t>
      </w:r>
      <w:r w:rsidR="00387175" w:rsidRPr="00ED22D1">
        <w:rPr>
          <w:lang w:val="fr-CA"/>
        </w:rPr>
        <w:t>n</w:t>
      </w:r>
      <w:r w:rsidR="00B53D8B" w:rsidRPr="00ED22D1">
        <w:rPr>
          <w:lang w:val="fr-CA"/>
        </w:rPr>
        <w:t xml:space="preserve"> janvier</w:t>
      </w:r>
      <w:r w:rsidR="00387175" w:rsidRPr="00ED22D1">
        <w:rPr>
          <w:lang w:val="fr-CA"/>
        </w:rPr>
        <w:t xml:space="preserve"> 2018</w:t>
      </w:r>
      <w:r w:rsidR="00B84F94" w:rsidRPr="00ED22D1">
        <w:rPr>
          <w:lang w:val="fr-CA"/>
        </w:rPr>
        <w:t xml:space="preserve">; et </w:t>
      </w:r>
    </w:p>
    <w:p w:rsidR="00387175" w:rsidRPr="00ED22D1" w:rsidRDefault="00EB650F" w:rsidP="00EB650F">
      <w:pPr>
        <w:pStyle w:val="Heading2"/>
        <w:numPr>
          <w:ilvl w:val="0"/>
          <w:numId w:val="0"/>
        </w:numPr>
        <w:ind w:left="720"/>
        <w:rPr>
          <w:lang w:val="fr-CA"/>
        </w:rPr>
      </w:pPr>
      <w:r w:rsidRPr="00ED22D1">
        <w:rPr>
          <w:lang w:val="fr-CA"/>
        </w:rPr>
        <w:t>(d)</w:t>
      </w:r>
      <w:r w:rsidRPr="00ED22D1">
        <w:rPr>
          <w:lang w:val="fr-CA"/>
        </w:rPr>
        <w:tab/>
      </w:r>
      <w:r w:rsidR="00CD1A8F" w:rsidRPr="00ED22D1">
        <w:rPr>
          <w:lang w:val="fr-CA"/>
        </w:rPr>
        <w:t xml:space="preserve">Continué la vérification de référence de </w:t>
      </w:r>
      <w:r w:rsidR="00387175" w:rsidRPr="00ED22D1">
        <w:rPr>
          <w:lang w:val="fr-CA"/>
        </w:rPr>
        <w:t xml:space="preserve">26 </w:t>
      </w:r>
      <w:r w:rsidR="00CD1A8F" w:rsidRPr="00ED22D1">
        <w:rPr>
          <w:lang w:val="fr-CA"/>
        </w:rPr>
        <w:t xml:space="preserve">nouvelles </w:t>
      </w:r>
      <w:r w:rsidR="00921BDE" w:rsidRPr="00ED22D1">
        <w:rPr>
          <w:lang w:val="fr-CA"/>
        </w:rPr>
        <w:t>entreprise</w:t>
      </w:r>
      <w:r w:rsidR="00387175" w:rsidRPr="00ED22D1">
        <w:rPr>
          <w:lang w:val="fr-CA"/>
        </w:rPr>
        <w:t xml:space="preserve">s </w:t>
      </w:r>
      <w:r w:rsidR="00B70069" w:rsidRPr="00ED22D1">
        <w:rPr>
          <w:lang w:val="fr-CA"/>
        </w:rPr>
        <w:t>en fonction d’</w:t>
      </w:r>
      <w:r w:rsidR="00CD1A8F" w:rsidRPr="00ED22D1">
        <w:rPr>
          <w:lang w:val="fr-CA"/>
        </w:rPr>
        <w:t xml:space="preserve">un contrat </w:t>
      </w:r>
      <w:r w:rsidR="00C05580">
        <w:rPr>
          <w:lang w:val="fr-CA"/>
        </w:rPr>
        <w:tab/>
      </w:r>
      <w:r w:rsidR="00CD1A8F" w:rsidRPr="00ED22D1">
        <w:rPr>
          <w:lang w:val="fr-CA"/>
        </w:rPr>
        <w:t>avec l’entreprise</w:t>
      </w:r>
      <w:r w:rsidR="00B84F94" w:rsidRPr="00ED22D1">
        <w:rPr>
          <w:lang w:val="fr-CA"/>
        </w:rPr>
        <w:t xml:space="preserve"> </w:t>
      </w:r>
      <w:r w:rsidR="00387175" w:rsidRPr="00ED22D1">
        <w:rPr>
          <w:lang w:val="fr-CA"/>
        </w:rPr>
        <w:t xml:space="preserve">Beijing Xinghua Accounting. </w:t>
      </w:r>
    </w:p>
    <w:p w:rsidR="00387175" w:rsidRPr="00ED22D1" w:rsidRDefault="00CD1A8F" w:rsidP="00387175">
      <w:pPr>
        <w:spacing w:after="240"/>
        <w:rPr>
          <w:u w:val="single"/>
          <w:lang w:val="fr-CA"/>
        </w:rPr>
      </w:pPr>
      <w:r w:rsidRPr="00ED22D1">
        <w:rPr>
          <w:u w:val="single"/>
          <w:lang w:val="fr-CA"/>
        </w:rPr>
        <w:t>Niveau de décaissement des fonds</w:t>
      </w:r>
    </w:p>
    <w:p w:rsidR="00387175" w:rsidRPr="00ED22D1" w:rsidRDefault="00EB650F" w:rsidP="00EB650F">
      <w:pPr>
        <w:pStyle w:val="Heading1"/>
        <w:numPr>
          <w:ilvl w:val="0"/>
          <w:numId w:val="0"/>
        </w:numPr>
        <w:rPr>
          <w:lang w:val="fr-CA"/>
        </w:rPr>
      </w:pPr>
      <w:r w:rsidRPr="00ED22D1">
        <w:rPr>
          <w:lang w:val="fr-CA"/>
        </w:rPr>
        <w:t>119.</w:t>
      </w:r>
      <w:r w:rsidRPr="00ED22D1">
        <w:rPr>
          <w:lang w:val="fr-CA"/>
        </w:rPr>
        <w:tab/>
      </w:r>
      <w:r w:rsidR="00CD1A8F" w:rsidRPr="00ED22D1">
        <w:rPr>
          <w:lang w:val="fr-CA"/>
        </w:rPr>
        <w:t xml:space="preserve">En date de </w:t>
      </w:r>
      <w:r w:rsidR="004E0510" w:rsidRPr="00ED22D1">
        <w:rPr>
          <w:lang w:val="fr-CA"/>
        </w:rPr>
        <w:t>février</w:t>
      </w:r>
      <w:r w:rsidR="00387175" w:rsidRPr="00ED22D1">
        <w:rPr>
          <w:lang w:val="fr-CA"/>
        </w:rPr>
        <w:t xml:space="preserve"> 201</w:t>
      </w:r>
      <w:r w:rsidR="004A6828" w:rsidRPr="00ED22D1">
        <w:rPr>
          <w:lang w:val="fr-CA"/>
        </w:rPr>
        <w:t>9</w:t>
      </w:r>
      <w:r w:rsidR="00CD1A8F" w:rsidRPr="00ED22D1">
        <w:rPr>
          <w:lang w:val="fr-CA"/>
        </w:rPr>
        <w:t>,</w:t>
      </w:r>
      <w:r w:rsidR="004A6828" w:rsidRPr="00ED22D1">
        <w:rPr>
          <w:lang w:val="fr-CA"/>
        </w:rPr>
        <w:t> </w:t>
      </w:r>
      <w:r w:rsidR="00CD1A8F" w:rsidRPr="00ED22D1">
        <w:rPr>
          <w:lang w:val="fr-CA"/>
        </w:rPr>
        <w:t>des</w:t>
      </w:r>
      <w:r w:rsidR="00387175" w:rsidRPr="00ED22D1">
        <w:rPr>
          <w:lang w:val="fr-CA"/>
        </w:rPr>
        <w:t xml:space="preserve"> </w:t>
      </w:r>
      <w:r w:rsidR="004A6828" w:rsidRPr="00ED22D1">
        <w:rPr>
          <w:lang w:val="fr-CA"/>
        </w:rPr>
        <w:t>6 </w:t>
      </w:r>
      <w:r w:rsidR="00387175" w:rsidRPr="00ED22D1">
        <w:rPr>
          <w:lang w:val="fr-CA"/>
        </w:rPr>
        <w:t>59</w:t>
      </w:r>
      <w:r w:rsidR="004A6828" w:rsidRPr="00ED22D1">
        <w:rPr>
          <w:lang w:val="fr-CA"/>
        </w:rPr>
        <w:t>9 </w:t>
      </w:r>
      <w:r w:rsidR="00387175" w:rsidRPr="00ED22D1">
        <w:rPr>
          <w:lang w:val="fr-CA"/>
        </w:rPr>
        <w:t>127</w:t>
      </w:r>
      <w:r w:rsidR="00EC100C" w:rsidRPr="00ED22D1">
        <w:rPr>
          <w:lang w:val="fr-CA"/>
        </w:rPr>
        <w:t> $US</w:t>
      </w:r>
      <w:r w:rsidR="00387175" w:rsidRPr="00ED22D1">
        <w:rPr>
          <w:lang w:val="fr-CA"/>
        </w:rPr>
        <w:t xml:space="preserve"> </w:t>
      </w:r>
      <w:r w:rsidR="00AA6E77" w:rsidRPr="00ED22D1">
        <w:rPr>
          <w:lang w:val="fr-CA"/>
        </w:rPr>
        <w:t>approuvé</w:t>
      </w:r>
      <w:r w:rsidR="00CD1A8F" w:rsidRPr="00ED22D1">
        <w:rPr>
          <w:lang w:val="fr-CA"/>
        </w:rPr>
        <w:t>s</w:t>
      </w:r>
      <w:r w:rsidR="00387175" w:rsidRPr="00ED22D1">
        <w:rPr>
          <w:lang w:val="fr-CA"/>
        </w:rPr>
        <w:t xml:space="preserve"> </w:t>
      </w:r>
      <w:r w:rsidR="00502C24" w:rsidRPr="00ED22D1">
        <w:rPr>
          <w:lang w:val="fr-CA"/>
        </w:rPr>
        <w:t>jusqu’à maintenant</w:t>
      </w:r>
      <w:r w:rsidR="00387175" w:rsidRPr="00ED22D1">
        <w:rPr>
          <w:lang w:val="fr-CA"/>
        </w:rPr>
        <w:t xml:space="preserve">, </w:t>
      </w:r>
      <w:r w:rsidR="004A6828" w:rsidRPr="00ED22D1">
        <w:rPr>
          <w:lang w:val="fr-CA"/>
        </w:rPr>
        <w:t>6 </w:t>
      </w:r>
      <w:r w:rsidR="00387175" w:rsidRPr="00ED22D1">
        <w:rPr>
          <w:lang w:val="fr-CA"/>
        </w:rPr>
        <w:t>53</w:t>
      </w:r>
      <w:r w:rsidR="004A6828" w:rsidRPr="00ED22D1">
        <w:rPr>
          <w:lang w:val="fr-CA"/>
        </w:rPr>
        <w:t>5 </w:t>
      </w:r>
      <w:r w:rsidR="00387175" w:rsidRPr="00ED22D1">
        <w:rPr>
          <w:lang w:val="fr-CA"/>
        </w:rPr>
        <w:t>370</w:t>
      </w:r>
      <w:r w:rsidR="00EC100C" w:rsidRPr="00ED22D1">
        <w:rPr>
          <w:lang w:val="fr-CA"/>
        </w:rPr>
        <w:t> $US</w:t>
      </w:r>
      <w:r w:rsidR="00387175" w:rsidRPr="00ED22D1">
        <w:rPr>
          <w:lang w:val="fr-CA"/>
        </w:rPr>
        <w:t xml:space="preserve"> </w:t>
      </w:r>
      <w:r w:rsidR="00CD1A8F" w:rsidRPr="00ED22D1">
        <w:rPr>
          <w:lang w:val="fr-CA"/>
        </w:rPr>
        <w:t>avaient</w:t>
      </w:r>
      <w:r w:rsidR="00903152" w:rsidRPr="00ED22D1">
        <w:rPr>
          <w:lang w:val="fr-CA"/>
        </w:rPr>
        <w:t xml:space="preserve"> été</w:t>
      </w:r>
      <w:r w:rsidR="00387175" w:rsidRPr="00ED22D1">
        <w:rPr>
          <w:lang w:val="fr-CA"/>
        </w:rPr>
        <w:t xml:space="preserve"> </w:t>
      </w:r>
      <w:r w:rsidR="00181884" w:rsidRPr="00ED22D1">
        <w:rPr>
          <w:lang w:val="fr-CA"/>
        </w:rPr>
        <w:t>décaissé</w:t>
      </w:r>
      <w:r w:rsidR="00CD1A8F" w:rsidRPr="00ED22D1">
        <w:rPr>
          <w:lang w:val="fr-CA"/>
        </w:rPr>
        <w:t>s</w:t>
      </w:r>
      <w:r w:rsidR="00DE118B" w:rsidRPr="00ED22D1">
        <w:rPr>
          <w:lang w:val="fr-CA"/>
        </w:rPr>
        <w:t xml:space="preserve"> par </w:t>
      </w:r>
      <w:r w:rsidR="001F19C1" w:rsidRPr="00ED22D1">
        <w:rPr>
          <w:lang w:val="fr-CA"/>
        </w:rPr>
        <w:t>le PNUD</w:t>
      </w:r>
      <w:r w:rsidR="00387175" w:rsidRPr="00ED22D1">
        <w:rPr>
          <w:lang w:val="fr-CA"/>
        </w:rPr>
        <w:t xml:space="preserve"> </w:t>
      </w:r>
      <w:r w:rsidR="00F5455E" w:rsidRPr="00ED22D1">
        <w:rPr>
          <w:lang w:val="fr-CA"/>
        </w:rPr>
        <w:t>à l’IECO</w:t>
      </w:r>
      <w:r w:rsidR="00387175" w:rsidRPr="00ED22D1">
        <w:rPr>
          <w:lang w:val="fr-CA"/>
        </w:rPr>
        <w:t>,</w:t>
      </w:r>
      <w:r w:rsidR="004A6828" w:rsidRPr="00ED22D1">
        <w:rPr>
          <w:lang w:val="fr-CA"/>
        </w:rPr>
        <w:t xml:space="preserve"> et 5 </w:t>
      </w:r>
      <w:r w:rsidR="00387175" w:rsidRPr="00ED22D1">
        <w:rPr>
          <w:lang w:val="fr-CA"/>
        </w:rPr>
        <w:t>61</w:t>
      </w:r>
      <w:r w:rsidR="004A6828" w:rsidRPr="00ED22D1">
        <w:rPr>
          <w:lang w:val="fr-CA"/>
        </w:rPr>
        <w:t>6 </w:t>
      </w:r>
      <w:r w:rsidR="00387175" w:rsidRPr="00ED22D1">
        <w:rPr>
          <w:lang w:val="fr-CA"/>
        </w:rPr>
        <w:t>336</w:t>
      </w:r>
      <w:r w:rsidR="00EC100C" w:rsidRPr="00ED22D1">
        <w:rPr>
          <w:lang w:val="fr-CA"/>
        </w:rPr>
        <w:t> $US</w:t>
      </w:r>
      <w:r w:rsidR="00DE118B" w:rsidRPr="00ED22D1">
        <w:rPr>
          <w:lang w:val="fr-CA"/>
        </w:rPr>
        <w:t xml:space="preserve"> par</w:t>
      </w:r>
      <w:r w:rsidR="00F320D6" w:rsidRPr="00ED22D1">
        <w:rPr>
          <w:lang w:val="fr-CA"/>
        </w:rPr>
        <w:t xml:space="preserve"> l’IECO</w:t>
      </w:r>
      <w:r w:rsidR="00387175" w:rsidRPr="00ED22D1">
        <w:rPr>
          <w:lang w:val="fr-CA"/>
        </w:rPr>
        <w:t xml:space="preserve"> </w:t>
      </w:r>
      <w:r w:rsidR="00F5455E" w:rsidRPr="00ED22D1">
        <w:rPr>
          <w:lang w:val="fr-CA"/>
        </w:rPr>
        <w:t>aux bénéficiaires</w:t>
      </w:r>
      <w:r w:rsidR="00CD1A8F" w:rsidRPr="00ED22D1">
        <w:rPr>
          <w:lang w:val="fr-CA"/>
        </w:rPr>
        <w:t xml:space="preserve"> (T</w:t>
      </w:r>
      <w:r w:rsidR="00CE7FEC" w:rsidRPr="00ED22D1">
        <w:rPr>
          <w:lang w:val="fr-CA"/>
        </w:rPr>
        <w:t xml:space="preserve">ableau </w:t>
      </w:r>
      <w:r w:rsidR="004A6828" w:rsidRPr="00ED22D1">
        <w:rPr>
          <w:lang w:val="fr-CA"/>
        </w:rPr>
        <w:t>2</w:t>
      </w:r>
      <w:r w:rsidR="00CD1A8F" w:rsidRPr="00ED22D1">
        <w:rPr>
          <w:lang w:val="fr-CA"/>
        </w:rPr>
        <w:t>)</w:t>
      </w:r>
      <w:r w:rsidR="00EC100C" w:rsidRPr="00ED22D1">
        <w:rPr>
          <w:lang w:val="fr-CA"/>
        </w:rPr>
        <w:t>.</w:t>
      </w:r>
      <w:r w:rsidR="00387175" w:rsidRPr="00ED22D1">
        <w:rPr>
          <w:lang w:val="fr-CA"/>
        </w:rPr>
        <w:t xml:space="preserve"> </w:t>
      </w:r>
      <w:r w:rsidR="00CD1A8F" w:rsidRPr="00ED22D1">
        <w:rPr>
          <w:lang w:val="fr-CA"/>
        </w:rPr>
        <w:t>Le</w:t>
      </w:r>
      <w:r w:rsidR="00387175" w:rsidRPr="00ED22D1">
        <w:rPr>
          <w:lang w:val="fr-CA"/>
        </w:rPr>
        <w:t xml:space="preserve"> </w:t>
      </w:r>
      <w:r w:rsidR="00DE118B" w:rsidRPr="00ED22D1">
        <w:rPr>
          <w:lang w:val="fr-CA"/>
        </w:rPr>
        <w:t>solde</w:t>
      </w:r>
      <w:r w:rsidR="00387175" w:rsidRPr="00ED22D1">
        <w:rPr>
          <w:lang w:val="fr-CA"/>
        </w:rPr>
        <w:t xml:space="preserve"> </w:t>
      </w:r>
      <w:r w:rsidR="00CD1A8F" w:rsidRPr="00ED22D1">
        <w:rPr>
          <w:lang w:val="fr-CA"/>
        </w:rPr>
        <w:t>de</w:t>
      </w:r>
      <w:r w:rsidR="00387175" w:rsidRPr="00ED22D1">
        <w:rPr>
          <w:lang w:val="fr-CA"/>
        </w:rPr>
        <w:t xml:space="preserve"> 91</w:t>
      </w:r>
      <w:r w:rsidR="004A6828" w:rsidRPr="00ED22D1">
        <w:rPr>
          <w:lang w:val="fr-CA"/>
        </w:rPr>
        <w:t>9 </w:t>
      </w:r>
      <w:r w:rsidR="00387175" w:rsidRPr="00ED22D1">
        <w:rPr>
          <w:lang w:val="fr-CA"/>
        </w:rPr>
        <w:t>034</w:t>
      </w:r>
      <w:r w:rsidR="00EC100C" w:rsidRPr="00ED22D1">
        <w:rPr>
          <w:lang w:val="fr-CA"/>
        </w:rPr>
        <w:t> $US</w:t>
      </w:r>
      <w:r w:rsidR="00387175" w:rsidRPr="00ED22D1">
        <w:rPr>
          <w:lang w:val="fr-CA"/>
        </w:rPr>
        <w:t xml:space="preserve"> </w:t>
      </w:r>
      <w:r w:rsidR="00CD1A8F" w:rsidRPr="00ED22D1">
        <w:rPr>
          <w:lang w:val="fr-CA"/>
        </w:rPr>
        <w:t>sera</w:t>
      </w:r>
      <w:r w:rsidR="00387175" w:rsidRPr="00ED22D1">
        <w:rPr>
          <w:lang w:val="fr-CA"/>
        </w:rPr>
        <w:t xml:space="preserve"> </w:t>
      </w:r>
      <w:r w:rsidR="00181884" w:rsidRPr="00ED22D1">
        <w:rPr>
          <w:lang w:val="fr-CA"/>
        </w:rPr>
        <w:t>décaissé</w:t>
      </w:r>
      <w:r w:rsidR="00387175" w:rsidRPr="00ED22D1">
        <w:rPr>
          <w:lang w:val="fr-CA"/>
        </w:rPr>
        <w:t xml:space="preserve"> </w:t>
      </w:r>
      <w:r w:rsidR="0052712E" w:rsidRPr="00ED22D1">
        <w:rPr>
          <w:lang w:val="fr-CA"/>
        </w:rPr>
        <w:t>en 20</w:t>
      </w:r>
      <w:r w:rsidR="00387175" w:rsidRPr="00ED22D1">
        <w:rPr>
          <w:lang w:val="fr-CA"/>
        </w:rPr>
        <w:t>1</w:t>
      </w:r>
      <w:r w:rsidR="004A6828" w:rsidRPr="00ED22D1">
        <w:rPr>
          <w:lang w:val="fr-CA"/>
        </w:rPr>
        <w:t>9</w:t>
      </w:r>
      <w:r w:rsidR="00EC100C" w:rsidRPr="00ED22D1">
        <w:rPr>
          <w:lang w:val="fr-CA"/>
        </w:rPr>
        <w:t>.</w:t>
      </w:r>
    </w:p>
    <w:p w:rsidR="00387175" w:rsidRPr="00ED22D1" w:rsidRDefault="00CE7FEC" w:rsidP="00387175">
      <w:pPr>
        <w:keepNext/>
        <w:rPr>
          <w:b/>
          <w:sz w:val="21"/>
          <w:szCs w:val="21"/>
          <w:lang w:val="fr-CA"/>
        </w:rPr>
      </w:pPr>
      <w:r w:rsidRPr="00ED22D1">
        <w:rPr>
          <w:b/>
          <w:sz w:val="21"/>
          <w:szCs w:val="21"/>
          <w:lang w:val="fr-CA"/>
        </w:rPr>
        <w:t xml:space="preserve">Tableau </w:t>
      </w:r>
      <w:r w:rsidR="004A6828" w:rsidRPr="00ED22D1">
        <w:rPr>
          <w:b/>
          <w:sz w:val="21"/>
          <w:szCs w:val="21"/>
          <w:lang w:val="fr-CA"/>
        </w:rPr>
        <w:t>2</w:t>
      </w:r>
      <w:r w:rsidR="00EC100C" w:rsidRPr="00ED22D1">
        <w:rPr>
          <w:b/>
          <w:sz w:val="21"/>
          <w:szCs w:val="21"/>
          <w:lang w:val="fr-CA"/>
        </w:rPr>
        <w:t>.</w:t>
      </w:r>
      <w:r w:rsidR="00387175" w:rsidRPr="00ED22D1">
        <w:rPr>
          <w:b/>
          <w:sz w:val="21"/>
          <w:szCs w:val="21"/>
          <w:lang w:val="fr-CA"/>
        </w:rPr>
        <w:t xml:space="preserve"> </w:t>
      </w:r>
      <w:r w:rsidR="001B31BF" w:rsidRPr="00ED22D1">
        <w:rPr>
          <w:b/>
          <w:sz w:val="21"/>
          <w:szCs w:val="21"/>
          <w:lang w:val="fr-CA"/>
        </w:rPr>
        <w:t>Rapport financier du</w:t>
      </w:r>
      <w:r w:rsidR="00387175" w:rsidRPr="00ED22D1">
        <w:rPr>
          <w:b/>
          <w:sz w:val="21"/>
          <w:szCs w:val="21"/>
          <w:lang w:val="fr-CA"/>
        </w:rPr>
        <w:t xml:space="preserve"> </w:t>
      </w:r>
      <w:r w:rsidR="004A6828" w:rsidRPr="00ED22D1">
        <w:rPr>
          <w:b/>
          <w:sz w:val="21"/>
          <w:szCs w:val="21"/>
          <w:lang w:val="fr-CA"/>
        </w:rPr>
        <w:t xml:space="preserve">plan du secteur des solvants </w:t>
      </w:r>
      <w:r w:rsidR="001B31BF" w:rsidRPr="00ED22D1">
        <w:rPr>
          <w:b/>
          <w:sz w:val="21"/>
          <w:szCs w:val="21"/>
          <w:lang w:val="fr-CA"/>
        </w:rPr>
        <w:t xml:space="preserve">de la </w:t>
      </w:r>
      <w:r w:rsidR="004A6828" w:rsidRPr="00ED22D1">
        <w:rPr>
          <w:b/>
          <w:sz w:val="21"/>
          <w:szCs w:val="21"/>
          <w:lang w:val="fr-CA"/>
        </w:rPr>
        <w:t xml:space="preserve">phase </w:t>
      </w:r>
      <w:r w:rsidR="00387175" w:rsidRPr="00ED22D1">
        <w:rPr>
          <w:b/>
          <w:sz w:val="21"/>
          <w:szCs w:val="21"/>
          <w:lang w:val="fr-CA"/>
        </w:rPr>
        <w:t xml:space="preserve">II </w:t>
      </w:r>
      <w:r w:rsidR="001F19C1" w:rsidRPr="00ED22D1">
        <w:rPr>
          <w:b/>
          <w:sz w:val="21"/>
          <w:szCs w:val="21"/>
          <w:lang w:val="fr-CA"/>
        </w:rPr>
        <w:t>du PGEH</w:t>
      </w:r>
      <w:r w:rsidR="00387175" w:rsidRPr="00ED22D1">
        <w:rPr>
          <w:b/>
          <w:sz w:val="21"/>
          <w:szCs w:val="21"/>
          <w:lang w:val="fr-CA"/>
        </w:rPr>
        <w:t xml:space="preserve"> </w:t>
      </w:r>
      <w:r w:rsidR="001B31BF" w:rsidRPr="00ED22D1">
        <w:rPr>
          <w:b/>
          <w:sz w:val="21"/>
          <w:szCs w:val="21"/>
          <w:lang w:val="fr-CA"/>
        </w:rPr>
        <w:t>de la Chine</w:t>
      </w:r>
      <w:r w:rsidR="00387175" w:rsidRPr="00ED22D1">
        <w:rPr>
          <w:b/>
          <w:sz w:val="21"/>
          <w:szCs w:val="21"/>
          <w:lang w:val="fr-CA"/>
        </w:rPr>
        <w:t xml:space="preserve"> </w:t>
      </w:r>
      <w:r w:rsidR="00874624" w:rsidRPr="00ED22D1">
        <w:rPr>
          <w:b/>
          <w:sz w:val="21"/>
          <w:szCs w:val="21"/>
          <w:lang w:val="fr-CA"/>
        </w:rPr>
        <w:t>($US)</w:t>
      </w:r>
    </w:p>
    <w:tbl>
      <w:tblPr>
        <w:tblStyle w:val="TableGrid"/>
        <w:tblW w:w="4944" w:type="pct"/>
        <w:tblInd w:w="108" w:type="dxa"/>
        <w:tblLook w:val="04A0" w:firstRow="1" w:lastRow="0" w:firstColumn="1" w:lastColumn="0" w:noHBand="0" w:noVBand="1"/>
      </w:tblPr>
      <w:tblGrid>
        <w:gridCol w:w="2373"/>
        <w:gridCol w:w="1029"/>
        <w:gridCol w:w="1239"/>
        <w:gridCol w:w="1136"/>
        <w:gridCol w:w="1280"/>
        <w:gridCol w:w="1278"/>
        <w:gridCol w:w="1134"/>
      </w:tblGrid>
      <w:tr w:rsidR="00387175" w:rsidRPr="00ED22D1" w:rsidTr="003B2CAC">
        <w:tc>
          <w:tcPr>
            <w:tcW w:w="1253" w:type="pct"/>
            <w:vMerge w:val="restart"/>
          </w:tcPr>
          <w:p w:rsidR="00387175" w:rsidRPr="00ED22D1" w:rsidRDefault="00387175" w:rsidP="00387175">
            <w:pPr>
              <w:keepNext/>
              <w:jc w:val="center"/>
              <w:rPr>
                <w:b/>
                <w:sz w:val="19"/>
                <w:szCs w:val="19"/>
                <w:lang w:val="fr-CA"/>
              </w:rPr>
            </w:pPr>
          </w:p>
        </w:tc>
        <w:tc>
          <w:tcPr>
            <w:tcW w:w="1197" w:type="pct"/>
            <w:gridSpan w:val="2"/>
          </w:tcPr>
          <w:p w:rsidR="00387175" w:rsidRPr="00ED22D1" w:rsidRDefault="00181884" w:rsidP="00387175">
            <w:pPr>
              <w:keepNext/>
              <w:jc w:val="center"/>
              <w:rPr>
                <w:b/>
                <w:sz w:val="19"/>
                <w:szCs w:val="19"/>
                <w:lang w:val="fr-CA"/>
              </w:rPr>
            </w:pPr>
            <w:r w:rsidRPr="00ED22D1">
              <w:rPr>
                <w:b/>
                <w:sz w:val="19"/>
                <w:szCs w:val="19"/>
                <w:lang w:val="fr-CA"/>
              </w:rPr>
              <w:t>Première</w:t>
            </w:r>
            <w:r w:rsidR="00387175" w:rsidRPr="00ED22D1">
              <w:rPr>
                <w:b/>
                <w:sz w:val="19"/>
                <w:szCs w:val="19"/>
                <w:lang w:val="fr-CA"/>
              </w:rPr>
              <w:t xml:space="preserve"> tranche</w:t>
            </w:r>
          </w:p>
        </w:tc>
        <w:tc>
          <w:tcPr>
            <w:tcW w:w="1276" w:type="pct"/>
            <w:gridSpan w:val="2"/>
          </w:tcPr>
          <w:p w:rsidR="00387175" w:rsidRPr="00ED22D1" w:rsidRDefault="00921BDE" w:rsidP="00387175">
            <w:pPr>
              <w:keepNext/>
              <w:jc w:val="center"/>
              <w:rPr>
                <w:b/>
                <w:sz w:val="19"/>
                <w:szCs w:val="19"/>
                <w:lang w:val="fr-CA"/>
              </w:rPr>
            </w:pPr>
            <w:r w:rsidRPr="00ED22D1">
              <w:rPr>
                <w:b/>
                <w:sz w:val="19"/>
                <w:szCs w:val="19"/>
                <w:lang w:val="fr-CA"/>
              </w:rPr>
              <w:t>Deuxième</w:t>
            </w:r>
            <w:r w:rsidR="00387175" w:rsidRPr="00ED22D1">
              <w:rPr>
                <w:b/>
                <w:sz w:val="19"/>
                <w:szCs w:val="19"/>
                <w:lang w:val="fr-CA"/>
              </w:rPr>
              <w:t xml:space="preserve"> tranche</w:t>
            </w:r>
          </w:p>
        </w:tc>
        <w:tc>
          <w:tcPr>
            <w:tcW w:w="1274" w:type="pct"/>
            <w:gridSpan w:val="2"/>
          </w:tcPr>
          <w:p w:rsidR="00387175" w:rsidRPr="00ED22D1" w:rsidRDefault="00387175" w:rsidP="00387175">
            <w:pPr>
              <w:keepNext/>
              <w:jc w:val="center"/>
              <w:rPr>
                <w:b/>
                <w:sz w:val="19"/>
                <w:szCs w:val="19"/>
                <w:lang w:val="fr-CA"/>
              </w:rPr>
            </w:pPr>
            <w:r w:rsidRPr="00ED22D1">
              <w:rPr>
                <w:b/>
                <w:sz w:val="19"/>
                <w:szCs w:val="19"/>
                <w:lang w:val="fr-CA"/>
              </w:rPr>
              <w:t>Total</w:t>
            </w:r>
          </w:p>
        </w:tc>
      </w:tr>
      <w:tr w:rsidR="00387175" w:rsidRPr="00ED22D1" w:rsidTr="003B2CAC">
        <w:tc>
          <w:tcPr>
            <w:tcW w:w="1253" w:type="pct"/>
            <w:vMerge/>
          </w:tcPr>
          <w:p w:rsidR="00387175" w:rsidRPr="00ED22D1" w:rsidRDefault="00387175" w:rsidP="00387175">
            <w:pPr>
              <w:keepNext/>
              <w:jc w:val="center"/>
              <w:rPr>
                <w:b/>
                <w:sz w:val="19"/>
                <w:szCs w:val="19"/>
                <w:lang w:val="fr-CA"/>
              </w:rPr>
            </w:pPr>
          </w:p>
        </w:tc>
        <w:tc>
          <w:tcPr>
            <w:tcW w:w="543" w:type="pct"/>
          </w:tcPr>
          <w:p w:rsidR="00387175" w:rsidRPr="00ED22D1" w:rsidRDefault="00AA6E77" w:rsidP="00387175">
            <w:pPr>
              <w:keepNext/>
              <w:jc w:val="center"/>
              <w:rPr>
                <w:b/>
                <w:sz w:val="19"/>
                <w:szCs w:val="19"/>
                <w:lang w:val="fr-CA"/>
              </w:rPr>
            </w:pPr>
            <w:r w:rsidRPr="00ED22D1">
              <w:rPr>
                <w:b/>
                <w:sz w:val="19"/>
                <w:szCs w:val="19"/>
                <w:lang w:val="fr-CA"/>
              </w:rPr>
              <w:t>Approuvé</w:t>
            </w:r>
          </w:p>
        </w:tc>
        <w:tc>
          <w:tcPr>
            <w:tcW w:w="653" w:type="pct"/>
          </w:tcPr>
          <w:p w:rsidR="00387175" w:rsidRPr="00ED22D1" w:rsidRDefault="00181884" w:rsidP="00387175">
            <w:pPr>
              <w:keepNext/>
              <w:jc w:val="center"/>
              <w:rPr>
                <w:b/>
                <w:sz w:val="19"/>
                <w:szCs w:val="19"/>
                <w:lang w:val="fr-CA"/>
              </w:rPr>
            </w:pPr>
            <w:r w:rsidRPr="00ED22D1">
              <w:rPr>
                <w:b/>
                <w:sz w:val="19"/>
                <w:szCs w:val="19"/>
                <w:lang w:val="fr-CA"/>
              </w:rPr>
              <w:t>Décaissé</w:t>
            </w:r>
          </w:p>
        </w:tc>
        <w:tc>
          <w:tcPr>
            <w:tcW w:w="600" w:type="pct"/>
          </w:tcPr>
          <w:p w:rsidR="00387175" w:rsidRPr="00ED22D1" w:rsidRDefault="00AA6E77" w:rsidP="00387175">
            <w:pPr>
              <w:keepNext/>
              <w:jc w:val="center"/>
              <w:rPr>
                <w:b/>
                <w:sz w:val="19"/>
                <w:szCs w:val="19"/>
                <w:lang w:val="fr-CA"/>
              </w:rPr>
            </w:pPr>
            <w:r w:rsidRPr="00ED22D1">
              <w:rPr>
                <w:b/>
                <w:sz w:val="19"/>
                <w:szCs w:val="19"/>
                <w:lang w:val="fr-CA"/>
              </w:rPr>
              <w:t>Approuvé</w:t>
            </w:r>
          </w:p>
        </w:tc>
        <w:tc>
          <w:tcPr>
            <w:tcW w:w="676" w:type="pct"/>
          </w:tcPr>
          <w:p w:rsidR="00387175" w:rsidRPr="00ED22D1" w:rsidRDefault="00181884" w:rsidP="00387175">
            <w:pPr>
              <w:keepNext/>
              <w:jc w:val="center"/>
              <w:rPr>
                <w:b/>
                <w:sz w:val="19"/>
                <w:szCs w:val="19"/>
                <w:lang w:val="fr-CA"/>
              </w:rPr>
            </w:pPr>
            <w:r w:rsidRPr="00ED22D1">
              <w:rPr>
                <w:b/>
                <w:sz w:val="19"/>
                <w:szCs w:val="19"/>
                <w:lang w:val="fr-CA"/>
              </w:rPr>
              <w:t>Décaissé</w:t>
            </w:r>
          </w:p>
        </w:tc>
        <w:tc>
          <w:tcPr>
            <w:tcW w:w="675" w:type="pct"/>
          </w:tcPr>
          <w:p w:rsidR="00387175" w:rsidRPr="00ED22D1" w:rsidRDefault="00AA6E77" w:rsidP="00387175">
            <w:pPr>
              <w:keepNext/>
              <w:jc w:val="center"/>
              <w:rPr>
                <w:b/>
                <w:sz w:val="19"/>
                <w:szCs w:val="19"/>
                <w:lang w:val="fr-CA"/>
              </w:rPr>
            </w:pPr>
            <w:r w:rsidRPr="00ED22D1">
              <w:rPr>
                <w:b/>
                <w:sz w:val="19"/>
                <w:szCs w:val="19"/>
                <w:lang w:val="fr-CA"/>
              </w:rPr>
              <w:t>Approuvé</w:t>
            </w:r>
          </w:p>
        </w:tc>
        <w:tc>
          <w:tcPr>
            <w:tcW w:w="599" w:type="pct"/>
          </w:tcPr>
          <w:p w:rsidR="00387175" w:rsidRPr="00ED22D1" w:rsidRDefault="00181884" w:rsidP="00387175">
            <w:pPr>
              <w:keepNext/>
              <w:jc w:val="center"/>
              <w:rPr>
                <w:b/>
                <w:sz w:val="19"/>
                <w:szCs w:val="19"/>
                <w:lang w:val="fr-CA"/>
              </w:rPr>
            </w:pPr>
            <w:r w:rsidRPr="00ED22D1">
              <w:rPr>
                <w:b/>
                <w:sz w:val="19"/>
                <w:szCs w:val="19"/>
                <w:lang w:val="fr-CA"/>
              </w:rPr>
              <w:t>Décaissé</w:t>
            </w:r>
          </w:p>
        </w:tc>
      </w:tr>
      <w:tr w:rsidR="00387175" w:rsidRPr="00ED22D1" w:rsidTr="003B2CAC">
        <w:tc>
          <w:tcPr>
            <w:tcW w:w="1253" w:type="pct"/>
          </w:tcPr>
          <w:p w:rsidR="00387175" w:rsidRPr="00ED22D1" w:rsidRDefault="001C722B" w:rsidP="00387175">
            <w:pPr>
              <w:keepNext/>
              <w:jc w:val="left"/>
              <w:rPr>
                <w:sz w:val="19"/>
                <w:szCs w:val="19"/>
                <w:lang w:val="fr-CA"/>
              </w:rPr>
            </w:pPr>
            <w:r w:rsidRPr="00ED22D1">
              <w:rPr>
                <w:sz w:val="19"/>
                <w:szCs w:val="19"/>
                <w:lang w:val="fr-CA"/>
              </w:rPr>
              <w:t>PNUD</w:t>
            </w:r>
          </w:p>
        </w:tc>
        <w:tc>
          <w:tcPr>
            <w:tcW w:w="543" w:type="pct"/>
          </w:tcPr>
          <w:p w:rsidR="00387175" w:rsidRPr="00ED22D1" w:rsidRDefault="004A6828" w:rsidP="00387175">
            <w:pPr>
              <w:keepNext/>
              <w:jc w:val="right"/>
              <w:rPr>
                <w:sz w:val="19"/>
                <w:szCs w:val="19"/>
                <w:lang w:val="fr-CA"/>
              </w:rPr>
            </w:pPr>
            <w:r w:rsidRPr="00ED22D1">
              <w:rPr>
                <w:sz w:val="19"/>
                <w:szCs w:val="19"/>
                <w:lang w:val="fr-CA"/>
              </w:rPr>
              <w:t>2 </w:t>
            </w:r>
            <w:r w:rsidR="00387175" w:rsidRPr="00ED22D1">
              <w:rPr>
                <w:sz w:val="19"/>
                <w:szCs w:val="19"/>
                <w:lang w:val="fr-CA"/>
              </w:rPr>
              <w:t>82</w:t>
            </w:r>
            <w:r w:rsidRPr="00ED22D1">
              <w:rPr>
                <w:sz w:val="19"/>
                <w:szCs w:val="19"/>
                <w:lang w:val="fr-CA"/>
              </w:rPr>
              <w:t>1 </w:t>
            </w:r>
            <w:r w:rsidR="00387175" w:rsidRPr="00ED22D1">
              <w:rPr>
                <w:sz w:val="19"/>
                <w:szCs w:val="19"/>
                <w:lang w:val="fr-CA"/>
              </w:rPr>
              <w:t>937</w:t>
            </w:r>
          </w:p>
        </w:tc>
        <w:tc>
          <w:tcPr>
            <w:tcW w:w="653" w:type="pct"/>
          </w:tcPr>
          <w:p w:rsidR="00387175" w:rsidRPr="00ED22D1" w:rsidRDefault="004A6828" w:rsidP="00387175">
            <w:pPr>
              <w:keepNext/>
              <w:jc w:val="right"/>
              <w:rPr>
                <w:sz w:val="19"/>
                <w:szCs w:val="19"/>
                <w:lang w:val="fr-CA"/>
              </w:rPr>
            </w:pPr>
            <w:r w:rsidRPr="00ED22D1">
              <w:rPr>
                <w:sz w:val="19"/>
                <w:szCs w:val="19"/>
                <w:lang w:val="fr-CA"/>
              </w:rPr>
              <w:t>2 </w:t>
            </w:r>
            <w:r w:rsidR="00387175" w:rsidRPr="00ED22D1">
              <w:rPr>
                <w:sz w:val="19"/>
                <w:szCs w:val="19"/>
                <w:lang w:val="fr-CA"/>
              </w:rPr>
              <w:t>79</w:t>
            </w:r>
            <w:r w:rsidRPr="00ED22D1">
              <w:rPr>
                <w:sz w:val="19"/>
                <w:szCs w:val="19"/>
                <w:lang w:val="fr-CA"/>
              </w:rPr>
              <w:t>4 </w:t>
            </w:r>
            <w:r w:rsidR="00387175" w:rsidRPr="00ED22D1">
              <w:rPr>
                <w:sz w:val="19"/>
                <w:szCs w:val="19"/>
                <w:lang w:val="fr-CA"/>
              </w:rPr>
              <w:t>281</w:t>
            </w:r>
          </w:p>
        </w:tc>
        <w:tc>
          <w:tcPr>
            <w:tcW w:w="600" w:type="pct"/>
          </w:tcPr>
          <w:p w:rsidR="00387175" w:rsidRPr="00ED22D1" w:rsidRDefault="004A6828" w:rsidP="00387175">
            <w:pPr>
              <w:keepNext/>
              <w:jc w:val="right"/>
              <w:rPr>
                <w:sz w:val="19"/>
                <w:szCs w:val="19"/>
                <w:lang w:val="fr-CA"/>
              </w:rPr>
            </w:pPr>
            <w:r w:rsidRPr="00ED22D1">
              <w:rPr>
                <w:sz w:val="19"/>
                <w:szCs w:val="19"/>
                <w:lang w:val="fr-CA"/>
              </w:rPr>
              <w:t>3 </w:t>
            </w:r>
            <w:r w:rsidR="00387175" w:rsidRPr="00ED22D1">
              <w:rPr>
                <w:sz w:val="19"/>
                <w:szCs w:val="19"/>
                <w:lang w:val="fr-CA"/>
              </w:rPr>
              <w:t>77</w:t>
            </w:r>
            <w:r w:rsidRPr="00ED22D1">
              <w:rPr>
                <w:sz w:val="19"/>
                <w:szCs w:val="19"/>
                <w:lang w:val="fr-CA"/>
              </w:rPr>
              <w:t>7 </w:t>
            </w:r>
            <w:r w:rsidR="00387175" w:rsidRPr="00ED22D1">
              <w:rPr>
                <w:sz w:val="19"/>
                <w:szCs w:val="19"/>
                <w:lang w:val="fr-CA"/>
              </w:rPr>
              <w:t>190</w:t>
            </w:r>
          </w:p>
        </w:tc>
        <w:tc>
          <w:tcPr>
            <w:tcW w:w="676" w:type="pct"/>
          </w:tcPr>
          <w:p w:rsidR="00387175" w:rsidRPr="00ED22D1" w:rsidRDefault="004A6828" w:rsidP="00387175">
            <w:pPr>
              <w:keepNext/>
              <w:jc w:val="right"/>
              <w:rPr>
                <w:sz w:val="19"/>
                <w:szCs w:val="19"/>
                <w:lang w:val="fr-CA"/>
              </w:rPr>
            </w:pPr>
            <w:r w:rsidRPr="00ED22D1">
              <w:rPr>
                <w:sz w:val="19"/>
                <w:szCs w:val="19"/>
                <w:lang w:val="fr-CA"/>
              </w:rPr>
              <w:t>3 </w:t>
            </w:r>
            <w:r w:rsidR="00387175" w:rsidRPr="00ED22D1">
              <w:rPr>
                <w:sz w:val="19"/>
                <w:szCs w:val="19"/>
                <w:lang w:val="fr-CA"/>
              </w:rPr>
              <w:t>74</w:t>
            </w:r>
            <w:r w:rsidRPr="00ED22D1">
              <w:rPr>
                <w:sz w:val="19"/>
                <w:szCs w:val="19"/>
                <w:lang w:val="fr-CA"/>
              </w:rPr>
              <w:t>1 </w:t>
            </w:r>
            <w:r w:rsidR="00387175" w:rsidRPr="00ED22D1">
              <w:rPr>
                <w:sz w:val="19"/>
                <w:szCs w:val="19"/>
                <w:lang w:val="fr-CA"/>
              </w:rPr>
              <w:t>089</w:t>
            </w:r>
          </w:p>
        </w:tc>
        <w:tc>
          <w:tcPr>
            <w:tcW w:w="675" w:type="pct"/>
          </w:tcPr>
          <w:p w:rsidR="00387175" w:rsidRPr="00ED22D1" w:rsidRDefault="004A6828" w:rsidP="00387175">
            <w:pPr>
              <w:keepNext/>
              <w:jc w:val="right"/>
              <w:rPr>
                <w:sz w:val="19"/>
                <w:szCs w:val="19"/>
                <w:lang w:val="fr-CA"/>
              </w:rPr>
            </w:pPr>
            <w:r w:rsidRPr="00ED22D1">
              <w:rPr>
                <w:sz w:val="19"/>
                <w:szCs w:val="19"/>
                <w:lang w:val="fr-CA"/>
              </w:rPr>
              <w:t>6 </w:t>
            </w:r>
            <w:r w:rsidR="00387175" w:rsidRPr="00ED22D1">
              <w:rPr>
                <w:sz w:val="19"/>
                <w:szCs w:val="19"/>
                <w:lang w:val="fr-CA"/>
              </w:rPr>
              <w:t>59</w:t>
            </w:r>
            <w:r w:rsidRPr="00ED22D1">
              <w:rPr>
                <w:sz w:val="19"/>
                <w:szCs w:val="19"/>
                <w:lang w:val="fr-CA"/>
              </w:rPr>
              <w:t>9 </w:t>
            </w:r>
            <w:r w:rsidR="00387175" w:rsidRPr="00ED22D1">
              <w:rPr>
                <w:sz w:val="19"/>
                <w:szCs w:val="19"/>
                <w:lang w:val="fr-CA"/>
              </w:rPr>
              <w:t>127</w:t>
            </w:r>
          </w:p>
        </w:tc>
        <w:tc>
          <w:tcPr>
            <w:tcW w:w="599" w:type="pct"/>
          </w:tcPr>
          <w:p w:rsidR="00387175" w:rsidRPr="00ED22D1" w:rsidRDefault="004A6828" w:rsidP="00387175">
            <w:pPr>
              <w:keepNext/>
              <w:jc w:val="right"/>
              <w:rPr>
                <w:sz w:val="19"/>
                <w:szCs w:val="19"/>
                <w:lang w:val="fr-CA"/>
              </w:rPr>
            </w:pPr>
            <w:r w:rsidRPr="00ED22D1">
              <w:rPr>
                <w:sz w:val="19"/>
                <w:szCs w:val="19"/>
                <w:lang w:val="fr-CA"/>
              </w:rPr>
              <w:t>6 </w:t>
            </w:r>
            <w:r w:rsidR="00387175" w:rsidRPr="00ED22D1">
              <w:rPr>
                <w:sz w:val="19"/>
                <w:szCs w:val="19"/>
                <w:lang w:val="fr-CA"/>
              </w:rPr>
              <w:t>53</w:t>
            </w:r>
            <w:r w:rsidRPr="00ED22D1">
              <w:rPr>
                <w:sz w:val="19"/>
                <w:szCs w:val="19"/>
                <w:lang w:val="fr-CA"/>
              </w:rPr>
              <w:t>5 </w:t>
            </w:r>
            <w:r w:rsidR="00387175" w:rsidRPr="00ED22D1">
              <w:rPr>
                <w:sz w:val="19"/>
                <w:szCs w:val="19"/>
                <w:lang w:val="fr-CA"/>
              </w:rPr>
              <w:t>370</w:t>
            </w:r>
          </w:p>
        </w:tc>
      </w:tr>
      <w:tr w:rsidR="00387175" w:rsidRPr="00ED22D1" w:rsidTr="003B2CAC">
        <w:tc>
          <w:tcPr>
            <w:tcW w:w="1253" w:type="pct"/>
          </w:tcPr>
          <w:p w:rsidR="00387175" w:rsidRPr="00ED22D1" w:rsidRDefault="00181884" w:rsidP="00387175">
            <w:pPr>
              <w:keepNext/>
              <w:jc w:val="left"/>
              <w:rPr>
                <w:b/>
                <w:sz w:val="19"/>
                <w:szCs w:val="19"/>
                <w:lang w:val="fr-CA"/>
              </w:rPr>
            </w:pPr>
            <w:r w:rsidRPr="00ED22D1">
              <w:rPr>
                <w:b/>
                <w:sz w:val="19"/>
                <w:szCs w:val="19"/>
                <w:lang w:val="fr-CA"/>
              </w:rPr>
              <w:t>Taux de décaissement</w:t>
            </w:r>
            <w:r w:rsidR="00387175" w:rsidRPr="00ED22D1">
              <w:rPr>
                <w:b/>
                <w:sz w:val="19"/>
                <w:szCs w:val="19"/>
                <w:lang w:val="fr-CA"/>
              </w:rPr>
              <w:t xml:space="preserve"> </w:t>
            </w:r>
            <w:r w:rsidR="002D6976" w:rsidRPr="00ED22D1">
              <w:rPr>
                <w:b/>
                <w:sz w:val="19"/>
                <w:szCs w:val="19"/>
                <w:lang w:val="fr-CA"/>
              </w:rPr>
              <w:t>(%</w:t>
            </w:r>
            <w:r w:rsidR="00387175" w:rsidRPr="00ED22D1">
              <w:rPr>
                <w:b/>
                <w:sz w:val="19"/>
                <w:szCs w:val="19"/>
                <w:lang w:val="fr-CA"/>
              </w:rPr>
              <w:t>)</w:t>
            </w:r>
          </w:p>
        </w:tc>
        <w:tc>
          <w:tcPr>
            <w:tcW w:w="1197" w:type="pct"/>
            <w:gridSpan w:val="2"/>
          </w:tcPr>
          <w:p w:rsidR="00387175" w:rsidRPr="00ED22D1" w:rsidRDefault="00387175" w:rsidP="00387175">
            <w:pPr>
              <w:keepNext/>
              <w:jc w:val="right"/>
              <w:rPr>
                <w:b/>
                <w:sz w:val="19"/>
                <w:szCs w:val="19"/>
                <w:lang w:val="fr-CA"/>
              </w:rPr>
            </w:pPr>
            <w:r w:rsidRPr="00ED22D1">
              <w:rPr>
                <w:b/>
                <w:sz w:val="19"/>
                <w:szCs w:val="19"/>
                <w:lang w:val="fr-CA"/>
              </w:rPr>
              <w:t>9</w:t>
            </w:r>
            <w:r w:rsidR="004A6828" w:rsidRPr="00ED22D1">
              <w:rPr>
                <w:b/>
                <w:sz w:val="19"/>
                <w:szCs w:val="19"/>
                <w:lang w:val="fr-CA"/>
              </w:rPr>
              <w:t>9,</w:t>
            </w:r>
            <w:r w:rsidRPr="00ED22D1">
              <w:rPr>
                <w:b/>
                <w:sz w:val="19"/>
                <w:szCs w:val="19"/>
                <w:lang w:val="fr-CA"/>
              </w:rPr>
              <w:t>0</w:t>
            </w:r>
          </w:p>
        </w:tc>
        <w:tc>
          <w:tcPr>
            <w:tcW w:w="1276" w:type="pct"/>
            <w:gridSpan w:val="2"/>
          </w:tcPr>
          <w:p w:rsidR="00387175" w:rsidRPr="00ED22D1" w:rsidRDefault="00387175" w:rsidP="00387175">
            <w:pPr>
              <w:keepNext/>
              <w:jc w:val="right"/>
              <w:rPr>
                <w:b/>
                <w:sz w:val="19"/>
                <w:szCs w:val="19"/>
                <w:lang w:val="fr-CA"/>
              </w:rPr>
            </w:pPr>
            <w:r w:rsidRPr="00ED22D1">
              <w:rPr>
                <w:b/>
                <w:sz w:val="19"/>
                <w:szCs w:val="19"/>
                <w:lang w:val="fr-CA"/>
              </w:rPr>
              <w:t>9</w:t>
            </w:r>
            <w:r w:rsidR="004A6828" w:rsidRPr="00ED22D1">
              <w:rPr>
                <w:b/>
                <w:sz w:val="19"/>
                <w:szCs w:val="19"/>
                <w:lang w:val="fr-CA"/>
              </w:rPr>
              <w:t>9,</w:t>
            </w:r>
            <w:r w:rsidRPr="00ED22D1">
              <w:rPr>
                <w:b/>
                <w:sz w:val="19"/>
                <w:szCs w:val="19"/>
                <w:lang w:val="fr-CA"/>
              </w:rPr>
              <w:t>0</w:t>
            </w:r>
          </w:p>
        </w:tc>
        <w:tc>
          <w:tcPr>
            <w:tcW w:w="1274" w:type="pct"/>
            <w:gridSpan w:val="2"/>
          </w:tcPr>
          <w:p w:rsidR="00387175" w:rsidRPr="00ED22D1" w:rsidRDefault="00387175" w:rsidP="00387175">
            <w:pPr>
              <w:keepNext/>
              <w:jc w:val="right"/>
              <w:rPr>
                <w:b/>
                <w:sz w:val="19"/>
                <w:szCs w:val="19"/>
                <w:lang w:val="fr-CA"/>
              </w:rPr>
            </w:pPr>
            <w:r w:rsidRPr="00ED22D1">
              <w:rPr>
                <w:b/>
                <w:sz w:val="19"/>
                <w:szCs w:val="19"/>
                <w:lang w:val="fr-CA"/>
              </w:rPr>
              <w:t>9</w:t>
            </w:r>
            <w:r w:rsidR="004A6828" w:rsidRPr="00ED22D1">
              <w:rPr>
                <w:b/>
                <w:sz w:val="19"/>
                <w:szCs w:val="19"/>
                <w:lang w:val="fr-CA"/>
              </w:rPr>
              <w:t>9,</w:t>
            </w:r>
            <w:r w:rsidRPr="00ED22D1">
              <w:rPr>
                <w:b/>
                <w:sz w:val="19"/>
                <w:szCs w:val="19"/>
                <w:lang w:val="fr-CA"/>
              </w:rPr>
              <w:t>0</w:t>
            </w:r>
          </w:p>
        </w:tc>
      </w:tr>
      <w:tr w:rsidR="00387175" w:rsidRPr="00ED22D1" w:rsidTr="003B2CAC">
        <w:tc>
          <w:tcPr>
            <w:tcW w:w="1253" w:type="pct"/>
          </w:tcPr>
          <w:p w:rsidR="00387175" w:rsidRPr="00ED22D1" w:rsidRDefault="00387175" w:rsidP="001B31BF">
            <w:pPr>
              <w:keepNext/>
              <w:jc w:val="left"/>
              <w:rPr>
                <w:sz w:val="19"/>
                <w:szCs w:val="19"/>
                <w:lang w:val="fr-CA"/>
              </w:rPr>
            </w:pPr>
            <w:r w:rsidRPr="00ED22D1">
              <w:rPr>
                <w:sz w:val="19"/>
                <w:szCs w:val="19"/>
                <w:lang w:val="fr-CA"/>
              </w:rPr>
              <w:t xml:space="preserve">IECO </w:t>
            </w:r>
            <w:r w:rsidR="001B31BF" w:rsidRPr="00ED22D1">
              <w:rPr>
                <w:sz w:val="19"/>
                <w:szCs w:val="19"/>
                <w:lang w:val="fr-CA"/>
              </w:rPr>
              <w:t>aux</w:t>
            </w:r>
            <w:r w:rsidRPr="00ED22D1">
              <w:rPr>
                <w:sz w:val="19"/>
                <w:szCs w:val="19"/>
                <w:lang w:val="fr-CA"/>
              </w:rPr>
              <w:t xml:space="preserve"> </w:t>
            </w:r>
            <w:r w:rsidR="00921BDE" w:rsidRPr="00ED22D1">
              <w:rPr>
                <w:sz w:val="19"/>
                <w:szCs w:val="19"/>
                <w:lang w:val="fr-CA"/>
              </w:rPr>
              <w:t>bénéficiaires</w:t>
            </w:r>
          </w:p>
        </w:tc>
        <w:tc>
          <w:tcPr>
            <w:tcW w:w="1197" w:type="pct"/>
            <w:gridSpan w:val="2"/>
          </w:tcPr>
          <w:p w:rsidR="00387175" w:rsidRPr="00ED22D1" w:rsidRDefault="004A6828" w:rsidP="00387175">
            <w:pPr>
              <w:keepNext/>
              <w:jc w:val="right"/>
              <w:rPr>
                <w:sz w:val="19"/>
                <w:szCs w:val="19"/>
                <w:lang w:val="fr-CA"/>
              </w:rPr>
            </w:pPr>
            <w:r w:rsidRPr="00ED22D1">
              <w:rPr>
                <w:sz w:val="19"/>
                <w:szCs w:val="19"/>
                <w:lang w:val="fr-CA"/>
              </w:rPr>
              <w:t>2 </w:t>
            </w:r>
            <w:r w:rsidR="00387175" w:rsidRPr="00ED22D1">
              <w:rPr>
                <w:sz w:val="19"/>
                <w:szCs w:val="19"/>
                <w:lang w:val="fr-CA"/>
              </w:rPr>
              <w:t>79</w:t>
            </w:r>
            <w:r w:rsidRPr="00ED22D1">
              <w:rPr>
                <w:sz w:val="19"/>
                <w:szCs w:val="19"/>
                <w:lang w:val="fr-CA"/>
              </w:rPr>
              <w:t>6 </w:t>
            </w:r>
            <w:r w:rsidR="00387175" w:rsidRPr="00ED22D1">
              <w:rPr>
                <w:sz w:val="19"/>
                <w:szCs w:val="19"/>
                <w:lang w:val="fr-CA"/>
              </w:rPr>
              <w:t>937</w:t>
            </w:r>
          </w:p>
        </w:tc>
        <w:tc>
          <w:tcPr>
            <w:tcW w:w="1276" w:type="pct"/>
            <w:gridSpan w:val="2"/>
          </w:tcPr>
          <w:p w:rsidR="00387175" w:rsidRPr="00ED22D1" w:rsidRDefault="004A6828" w:rsidP="00387175">
            <w:pPr>
              <w:keepNext/>
              <w:jc w:val="right"/>
              <w:rPr>
                <w:sz w:val="19"/>
                <w:szCs w:val="19"/>
                <w:lang w:val="fr-CA"/>
              </w:rPr>
            </w:pPr>
            <w:r w:rsidRPr="00ED22D1">
              <w:rPr>
                <w:sz w:val="19"/>
                <w:szCs w:val="19"/>
                <w:lang w:val="fr-CA"/>
              </w:rPr>
              <w:t>2 </w:t>
            </w:r>
            <w:r w:rsidR="00387175" w:rsidRPr="00ED22D1">
              <w:rPr>
                <w:sz w:val="19"/>
                <w:szCs w:val="19"/>
                <w:lang w:val="fr-CA"/>
              </w:rPr>
              <w:t>81</w:t>
            </w:r>
            <w:r w:rsidRPr="00ED22D1">
              <w:rPr>
                <w:sz w:val="19"/>
                <w:szCs w:val="19"/>
                <w:lang w:val="fr-CA"/>
              </w:rPr>
              <w:t>9 </w:t>
            </w:r>
            <w:r w:rsidR="00387175" w:rsidRPr="00ED22D1">
              <w:rPr>
                <w:sz w:val="19"/>
                <w:szCs w:val="19"/>
                <w:lang w:val="fr-CA"/>
              </w:rPr>
              <w:t>399</w:t>
            </w:r>
          </w:p>
        </w:tc>
        <w:tc>
          <w:tcPr>
            <w:tcW w:w="1274" w:type="pct"/>
            <w:gridSpan w:val="2"/>
          </w:tcPr>
          <w:p w:rsidR="00387175" w:rsidRPr="00ED22D1" w:rsidRDefault="004A6828" w:rsidP="00387175">
            <w:pPr>
              <w:keepNext/>
              <w:jc w:val="right"/>
              <w:rPr>
                <w:sz w:val="19"/>
                <w:szCs w:val="19"/>
                <w:lang w:val="fr-CA"/>
              </w:rPr>
            </w:pPr>
            <w:r w:rsidRPr="00ED22D1">
              <w:rPr>
                <w:sz w:val="19"/>
                <w:szCs w:val="19"/>
                <w:lang w:val="fr-CA"/>
              </w:rPr>
              <w:t>5 </w:t>
            </w:r>
            <w:r w:rsidR="00387175" w:rsidRPr="00ED22D1">
              <w:rPr>
                <w:sz w:val="19"/>
                <w:szCs w:val="19"/>
                <w:lang w:val="fr-CA"/>
              </w:rPr>
              <w:t>61</w:t>
            </w:r>
            <w:r w:rsidRPr="00ED22D1">
              <w:rPr>
                <w:sz w:val="19"/>
                <w:szCs w:val="19"/>
                <w:lang w:val="fr-CA"/>
              </w:rPr>
              <w:t>6 </w:t>
            </w:r>
            <w:r w:rsidR="00387175" w:rsidRPr="00ED22D1">
              <w:rPr>
                <w:sz w:val="19"/>
                <w:szCs w:val="19"/>
                <w:lang w:val="fr-CA"/>
              </w:rPr>
              <w:t>336</w:t>
            </w:r>
          </w:p>
        </w:tc>
      </w:tr>
      <w:tr w:rsidR="00387175" w:rsidRPr="00ED22D1" w:rsidTr="003B2CAC">
        <w:tc>
          <w:tcPr>
            <w:tcW w:w="1253" w:type="pct"/>
          </w:tcPr>
          <w:p w:rsidR="00387175" w:rsidRPr="00ED22D1" w:rsidRDefault="00181884" w:rsidP="00387175">
            <w:pPr>
              <w:keepNext/>
              <w:jc w:val="left"/>
              <w:rPr>
                <w:b/>
                <w:sz w:val="19"/>
                <w:szCs w:val="19"/>
                <w:lang w:val="fr-CA"/>
              </w:rPr>
            </w:pPr>
            <w:r w:rsidRPr="00ED22D1">
              <w:rPr>
                <w:b/>
                <w:sz w:val="19"/>
                <w:szCs w:val="19"/>
                <w:lang w:val="fr-CA"/>
              </w:rPr>
              <w:t>Taux de décaissement</w:t>
            </w:r>
            <w:r w:rsidR="00387175" w:rsidRPr="00ED22D1">
              <w:rPr>
                <w:b/>
                <w:sz w:val="19"/>
                <w:szCs w:val="19"/>
                <w:lang w:val="fr-CA"/>
              </w:rPr>
              <w:t xml:space="preserve"> </w:t>
            </w:r>
            <w:r w:rsidR="002D6976" w:rsidRPr="00ED22D1">
              <w:rPr>
                <w:b/>
                <w:sz w:val="19"/>
                <w:szCs w:val="19"/>
                <w:lang w:val="fr-CA"/>
              </w:rPr>
              <w:t>(%</w:t>
            </w:r>
            <w:r w:rsidR="00387175" w:rsidRPr="00ED22D1">
              <w:rPr>
                <w:b/>
                <w:sz w:val="19"/>
                <w:szCs w:val="19"/>
                <w:lang w:val="fr-CA"/>
              </w:rPr>
              <w:t>)</w:t>
            </w:r>
          </w:p>
        </w:tc>
        <w:tc>
          <w:tcPr>
            <w:tcW w:w="1197" w:type="pct"/>
            <w:gridSpan w:val="2"/>
          </w:tcPr>
          <w:p w:rsidR="00387175" w:rsidRPr="00ED22D1" w:rsidRDefault="00387175" w:rsidP="00387175">
            <w:pPr>
              <w:keepNext/>
              <w:jc w:val="right"/>
              <w:rPr>
                <w:b/>
                <w:sz w:val="19"/>
                <w:szCs w:val="19"/>
                <w:lang w:val="fr-CA"/>
              </w:rPr>
            </w:pPr>
            <w:r w:rsidRPr="00ED22D1">
              <w:rPr>
                <w:b/>
                <w:sz w:val="19"/>
                <w:szCs w:val="19"/>
                <w:lang w:val="fr-CA"/>
              </w:rPr>
              <w:t>9</w:t>
            </w:r>
            <w:r w:rsidR="004A6828" w:rsidRPr="00ED22D1">
              <w:rPr>
                <w:b/>
                <w:sz w:val="19"/>
                <w:szCs w:val="19"/>
                <w:lang w:val="fr-CA"/>
              </w:rPr>
              <w:t>9,</w:t>
            </w:r>
            <w:r w:rsidRPr="00ED22D1">
              <w:rPr>
                <w:b/>
                <w:sz w:val="19"/>
                <w:szCs w:val="19"/>
                <w:lang w:val="fr-CA"/>
              </w:rPr>
              <w:t>1</w:t>
            </w:r>
          </w:p>
        </w:tc>
        <w:tc>
          <w:tcPr>
            <w:tcW w:w="1276" w:type="pct"/>
            <w:gridSpan w:val="2"/>
          </w:tcPr>
          <w:p w:rsidR="00387175" w:rsidRPr="00ED22D1" w:rsidRDefault="00387175" w:rsidP="00387175">
            <w:pPr>
              <w:keepNext/>
              <w:jc w:val="right"/>
              <w:rPr>
                <w:b/>
                <w:sz w:val="19"/>
                <w:szCs w:val="19"/>
                <w:lang w:val="fr-CA"/>
              </w:rPr>
            </w:pPr>
            <w:r w:rsidRPr="00ED22D1">
              <w:rPr>
                <w:b/>
                <w:sz w:val="19"/>
                <w:szCs w:val="19"/>
                <w:lang w:val="fr-CA"/>
              </w:rPr>
              <w:t>7</w:t>
            </w:r>
            <w:r w:rsidR="004A6828" w:rsidRPr="00ED22D1">
              <w:rPr>
                <w:b/>
                <w:sz w:val="19"/>
                <w:szCs w:val="19"/>
                <w:lang w:val="fr-CA"/>
              </w:rPr>
              <w:t>4,</w:t>
            </w:r>
            <w:r w:rsidRPr="00ED22D1">
              <w:rPr>
                <w:b/>
                <w:sz w:val="19"/>
                <w:szCs w:val="19"/>
                <w:lang w:val="fr-CA"/>
              </w:rPr>
              <w:t>6</w:t>
            </w:r>
          </w:p>
        </w:tc>
        <w:tc>
          <w:tcPr>
            <w:tcW w:w="1274" w:type="pct"/>
            <w:gridSpan w:val="2"/>
          </w:tcPr>
          <w:p w:rsidR="00387175" w:rsidRPr="00ED22D1" w:rsidRDefault="00387175" w:rsidP="00387175">
            <w:pPr>
              <w:keepNext/>
              <w:jc w:val="right"/>
              <w:rPr>
                <w:b/>
                <w:sz w:val="19"/>
                <w:szCs w:val="19"/>
                <w:lang w:val="fr-CA"/>
              </w:rPr>
            </w:pPr>
            <w:r w:rsidRPr="00ED22D1">
              <w:rPr>
                <w:b/>
                <w:sz w:val="19"/>
                <w:szCs w:val="19"/>
                <w:lang w:val="fr-CA"/>
              </w:rPr>
              <w:t>8</w:t>
            </w:r>
            <w:r w:rsidR="004A6828" w:rsidRPr="00ED22D1">
              <w:rPr>
                <w:b/>
                <w:sz w:val="19"/>
                <w:szCs w:val="19"/>
                <w:lang w:val="fr-CA"/>
              </w:rPr>
              <w:t>5,</w:t>
            </w:r>
            <w:r w:rsidRPr="00ED22D1">
              <w:rPr>
                <w:b/>
                <w:sz w:val="19"/>
                <w:szCs w:val="19"/>
                <w:lang w:val="fr-CA"/>
              </w:rPr>
              <w:t>1</w:t>
            </w:r>
          </w:p>
        </w:tc>
      </w:tr>
    </w:tbl>
    <w:p w:rsidR="00387175" w:rsidRPr="00ED22D1" w:rsidRDefault="00387175" w:rsidP="00387175">
      <w:pPr>
        <w:rPr>
          <w:sz w:val="19"/>
          <w:szCs w:val="19"/>
          <w:lang w:val="fr-CA"/>
        </w:rPr>
      </w:pPr>
    </w:p>
    <w:p w:rsidR="00387175" w:rsidRPr="00ED22D1" w:rsidRDefault="001B31BF" w:rsidP="00387175">
      <w:pPr>
        <w:spacing w:after="240"/>
        <w:rPr>
          <w:u w:val="single"/>
          <w:lang w:val="fr-CA"/>
        </w:rPr>
      </w:pPr>
      <w:r w:rsidRPr="00ED22D1">
        <w:rPr>
          <w:u w:val="single"/>
          <w:lang w:val="fr-CA"/>
        </w:rPr>
        <w:t>Plan de m</w:t>
      </w:r>
      <w:r w:rsidR="00921BDE" w:rsidRPr="00ED22D1">
        <w:rPr>
          <w:u w:val="single"/>
          <w:lang w:val="fr-CA"/>
        </w:rPr>
        <w:t xml:space="preserve">ise en oeuvre </w:t>
      </w:r>
      <w:r w:rsidRPr="00ED22D1">
        <w:rPr>
          <w:u w:val="single"/>
          <w:lang w:val="fr-CA"/>
        </w:rPr>
        <w:t xml:space="preserve">de la </w:t>
      </w:r>
      <w:r w:rsidR="004A6828" w:rsidRPr="00ED22D1">
        <w:rPr>
          <w:u w:val="single"/>
          <w:lang w:val="fr-CA"/>
        </w:rPr>
        <w:t>troisième</w:t>
      </w:r>
      <w:r w:rsidR="00387175" w:rsidRPr="00ED22D1">
        <w:rPr>
          <w:u w:val="single"/>
          <w:lang w:val="fr-CA"/>
        </w:rPr>
        <w:t xml:space="preserve"> tranche</w:t>
      </w:r>
    </w:p>
    <w:p w:rsidR="00387175" w:rsidRPr="00ED22D1" w:rsidRDefault="00EB650F" w:rsidP="00EB650F">
      <w:pPr>
        <w:pStyle w:val="Heading1"/>
        <w:numPr>
          <w:ilvl w:val="0"/>
          <w:numId w:val="0"/>
        </w:numPr>
        <w:rPr>
          <w:lang w:val="fr-CA"/>
        </w:rPr>
      </w:pPr>
      <w:r w:rsidRPr="00ED22D1">
        <w:rPr>
          <w:lang w:val="fr-CA"/>
        </w:rPr>
        <w:t>120.</w:t>
      </w:r>
      <w:r w:rsidRPr="00ED22D1">
        <w:rPr>
          <w:lang w:val="fr-CA"/>
        </w:rPr>
        <w:tab/>
      </w:r>
      <w:r w:rsidR="00CD1A8F" w:rsidRPr="00ED22D1">
        <w:rPr>
          <w:lang w:val="fr-CA"/>
        </w:rPr>
        <w:t>Les activités suivantes seront mises en oeuvre jusqu’en</w:t>
      </w:r>
      <w:r w:rsidR="001B31BF" w:rsidRPr="00ED22D1">
        <w:rPr>
          <w:lang w:val="fr-CA"/>
        </w:rPr>
        <w:t xml:space="preserve"> décembre</w:t>
      </w:r>
      <w:r w:rsidR="00387175" w:rsidRPr="00ED22D1">
        <w:rPr>
          <w:lang w:val="fr-CA"/>
        </w:rPr>
        <w:t xml:space="preserve"> 2019</w:t>
      </w:r>
      <w:r w:rsidR="00791BF7" w:rsidRPr="00ED22D1">
        <w:rPr>
          <w:lang w:val="fr-CA"/>
        </w:rPr>
        <w:t> :</w:t>
      </w:r>
    </w:p>
    <w:p w:rsidR="00387175" w:rsidRPr="00ED22D1" w:rsidRDefault="00EB650F" w:rsidP="00B86701">
      <w:pPr>
        <w:pStyle w:val="Heading2"/>
        <w:numPr>
          <w:ilvl w:val="0"/>
          <w:numId w:val="0"/>
        </w:numPr>
        <w:ind w:left="1418" w:hanging="698"/>
        <w:rPr>
          <w:lang w:val="fr-CA"/>
        </w:rPr>
      </w:pPr>
      <w:r w:rsidRPr="00ED22D1">
        <w:rPr>
          <w:lang w:val="fr-CA"/>
        </w:rPr>
        <w:t>(a)</w:t>
      </w:r>
      <w:r w:rsidRPr="00ED22D1">
        <w:rPr>
          <w:i/>
          <w:lang w:val="fr-CA"/>
        </w:rPr>
        <w:tab/>
      </w:r>
      <w:r w:rsidR="00CD1A8F" w:rsidRPr="00ED22D1">
        <w:rPr>
          <w:i/>
          <w:lang w:val="fr-CA"/>
        </w:rPr>
        <w:t>Mesures de politique</w:t>
      </w:r>
      <w:r w:rsidR="00791BF7" w:rsidRPr="00ED22D1">
        <w:rPr>
          <w:lang w:val="fr-CA"/>
        </w:rPr>
        <w:t> :</w:t>
      </w:r>
      <w:r w:rsidR="00F320D6" w:rsidRPr="00ED22D1">
        <w:rPr>
          <w:lang w:val="fr-CA"/>
        </w:rPr>
        <w:t xml:space="preserve"> </w:t>
      </w:r>
      <w:r w:rsidR="00CD1A8F" w:rsidRPr="00ED22D1">
        <w:rPr>
          <w:lang w:val="fr-CA"/>
        </w:rPr>
        <w:t>l</w:t>
      </w:r>
      <w:r w:rsidR="00F320D6" w:rsidRPr="00ED22D1">
        <w:rPr>
          <w:lang w:val="fr-CA"/>
        </w:rPr>
        <w:t>’IECO</w:t>
      </w:r>
      <w:r w:rsidR="00387175" w:rsidRPr="00ED22D1">
        <w:rPr>
          <w:lang w:val="fr-CA"/>
        </w:rPr>
        <w:t xml:space="preserve"> </w:t>
      </w:r>
      <w:r w:rsidR="00CD1A8F" w:rsidRPr="00ED22D1">
        <w:rPr>
          <w:lang w:val="fr-CA"/>
        </w:rPr>
        <w:t xml:space="preserve">continuera la mise à exécution de la </w:t>
      </w:r>
      <w:r w:rsidR="00DE118B" w:rsidRPr="00ED22D1">
        <w:rPr>
          <w:lang w:val="fr-CA"/>
        </w:rPr>
        <w:t>gestion des contingents</w:t>
      </w:r>
      <w:r w:rsidR="00387175" w:rsidRPr="00ED22D1">
        <w:rPr>
          <w:lang w:val="fr-CA"/>
        </w:rPr>
        <w:t xml:space="preserve"> </w:t>
      </w:r>
      <w:r w:rsidR="001B31BF" w:rsidRPr="00ED22D1">
        <w:rPr>
          <w:lang w:val="fr-CA"/>
        </w:rPr>
        <w:t>dans le secteur des solvants</w:t>
      </w:r>
      <w:r w:rsidR="00387175" w:rsidRPr="00ED22D1">
        <w:rPr>
          <w:lang w:val="fr-CA"/>
        </w:rPr>
        <w:t xml:space="preserve">, </w:t>
      </w:r>
      <w:r w:rsidR="00FC289E" w:rsidRPr="00ED22D1">
        <w:rPr>
          <w:lang w:val="fr-CA"/>
        </w:rPr>
        <w:t xml:space="preserve">les </w:t>
      </w:r>
      <w:r w:rsidR="00387175" w:rsidRPr="00ED22D1">
        <w:rPr>
          <w:lang w:val="fr-CA"/>
        </w:rPr>
        <w:t>Ecology</w:t>
      </w:r>
      <w:r w:rsidR="004A6828" w:rsidRPr="00ED22D1">
        <w:rPr>
          <w:lang w:val="fr-CA"/>
        </w:rPr>
        <w:t xml:space="preserve"> </w:t>
      </w:r>
      <w:r w:rsidR="00FC289E" w:rsidRPr="00ED22D1">
        <w:rPr>
          <w:lang w:val="fr-CA"/>
        </w:rPr>
        <w:t>and</w:t>
      </w:r>
      <w:r w:rsidR="004A6828" w:rsidRPr="00ED22D1">
        <w:rPr>
          <w:lang w:val="fr-CA"/>
        </w:rPr>
        <w:t xml:space="preserve"> </w:t>
      </w:r>
      <w:r w:rsidR="00387175" w:rsidRPr="00ED22D1">
        <w:rPr>
          <w:lang w:val="fr-CA"/>
        </w:rPr>
        <w:t>Environment Bureaus (</w:t>
      </w:r>
      <w:r w:rsidR="009779EC">
        <w:rPr>
          <w:lang w:val="fr-CA"/>
        </w:rPr>
        <w:t>EEB</w:t>
      </w:r>
      <w:r w:rsidR="00387175" w:rsidRPr="00ED22D1">
        <w:rPr>
          <w:lang w:val="fr-CA"/>
        </w:rPr>
        <w:t>)</w:t>
      </w:r>
      <w:r w:rsidR="00FC289E" w:rsidRPr="00ED22D1">
        <w:rPr>
          <w:lang w:val="fr-CA"/>
        </w:rPr>
        <w:t xml:space="preserve"> </w:t>
      </w:r>
      <w:r w:rsidR="00FC289E" w:rsidRPr="00ED22D1">
        <w:rPr>
          <w:lang w:val="fr-CA"/>
        </w:rPr>
        <w:lastRenderedPageBreak/>
        <w:t xml:space="preserve">locaux amélioreront leurs systèmes d’enregistrement de la consommation et des ventes de </w:t>
      </w:r>
      <w:r w:rsidR="00387175" w:rsidRPr="00ED22D1">
        <w:rPr>
          <w:lang w:val="fr-CA"/>
        </w:rPr>
        <w:t>HCFC;</w:t>
      </w:r>
      <w:r w:rsidR="00FC289E" w:rsidRPr="00ED22D1">
        <w:rPr>
          <w:lang w:val="fr-CA"/>
        </w:rPr>
        <w:t xml:space="preserve"> </w:t>
      </w:r>
      <w:r w:rsidR="004A6828" w:rsidRPr="00ED22D1">
        <w:rPr>
          <w:lang w:val="fr-CA"/>
        </w:rPr>
        <w:t>et</w:t>
      </w:r>
      <w:r w:rsidR="00FC289E" w:rsidRPr="00ED22D1">
        <w:rPr>
          <w:lang w:val="fr-CA"/>
        </w:rPr>
        <w:t xml:space="preserve"> la </w:t>
      </w:r>
      <w:r w:rsidR="004A6828" w:rsidRPr="00ED22D1">
        <w:rPr>
          <w:lang w:val="fr-CA"/>
        </w:rPr>
        <w:t xml:space="preserve"> </w:t>
      </w:r>
      <w:r w:rsidR="00387175" w:rsidRPr="00ED22D1">
        <w:rPr>
          <w:lang w:val="fr-CA"/>
        </w:rPr>
        <w:t xml:space="preserve">Beijing University of Chemical </w:t>
      </w:r>
      <w:r w:rsidRPr="00ED22D1">
        <w:rPr>
          <w:lang w:val="fr-CA"/>
        </w:rPr>
        <w:tab/>
      </w:r>
      <w:r w:rsidR="004B666A" w:rsidRPr="00ED22D1">
        <w:rPr>
          <w:lang w:val="fr-CA"/>
        </w:rPr>
        <w:t>Technolog</w:t>
      </w:r>
      <w:r w:rsidR="00FC289E" w:rsidRPr="00ED22D1">
        <w:rPr>
          <w:lang w:val="fr-CA"/>
        </w:rPr>
        <w:t>y</w:t>
      </w:r>
      <w:r w:rsidR="00387175" w:rsidRPr="00ED22D1">
        <w:rPr>
          <w:lang w:val="fr-CA"/>
        </w:rPr>
        <w:t xml:space="preserve"> </w:t>
      </w:r>
      <w:r w:rsidR="00FC289E" w:rsidRPr="00ED22D1">
        <w:rPr>
          <w:lang w:val="fr-CA"/>
        </w:rPr>
        <w:t xml:space="preserve">poursuivra sa recherche sur l’interdiction d’utiliser des </w:t>
      </w:r>
      <w:r w:rsidR="00181884" w:rsidRPr="00ED22D1">
        <w:rPr>
          <w:lang w:val="fr-CA"/>
        </w:rPr>
        <w:t>HCFC</w:t>
      </w:r>
      <w:r w:rsidR="00387175" w:rsidRPr="00ED22D1">
        <w:rPr>
          <w:lang w:val="fr-CA"/>
        </w:rPr>
        <w:t xml:space="preserve"> </w:t>
      </w:r>
      <w:r w:rsidR="00FC289E" w:rsidRPr="00ED22D1">
        <w:rPr>
          <w:lang w:val="fr-CA"/>
        </w:rPr>
        <w:t xml:space="preserve">dans le sous-secteur </w:t>
      </w:r>
      <w:r w:rsidR="00387175" w:rsidRPr="00ED22D1">
        <w:rPr>
          <w:lang w:val="fr-CA"/>
        </w:rPr>
        <w:t>DMD</w:t>
      </w:r>
      <w:r w:rsidR="00733306" w:rsidRPr="00ED22D1">
        <w:rPr>
          <w:lang w:val="fr-CA"/>
        </w:rPr>
        <w:t xml:space="preserve"> </w:t>
      </w:r>
      <w:r w:rsidR="00387175" w:rsidRPr="00ED22D1">
        <w:rPr>
          <w:lang w:val="fr-CA"/>
        </w:rPr>
        <w:t>(</w:t>
      </w:r>
      <w:r w:rsidR="00905638" w:rsidRPr="00ED22D1">
        <w:rPr>
          <w:lang w:val="fr-CA"/>
        </w:rPr>
        <w:t>financement</w:t>
      </w:r>
      <w:r w:rsidR="00387175" w:rsidRPr="00ED22D1">
        <w:rPr>
          <w:lang w:val="fr-CA"/>
        </w:rPr>
        <w:t xml:space="preserve"> </w:t>
      </w:r>
      <w:r w:rsidR="00FC289E" w:rsidRPr="00ED22D1">
        <w:rPr>
          <w:lang w:val="fr-CA"/>
        </w:rPr>
        <w:t>de la tranche précédente</w:t>
      </w:r>
      <w:r w:rsidR="00387175" w:rsidRPr="00ED22D1">
        <w:rPr>
          <w:lang w:val="fr-CA"/>
        </w:rPr>
        <w:t>);</w:t>
      </w:r>
    </w:p>
    <w:p w:rsidR="00387175" w:rsidRPr="00ED22D1" w:rsidRDefault="00EB650F" w:rsidP="00EB650F">
      <w:pPr>
        <w:pStyle w:val="Heading2"/>
        <w:numPr>
          <w:ilvl w:val="0"/>
          <w:numId w:val="0"/>
        </w:numPr>
        <w:ind w:left="1418" w:hanging="698"/>
        <w:rPr>
          <w:lang w:val="fr-CA"/>
        </w:rPr>
      </w:pPr>
      <w:r w:rsidRPr="00ED22D1">
        <w:rPr>
          <w:i/>
          <w:lang w:val="fr-CA"/>
        </w:rPr>
        <w:t>(</w:t>
      </w:r>
      <w:r w:rsidRPr="00ED22D1">
        <w:rPr>
          <w:lang w:val="fr-CA"/>
        </w:rPr>
        <w:t>b)</w:t>
      </w:r>
      <w:r w:rsidRPr="00ED22D1">
        <w:rPr>
          <w:lang w:val="fr-CA"/>
        </w:rPr>
        <w:tab/>
      </w:r>
      <w:r w:rsidR="00FC289E" w:rsidRPr="00ED22D1">
        <w:rPr>
          <w:i/>
          <w:lang w:val="fr-CA"/>
        </w:rPr>
        <w:t>Activités au niveau de l’entreprise</w:t>
      </w:r>
      <w:r w:rsidR="00791BF7" w:rsidRPr="00ED22D1">
        <w:rPr>
          <w:lang w:val="fr-CA"/>
        </w:rPr>
        <w:t> :</w:t>
      </w:r>
      <w:r w:rsidR="00387175" w:rsidRPr="00ED22D1">
        <w:rPr>
          <w:lang w:val="fr-CA"/>
        </w:rPr>
        <w:t xml:space="preserve"> </w:t>
      </w:r>
      <w:r w:rsidR="00FC289E" w:rsidRPr="00ED22D1">
        <w:rPr>
          <w:lang w:val="fr-CA"/>
        </w:rPr>
        <w:t xml:space="preserve">Les 24 </w:t>
      </w:r>
      <w:r w:rsidR="00181884" w:rsidRPr="00ED22D1">
        <w:rPr>
          <w:lang w:val="fr-CA"/>
        </w:rPr>
        <w:t>première</w:t>
      </w:r>
      <w:r w:rsidR="00FC289E" w:rsidRPr="00ED22D1">
        <w:rPr>
          <w:lang w:val="fr-CA"/>
        </w:rPr>
        <w:t>s</w:t>
      </w:r>
      <w:r w:rsidR="00387175" w:rsidRPr="00ED22D1">
        <w:rPr>
          <w:lang w:val="fr-CA"/>
        </w:rPr>
        <w:t xml:space="preserve"> </w:t>
      </w:r>
      <w:r w:rsidR="00921BDE" w:rsidRPr="00ED22D1">
        <w:rPr>
          <w:lang w:val="fr-CA"/>
        </w:rPr>
        <w:t>entreprise</w:t>
      </w:r>
      <w:r w:rsidR="00387175" w:rsidRPr="00ED22D1">
        <w:rPr>
          <w:lang w:val="fr-CA"/>
        </w:rPr>
        <w:t xml:space="preserve">s </w:t>
      </w:r>
      <w:r w:rsidR="00FC289E" w:rsidRPr="00ED22D1">
        <w:rPr>
          <w:lang w:val="fr-CA"/>
        </w:rPr>
        <w:t xml:space="preserve">poursuivront la </w:t>
      </w:r>
      <w:r w:rsidR="00FB1DC4" w:rsidRPr="00ED22D1">
        <w:rPr>
          <w:lang w:val="fr-CA"/>
        </w:rPr>
        <w:t>reconversion</w:t>
      </w:r>
      <w:r w:rsidR="00FC289E" w:rsidRPr="00ED22D1">
        <w:rPr>
          <w:lang w:val="fr-CA"/>
        </w:rPr>
        <w:t xml:space="preserve">, afin de terminer l’élimination des </w:t>
      </w:r>
      <w:r w:rsidR="00387175" w:rsidRPr="00ED22D1">
        <w:rPr>
          <w:lang w:val="fr-CA"/>
        </w:rPr>
        <w:t xml:space="preserve">HCFC </w:t>
      </w:r>
      <w:r w:rsidR="00FC289E" w:rsidRPr="00ED22D1">
        <w:rPr>
          <w:lang w:val="fr-CA"/>
        </w:rPr>
        <w:t>d’ici</w:t>
      </w:r>
      <w:r w:rsidR="00DE118B" w:rsidRPr="00ED22D1">
        <w:rPr>
          <w:lang w:val="fr-CA"/>
        </w:rPr>
        <w:t xml:space="preserve"> </w:t>
      </w:r>
      <w:r w:rsidR="001B31BF" w:rsidRPr="00ED22D1">
        <w:rPr>
          <w:lang w:val="fr-CA"/>
        </w:rPr>
        <w:t>décembre</w:t>
      </w:r>
      <w:r w:rsidR="00387175" w:rsidRPr="00ED22D1">
        <w:rPr>
          <w:lang w:val="fr-CA"/>
        </w:rPr>
        <w:t xml:space="preserve"> 2019</w:t>
      </w:r>
      <w:r w:rsidR="00646A93" w:rsidRPr="00ED22D1">
        <w:rPr>
          <w:lang w:val="fr-CA"/>
        </w:rPr>
        <w:t xml:space="preserve">. Un atelier sera organisé pour </w:t>
      </w:r>
      <w:r w:rsidR="00BB7CCB" w:rsidRPr="00ED22D1">
        <w:rPr>
          <w:lang w:val="fr-CA"/>
        </w:rPr>
        <w:t xml:space="preserve">ces </w:t>
      </w:r>
      <w:r w:rsidR="00921BDE" w:rsidRPr="00ED22D1">
        <w:rPr>
          <w:lang w:val="fr-CA"/>
        </w:rPr>
        <w:t>entreprise</w:t>
      </w:r>
      <w:r w:rsidR="00387175" w:rsidRPr="00ED22D1">
        <w:rPr>
          <w:lang w:val="fr-CA"/>
        </w:rPr>
        <w:t xml:space="preserve">s </w:t>
      </w:r>
      <w:r w:rsidR="00646A93" w:rsidRPr="00ED22D1">
        <w:rPr>
          <w:lang w:val="fr-CA"/>
        </w:rPr>
        <w:t xml:space="preserve">afin de partager les expériences et les leçons apprises dans leur </w:t>
      </w:r>
      <w:r w:rsidR="001B45EC" w:rsidRPr="00ED22D1">
        <w:rPr>
          <w:lang w:val="fr-CA"/>
        </w:rPr>
        <w:t>projet</w:t>
      </w:r>
      <w:r w:rsidR="00387175" w:rsidRPr="00ED22D1">
        <w:rPr>
          <w:lang w:val="fr-CA"/>
        </w:rPr>
        <w:t xml:space="preserve"> </w:t>
      </w:r>
      <w:r w:rsidR="00646A93" w:rsidRPr="00ED22D1">
        <w:rPr>
          <w:lang w:val="fr-CA"/>
        </w:rPr>
        <w:t xml:space="preserve">de </w:t>
      </w:r>
      <w:r w:rsidR="00921BDE" w:rsidRPr="00ED22D1">
        <w:rPr>
          <w:lang w:val="fr-CA"/>
        </w:rPr>
        <w:t xml:space="preserve">mise en oeuvre </w:t>
      </w:r>
      <w:r w:rsidR="00646A93" w:rsidRPr="00ED22D1">
        <w:rPr>
          <w:lang w:val="fr-CA"/>
        </w:rPr>
        <w:t>afin de faciliter le travail de succession aux entreprises participantes. Et on terminera la vérification de la consommation de référence des</w:t>
      </w:r>
      <w:r w:rsidR="004A6828" w:rsidRPr="00ED22D1">
        <w:rPr>
          <w:lang w:val="fr-CA"/>
        </w:rPr>
        <w:t xml:space="preserve"> </w:t>
      </w:r>
      <w:r w:rsidR="00181884" w:rsidRPr="00ED22D1">
        <w:rPr>
          <w:lang w:val="fr-CA"/>
        </w:rPr>
        <w:t>HCFC</w:t>
      </w:r>
      <w:r w:rsidR="00387175" w:rsidRPr="00ED22D1">
        <w:rPr>
          <w:lang w:val="fr-CA"/>
        </w:rPr>
        <w:t xml:space="preserve"> </w:t>
      </w:r>
      <w:r w:rsidR="00646A93" w:rsidRPr="00ED22D1">
        <w:rPr>
          <w:lang w:val="fr-CA"/>
        </w:rPr>
        <w:t xml:space="preserve">pour le nouveau lot </w:t>
      </w:r>
      <w:r w:rsidR="00387175" w:rsidRPr="00ED22D1">
        <w:rPr>
          <w:lang w:val="fr-CA"/>
        </w:rPr>
        <w:t xml:space="preserve">(26) </w:t>
      </w:r>
      <w:r w:rsidR="00646A93" w:rsidRPr="00ED22D1">
        <w:rPr>
          <w:lang w:val="fr-CA"/>
        </w:rPr>
        <w:t>d’</w:t>
      </w:r>
      <w:r w:rsidR="001C69F9" w:rsidRPr="00ED22D1">
        <w:rPr>
          <w:lang w:val="fr-CA"/>
        </w:rPr>
        <w:t>entreprises bénéficiaires</w:t>
      </w:r>
      <w:r w:rsidR="00646A93" w:rsidRPr="00ED22D1">
        <w:rPr>
          <w:lang w:val="fr-CA"/>
        </w:rPr>
        <w:t xml:space="preserve"> qualifiées</w:t>
      </w:r>
      <w:r w:rsidR="00387175" w:rsidRPr="00ED22D1">
        <w:rPr>
          <w:lang w:val="fr-CA"/>
        </w:rPr>
        <w:t xml:space="preserve">. </w:t>
      </w:r>
      <w:r w:rsidR="00646A93" w:rsidRPr="00ED22D1">
        <w:rPr>
          <w:lang w:val="fr-CA"/>
        </w:rPr>
        <w:t xml:space="preserve">On s’attend à signer des contrats </w:t>
      </w:r>
      <w:r w:rsidR="00B84F94" w:rsidRPr="00ED22D1">
        <w:rPr>
          <w:lang w:val="fr-CA"/>
        </w:rPr>
        <w:t xml:space="preserve">avec </w:t>
      </w:r>
      <w:r w:rsidR="00BB7CCB" w:rsidRPr="00ED22D1">
        <w:rPr>
          <w:lang w:val="fr-CA"/>
        </w:rPr>
        <w:t xml:space="preserve">ces </w:t>
      </w:r>
      <w:r w:rsidR="001C69F9" w:rsidRPr="00ED22D1">
        <w:rPr>
          <w:lang w:val="fr-CA"/>
        </w:rPr>
        <w:t>entreprises bénéficiaires</w:t>
      </w:r>
      <w:r w:rsidR="00903152" w:rsidRPr="00ED22D1">
        <w:rPr>
          <w:lang w:val="fr-CA"/>
        </w:rPr>
        <w:t xml:space="preserve"> </w:t>
      </w:r>
      <w:r w:rsidR="0052712E" w:rsidRPr="00ED22D1">
        <w:rPr>
          <w:lang w:val="fr-CA"/>
        </w:rPr>
        <w:t>en 20</w:t>
      </w:r>
      <w:r w:rsidR="00387175" w:rsidRPr="00ED22D1">
        <w:rPr>
          <w:lang w:val="fr-CA"/>
        </w:rPr>
        <w:t>19 (</w:t>
      </w:r>
      <w:r w:rsidR="004A6828" w:rsidRPr="00ED22D1">
        <w:rPr>
          <w:lang w:val="fr-CA"/>
        </w:rPr>
        <w:t>5 </w:t>
      </w:r>
      <w:r w:rsidR="00387175" w:rsidRPr="00ED22D1">
        <w:rPr>
          <w:lang w:val="fr-CA"/>
        </w:rPr>
        <w:t>13</w:t>
      </w:r>
      <w:r w:rsidR="004A6828" w:rsidRPr="00ED22D1">
        <w:rPr>
          <w:lang w:val="fr-CA"/>
        </w:rPr>
        <w:t>1 </w:t>
      </w:r>
      <w:r w:rsidR="00387175" w:rsidRPr="00ED22D1">
        <w:rPr>
          <w:lang w:val="fr-CA"/>
        </w:rPr>
        <w:t>587</w:t>
      </w:r>
      <w:r w:rsidR="00EC100C" w:rsidRPr="00ED22D1">
        <w:rPr>
          <w:lang w:val="fr-CA"/>
        </w:rPr>
        <w:t> $US</w:t>
      </w:r>
      <w:r w:rsidR="00387175" w:rsidRPr="00ED22D1">
        <w:rPr>
          <w:lang w:val="fr-CA"/>
        </w:rPr>
        <w:t>);</w:t>
      </w:r>
    </w:p>
    <w:p w:rsidR="00387175" w:rsidRPr="00ED22D1" w:rsidRDefault="00EB650F" w:rsidP="00EB650F">
      <w:pPr>
        <w:pStyle w:val="Heading2"/>
        <w:keepNext/>
        <w:keepLines/>
        <w:widowControl/>
        <w:numPr>
          <w:ilvl w:val="0"/>
          <w:numId w:val="0"/>
        </w:numPr>
        <w:ind w:left="1418" w:hanging="698"/>
        <w:rPr>
          <w:lang w:val="fr-CA"/>
        </w:rPr>
      </w:pPr>
      <w:r w:rsidRPr="00ED22D1">
        <w:rPr>
          <w:lang w:val="fr-CA"/>
        </w:rPr>
        <w:t>(c)</w:t>
      </w:r>
      <w:r w:rsidRPr="00ED22D1">
        <w:rPr>
          <w:lang w:val="fr-CA"/>
        </w:rPr>
        <w:tab/>
      </w:r>
      <w:r w:rsidR="00DE118B" w:rsidRPr="00ED22D1">
        <w:rPr>
          <w:i/>
          <w:lang w:val="fr-CA"/>
        </w:rPr>
        <w:t>Assistance technique</w:t>
      </w:r>
      <w:r w:rsidR="00791BF7" w:rsidRPr="00ED22D1">
        <w:rPr>
          <w:i/>
          <w:lang w:val="fr-CA"/>
        </w:rPr>
        <w:t> :</w:t>
      </w:r>
      <w:r w:rsidR="00387175" w:rsidRPr="00ED22D1">
        <w:rPr>
          <w:lang w:val="fr-CA"/>
        </w:rPr>
        <w:t xml:space="preserve"> </w:t>
      </w:r>
      <w:r w:rsidR="00C05580">
        <w:rPr>
          <w:lang w:val="fr-CA"/>
        </w:rPr>
        <w:t>On organisera u</w:t>
      </w:r>
      <w:r w:rsidR="00646A93" w:rsidRPr="00ED22D1">
        <w:rPr>
          <w:lang w:val="fr-CA"/>
        </w:rPr>
        <w:t>n atelier</w:t>
      </w:r>
      <w:r w:rsidR="00387175" w:rsidRPr="00ED22D1">
        <w:rPr>
          <w:lang w:val="fr-CA"/>
        </w:rPr>
        <w:t xml:space="preserve"> </w:t>
      </w:r>
      <w:r w:rsidR="00646A93" w:rsidRPr="00ED22D1">
        <w:rPr>
          <w:lang w:val="fr-CA"/>
        </w:rPr>
        <w:t xml:space="preserve">pour les représentants des entreprises de solvants, les spécialistes techniques, les associations industrielles, les </w:t>
      </w:r>
      <w:r w:rsidR="009779EC">
        <w:rPr>
          <w:lang w:val="fr-CA"/>
        </w:rPr>
        <w:t>EEB</w:t>
      </w:r>
      <w:r w:rsidR="00646A93" w:rsidRPr="00ED22D1">
        <w:rPr>
          <w:lang w:val="fr-CA"/>
        </w:rPr>
        <w:t xml:space="preserve"> locaux, et d’autres intéressés afin d’introduire les solutions de remplacement disponibles, les coûts de </w:t>
      </w:r>
      <w:r w:rsidR="00FB1DC4" w:rsidRPr="00ED22D1">
        <w:rPr>
          <w:lang w:val="fr-CA"/>
        </w:rPr>
        <w:t>reconversion</w:t>
      </w:r>
      <w:r w:rsidR="00387175" w:rsidRPr="00ED22D1">
        <w:rPr>
          <w:lang w:val="fr-CA"/>
        </w:rPr>
        <w:t xml:space="preserve">, </w:t>
      </w:r>
      <w:r w:rsidR="00646A93" w:rsidRPr="00ED22D1">
        <w:rPr>
          <w:lang w:val="fr-CA"/>
        </w:rPr>
        <w:t>la modalité de mise en oeuvre des projets</w:t>
      </w:r>
      <w:r w:rsidR="00387175" w:rsidRPr="00ED22D1">
        <w:rPr>
          <w:lang w:val="fr-CA"/>
        </w:rPr>
        <w:t xml:space="preserve">, </w:t>
      </w:r>
      <w:r w:rsidR="00C05580">
        <w:rPr>
          <w:lang w:val="fr-CA"/>
        </w:rPr>
        <w:t xml:space="preserve">et </w:t>
      </w:r>
      <w:r w:rsidR="00646A93" w:rsidRPr="00ED22D1">
        <w:rPr>
          <w:lang w:val="fr-CA"/>
        </w:rPr>
        <w:t xml:space="preserve">l’efficacité des mesures de politique. On effectuera une vérification du rendement des </w:t>
      </w:r>
      <w:r w:rsidR="00387175" w:rsidRPr="00ED22D1">
        <w:rPr>
          <w:lang w:val="fr-CA"/>
        </w:rPr>
        <w:t>24</w:t>
      </w:r>
      <w:r w:rsidR="00646A93" w:rsidRPr="00ED22D1">
        <w:rPr>
          <w:lang w:val="fr-CA"/>
        </w:rPr>
        <w:t xml:space="preserve"> premières</w:t>
      </w:r>
      <w:r w:rsidR="00387175" w:rsidRPr="00ED22D1">
        <w:rPr>
          <w:lang w:val="fr-CA"/>
        </w:rPr>
        <w:t xml:space="preserve"> </w:t>
      </w:r>
      <w:r w:rsidR="00921BDE" w:rsidRPr="00ED22D1">
        <w:rPr>
          <w:lang w:val="fr-CA"/>
        </w:rPr>
        <w:t>entreprise</w:t>
      </w:r>
      <w:r w:rsidR="00387175" w:rsidRPr="00ED22D1">
        <w:rPr>
          <w:lang w:val="fr-CA"/>
        </w:rPr>
        <w:t xml:space="preserve">s </w:t>
      </w:r>
      <w:r w:rsidR="00646A93" w:rsidRPr="00ED22D1">
        <w:rPr>
          <w:lang w:val="fr-CA"/>
        </w:rPr>
        <w:t xml:space="preserve">afin de valider l’achèvement des </w:t>
      </w:r>
      <w:r w:rsidR="00FB1DC4" w:rsidRPr="00ED22D1">
        <w:rPr>
          <w:lang w:val="fr-CA"/>
        </w:rPr>
        <w:t>reconversion</w:t>
      </w:r>
      <w:r w:rsidR="00387175" w:rsidRPr="00ED22D1">
        <w:rPr>
          <w:lang w:val="fr-CA"/>
        </w:rPr>
        <w:t>s</w:t>
      </w:r>
      <w:r w:rsidR="00646A93" w:rsidRPr="00ED22D1">
        <w:rPr>
          <w:lang w:val="fr-CA"/>
        </w:rPr>
        <w:t xml:space="preserve">, </w:t>
      </w:r>
      <w:r w:rsidR="004A6828" w:rsidRPr="00ED22D1">
        <w:rPr>
          <w:lang w:val="fr-CA"/>
        </w:rPr>
        <w:t xml:space="preserve">et </w:t>
      </w:r>
      <w:r w:rsidR="00646A93" w:rsidRPr="00ED22D1">
        <w:rPr>
          <w:lang w:val="fr-CA"/>
        </w:rPr>
        <w:t xml:space="preserve">on procédera au décaissement des fonds. Les activités de </w:t>
      </w:r>
      <w:r w:rsidR="002F6D48" w:rsidRPr="00ED22D1">
        <w:rPr>
          <w:lang w:val="fr-CA"/>
        </w:rPr>
        <w:t>sensibilisation du public</w:t>
      </w:r>
      <w:r w:rsidR="00387175" w:rsidRPr="00ED22D1">
        <w:rPr>
          <w:lang w:val="fr-CA"/>
        </w:rPr>
        <w:t xml:space="preserve"> </w:t>
      </w:r>
      <w:r w:rsidR="00646A93" w:rsidRPr="00ED22D1">
        <w:rPr>
          <w:lang w:val="fr-CA"/>
        </w:rPr>
        <w:t>se poursuivront</w:t>
      </w:r>
      <w:r w:rsidR="00387175" w:rsidRPr="00ED22D1">
        <w:rPr>
          <w:lang w:val="fr-CA"/>
        </w:rPr>
        <w:t xml:space="preserve"> (18</w:t>
      </w:r>
      <w:r w:rsidR="004A6828" w:rsidRPr="00ED22D1">
        <w:rPr>
          <w:lang w:val="fr-CA"/>
        </w:rPr>
        <w:t>5 </w:t>
      </w:r>
      <w:r w:rsidR="00387175" w:rsidRPr="00ED22D1">
        <w:rPr>
          <w:lang w:val="fr-CA"/>
        </w:rPr>
        <w:t>471</w:t>
      </w:r>
      <w:r w:rsidR="00EC100C" w:rsidRPr="00ED22D1">
        <w:rPr>
          <w:lang w:val="fr-CA"/>
        </w:rPr>
        <w:t> $US</w:t>
      </w:r>
      <w:r w:rsidR="00387175" w:rsidRPr="00ED22D1">
        <w:rPr>
          <w:lang w:val="fr-CA"/>
        </w:rPr>
        <w:t>)</w:t>
      </w:r>
      <w:r w:rsidR="00B84F94" w:rsidRPr="00ED22D1">
        <w:rPr>
          <w:lang w:val="fr-CA"/>
        </w:rPr>
        <w:t xml:space="preserve">; et </w:t>
      </w:r>
    </w:p>
    <w:p w:rsidR="00387175" w:rsidRPr="00ED22D1" w:rsidRDefault="00EB650F" w:rsidP="00B86701">
      <w:pPr>
        <w:pStyle w:val="Heading2"/>
        <w:numPr>
          <w:ilvl w:val="0"/>
          <w:numId w:val="0"/>
        </w:numPr>
        <w:ind w:left="1418" w:hanging="698"/>
        <w:rPr>
          <w:lang w:val="fr-CA"/>
        </w:rPr>
      </w:pPr>
      <w:r w:rsidRPr="00ED22D1">
        <w:rPr>
          <w:lang w:val="fr-CA"/>
        </w:rPr>
        <w:t>(d)</w:t>
      </w:r>
      <w:r w:rsidRPr="00ED22D1">
        <w:rPr>
          <w:lang w:val="fr-CA"/>
        </w:rPr>
        <w:tab/>
      </w:r>
      <w:r w:rsidR="00646A93" w:rsidRPr="00ED22D1">
        <w:rPr>
          <w:i/>
          <w:lang w:val="fr-CA"/>
        </w:rPr>
        <w:t xml:space="preserve">Gestion de projet </w:t>
      </w:r>
      <w:r w:rsidR="00791BF7" w:rsidRPr="00ED22D1">
        <w:rPr>
          <w:lang w:val="fr-CA"/>
        </w:rPr>
        <w:t>:</w:t>
      </w:r>
      <w:r w:rsidR="00F320D6" w:rsidRPr="00ED22D1">
        <w:rPr>
          <w:lang w:val="fr-CA"/>
        </w:rPr>
        <w:t xml:space="preserve"> l’IECO</w:t>
      </w:r>
      <w:r w:rsidR="00387175" w:rsidRPr="00ED22D1">
        <w:rPr>
          <w:lang w:val="fr-CA"/>
        </w:rPr>
        <w:t xml:space="preserve"> </w:t>
      </w:r>
      <w:r w:rsidR="00646A93" w:rsidRPr="00ED22D1">
        <w:rPr>
          <w:lang w:val="fr-CA"/>
        </w:rPr>
        <w:t xml:space="preserve">poursuivra son contrat de gestion des </w:t>
      </w:r>
      <w:r w:rsidR="00387175" w:rsidRPr="00ED22D1">
        <w:rPr>
          <w:lang w:val="fr-CA"/>
        </w:rPr>
        <w:t xml:space="preserve">24 </w:t>
      </w:r>
      <w:r w:rsidR="001C69F9" w:rsidRPr="00ED22D1">
        <w:rPr>
          <w:lang w:val="fr-CA"/>
        </w:rPr>
        <w:t>entreprises bénéficiaires</w:t>
      </w:r>
      <w:r w:rsidR="004A6828" w:rsidRPr="00ED22D1">
        <w:rPr>
          <w:lang w:val="fr-CA"/>
        </w:rPr>
        <w:t xml:space="preserve"> et </w:t>
      </w:r>
      <w:r w:rsidR="00646A93" w:rsidRPr="00ED22D1">
        <w:rPr>
          <w:lang w:val="fr-CA"/>
        </w:rPr>
        <w:t xml:space="preserve">des nouvelles entreprises qui signeront des </w:t>
      </w:r>
      <w:r w:rsidR="00921BDE" w:rsidRPr="00ED22D1">
        <w:rPr>
          <w:lang w:val="fr-CA"/>
        </w:rPr>
        <w:t>contrats</w:t>
      </w:r>
      <w:r w:rsidR="00387175" w:rsidRPr="00ED22D1">
        <w:rPr>
          <w:lang w:val="fr-CA"/>
        </w:rPr>
        <w:t xml:space="preserve"> </w:t>
      </w:r>
      <w:r w:rsidR="00646A93" w:rsidRPr="00ED22D1">
        <w:rPr>
          <w:lang w:val="fr-CA"/>
        </w:rPr>
        <w:t xml:space="preserve">afin de réaliser les </w:t>
      </w:r>
      <w:r w:rsidR="00646A93" w:rsidRPr="00ED22D1">
        <w:rPr>
          <w:lang w:val="fr-CA"/>
        </w:rPr>
        <w:tab/>
        <w:t>objectifs d’</w:t>
      </w:r>
      <w:r w:rsidR="001279D7" w:rsidRPr="00ED22D1">
        <w:rPr>
          <w:lang w:val="fr-CA"/>
        </w:rPr>
        <w:t>élimination</w:t>
      </w:r>
      <w:r w:rsidR="00387175" w:rsidRPr="00ED22D1">
        <w:rPr>
          <w:lang w:val="fr-CA"/>
        </w:rPr>
        <w:t xml:space="preserve">. </w:t>
      </w:r>
      <w:r w:rsidR="00646A93" w:rsidRPr="00ED22D1">
        <w:rPr>
          <w:lang w:val="fr-CA"/>
        </w:rPr>
        <w:t xml:space="preserve">De nouvelles </w:t>
      </w:r>
      <w:r w:rsidR="001C69F9" w:rsidRPr="00ED22D1">
        <w:rPr>
          <w:lang w:val="fr-CA"/>
        </w:rPr>
        <w:t>entreprises bénéficiaires</w:t>
      </w:r>
      <w:r w:rsidR="00387175" w:rsidRPr="00ED22D1">
        <w:rPr>
          <w:lang w:val="fr-CA"/>
        </w:rPr>
        <w:t xml:space="preserve"> </w:t>
      </w:r>
      <w:r w:rsidR="00646A93" w:rsidRPr="00ED22D1">
        <w:rPr>
          <w:lang w:val="fr-CA"/>
        </w:rPr>
        <w:t xml:space="preserve">seront formées sur la façon </w:t>
      </w:r>
      <w:r w:rsidR="00252F0E" w:rsidRPr="00ED22D1">
        <w:rPr>
          <w:lang w:val="fr-CA"/>
        </w:rPr>
        <w:tab/>
      </w:r>
      <w:r w:rsidR="00646A93" w:rsidRPr="00ED22D1">
        <w:rPr>
          <w:lang w:val="fr-CA"/>
        </w:rPr>
        <w:t>de mettre en oeuvre des projets financés</w:t>
      </w:r>
      <w:r w:rsidR="00387175" w:rsidRPr="00ED22D1">
        <w:rPr>
          <w:lang w:val="fr-CA"/>
        </w:rPr>
        <w:t xml:space="preserve"> </w:t>
      </w:r>
      <w:r w:rsidR="00DE118B" w:rsidRPr="00ED22D1">
        <w:rPr>
          <w:lang w:val="fr-CA"/>
        </w:rPr>
        <w:t xml:space="preserve">par </w:t>
      </w:r>
      <w:r w:rsidR="00211FEC" w:rsidRPr="00ED22D1">
        <w:rPr>
          <w:lang w:val="fr-CA"/>
        </w:rPr>
        <w:t>le Fonds</w:t>
      </w:r>
      <w:r w:rsidR="004B666A" w:rsidRPr="00ED22D1">
        <w:rPr>
          <w:lang w:val="fr-CA"/>
        </w:rPr>
        <w:t xml:space="preserve"> multilatéral</w:t>
      </w:r>
      <w:r w:rsidR="00387175" w:rsidRPr="00ED22D1">
        <w:rPr>
          <w:lang w:val="fr-CA"/>
        </w:rPr>
        <w:t xml:space="preserve"> (23</w:t>
      </w:r>
      <w:r w:rsidR="004A6828" w:rsidRPr="00ED22D1">
        <w:rPr>
          <w:lang w:val="fr-CA"/>
        </w:rPr>
        <w:t>2 </w:t>
      </w:r>
      <w:r w:rsidR="00387175" w:rsidRPr="00ED22D1">
        <w:rPr>
          <w:lang w:val="fr-CA"/>
        </w:rPr>
        <w:t>434</w:t>
      </w:r>
      <w:r w:rsidR="00EC100C" w:rsidRPr="00ED22D1">
        <w:rPr>
          <w:lang w:val="fr-CA"/>
        </w:rPr>
        <w:t> $US</w:t>
      </w:r>
      <w:r w:rsidR="00387175" w:rsidRPr="00ED22D1">
        <w:rPr>
          <w:lang w:val="fr-CA"/>
        </w:rPr>
        <w:t>).</w:t>
      </w:r>
    </w:p>
    <w:p w:rsidR="00387175" w:rsidRPr="00ED22D1" w:rsidRDefault="00387175" w:rsidP="00387175">
      <w:pPr>
        <w:keepNext/>
        <w:jc w:val="center"/>
        <w:rPr>
          <w:b/>
          <w:lang w:val="fr-CA"/>
        </w:rPr>
      </w:pPr>
    </w:p>
    <w:p w:rsidR="00387175" w:rsidRPr="00ED22D1" w:rsidRDefault="001B31BF" w:rsidP="00387175">
      <w:pPr>
        <w:keepNext/>
        <w:jc w:val="center"/>
        <w:rPr>
          <w:b/>
          <w:lang w:val="fr-CA"/>
        </w:rPr>
      </w:pPr>
      <w:r w:rsidRPr="00ED22D1">
        <w:rPr>
          <w:b/>
          <w:lang w:val="fr-CA"/>
        </w:rPr>
        <w:t xml:space="preserve">OBSERVATIONS ET RECOMMANDATION DU </w:t>
      </w:r>
      <w:r w:rsidR="00DD185D" w:rsidRPr="00ED22D1">
        <w:rPr>
          <w:b/>
          <w:lang w:val="fr-CA"/>
        </w:rPr>
        <w:t>SECRÉTARIAT</w:t>
      </w:r>
    </w:p>
    <w:p w:rsidR="00387175" w:rsidRPr="00ED22D1" w:rsidRDefault="00387175" w:rsidP="00387175">
      <w:pPr>
        <w:keepNext/>
        <w:rPr>
          <w:lang w:val="fr-CA"/>
        </w:rPr>
      </w:pPr>
    </w:p>
    <w:p w:rsidR="00387175" w:rsidRPr="00ED22D1" w:rsidRDefault="001B31BF" w:rsidP="00387175">
      <w:pPr>
        <w:keepNext/>
        <w:spacing w:after="240"/>
        <w:rPr>
          <w:b/>
          <w:lang w:val="fr-CA"/>
        </w:rPr>
      </w:pPr>
      <w:r w:rsidRPr="00ED22D1">
        <w:rPr>
          <w:b/>
          <w:lang w:val="fr-CA"/>
        </w:rPr>
        <w:t>OBSERVATIONS</w:t>
      </w:r>
    </w:p>
    <w:p w:rsidR="00387175" w:rsidRPr="00ED22D1" w:rsidRDefault="00181884" w:rsidP="00387175">
      <w:pPr>
        <w:keepNext/>
        <w:spacing w:after="240"/>
        <w:rPr>
          <w:u w:val="single"/>
          <w:lang w:val="fr-CA"/>
        </w:rPr>
      </w:pPr>
      <w:r w:rsidRPr="00ED22D1">
        <w:rPr>
          <w:u w:val="single"/>
          <w:lang w:val="fr-CA"/>
        </w:rPr>
        <w:t>Consommation de HCFC</w:t>
      </w:r>
    </w:p>
    <w:p w:rsidR="00387175" w:rsidRPr="00ED22D1" w:rsidRDefault="00EB650F" w:rsidP="00EB650F">
      <w:pPr>
        <w:pStyle w:val="Heading1"/>
        <w:numPr>
          <w:ilvl w:val="0"/>
          <w:numId w:val="0"/>
        </w:numPr>
        <w:spacing w:after="120"/>
        <w:rPr>
          <w:lang w:val="fr-CA"/>
        </w:rPr>
      </w:pPr>
      <w:r w:rsidRPr="00ED22D1">
        <w:rPr>
          <w:lang w:val="fr-CA"/>
        </w:rPr>
        <w:t>121.</w:t>
      </w:r>
      <w:r w:rsidRPr="00ED22D1">
        <w:rPr>
          <w:lang w:val="fr-CA"/>
        </w:rPr>
        <w:tab/>
      </w:r>
      <w:r w:rsidR="0052508A" w:rsidRPr="00ED22D1">
        <w:rPr>
          <w:lang w:val="fr-CA"/>
        </w:rPr>
        <w:t>La c</w:t>
      </w:r>
      <w:r w:rsidR="00181884" w:rsidRPr="00ED22D1">
        <w:rPr>
          <w:lang w:val="fr-CA"/>
        </w:rPr>
        <w:t>onsommation de HCFC</w:t>
      </w:r>
      <w:r w:rsidR="00387175" w:rsidRPr="00ED22D1">
        <w:rPr>
          <w:lang w:val="fr-CA"/>
        </w:rPr>
        <w:t xml:space="preserve"> </w:t>
      </w:r>
      <w:r w:rsidR="001B31BF" w:rsidRPr="00ED22D1">
        <w:rPr>
          <w:lang w:val="fr-CA"/>
        </w:rPr>
        <w:t>dans le secteur des solvants</w:t>
      </w:r>
      <w:r w:rsidR="00387175" w:rsidRPr="00ED22D1">
        <w:rPr>
          <w:lang w:val="fr-CA"/>
        </w:rPr>
        <w:t xml:space="preserve"> </w:t>
      </w:r>
      <w:r w:rsidR="0052712E" w:rsidRPr="00ED22D1">
        <w:rPr>
          <w:lang w:val="fr-CA"/>
        </w:rPr>
        <w:t>en 20</w:t>
      </w:r>
      <w:r w:rsidR="00387175" w:rsidRPr="00ED22D1">
        <w:rPr>
          <w:lang w:val="fr-CA"/>
        </w:rPr>
        <w:t xml:space="preserve">17 </w:t>
      </w:r>
      <w:r w:rsidR="0052508A" w:rsidRPr="00ED22D1">
        <w:rPr>
          <w:lang w:val="fr-CA"/>
        </w:rPr>
        <w:t xml:space="preserve">a été de </w:t>
      </w:r>
      <w:r w:rsidR="004A6828" w:rsidRPr="00ED22D1">
        <w:rPr>
          <w:lang w:val="fr-CA"/>
        </w:rPr>
        <w:t>3 </w:t>
      </w:r>
      <w:r w:rsidR="00387175" w:rsidRPr="00ED22D1">
        <w:rPr>
          <w:lang w:val="fr-CA"/>
        </w:rPr>
        <w:t>63</w:t>
      </w:r>
      <w:r w:rsidR="004A6828" w:rsidRPr="00ED22D1">
        <w:rPr>
          <w:lang w:val="fr-CA"/>
        </w:rPr>
        <w:t>8,</w:t>
      </w:r>
      <w:r w:rsidR="00387175" w:rsidRPr="00ED22D1">
        <w:rPr>
          <w:lang w:val="fr-CA"/>
        </w:rPr>
        <w:t>4</w:t>
      </w:r>
      <w:r w:rsidR="004B666A" w:rsidRPr="00ED22D1">
        <w:rPr>
          <w:lang w:val="fr-CA"/>
        </w:rPr>
        <w:t xml:space="preserve"> tm </w:t>
      </w:r>
      <w:r w:rsidR="00387175" w:rsidRPr="00ED22D1">
        <w:rPr>
          <w:lang w:val="fr-CA"/>
        </w:rPr>
        <w:t>(39</w:t>
      </w:r>
      <w:r w:rsidR="004A6828" w:rsidRPr="00ED22D1">
        <w:rPr>
          <w:lang w:val="fr-CA"/>
        </w:rPr>
        <w:t>6,</w:t>
      </w:r>
      <w:r w:rsidR="00387175" w:rsidRPr="00ED22D1">
        <w:rPr>
          <w:lang w:val="fr-CA"/>
        </w:rPr>
        <w:t>96</w:t>
      </w:r>
      <w:r w:rsidR="0052508A" w:rsidRPr="00ED22D1">
        <w:rPr>
          <w:lang w:val="fr-CA"/>
        </w:rPr>
        <w:t> </w:t>
      </w:r>
      <w:r w:rsidR="0052712E" w:rsidRPr="00ED22D1">
        <w:rPr>
          <w:lang w:val="fr-CA"/>
        </w:rPr>
        <w:t>tonnes PAO)</w:t>
      </w:r>
      <w:r w:rsidR="00387175" w:rsidRPr="00ED22D1">
        <w:rPr>
          <w:lang w:val="fr-CA"/>
        </w:rPr>
        <w:t xml:space="preserve">, </w:t>
      </w:r>
      <w:r w:rsidR="0052508A" w:rsidRPr="00ED22D1">
        <w:rPr>
          <w:lang w:val="fr-CA"/>
        </w:rPr>
        <w:t xml:space="preserve">ce qui est inférieur à la </w:t>
      </w:r>
      <w:r w:rsidR="00AD0203" w:rsidRPr="00ED22D1">
        <w:rPr>
          <w:lang w:val="fr-CA"/>
        </w:rPr>
        <w:t>consommation</w:t>
      </w:r>
      <w:r w:rsidR="001B45EC" w:rsidRPr="00ED22D1">
        <w:rPr>
          <w:lang w:val="fr-CA"/>
        </w:rPr>
        <w:t xml:space="preserve"> maximale admissible</w:t>
      </w:r>
      <w:r w:rsidR="00387175" w:rsidRPr="00ED22D1">
        <w:rPr>
          <w:lang w:val="fr-CA"/>
        </w:rPr>
        <w:t xml:space="preserve"> </w:t>
      </w:r>
      <w:r w:rsidR="0052508A" w:rsidRPr="00ED22D1">
        <w:rPr>
          <w:lang w:val="fr-CA"/>
        </w:rPr>
        <w:t>établie pour la même année dans l</w:t>
      </w:r>
      <w:r w:rsidR="00CE7FEC" w:rsidRPr="00ED22D1">
        <w:rPr>
          <w:lang w:val="fr-CA"/>
        </w:rPr>
        <w:t>’accord</w:t>
      </w:r>
      <w:r w:rsidR="00387175" w:rsidRPr="00ED22D1">
        <w:rPr>
          <w:lang w:val="fr-CA"/>
        </w:rPr>
        <w:t xml:space="preserve"> </w:t>
      </w:r>
      <w:r w:rsidR="004A6828" w:rsidRPr="00ED22D1">
        <w:rPr>
          <w:lang w:val="fr-CA"/>
        </w:rPr>
        <w:t>entre</w:t>
      </w:r>
      <w:r w:rsidR="00387175"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 </w:t>
      </w:r>
      <w:r w:rsidR="00DD185D" w:rsidRPr="00ED22D1">
        <w:rPr>
          <w:lang w:val="fr-CA"/>
        </w:rPr>
        <w:t>le Comité exécutif</w:t>
      </w:r>
      <w:r w:rsidR="00387175" w:rsidRPr="00ED22D1">
        <w:rPr>
          <w:lang w:val="fr-CA"/>
        </w:rPr>
        <w:t xml:space="preserve"> </w:t>
      </w:r>
      <w:r w:rsidR="0052508A" w:rsidRPr="00ED22D1">
        <w:rPr>
          <w:lang w:val="fr-CA"/>
        </w:rPr>
        <w:t xml:space="preserve">pour la </w:t>
      </w:r>
      <w:r w:rsidR="004A6828" w:rsidRPr="00ED22D1">
        <w:rPr>
          <w:lang w:val="fr-CA"/>
        </w:rPr>
        <w:t xml:space="preserve">phase </w:t>
      </w:r>
      <w:r w:rsidR="00387175" w:rsidRPr="00ED22D1">
        <w:rPr>
          <w:lang w:val="fr-CA"/>
        </w:rPr>
        <w:t xml:space="preserve">II </w:t>
      </w:r>
      <w:r w:rsidR="001F19C1" w:rsidRPr="00ED22D1">
        <w:rPr>
          <w:lang w:val="fr-CA"/>
        </w:rPr>
        <w:t>du PGEH</w:t>
      </w:r>
      <w:r w:rsidR="00387175" w:rsidRPr="00ED22D1">
        <w:rPr>
          <w:lang w:val="fr-CA"/>
        </w:rPr>
        <w:t xml:space="preserve"> (</w:t>
      </w:r>
      <w:r w:rsidR="00CE7FEC" w:rsidRPr="00ED22D1">
        <w:rPr>
          <w:lang w:val="fr-CA"/>
        </w:rPr>
        <w:t xml:space="preserve">Tableau </w:t>
      </w:r>
      <w:r w:rsidR="00387175" w:rsidRPr="00ED22D1">
        <w:rPr>
          <w:lang w:val="fr-CA"/>
        </w:rPr>
        <w:t xml:space="preserve">3). </w:t>
      </w:r>
    </w:p>
    <w:p w:rsidR="00387175" w:rsidRPr="00ED22D1" w:rsidRDefault="00CE7FEC" w:rsidP="00387175">
      <w:pPr>
        <w:keepNext/>
        <w:rPr>
          <w:b/>
          <w:lang w:val="fr-CA"/>
        </w:rPr>
      </w:pPr>
      <w:r w:rsidRPr="00ED22D1">
        <w:rPr>
          <w:b/>
          <w:lang w:val="fr-CA"/>
        </w:rPr>
        <w:t xml:space="preserve">Tableau </w:t>
      </w:r>
      <w:r w:rsidR="004A6828" w:rsidRPr="00ED22D1">
        <w:rPr>
          <w:b/>
          <w:lang w:val="fr-CA"/>
        </w:rPr>
        <w:t>3</w:t>
      </w:r>
      <w:r w:rsidR="001B31BF" w:rsidRPr="00ED22D1">
        <w:rPr>
          <w:b/>
          <w:lang w:val="fr-CA"/>
        </w:rPr>
        <w:t>.</w:t>
      </w:r>
      <w:r w:rsidR="00387175" w:rsidRPr="00ED22D1">
        <w:rPr>
          <w:b/>
          <w:lang w:val="fr-CA"/>
        </w:rPr>
        <w:t xml:space="preserve"> </w:t>
      </w:r>
      <w:r w:rsidR="00181884" w:rsidRPr="00ED22D1">
        <w:rPr>
          <w:b/>
          <w:lang w:val="fr-CA"/>
        </w:rPr>
        <w:t>Consommation de HCFC</w:t>
      </w:r>
      <w:r w:rsidR="00387175" w:rsidRPr="00ED22D1">
        <w:rPr>
          <w:b/>
          <w:lang w:val="fr-CA"/>
        </w:rPr>
        <w:t xml:space="preserve"> </w:t>
      </w:r>
      <w:r w:rsidR="008A1431" w:rsidRPr="00ED22D1">
        <w:rPr>
          <w:b/>
          <w:lang w:val="fr-CA"/>
        </w:rPr>
        <w:t>du</w:t>
      </w:r>
      <w:r w:rsidR="001B31BF" w:rsidRPr="00ED22D1">
        <w:rPr>
          <w:b/>
          <w:lang w:val="fr-CA"/>
        </w:rPr>
        <w:t xml:space="preserve"> secteur des solvants</w:t>
      </w:r>
    </w:p>
    <w:tbl>
      <w:tblPr>
        <w:tblStyle w:val="TableGrid"/>
        <w:tblW w:w="4944" w:type="pct"/>
        <w:tblInd w:w="108" w:type="dxa"/>
        <w:tblLayout w:type="fixed"/>
        <w:tblLook w:val="04A0" w:firstRow="1" w:lastRow="0" w:firstColumn="1" w:lastColumn="0" w:noHBand="0" w:noVBand="1"/>
      </w:tblPr>
      <w:tblGrid>
        <w:gridCol w:w="1488"/>
        <w:gridCol w:w="1258"/>
        <w:gridCol w:w="1345"/>
        <w:gridCol w:w="1345"/>
        <w:gridCol w:w="1345"/>
        <w:gridCol w:w="1345"/>
        <w:gridCol w:w="1343"/>
      </w:tblGrid>
      <w:tr w:rsidR="00387175" w:rsidRPr="00ED22D1" w:rsidTr="00DC24B6">
        <w:trPr>
          <w:trHeight w:val="251"/>
        </w:trPr>
        <w:tc>
          <w:tcPr>
            <w:tcW w:w="1451" w:type="pct"/>
            <w:gridSpan w:val="2"/>
          </w:tcPr>
          <w:p w:rsidR="00387175" w:rsidRPr="00ED22D1" w:rsidRDefault="001B31BF" w:rsidP="00387175">
            <w:pPr>
              <w:rPr>
                <w:sz w:val="20"/>
                <w:szCs w:val="20"/>
                <w:lang w:val="fr-CA"/>
              </w:rPr>
            </w:pPr>
            <w:r w:rsidRPr="00ED22D1">
              <w:rPr>
                <w:b/>
                <w:sz w:val="20"/>
                <w:szCs w:val="20"/>
                <w:lang w:val="fr-CA"/>
              </w:rPr>
              <w:t>Secteur des solvants</w:t>
            </w:r>
          </w:p>
        </w:tc>
        <w:tc>
          <w:tcPr>
            <w:tcW w:w="710" w:type="pct"/>
          </w:tcPr>
          <w:p w:rsidR="00387175" w:rsidRPr="00ED22D1" w:rsidRDefault="00387175" w:rsidP="00387175">
            <w:pPr>
              <w:jc w:val="center"/>
              <w:rPr>
                <w:b/>
                <w:sz w:val="20"/>
                <w:szCs w:val="20"/>
                <w:lang w:val="fr-CA"/>
              </w:rPr>
            </w:pPr>
            <w:r w:rsidRPr="00ED22D1">
              <w:rPr>
                <w:b/>
                <w:sz w:val="20"/>
                <w:szCs w:val="20"/>
                <w:lang w:val="fr-CA"/>
              </w:rPr>
              <w:t>2013</w:t>
            </w:r>
          </w:p>
        </w:tc>
        <w:tc>
          <w:tcPr>
            <w:tcW w:w="710" w:type="pct"/>
          </w:tcPr>
          <w:p w:rsidR="00387175" w:rsidRPr="00ED22D1" w:rsidRDefault="00387175" w:rsidP="00387175">
            <w:pPr>
              <w:jc w:val="center"/>
              <w:rPr>
                <w:b/>
                <w:sz w:val="20"/>
                <w:szCs w:val="20"/>
                <w:lang w:val="fr-CA"/>
              </w:rPr>
            </w:pPr>
            <w:r w:rsidRPr="00ED22D1">
              <w:rPr>
                <w:b/>
                <w:sz w:val="20"/>
                <w:szCs w:val="20"/>
                <w:lang w:val="fr-CA"/>
              </w:rPr>
              <w:t>2014</w:t>
            </w:r>
          </w:p>
        </w:tc>
        <w:tc>
          <w:tcPr>
            <w:tcW w:w="710" w:type="pct"/>
          </w:tcPr>
          <w:p w:rsidR="00387175" w:rsidRPr="00ED22D1" w:rsidRDefault="00387175" w:rsidP="00387175">
            <w:pPr>
              <w:jc w:val="center"/>
              <w:rPr>
                <w:b/>
                <w:sz w:val="20"/>
                <w:szCs w:val="20"/>
                <w:lang w:val="fr-CA"/>
              </w:rPr>
            </w:pPr>
            <w:r w:rsidRPr="00ED22D1">
              <w:rPr>
                <w:b/>
                <w:sz w:val="20"/>
                <w:szCs w:val="20"/>
                <w:lang w:val="fr-CA"/>
              </w:rPr>
              <w:t>2015</w:t>
            </w:r>
          </w:p>
        </w:tc>
        <w:tc>
          <w:tcPr>
            <w:tcW w:w="710" w:type="pct"/>
          </w:tcPr>
          <w:p w:rsidR="00387175" w:rsidRPr="00ED22D1" w:rsidRDefault="00387175" w:rsidP="00387175">
            <w:pPr>
              <w:jc w:val="center"/>
              <w:rPr>
                <w:b/>
                <w:sz w:val="20"/>
                <w:szCs w:val="20"/>
                <w:lang w:val="fr-CA"/>
              </w:rPr>
            </w:pPr>
            <w:r w:rsidRPr="00ED22D1">
              <w:rPr>
                <w:b/>
                <w:sz w:val="20"/>
                <w:szCs w:val="20"/>
                <w:lang w:val="fr-CA"/>
              </w:rPr>
              <w:t>2016</w:t>
            </w:r>
          </w:p>
        </w:tc>
        <w:tc>
          <w:tcPr>
            <w:tcW w:w="710" w:type="pct"/>
          </w:tcPr>
          <w:p w:rsidR="00387175" w:rsidRPr="00ED22D1" w:rsidRDefault="00387175" w:rsidP="00387175">
            <w:pPr>
              <w:jc w:val="center"/>
              <w:rPr>
                <w:b/>
                <w:sz w:val="20"/>
                <w:szCs w:val="20"/>
                <w:lang w:val="fr-CA"/>
              </w:rPr>
            </w:pPr>
            <w:r w:rsidRPr="00ED22D1">
              <w:rPr>
                <w:b/>
                <w:sz w:val="20"/>
                <w:szCs w:val="20"/>
                <w:lang w:val="fr-CA"/>
              </w:rPr>
              <w:t>2017</w:t>
            </w:r>
          </w:p>
        </w:tc>
      </w:tr>
      <w:tr w:rsidR="00387175" w:rsidRPr="00ED22D1" w:rsidTr="00DC24B6">
        <w:trPr>
          <w:trHeight w:val="251"/>
        </w:trPr>
        <w:tc>
          <w:tcPr>
            <w:tcW w:w="786" w:type="pct"/>
            <w:vMerge w:val="restart"/>
          </w:tcPr>
          <w:p w:rsidR="00387175" w:rsidRPr="00ED22D1" w:rsidRDefault="001B31BF" w:rsidP="001B31BF">
            <w:pPr>
              <w:rPr>
                <w:sz w:val="20"/>
                <w:szCs w:val="20"/>
                <w:lang w:val="fr-CA"/>
              </w:rPr>
            </w:pPr>
            <w:r w:rsidRPr="00ED22D1">
              <w:rPr>
                <w:sz w:val="20"/>
                <w:szCs w:val="20"/>
                <w:lang w:val="fr-CA"/>
              </w:rPr>
              <w:t>C</w:t>
            </w:r>
            <w:r w:rsidR="00181884" w:rsidRPr="00ED22D1">
              <w:rPr>
                <w:sz w:val="20"/>
                <w:szCs w:val="20"/>
                <w:lang w:val="fr-CA"/>
              </w:rPr>
              <w:t>onsommation</w:t>
            </w:r>
            <w:r w:rsidRPr="00ED22D1">
              <w:rPr>
                <w:sz w:val="20"/>
                <w:szCs w:val="20"/>
                <w:lang w:val="fr-CA"/>
              </w:rPr>
              <w:t xml:space="preserve"> maximale admissible</w:t>
            </w:r>
            <w:r w:rsidR="00387175" w:rsidRPr="00ED22D1">
              <w:rPr>
                <w:sz w:val="20"/>
                <w:szCs w:val="20"/>
                <w:lang w:val="fr-CA"/>
              </w:rPr>
              <w:t>*</w:t>
            </w:r>
          </w:p>
        </w:tc>
        <w:tc>
          <w:tcPr>
            <w:tcW w:w="665" w:type="pct"/>
          </w:tcPr>
          <w:p w:rsidR="00387175" w:rsidRPr="00ED22D1" w:rsidRDefault="008A1431" w:rsidP="008A1431">
            <w:pPr>
              <w:rPr>
                <w:sz w:val="20"/>
                <w:szCs w:val="20"/>
                <w:lang w:val="fr-CA"/>
              </w:rPr>
            </w:pPr>
            <w:r w:rsidRPr="00ED22D1">
              <w:rPr>
                <w:sz w:val="20"/>
                <w:szCs w:val="20"/>
                <w:lang w:val="fr-CA"/>
              </w:rPr>
              <w:t>Tonnes métriques</w:t>
            </w:r>
          </w:p>
        </w:tc>
        <w:tc>
          <w:tcPr>
            <w:tcW w:w="710" w:type="pct"/>
            <w:tcBorders>
              <w:top w:val="single" w:sz="4" w:space="0" w:color="auto"/>
              <w:left w:val="nil"/>
              <w:bottom w:val="single" w:sz="4" w:space="0" w:color="auto"/>
              <w:right w:val="single" w:sz="4" w:space="0" w:color="auto"/>
            </w:tcBorders>
            <w:shd w:val="clear" w:color="auto" w:fill="auto"/>
          </w:tcPr>
          <w:p w:rsidR="00387175" w:rsidRPr="00ED22D1" w:rsidRDefault="004A6828" w:rsidP="00387175">
            <w:pPr>
              <w:jc w:val="right"/>
              <w:rPr>
                <w:sz w:val="20"/>
                <w:szCs w:val="20"/>
                <w:lang w:val="fr-CA"/>
              </w:rPr>
            </w:pPr>
            <w:r w:rsidRPr="00ED22D1">
              <w:rPr>
                <w:color w:val="000000"/>
                <w:sz w:val="20"/>
                <w:szCs w:val="20"/>
                <w:lang w:val="fr-CA" w:eastAsia="en-CA"/>
              </w:rPr>
              <w:t>4 </w:t>
            </w:r>
            <w:r w:rsidR="00387175" w:rsidRPr="00ED22D1">
              <w:rPr>
                <w:color w:val="000000"/>
                <w:sz w:val="20"/>
                <w:szCs w:val="20"/>
                <w:lang w:val="fr-CA" w:eastAsia="en-CA"/>
              </w:rPr>
              <w:t>49</w:t>
            </w:r>
            <w:r w:rsidRPr="00ED22D1">
              <w:rPr>
                <w:color w:val="000000"/>
                <w:sz w:val="20"/>
                <w:szCs w:val="20"/>
                <w:lang w:val="fr-CA" w:eastAsia="en-CA"/>
              </w:rPr>
              <w:t>2,</w:t>
            </w:r>
            <w:r w:rsidR="00387175" w:rsidRPr="00ED22D1">
              <w:rPr>
                <w:color w:val="000000"/>
                <w:sz w:val="20"/>
                <w:szCs w:val="20"/>
                <w:lang w:val="fr-CA" w:eastAsia="en-CA"/>
              </w:rPr>
              <w:t>70</w:t>
            </w:r>
          </w:p>
        </w:tc>
        <w:tc>
          <w:tcPr>
            <w:tcW w:w="710" w:type="pct"/>
            <w:tcBorders>
              <w:top w:val="single" w:sz="4" w:space="0" w:color="auto"/>
              <w:left w:val="nil"/>
              <w:bottom w:val="single" w:sz="4" w:space="0" w:color="auto"/>
              <w:right w:val="single" w:sz="4" w:space="0" w:color="auto"/>
            </w:tcBorders>
            <w:shd w:val="clear" w:color="auto" w:fill="auto"/>
          </w:tcPr>
          <w:p w:rsidR="00387175" w:rsidRPr="00ED22D1" w:rsidRDefault="004A6828" w:rsidP="00387175">
            <w:pPr>
              <w:jc w:val="right"/>
              <w:rPr>
                <w:sz w:val="20"/>
                <w:szCs w:val="20"/>
                <w:lang w:val="fr-CA"/>
              </w:rPr>
            </w:pPr>
            <w:r w:rsidRPr="00ED22D1">
              <w:rPr>
                <w:color w:val="000000"/>
                <w:sz w:val="20"/>
                <w:szCs w:val="20"/>
                <w:lang w:val="fr-CA" w:eastAsia="en-CA"/>
              </w:rPr>
              <w:t>4 </w:t>
            </w:r>
            <w:r w:rsidR="00387175" w:rsidRPr="00ED22D1">
              <w:rPr>
                <w:color w:val="000000"/>
                <w:sz w:val="20"/>
                <w:szCs w:val="20"/>
                <w:lang w:val="fr-CA" w:eastAsia="en-CA"/>
              </w:rPr>
              <w:t>49</w:t>
            </w:r>
            <w:r w:rsidRPr="00ED22D1">
              <w:rPr>
                <w:color w:val="000000"/>
                <w:sz w:val="20"/>
                <w:szCs w:val="20"/>
                <w:lang w:val="fr-CA" w:eastAsia="en-CA"/>
              </w:rPr>
              <w:t>2,</w:t>
            </w:r>
            <w:r w:rsidR="00387175" w:rsidRPr="00ED22D1">
              <w:rPr>
                <w:color w:val="000000"/>
                <w:sz w:val="20"/>
                <w:szCs w:val="20"/>
                <w:lang w:val="fr-CA" w:eastAsia="en-CA"/>
              </w:rPr>
              <w:t>70</w:t>
            </w:r>
          </w:p>
        </w:tc>
        <w:tc>
          <w:tcPr>
            <w:tcW w:w="710" w:type="pct"/>
            <w:tcBorders>
              <w:top w:val="single" w:sz="4" w:space="0" w:color="auto"/>
              <w:left w:val="nil"/>
              <w:bottom w:val="single" w:sz="4" w:space="0" w:color="auto"/>
              <w:right w:val="single" w:sz="4" w:space="0" w:color="auto"/>
            </w:tcBorders>
          </w:tcPr>
          <w:p w:rsidR="00387175" w:rsidRPr="00ED22D1" w:rsidRDefault="004A6828" w:rsidP="00387175">
            <w:pPr>
              <w:jc w:val="right"/>
              <w:rPr>
                <w:sz w:val="20"/>
                <w:szCs w:val="20"/>
                <w:lang w:val="fr-CA"/>
              </w:rPr>
            </w:pPr>
            <w:r w:rsidRPr="00ED22D1">
              <w:rPr>
                <w:color w:val="000000"/>
                <w:sz w:val="20"/>
                <w:szCs w:val="20"/>
                <w:lang w:val="fr-CA" w:eastAsia="en-CA"/>
              </w:rPr>
              <w:t>4 </w:t>
            </w:r>
            <w:r w:rsidR="00387175" w:rsidRPr="00ED22D1">
              <w:rPr>
                <w:color w:val="000000"/>
                <w:sz w:val="20"/>
                <w:szCs w:val="20"/>
                <w:lang w:val="fr-CA" w:eastAsia="en-CA"/>
              </w:rPr>
              <w:t>17</w:t>
            </w:r>
            <w:r w:rsidRPr="00ED22D1">
              <w:rPr>
                <w:color w:val="000000"/>
                <w:sz w:val="20"/>
                <w:szCs w:val="20"/>
                <w:lang w:val="fr-CA" w:eastAsia="en-CA"/>
              </w:rPr>
              <w:t>2,</w:t>
            </w:r>
            <w:r w:rsidR="00387175" w:rsidRPr="00ED22D1">
              <w:rPr>
                <w:color w:val="000000"/>
                <w:sz w:val="20"/>
                <w:szCs w:val="20"/>
                <w:lang w:val="fr-CA" w:eastAsia="en-CA"/>
              </w:rPr>
              <w:t>00</w:t>
            </w:r>
          </w:p>
        </w:tc>
        <w:tc>
          <w:tcPr>
            <w:tcW w:w="710" w:type="pct"/>
          </w:tcPr>
          <w:p w:rsidR="00387175" w:rsidRPr="00ED22D1" w:rsidRDefault="004A6828" w:rsidP="00387175">
            <w:pPr>
              <w:jc w:val="right"/>
              <w:rPr>
                <w:sz w:val="20"/>
                <w:szCs w:val="20"/>
                <w:lang w:val="fr-CA"/>
              </w:rPr>
            </w:pPr>
            <w:r w:rsidRPr="00ED22D1">
              <w:rPr>
                <w:sz w:val="20"/>
                <w:szCs w:val="20"/>
                <w:lang w:val="fr-CA"/>
              </w:rPr>
              <w:t>4 </w:t>
            </w:r>
            <w:r w:rsidR="00387175" w:rsidRPr="00ED22D1">
              <w:rPr>
                <w:sz w:val="20"/>
                <w:szCs w:val="20"/>
                <w:lang w:val="fr-CA"/>
              </w:rPr>
              <w:t>17</w:t>
            </w:r>
            <w:r w:rsidRPr="00ED22D1">
              <w:rPr>
                <w:sz w:val="20"/>
                <w:szCs w:val="20"/>
                <w:lang w:val="fr-CA"/>
              </w:rPr>
              <w:t>2,</w:t>
            </w:r>
            <w:r w:rsidR="00387175" w:rsidRPr="00ED22D1">
              <w:rPr>
                <w:sz w:val="20"/>
                <w:szCs w:val="20"/>
                <w:lang w:val="fr-CA"/>
              </w:rPr>
              <w:t>00</w:t>
            </w:r>
          </w:p>
        </w:tc>
        <w:tc>
          <w:tcPr>
            <w:tcW w:w="710" w:type="pct"/>
          </w:tcPr>
          <w:p w:rsidR="00387175" w:rsidRPr="00ED22D1" w:rsidRDefault="004A6828" w:rsidP="00387175">
            <w:pPr>
              <w:jc w:val="right"/>
              <w:rPr>
                <w:sz w:val="20"/>
                <w:szCs w:val="20"/>
                <w:lang w:val="fr-CA"/>
              </w:rPr>
            </w:pPr>
            <w:r w:rsidRPr="00ED22D1">
              <w:rPr>
                <w:sz w:val="20"/>
                <w:szCs w:val="20"/>
                <w:lang w:val="fr-CA"/>
              </w:rPr>
              <w:t>4 </w:t>
            </w:r>
            <w:r w:rsidR="00387175" w:rsidRPr="00ED22D1">
              <w:rPr>
                <w:sz w:val="20"/>
                <w:szCs w:val="20"/>
                <w:lang w:val="fr-CA"/>
              </w:rPr>
              <w:t>17</w:t>
            </w:r>
            <w:r w:rsidRPr="00ED22D1">
              <w:rPr>
                <w:sz w:val="20"/>
                <w:szCs w:val="20"/>
                <w:lang w:val="fr-CA"/>
              </w:rPr>
              <w:t>2,</w:t>
            </w:r>
            <w:r w:rsidR="00387175" w:rsidRPr="00ED22D1">
              <w:rPr>
                <w:sz w:val="20"/>
                <w:szCs w:val="20"/>
                <w:lang w:val="fr-CA"/>
              </w:rPr>
              <w:t>00</w:t>
            </w:r>
          </w:p>
        </w:tc>
      </w:tr>
      <w:tr w:rsidR="00387175" w:rsidRPr="00ED22D1" w:rsidTr="00DC24B6">
        <w:trPr>
          <w:trHeight w:val="251"/>
        </w:trPr>
        <w:tc>
          <w:tcPr>
            <w:tcW w:w="786" w:type="pct"/>
            <w:vMerge/>
          </w:tcPr>
          <w:p w:rsidR="00387175" w:rsidRPr="00ED22D1" w:rsidRDefault="00387175" w:rsidP="00387175">
            <w:pPr>
              <w:rPr>
                <w:sz w:val="20"/>
                <w:szCs w:val="20"/>
                <w:lang w:val="fr-CA"/>
              </w:rPr>
            </w:pPr>
          </w:p>
        </w:tc>
        <w:tc>
          <w:tcPr>
            <w:tcW w:w="665" w:type="pct"/>
          </w:tcPr>
          <w:p w:rsidR="00387175" w:rsidRPr="00ED22D1" w:rsidRDefault="00181884" w:rsidP="00387175">
            <w:pPr>
              <w:rPr>
                <w:sz w:val="20"/>
                <w:szCs w:val="20"/>
                <w:lang w:val="fr-CA"/>
              </w:rPr>
            </w:pPr>
            <w:r w:rsidRPr="00ED22D1">
              <w:rPr>
                <w:sz w:val="20"/>
                <w:szCs w:val="20"/>
                <w:lang w:val="fr-CA"/>
              </w:rPr>
              <w:t>Tonnes PAO</w:t>
            </w:r>
          </w:p>
        </w:tc>
        <w:tc>
          <w:tcPr>
            <w:tcW w:w="710" w:type="pct"/>
          </w:tcPr>
          <w:p w:rsidR="00387175" w:rsidRPr="00ED22D1" w:rsidRDefault="00387175" w:rsidP="00387175">
            <w:pPr>
              <w:jc w:val="right"/>
              <w:rPr>
                <w:sz w:val="20"/>
                <w:szCs w:val="20"/>
                <w:lang w:val="fr-CA"/>
              </w:rPr>
            </w:pPr>
            <w:r w:rsidRPr="00ED22D1">
              <w:rPr>
                <w:sz w:val="20"/>
                <w:szCs w:val="20"/>
                <w:lang w:val="fr-CA"/>
              </w:rPr>
              <w:t>49</w:t>
            </w:r>
            <w:r w:rsidR="004A6828" w:rsidRPr="00ED22D1">
              <w:rPr>
                <w:sz w:val="20"/>
                <w:szCs w:val="20"/>
                <w:lang w:val="fr-CA"/>
              </w:rPr>
              <w:t>4,</w:t>
            </w:r>
            <w:r w:rsidRPr="00ED22D1">
              <w:rPr>
                <w:sz w:val="20"/>
                <w:szCs w:val="20"/>
                <w:lang w:val="fr-CA"/>
              </w:rPr>
              <w:t>2</w:t>
            </w:r>
          </w:p>
        </w:tc>
        <w:tc>
          <w:tcPr>
            <w:tcW w:w="710" w:type="pct"/>
          </w:tcPr>
          <w:p w:rsidR="00387175" w:rsidRPr="00ED22D1" w:rsidRDefault="00387175" w:rsidP="00387175">
            <w:pPr>
              <w:jc w:val="right"/>
              <w:rPr>
                <w:sz w:val="20"/>
                <w:szCs w:val="20"/>
                <w:lang w:val="fr-CA"/>
              </w:rPr>
            </w:pPr>
            <w:r w:rsidRPr="00ED22D1">
              <w:rPr>
                <w:sz w:val="20"/>
                <w:szCs w:val="20"/>
                <w:lang w:val="fr-CA"/>
              </w:rPr>
              <w:t>49</w:t>
            </w:r>
            <w:r w:rsidR="004A6828" w:rsidRPr="00ED22D1">
              <w:rPr>
                <w:sz w:val="20"/>
                <w:szCs w:val="20"/>
                <w:lang w:val="fr-CA"/>
              </w:rPr>
              <w:t>4,</w:t>
            </w:r>
            <w:r w:rsidRPr="00ED22D1">
              <w:rPr>
                <w:sz w:val="20"/>
                <w:szCs w:val="20"/>
                <w:lang w:val="fr-CA"/>
              </w:rPr>
              <w:t>2</w:t>
            </w:r>
          </w:p>
        </w:tc>
        <w:tc>
          <w:tcPr>
            <w:tcW w:w="710" w:type="pct"/>
          </w:tcPr>
          <w:p w:rsidR="00387175" w:rsidRPr="00ED22D1" w:rsidRDefault="00387175" w:rsidP="00387175">
            <w:pPr>
              <w:jc w:val="right"/>
              <w:rPr>
                <w:sz w:val="20"/>
                <w:szCs w:val="20"/>
                <w:lang w:val="fr-CA"/>
              </w:rPr>
            </w:pPr>
            <w:r w:rsidRPr="00ED22D1">
              <w:rPr>
                <w:sz w:val="20"/>
                <w:szCs w:val="20"/>
                <w:lang w:val="fr-CA"/>
              </w:rPr>
              <w:t>45</w:t>
            </w:r>
            <w:r w:rsidR="004A6828" w:rsidRPr="00ED22D1">
              <w:rPr>
                <w:sz w:val="20"/>
                <w:szCs w:val="20"/>
                <w:lang w:val="fr-CA"/>
              </w:rPr>
              <w:t>5,</w:t>
            </w:r>
            <w:r w:rsidRPr="00ED22D1">
              <w:rPr>
                <w:sz w:val="20"/>
                <w:szCs w:val="20"/>
                <w:lang w:val="fr-CA"/>
              </w:rPr>
              <w:t>2</w:t>
            </w:r>
          </w:p>
        </w:tc>
        <w:tc>
          <w:tcPr>
            <w:tcW w:w="710" w:type="pct"/>
          </w:tcPr>
          <w:p w:rsidR="00387175" w:rsidRPr="00ED22D1" w:rsidRDefault="00387175" w:rsidP="00387175">
            <w:pPr>
              <w:jc w:val="right"/>
              <w:rPr>
                <w:sz w:val="20"/>
                <w:szCs w:val="20"/>
                <w:lang w:val="fr-CA"/>
              </w:rPr>
            </w:pPr>
            <w:r w:rsidRPr="00ED22D1">
              <w:rPr>
                <w:sz w:val="20"/>
                <w:szCs w:val="20"/>
                <w:lang w:val="fr-CA"/>
              </w:rPr>
              <w:t>45</w:t>
            </w:r>
            <w:r w:rsidR="004A6828" w:rsidRPr="00ED22D1">
              <w:rPr>
                <w:sz w:val="20"/>
                <w:szCs w:val="20"/>
                <w:lang w:val="fr-CA"/>
              </w:rPr>
              <w:t>5,</w:t>
            </w:r>
            <w:r w:rsidRPr="00ED22D1">
              <w:rPr>
                <w:sz w:val="20"/>
                <w:szCs w:val="20"/>
                <w:lang w:val="fr-CA"/>
              </w:rPr>
              <w:t>2</w:t>
            </w:r>
          </w:p>
        </w:tc>
        <w:tc>
          <w:tcPr>
            <w:tcW w:w="710" w:type="pct"/>
          </w:tcPr>
          <w:p w:rsidR="00387175" w:rsidRPr="00ED22D1" w:rsidRDefault="00387175" w:rsidP="00387175">
            <w:pPr>
              <w:jc w:val="right"/>
              <w:rPr>
                <w:sz w:val="20"/>
                <w:szCs w:val="20"/>
                <w:lang w:val="fr-CA"/>
              </w:rPr>
            </w:pPr>
            <w:r w:rsidRPr="00ED22D1">
              <w:rPr>
                <w:sz w:val="20"/>
                <w:szCs w:val="20"/>
                <w:lang w:val="fr-CA"/>
              </w:rPr>
              <w:t>45</w:t>
            </w:r>
            <w:r w:rsidR="004A6828" w:rsidRPr="00ED22D1">
              <w:rPr>
                <w:sz w:val="20"/>
                <w:szCs w:val="20"/>
                <w:lang w:val="fr-CA"/>
              </w:rPr>
              <w:t>5,</w:t>
            </w:r>
            <w:r w:rsidRPr="00ED22D1">
              <w:rPr>
                <w:sz w:val="20"/>
                <w:szCs w:val="20"/>
                <w:lang w:val="fr-CA"/>
              </w:rPr>
              <w:t>2</w:t>
            </w:r>
          </w:p>
        </w:tc>
      </w:tr>
      <w:tr w:rsidR="00387175" w:rsidRPr="00ED22D1" w:rsidTr="00DC24B6">
        <w:trPr>
          <w:trHeight w:val="251"/>
        </w:trPr>
        <w:tc>
          <w:tcPr>
            <w:tcW w:w="786" w:type="pct"/>
            <w:vMerge w:val="restart"/>
          </w:tcPr>
          <w:p w:rsidR="00387175" w:rsidRPr="00ED22D1" w:rsidRDefault="001B31BF" w:rsidP="001B31BF">
            <w:pPr>
              <w:rPr>
                <w:sz w:val="20"/>
                <w:szCs w:val="20"/>
                <w:lang w:val="fr-CA"/>
              </w:rPr>
            </w:pPr>
            <w:r w:rsidRPr="00ED22D1">
              <w:rPr>
                <w:sz w:val="20"/>
                <w:szCs w:val="20"/>
                <w:lang w:val="fr-CA"/>
              </w:rPr>
              <w:t>C</w:t>
            </w:r>
            <w:r w:rsidR="00181884" w:rsidRPr="00ED22D1">
              <w:rPr>
                <w:sz w:val="20"/>
                <w:szCs w:val="20"/>
                <w:lang w:val="fr-CA"/>
              </w:rPr>
              <w:t>onsommation</w:t>
            </w:r>
            <w:r w:rsidRPr="00ED22D1">
              <w:rPr>
                <w:sz w:val="20"/>
                <w:szCs w:val="20"/>
                <w:lang w:val="fr-CA"/>
              </w:rPr>
              <w:t xml:space="preserve"> réelle</w:t>
            </w:r>
            <w:r w:rsidR="00387175" w:rsidRPr="00ED22D1">
              <w:rPr>
                <w:sz w:val="20"/>
                <w:szCs w:val="20"/>
                <w:lang w:val="fr-CA"/>
              </w:rPr>
              <w:t>**</w:t>
            </w:r>
          </w:p>
        </w:tc>
        <w:tc>
          <w:tcPr>
            <w:tcW w:w="665" w:type="pct"/>
          </w:tcPr>
          <w:p w:rsidR="00387175" w:rsidRPr="00ED22D1" w:rsidRDefault="001B31BF" w:rsidP="008A1431">
            <w:pPr>
              <w:rPr>
                <w:sz w:val="20"/>
                <w:szCs w:val="20"/>
                <w:lang w:val="fr-CA"/>
              </w:rPr>
            </w:pPr>
            <w:r w:rsidRPr="00ED22D1">
              <w:rPr>
                <w:sz w:val="20"/>
                <w:szCs w:val="20"/>
                <w:lang w:val="fr-CA"/>
              </w:rPr>
              <w:t>T</w:t>
            </w:r>
            <w:r w:rsidR="008A1431" w:rsidRPr="00ED22D1">
              <w:rPr>
                <w:sz w:val="20"/>
                <w:szCs w:val="20"/>
                <w:lang w:val="fr-CA"/>
              </w:rPr>
              <w:t>onnes métriques</w:t>
            </w:r>
          </w:p>
        </w:tc>
        <w:tc>
          <w:tcPr>
            <w:tcW w:w="710" w:type="pct"/>
          </w:tcPr>
          <w:p w:rsidR="00387175" w:rsidRPr="00ED22D1" w:rsidRDefault="004A6828" w:rsidP="00387175">
            <w:pPr>
              <w:jc w:val="right"/>
              <w:rPr>
                <w:sz w:val="20"/>
                <w:szCs w:val="20"/>
                <w:lang w:val="fr-CA"/>
              </w:rPr>
            </w:pPr>
            <w:r w:rsidRPr="00ED22D1">
              <w:rPr>
                <w:sz w:val="20"/>
                <w:szCs w:val="20"/>
                <w:lang w:val="fr-CA"/>
              </w:rPr>
              <w:t>4 </w:t>
            </w:r>
            <w:r w:rsidR="00387175" w:rsidRPr="00ED22D1">
              <w:rPr>
                <w:sz w:val="20"/>
                <w:szCs w:val="20"/>
                <w:lang w:val="fr-CA"/>
              </w:rPr>
              <w:t>25</w:t>
            </w:r>
            <w:r w:rsidRPr="00ED22D1">
              <w:rPr>
                <w:sz w:val="20"/>
                <w:szCs w:val="20"/>
                <w:lang w:val="fr-CA"/>
              </w:rPr>
              <w:t>8,</w:t>
            </w:r>
            <w:r w:rsidR="00387175" w:rsidRPr="00ED22D1">
              <w:rPr>
                <w:sz w:val="20"/>
                <w:szCs w:val="20"/>
                <w:lang w:val="fr-CA"/>
              </w:rPr>
              <w:t>73</w:t>
            </w:r>
          </w:p>
        </w:tc>
        <w:tc>
          <w:tcPr>
            <w:tcW w:w="710" w:type="pct"/>
          </w:tcPr>
          <w:p w:rsidR="00387175" w:rsidRPr="00ED22D1" w:rsidRDefault="004A6828" w:rsidP="00387175">
            <w:pPr>
              <w:jc w:val="right"/>
              <w:rPr>
                <w:sz w:val="20"/>
                <w:szCs w:val="20"/>
                <w:lang w:val="fr-CA"/>
              </w:rPr>
            </w:pPr>
            <w:r w:rsidRPr="00ED22D1">
              <w:rPr>
                <w:sz w:val="20"/>
                <w:szCs w:val="20"/>
                <w:lang w:val="fr-CA"/>
              </w:rPr>
              <w:t>4 </w:t>
            </w:r>
            <w:r w:rsidR="00387175" w:rsidRPr="00ED22D1">
              <w:rPr>
                <w:sz w:val="20"/>
                <w:szCs w:val="20"/>
                <w:lang w:val="fr-CA"/>
              </w:rPr>
              <w:t>43</w:t>
            </w:r>
            <w:r w:rsidRPr="00ED22D1">
              <w:rPr>
                <w:sz w:val="20"/>
                <w:szCs w:val="20"/>
                <w:lang w:val="fr-CA"/>
              </w:rPr>
              <w:t>3,</w:t>
            </w:r>
            <w:r w:rsidR="00387175" w:rsidRPr="00ED22D1">
              <w:rPr>
                <w:sz w:val="20"/>
                <w:szCs w:val="20"/>
                <w:lang w:val="fr-CA"/>
              </w:rPr>
              <w:t>23</w:t>
            </w:r>
          </w:p>
        </w:tc>
        <w:tc>
          <w:tcPr>
            <w:tcW w:w="710" w:type="pct"/>
          </w:tcPr>
          <w:p w:rsidR="00387175" w:rsidRPr="00ED22D1" w:rsidRDefault="004A6828" w:rsidP="00387175">
            <w:pPr>
              <w:jc w:val="right"/>
              <w:rPr>
                <w:sz w:val="20"/>
                <w:szCs w:val="20"/>
                <w:lang w:val="fr-CA"/>
              </w:rPr>
            </w:pPr>
            <w:r w:rsidRPr="00ED22D1">
              <w:rPr>
                <w:sz w:val="20"/>
                <w:szCs w:val="20"/>
                <w:lang w:val="fr-CA"/>
              </w:rPr>
              <w:t>3 </w:t>
            </w:r>
            <w:r w:rsidR="00387175" w:rsidRPr="00ED22D1">
              <w:rPr>
                <w:sz w:val="20"/>
                <w:szCs w:val="20"/>
                <w:lang w:val="fr-CA"/>
              </w:rPr>
              <w:t>81</w:t>
            </w:r>
            <w:r w:rsidRPr="00ED22D1">
              <w:rPr>
                <w:sz w:val="20"/>
                <w:szCs w:val="20"/>
                <w:lang w:val="fr-CA"/>
              </w:rPr>
              <w:t>5,</w:t>
            </w:r>
            <w:r w:rsidR="00387175" w:rsidRPr="00ED22D1">
              <w:rPr>
                <w:sz w:val="20"/>
                <w:szCs w:val="20"/>
                <w:lang w:val="fr-CA"/>
              </w:rPr>
              <w:t>40</w:t>
            </w:r>
          </w:p>
        </w:tc>
        <w:tc>
          <w:tcPr>
            <w:tcW w:w="710" w:type="pct"/>
          </w:tcPr>
          <w:p w:rsidR="00387175" w:rsidRPr="00ED22D1" w:rsidRDefault="004A6828" w:rsidP="00387175">
            <w:pPr>
              <w:jc w:val="right"/>
              <w:rPr>
                <w:sz w:val="20"/>
                <w:szCs w:val="20"/>
                <w:lang w:val="fr-CA"/>
              </w:rPr>
            </w:pPr>
            <w:r w:rsidRPr="00ED22D1">
              <w:rPr>
                <w:sz w:val="20"/>
                <w:szCs w:val="20"/>
                <w:lang w:val="fr-CA"/>
              </w:rPr>
              <w:t>3 </w:t>
            </w:r>
            <w:r w:rsidR="00387175" w:rsidRPr="00ED22D1">
              <w:rPr>
                <w:sz w:val="20"/>
                <w:szCs w:val="20"/>
                <w:lang w:val="fr-CA"/>
              </w:rPr>
              <w:t>78</w:t>
            </w:r>
            <w:r w:rsidRPr="00ED22D1">
              <w:rPr>
                <w:sz w:val="20"/>
                <w:szCs w:val="20"/>
                <w:lang w:val="fr-CA"/>
              </w:rPr>
              <w:t>7,</w:t>
            </w:r>
            <w:r w:rsidR="00387175" w:rsidRPr="00ED22D1">
              <w:rPr>
                <w:sz w:val="20"/>
                <w:szCs w:val="20"/>
                <w:lang w:val="fr-CA"/>
              </w:rPr>
              <w:t>98</w:t>
            </w:r>
          </w:p>
        </w:tc>
        <w:tc>
          <w:tcPr>
            <w:tcW w:w="710" w:type="pct"/>
          </w:tcPr>
          <w:p w:rsidR="00387175" w:rsidRPr="00ED22D1" w:rsidRDefault="004A6828" w:rsidP="00387175">
            <w:pPr>
              <w:jc w:val="right"/>
              <w:rPr>
                <w:sz w:val="20"/>
                <w:szCs w:val="20"/>
                <w:lang w:val="fr-CA"/>
              </w:rPr>
            </w:pPr>
            <w:r w:rsidRPr="00ED22D1">
              <w:rPr>
                <w:sz w:val="20"/>
                <w:szCs w:val="20"/>
                <w:lang w:val="fr-CA"/>
              </w:rPr>
              <w:t>3 </w:t>
            </w:r>
            <w:r w:rsidR="00387175" w:rsidRPr="00ED22D1">
              <w:rPr>
                <w:sz w:val="20"/>
                <w:szCs w:val="20"/>
                <w:lang w:val="fr-CA"/>
              </w:rPr>
              <w:t>63</w:t>
            </w:r>
            <w:r w:rsidRPr="00ED22D1">
              <w:rPr>
                <w:sz w:val="20"/>
                <w:szCs w:val="20"/>
                <w:lang w:val="fr-CA"/>
              </w:rPr>
              <w:t>8,</w:t>
            </w:r>
            <w:r w:rsidR="00387175" w:rsidRPr="00ED22D1">
              <w:rPr>
                <w:sz w:val="20"/>
                <w:szCs w:val="20"/>
                <w:lang w:val="fr-CA"/>
              </w:rPr>
              <w:t>40</w:t>
            </w:r>
          </w:p>
        </w:tc>
      </w:tr>
      <w:tr w:rsidR="00387175" w:rsidRPr="00ED22D1" w:rsidTr="00DC24B6">
        <w:trPr>
          <w:trHeight w:val="251"/>
        </w:trPr>
        <w:tc>
          <w:tcPr>
            <w:tcW w:w="786" w:type="pct"/>
            <w:vMerge/>
          </w:tcPr>
          <w:p w:rsidR="00387175" w:rsidRPr="00ED22D1" w:rsidRDefault="00387175" w:rsidP="00387175">
            <w:pPr>
              <w:rPr>
                <w:sz w:val="20"/>
                <w:szCs w:val="20"/>
                <w:lang w:val="fr-CA"/>
              </w:rPr>
            </w:pPr>
          </w:p>
        </w:tc>
        <w:tc>
          <w:tcPr>
            <w:tcW w:w="665" w:type="pct"/>
          </w:tcPr>
          <w:p w:rsidR="00387175" w:rsidRPr="00ED22D1" w:rsidRDefault="00181884" w:rsidP="00387175">
            <w:pPr>
              <w:rPr>
                <w:sz w:val="20"/>
                <w:szCs w:val="20"/>
                <w:lang w:val="fr-CA"/>
              </w:rPr>
            </w:pPr>
            <w:r w:rsidRPr="00ED22D1">
              <w:rPr>
                <w:sz w:val="20"/>
                <w:szCs w:val="20"/>
                <w:lang w:val="fr-CA"/>
              </w:rPr>
              <w:t>Tonnes PAO</w:t>
            </w:r>
          </w:p>
        </w:tc>
        <w:tc>
          <w:tcPr>
            <w:tcW w:w="710" w:type="pct"/>
          </w:tcPr>
          <w:p w:rsidR="00387175" w:rsidRPr="00ED22D1" w:rsidRDefault="00387175" w:rsidP="00387175">
            <w:pPr>
              <w:jc w:val="right"/>
              <w:rPr>
                <w:sz w:val="20"/>
                <w:szCs w:val="20"/>
                <w:lang w:val="fr-CA"/>
              </w:rPr>
            </w:pPr>
            <w:r w:rsidRPr="00ED22D1">
              <w:rPr>
                <w:sz w:val="20"/>
                <w:szCs w:val="20"/>
                <w:lang w:val="fr-CA"/>
              </w:rPr>
              <w:t>46</w:t>
            </w:r>
            <w:r w:rsidR="004A6828" w:rsidRPr="00ED22D1">
              <w:rPr>
                <w:sz w:val="20"/>
                <w:szCs w:val="20"/>
                <w:lang w:val="fr-CA"/>
              </w:rPr>
              <w:t>6,</w:t>
            </w:r>
            <w:r w:rsidRPr="00ED22D1">
              <w:rPr>
                <w:sz w:val="20"/>
                <w:szCs w:val="20"/>
                <w:lang w:val="fr-CA"/>
              </w:rPr>
              <w:t>25</w:t>
            </w:r>
          </w:p>
        </w:tc>
        <w:tc>
          <w:tcPr>
            <w:tcW w:w="710" w:type="pct"/>
          </w:tcPr>
          <w:p w:rsidR="00387175" w:rsidRPr="00ED22D1" w:rsidRDefault="00387175" w:rsidP="00387175">
            <w:pPr>
              <w:jc w:val="right"/>
              <w:rPr>
                <w:sz w:val="20"/>
                <w:szCs w:val="20"/>
                <w:lang w:val="fr-CA"/>
              </w:rPr>
            </w:pPr>
            <w:r w:rsidRPr="00ED22D1">
              <w:rPr>
                <w:sz w:val="20"/>
                <w:szCs w:val="20"/>
                <w:lang w:val="fr-CA"/>
              </w:rPr>
              <w:t>48</w:t>
            </w:r>
            <w:r w:rsidR="004A6828" w:rsidRPr="00ED22D1">
              <w:rPr>
                <w:sz w:val="20"/>
                <w:szCs w:val="20"/>
                <w:lang w:val="fr-CA"/>
              </w:rPr>
              <w:t>4,</w:t>
            </w:r>
            <w:r w:rsidRPr="00ED22D1">
              <w:rPr>
                <w:sz w:val="20"/>
                <w:szCs w:val="20"/>
                <w:lang w:val="fr-CA"/>
              </w:rPr>
              <w:t>83</w:t>
            </w:r>
          </w:p>
        </w:tc>
        <w:tc>
          <w:tcPr>
            <w:tcW w:w="710" w:type="pct"/>
          </w:tcPr>
          <w:p w:rsidR="00387175" w:rsidRPr="00ED22D1" w:rsidRDefault="00387175" w:rsidP="00387175">
            <w:pPr>
              <w:jc w:val="right"/>
              <w:rPr>
                <w:sz w:val="20"/>
                <w:szCs w:val="20"/>
                <w:lang w:val="fr-CA"/>
              </w:rPr>
            </w:pPr>
            <w:r w:rsidRPr="00ED22D1">
              <w:rPr>
                <w:sz w:val="20"/>
                <w:szCs w:val="20"/>
                <w:lang w:val="fr-CA"/>
              </w:rPr>
              <w:t>41</w:t>
            </w:r>
            <w:r w:rsidR="004A6828" w:rsidRPr="00ED22D1">
              <w:rPr>
                <w:sz w:val="20"/>
                <w:szCs w:val="20"/>
                <w:lang w:val="fr-CA"/>
              </w:rPr>
              <w:t>8,</w:t>
            </w:r>
            <w:r w:rsidRPr="00ED22D1">
              <w:rPr>
                <w:sz w:val="20"/>
                <w:szCs w:val="20"/>
                <w:lang w:val="fr-CA"/>
              </w:rPr>
              <w:t>51</w:t>
            </w:r>
          </w:p>
        </w:tc>
        <w:tc>
          <w:tcPr>
            <w:tcW w:w="710" w:type="pct"/>
          </w:tcPr>
          <w:p w:rsidR="00387175" w:rsidRPr="00ED22D1" w:rsidRDefault="00387175" w:rsidP="00387175">
            <w:pPr>
              <w:jc w:val="right"/>
              <w:rPr>
                <w:sz w:val="20"/>
                <w:szCs w:val="20"/>
                <w:lang w:val="fr-CA"/>
              </w:rPr>
            </w:pPr>
            <w:r w:rsidRPr="00ED22D1">
              <w:rPr>
                <w:sz w:val="20"/>
                <w:szCs w:val="20"/>
                <w:lang w:val="fr-CA"/>
              </w:rPr>
              <w:t>41</w:t>
            </w:r>
            <w:r w:rsidR="004A6828" w:rsidRPr="00ED22D1">
              <w:rPr>
                <w:sz w:val="20"/>
                <w:szCs w:val="20"/>
                <w:lang w:val="fr-CA"/>
              </w:rPr>
              <w:t>3,</w:t>
            </w:r>
            <w:r w:rsidRPr="00ED22D1">
              <w:rPr>
                <w:sz w:val="20"/>
                <w:szCs w:val="20"/>
                <w:lang w:val="fr-CA"/>
              </w:rPr>
              <w:t>45</w:t>
            </w:r>
          </w:p>
        </w:tc>
        <w:tc>
          <w:tcPr>
            <w:tcW w:w="710" w:type="pct"/>
          </w:tcPr>
          <w:p w:rsidR="00387175" w:rsidRPr="00ED22D1" w:rsidRDefault="00387175" w:rsidP="00387175">
            <w:pPr>
              <w:jc w:val="right"/>
              <w:rPr>
                <w:sz w:val="20"/>
                <w:szCs w:val="20"/>
                <w:lang w:val="fr-CA"/>
              </w:rPr>
            </w:pPr>
            <w:r w:rsidRPr="00ED22D1">
              <w:rPr>
                <w:sz w:val="20"/>
                <w:szCs w:val="20"/>
                <w:lang w:val="fr-CA"/>
              </w:rPr>
              <w:t>39</w:t>
            </w:r>
            <w:r w:rsidR="004A6828" w:rsidRPr="00ED22D1">
              <w:rPr>
                <w:sz w:val="20"/>
                <w:szCs w:val="20"/>
                <w:lang w:val="fr-CA"/>
              </w:rPr>
              <w:t>6,</w:t>
            </w:r>
            <w:r w:rsidRPr="00ED22D1">
              <w:rPr>
                <w:sz w:val="20"/>
                <w:szCs w:val="20"/>
                <w:lang w:val="fr-CA"/>
              </w:rPr>
              <w:t>96</w:t>
            </w:r>
          </w:p>
        </w:tc>
      </w:tr>
      <w:tr w:rsidR="00387175" w:rsidRPr="00ED22D1" w:rsidTr="00DC24B6">
        <w:trPr>
          <w:trHeight w:val="251"/>
        </w:trPr>
        <w:tc>
          <w:tcPr>
            <w:tcW w:w="786" w:type="pct"/>
            <w:vMerge w:val="restart"/>
          </w:tcPr>
          <w:p w:rsidR="00387175" w:rsidRPr="00ED22D1" w:rsidRDefault="001B31BF" w:rsidP="001B31BF">
            <w:pPr>
              <w:rPr>
                <w:sz w:val="20"/>
                <w:szCs w:val="20"/>
                <w:lang w:val="fr-CA"/>
              </w:rPr>
            </w:pPr>
            <w:r w:rsidRPr="00ED22D1">
              <w:rPr>
                <w:sz w:val="20"/>
                <w:szCs w:val="20"/>
                <w:lang w:val="fr-CA"/>
              </w:rPr>
              <w:t>Objectif d’é</w:t>
            </w:r>
            <w:r w:rsidR="004A6828" w:rsidRPr="00ED22D1">
              <w:rPr>
                <w:sz w:val="20"/>
                <w:szCs w:val="20"/>
                <w:lang w:val="fr-CA"/>
              </w:rPr>
              <w:t>limination</w:t>
            </w:r>
            <w:r w:rsidR="00387175" w:rsidRPr="00ED22D1">
              <w:rPr>
                <w:sz w:val="20"/>
                <w:szCs w:val="20"/>
                <w:lang w:val="fr-CA"/>
              </w:rPr>
              <w:t xml:space="preserve"> </w:t>
            </w:r>
          </w:p>
        </w:tc>
        <w:tc>
          <w:tcPr>
            <w:tcW w:w="665" w:type="pct"/>
          </w:tcPr>
          <w:p w:rsidR="00387175" w:rsidRPr="00ED22D1" w:rsidRDefault="001B31BF" w:rsidP="008A1431">
            <w:pPr>
              <w:rPr>
                <w:sz w:val="20"/>
                <w:szCs w:val="20"/>
                <w:lang w:val="fr-CA"/>
              </w:rPr>
            </w:pPr>
            <w:r w:rsidRPr="00ED22D1">
              <w:rPr>
                <w:sz w:val="20"/>
                <w:szCs w:val="20"/>
                <w:lang w:val="fr-CA"/>
              </w:rPr>
              <w:t>T</w:t>
            </w:r>
            <w:r w:rsidR="008A1431" w:rsidRPr="00ED22D1">
              <w:rPr>
                <w:sz w:val="20"/>
                <w:szCs w:val="20"/>
                <w:lang w:val="fr-CA"/>
              </w:rPr>
              <w:t>onnes métriques</w:t>
            </w:r>
          </w:p>
        </w:tc>
        <w:tc>
          <w:tcPr>
            <w:tcW w:w="710" w:type="pct"/>
          </w:tcPr>
          <w:p w:rsidR="00387175" w:rsidRPr="00ED22D1" w:rsidRDefault="00F12D89" w:rsidP="00387175">
            <w:pPr>
              <w:jc w:val="right"/>
              <w:rPr>
                <w:sz w:val="20"/>
                <w:szCs w:val="20"/>
                <w:lang w:val="fr-CA"/>
              </w:rPr>
            </w:pPr>
            <w:r w:rsidRPr="00ED22D1">
              <w:rPr>
                <w:sz w:val="20"/>
                <w:szCs w:val="20"/>
                <w:lang w:val="fr-CA"/>
              </w:rPr>
              <w:t>s.o.</w:t>
            </w:r>
          </w:p>
        </w:tc>
        <w:tc>
          <w:tcPr>
            <w:tcW w:w="710" w:type="pct"/>
          </w:tcPr>
          <w:p w:rsidR="00387175" w:rsidRPr="00ED22D1" w:rsidRDefault="00387175" w:rsidP="00387175">
            <w:pPr>
              <w:jc w:val="right"/>
              <w:rPr>
                <w:sz w:val="20"/>
                <w:szCs w:val="20"/>
                <w:lang w:val="fr-CA"/>
              </w:rPr>
            </w:pPr>
            <w:r w:rsidRPr="00ED22D1">
              <w:rPr>
                <w:sz w:val="20"/>
                <w:szCs w:val="20"/>
                <w:lang w:val="fr-CA"/>
              </w:rPr>
              <w:t>27</w:t>
            </w:r>
            <w:r w:rsidR="004A6828" w:rsidRPr="00ED22D1">
              <w:rPr>
                <w:sz w:val="20"/>
                <w:szCs w:val="20"/>
                <w:lang w:val="fr-CA"/>
              </w:rPr>
              <w:t>2,</w:t>
            </w:r>
            <w:r w:rsidRPr="00ED22D1">
              <w:rPr>
                <w:sz w:val="20"/>
                <w:szCs w:val="20"/>
                <w:lang w:val="fr-CA"/>
              </w:rPr>
              <w:t>7</w:t>
            </w:r>
          </w:p>
        </w:tc>
        <w:tc>
          <w:tcPr>
            <w:tcW w:w="710" w:type="pct"/>
          </w:tcPr>
          <w:p w:rsidR="00387175" w:rsidRPr="00ED22D1" w:rsidRDefault="004A6828" w:rsidP="00387175">
            <w:pPr>
              <w:jc w:val="right"/>
              <w:rPr>
                <w:sz w:val="20"/>
                <w:szCs w:val="20"/>
                <w:lang w:val="fr-CA"/>
              </w:rPr>
            </w:pPr>
            <w:r w:rsidRPr="00ED22D1">
              <w:rPr>
                <w:sz w:val="20"/>
                <w:szCs w:val="20"/>
                <w:lang w:val="fr-CA"/>
              </w:rPr>
              <w:t>0,</w:t>
            </w:r>
            <w:r w:rsidR="00387175" w:rsidRPr="00ED22D1">
              <w:rPr>
                <w:sz w:val="20"/>
                <w:szCs w:val="20"/>
                <w:lang w:val="fr-CA"/>
              </w:rPr>
              <w:t>0</w:t>
            </w:r>
          </w:p>
        </w:tc>
        <w:tc>
          <w:tcPr>
            <w:tcW w:w="710" w:type="pct"/>
          </w:tcPr>
          <w:p w:rsidR="00387175" w:rsidRPr="00ED22D1" w:rsidRDefault="00387175" w:rsidP="00387175">
            <w:pPr>
              <w:jc w:val="right"/>
              <w:rPr>
                <w:sz w:val="20"/>
                <w:szCs w:val="20"/>
                <w:lang w:val="fr-CA"/>
              </w:rPr>
            </w:pPr>
            <w:r w:rsidRPr="00ED22D1">
              <w:rPr>
                <w:sz w:val="20"/>
                <w:szCs w:val="20"/>
                <w:lang w:val="fr-CA"/>
              </w:rPr>
              <w:t>35</w:t>
            </w:r>
            <w:r w:rsidR="004A6828" w:rsidRPr="00ED22D1">
              <w:rPr>
                <w:sz w:val="20"/>
                <w:szCs w:val="20"/>
                <w:lang w:val="fr-CA"/>
              </w:rPr>
              <w:t>4,</w:t>
            </w:r>
            <w:r w:rsidRPr="00ED22D1">
              <w:rPr>
                <w:sz w:val="20"/>
                <w:szCs w:val="20"/>
                <w:lang w:val="fr-CA"/>
              </w:rPr>
              <w:t>5</w:t>
            </w:r>
          </w:p>
        </w:tc>
        <w:tc>
          <w:tcPr>
            <w:tcW w:w="710" w:type="pct"/>
          </w:tcPr>
          <w:p w:rsidR="00387175" w:rsidRPr="00ED22D1" w:rsidRDefault="00F12D89" w:rsidP="00387175">
            <w:pPr>
              <w:jc w:val="right"/>
              <w:rPr>
                <w:sz w:val="20"/>
                <w:szCs w:val="20"/>
                <w:lang w:val="fr-CA"/>
              </w:rPr>
            </w:pPr>
            <w:r w:rsidRPr="00ED22D1">
              <w:rPr>
                <w:sz w:val="20"/>
                <w:szCs w:val="20"/>
                <w:lang w:val="fr-CA"/>
              </w:rPr>
              <w:t>s.o.</w:t>
            </w:r>
          </w:p>
        </w:tc>
      </w:tr>
      <w:tr w:rsidR="00387175" w:rsidRPr="00ED22D1" w:rsidTr="00DC24B6">
        <w:trPr>
          <w:trHeight w:val="251"/>
        </w:trPr>
        <w:tc>
          <w:tcPr>
            <w:tcW w:w="786" w:type="pct"/>
            <w:vMerge/>
          </w:tcPr>
          <w:p w:rsidR="00387175" w:rsidRPr="00ED22D1" w:rsidRDefault="00387175" w:rsidP="00387175">
            <w:pPr>
              <w:rPr>
                <w:sz w:val="20"/>
                <w:szCs w:val="20"/>
                <w:lang w:val="fr-CA"/>
              </w:rPr>
            </w:pPr>
          </w:p>
        </w:tc>
        <w:tc>
          <w:tcPr>
            <w:tcW w:w="665" w:type="pct"/>
          </w:tcPr>
          <w:p w:rsidR="00387175" w:rsidRPr="00ED22D1" w:rsidRDefault="00181884" w:rsidP="00387175">
            <w:pPr>
              <w:rPr>
                <w:sz w:val="20"/>
                <w:szCs w:val="20"/>
                <w:lang w:val="fr-CA"/>
              </w:rPr>
            </w:pPr>
            <w:r w:rsidRPr="00ED22D1">
              <w:rPr>
                <w:sz w:val="20"/>
                <w:szCs w:val="20"/>
                <w:lang w:val="fr-CA"/>
              </w:rPr>
              <w:t>Tonnes PAO</w:t>
            </w:r>
          </w:p>
        </w:tc>
        <w:tc>
          <w:tcPr>
            <w:tcW w:w="710" w:type="pct"/>
          </w:tcPr>
          <w:p w:rsidR="00387175" w:rsidRPr="00ED22D1" w:rsidRDefault="00F12D89" w:rsidP="00387175">
            <w:pPr>
              <w:jc w:val="right"/>
              <w:rPr>
                <w:sz w:val="20"/>
                <w:szCs w:val="20"/>
                <w:lang w:val="fr-CA"/>
              </w:rPr>
            </w:pPr>
            <w:r w:rsidRPr="00ED22D1">
              <w:rPr>
                <w:sz w:val="20"/>
                <w:szCs w:val="20"/>
                <w:lang w:val="fr-CA"/>
              </w:rPr>
              <w:t>s.o.</w:t>
            </w:r>
          </w:p>
        </w:tc>
        <w:tc>
          <w:tcPr>
            <w:tcW w:w="710" w:type="pct"/>
          </w:tcPr>
          <w:p w:rsidR="00387175" w:rsidRPr="00ED22D1" w:rsidRDefault="00387175" w:rsidP="00387175">
            <w:pPr>
              <w:jc w:val="right"/>
              <w:rPr>
                <w:sz w:val="20"/>
                <w:szCs w:val="20"/>
                <w:lang w:val="fr-CA"/>
              </w:rPr>
            </w:pPr>
            <w:r w:rsidRPr="00ED22D1">
              <w:rPr>
                <w:sz w:val="20"/>
                <w:szCs w:val="20"/>
                <w:lang w:val="fr-CA"/>
              </w:rPr>
              <w:t>2</w:t>
            </w:r>
            <w:r w:rsidR="004A6828" w:rsidRPr="00ED22D1">
              <w:rPr>
                <w:sz w:val="20"/>
                <w:szCs w:val="20"/>
                <w:lang w:val="fr-CA"/>
              </w:rPr>
              <w:t>9,</w:t>
            </w:r>
            <w:r w:rsidRPr="00ED22D1">
              <w:rPr>
                <w:sz w:val="20"/>
                <w:szCs w:val="20"/>
                <w:lang w:val="fr-CA"/>
              </w:rPr>
              <w:t>0</w:t>
            </w:r>
          </w:p>
        </w:tc>
        <w:tc>
          <w:tcPr>
            <w:tcW w:w="710" w:type="pct"/>
          </w:tcPr>
          <w:p w:rsidR="00387175" w:rsidRPr="00ED22D1" w:rsidRDefault="004A6828" w:rsidP="00387175">
            <w:pPr>
              <w:jc w:val="right"/>
              <w:rPr>
                <w:sz w:val="20"/>
                <w:szCs w:val="20"/>
                <w:lang w:val="fr-CA"/>
              </w:rPr>
            </w:pPr>
            <w:r w:rsidRPr="00ED22D1">
              <w:rPr>
                <w:sz w:val="20"/>
                <w:szCs w:val="20"/>
                <w:lang w:val="fr-CA"/>
              </w:rPr>
              <w:t>0,</w:t>
            </w:r>
            <w:r w:rsidR="00387175" w:rsidRPr="00ED22D1">
              <w:rPr>
                <w:sz w:val="20"/>
                <w:szCs w:val="20"/>
                <w:lang w:val="fr-CA"/>
              </w:rPr>
              <w:t>0</w:t>
            </w:r>
          </w:p>
        </w:tc>
        <w:tc>
          <w:tcPr>
            <w:tcW w:w="710" w:type="pct"/>
          </w:tcPr>
          <w:p w:rsidR="00387175" w:rsidRPr="00ED22D1" w:rsidRDefault="00387175" w:rsidP="00387175">
            <w:pPr>
              <w:jc w:val="right"/>
              <w:rPr>
                <w:sz w:val="20"/>
                <w:szCs w:val="20"/>
                <w:lang w:val="fr-CA"/>
              </w:rPr>
            </w:pPr>
            <w:r w:rsidRPr="00ED22D1">
              <w:rPr>
                <w:sz w:val="20"/>
                <w:szCs w:val="20"/>
                <w:lang w:val="fr-CA"/>
              </w:rPr>
              <w:t>3</w:t>
            </w:r>
            <w:r w:rsidR="004A6828" w:rsidRPr="00ED22D1">
              <w:rPr>
                <w:sz w:val="20"/>
                <w:szCs w:val="20"/>
                <w:lang w:val="fr-CA"/>
              </w:rPr>
              <w:t>9,</w:t>
            </w:r>
            <w:r w:rsidRPr="00ED22D1">
              <w:rPr>
                <w:sz w:val="20"/>
                <w:szCs w:val="20"/>
                <w:lang w:val="fr-CA"/>
              </w:rPr>
              <w:t>0</w:t>
            </w:r>
          </w:p>
        </w:tc>
        <w:tc>
          <w:tcPr>
            <w:tcW w:w="710" w:type="pct"/>
          </w:tcPr>
          <w:p w:rsidR="00387175" w:rsidRPr="00ED22D1" w:rsidRDefault="00F12D89" w:rsidP="00387175">
            <w:pPr>
              <w:jc w:val="right"/>
              <w:rPr>
                <w:sz w:val="20"/>
                <w:szCs w:val="20"/>
                <w:lang w:val="fr-CA"/>
              </w:rPr>
            </w:pPr>
            <w:r w:rsidRPr="00ED22D1">
              <w:rPr>
                <w:sz w:val="20"/>
                <w:szCs w:val="20"/>
                <w:lang w:val="fr-CA"/>
              </w:rPr>
              <w:t>s.o.</w:t>
            </w:r>
          </w:p>
        </w:tc>
      </w:tr>
    </w:tbl>
    <w:p w:rsidR="00387175" w:rsidRPr="00ED22D1" w:rsidRDefault="00387175" w:rsidP="00387175">
      <w:pPr>
        <w:rPr>
          <w:sz w:val="16"/>
          <w:szCs w:val="16"/>
          <w:lang w:val="fr-CA"/>
        </w:rPr>
      </w:pPr>
      <w:r w:rsidRPr="00ED22D1">
        <w:rPr>
          <w:sz w:val="16"/>
          <w:szCs w:val="16"/>
          <w:lang w:val="fr-CA"/>
        </w:rPr>
        <w:t xml:space="preserve">* </w:t>
      </w:r>
      <w:r w:rsidR="001B31BF" w:rsidRPr="00ED22D1">
        <w:rPr>
          <w:sz w:val="16"/>
          <w:szCs w:val="16"/>
          <w:lang w:val="fr-CA"/>
        </w:rPr>
        <w:t xml:space="preserve">Selon </w:t>
      </w:r>
      <w:r w:rsidR="00CE7FEC" w:rsidRPr="00ED22D1">
        <w:rPr>
          <w:sz w:val="16"/>
          <w:szCs w:val="16"/>
          <w:lang w:val="fr-CA"/>
        </w:rPr>
        <w:t>l’accord</w:t>
      </w:r>
      <w:r w:rsidR="00F320D6" w:rsidRPr="00ED22D1">
        <w:rPr>
          <w:sz w:val="16"/>
          <w:szCs w:val="16"/>
          <w:lang w:val="fr-CA"/>
        </w:rPr>
        <w:t xml:space="preserve"> signé</w:t>
      </w:r>
      <w:r w:rsidRPr="00ED22D1">
        <w:rPr>
          <w:sz w:val="16"/>
          <w:szCs w:val="16"/>
          <w:lang w:val="fr-CA"/>
        </w:rPr>
        <w:t xml:space="preserve"> </w:t>
      </w:r>
      <w:r w:rsidR="001B31BF" w:rsidRPr="00ED22D1">
        <w:rPr>
          <w:sz w:val="16"/>
          <w:szCs w:val="16"/>
          <w:lang w:val="fr-CA"/>
        </w:rPr>
        <w:t>à la 6</w:t>
      </w:r>
      <w:r w:rsidRPr="00ED22D1">
        <w:rPr>
          <w:sz w:val="16"/>
          <w:szCs w:val="16"/>
          <w:lang w:val="fr-CA"/>
        </w:rPr>
        <w:t>7</w:t>
      </w:r>
      <w:r w:rsidR="001B31BF" w:rsidRPr="00ED22D1">
        <w:rPr>
          <w:sz w:val="16"/>
          <w:szCs w:val="16"/>
          <w:vertAlign w:val="superscript"/>
          <w:lang w:val="fr-CA"/>
        </w:rPr>
        <w:t>e</w:t>
      </w:r>
      <w:r w:rsidR="001B31BF"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1B31BF" w:rsidRPr="00ED22D1">
        <w:rPr>
          <w:sz w:val="16"/>
          <w:szCs w:val="16"/>
          <w:lang w:val="fr-CA"/>
        </w:rPr>
        <w:t xml:space="preserve">pour la </w:t>
      </w:r>
      <w:r w:rsidR="004A6828" w:rsidRPr="00ED22D1">
        <w:rPr>
          <w:sz w:val="16"/>
          <w:szCs w:val="16"/>
          <w:lang w:val="fr-CA"/>
        </w:rPr>
        <w:t xml:space="preserve">phase </w:t>
      </w:r>
      <w:r w:rsidRPr="00ED22D1">
        <w:rPr>
          <w:sz w:val="16"/>
          <w:szCs w:val="16"/>
          <w:lang w:val="fr-CA"/>
        </w:rPr>
        <w:t xml:space="preserve">I </w:t>
      </w:r>
      <w:r w:rsidR="001F19C1" w:rsidRPr="00ED22D1">
        <w:rPr>
          <w:sz w:val="16"/>
          <w:szCs w:val="16"/>
          <w:lang w:val="fr-CA"/>
        </w:rPr>
        <w:t>du PGEH</w:t>
      </w:r>
      <w:r w:rsidRPr="00ED22D1">
        <w:rPr>
          <w:sz w:val="16"/>
          <w:szCs w:val="16"/>
          <w:lang w:val="fr-CA"/>
        </w:rPr>
        <w:t xml:space="preserve"> </w:t>
      </w:r>
      <w:r w:rsidR="001B31BF" w:rsidRPr="00ED22D1">
        <w:rPr>
          <w:sz w:val="16"/>
          <w:szCs w:val="16"/>
          <w:lang w:val="fr-CA"/>
        </w:rPr>
        <w:t xml:space="preserve">jusqu’à </w:t>
      </w:r>
      <w:r w:rsidRPr="00ED22D1">
        <w:rPr>
          <w:sz w:val="16"/>
          <w:szCs w:val="16"/>
          <w:lang w:val="fr-CA"/>
        </w:rPr>
        <w:t>201</w:t>
      </w:r>
      <w:r w:rsidR="004A6828" w:rsidRPr="00ED22D1">
        <w:rPr>
          <w:sz w:val="16"/>
          <w:szCs w:val="16"/>
          <w:lang w:val="fr-CA"/>
        </w:rPr>
        <w:t>5</w:t>
      </w:r>
      <w:r w:rsidR="00C05580">
        <w:rPr>
          <w:sz w:val="16"/>
          <w:szCs w:val="16"/>
          <w:lang w:val="fr-CA"/>
        </w:rPr>
        <w:t>,</w:t>
      </w:r>
      <w:r w:rsidR="004A6828" w:rsidRPr="00ED22D1">
        <w:rPr>
          <w:sz w:val="16"/>
          <w:szCs w:val="16"/>
          <w:lang w:val="fr-CA"/>
        </w:rPr>
        <w:t xml:space="preserve"> et </w:t>
      </w:r>
      <w:r w:rsidR="001B31BF" w:rsidRPr="00ED22D1">
        <w:rPr>
          <w:sz w:val="16"/>
          <w:szCs w:val="16"/>
          <w:lang w:val="fr-CA"/>
        </w:rPr>
        <w:t>selon l</w:t>
      </w:r>
      <w:r w:rsidR="00CE7FEC" w:rsidRPr="00ED22D1">
        <w:rPr>
          <w:sz w:val="16"/>
          <w:szCs w:val="16"/>
          <w:lang w:val="fr-CA"/>
        </w:rPr>
        <w:t>’accord</w:t>
      </w:r>
      <w:r w:rsidRPr="00ED22D1">
        <w:rPr>
          <w:sz w:val="16"/>
          <w:szCs w:val="16"/>
          <w:lang w:val="fr-CA"/>
        </w:rPr>
        <w:t xml:space="preserve"> </w:t>
      </w:r>
      <w:r w:rsidR="001B31BF" w:rsidRPr="00ED22D1">
        <w:rPr>
          <w:sz w:val="16"/>
          <w:szCs w:val="16"/>
          <w:lang w:val="fr-CA"/>
        </w:rPr>
        <w:t>signé</w:t>
      </w:r>
      <w:r w:rsidRPr="00ED22D1">
        <w:rPr>
          <w:sz w:val="16"/>
          <w:szCs w:val="16"/>
          <w:lang w:val="fr-CA"/>
        </w:rPr>
        <w:t xml:space="preserve"> </w:t>
      </w:r>
      <w:r w:rsidR="001B31BF" w:rsidRPr="00ED22D1">
        <w:rPr>
          <w:sz w:val="16"/>
          <w:szCs w:val="16"/>
          <w:lang w:val="fr-CA"/>
        </w:rPr>
        <w:t>à la 7</w:t>
      </w:r>
      <w:r w:rsidRPr="00ED22D1">
        <w:rPr>
          <w:sz w:val="16"/>
          <w:szCs w:val="16"/>
          <w:lang w:val="fr-CA"/>
        </w:rPr>
        <w:t>9</w:t>
      </w:r>
      <w:r w:rsidR="001B31BF" w:rsidRPr="00ED22D1">
        <w:rPr>
          <w:sz w:val="16"/>
          <w:szCs w:val="16"/>
          <w:vertAlign w:val="superscript"/>
          <w:lang w:val="fr-CA"/>
        </w:rPr>
        <w:t>e</w:t>
      </w:r>
      <w:r w:rsidR="001B31BF" w:rsidRPr="00ED22D1">
        <w:rPr>
          <w:sz w:val="16"/>
          <w:szCs w:val="16"/>
          <w:lang w:val="fr-CA"/>
        </w:rPr>
        <w:t xml:space="preserve"> </w:t>
      </w:r>
      <w:r w:rsidR="00DD185D" w:rsidRPr="00ED22D1">
        <w:rPr>
          <w:sz w:val="16"/>
          <w:szCs w:val="16"/>
          <w:lang w:val="fr-CA"/>
        </w:rPr>
        <w:t>réunion</w:t>
      </w:r>
      <w:r w:rsidRPr="00ED22D1">
        <w:rPr>
          <w:sz w:val="16"/>
          <w:szCs w:val="16"/>
          <w:lang w:val="fr-CA"/>
        </w:rPr>
        <w:t xml:space="preserve"> </w:t>
      </w:r>
      <w:r w:rsidR="001B31BF" w:rsidRPr="00ED22D1">
        <w:rPr>
          <w:sz w:val="16"/>
          <w:szCs w:val="16"/>
          <w:lang w:val="fr-CA"/>
        </w:rPr>
        <w:t xml:space="preserve">pour la </w:t>
      </w:r>
      <w:r w:rsidR="004A6828" w:rsidRPr="00ED22D1">
        <w:rPr>
          <w:sz w:val="16"/>
          <w:szCs w:val="16"/>
          <w:lang w:val="fr-CA"/>
        </w:rPr>
        <w:t xml:space="preserve">phase </w:t>
      </w:r>
      <w:r w:rsidRPr="00ED22D1">
        <w:rPr>
          <w:sz w:val="16"/>
          <w:szCs w:val="16"/>
          <w:lang w:val="fr-CA"/>
        </w:rPr>
        <w:t xml:space="preserve">II </w:t>
      </w:r>
      <w:r w:rsidR="001B31BF" w:rsidRPr="00ED22D1">
        <w:rPr>
          <w:sz w:val="16"/>
          <w:szCs w:val="16"/>
          <w:lang w:val="fr-CA"/>
        </w:rPr>
        <w:t>de </w:t>
      </w:r>
      <w:r w:rsidRPr="00ED22D1">
        <w:rPr>
          <w:sz w:val="16"/>
          <w:szCs w:val="16"/>
          <w:lang w:val="fr-CA"/>
        </w:rPr>
        <w:t>2016</w:t>
      </w:r>
      <w:r w:rsidR="001B31BF" w:rsidRPr="00ED22D1">
        <w:rPr>
          <w:sz w:val="16"/>
          <w:szCs w:val="16"/>
          <w:lang w:val="fr-CA"/>
        </w:rPr>
        <w:t> </w:t>
      </w:r>
      <w:r w:rsidR="004A6828" w:rsidRPr="00ED22D1">
        <w:rPr>
          <w:sz w:val="16"/>
          <w:szCs w:val="16"/>
          <w:lang w:val="fr-CA"/>
        </w:rPr>
        <w:t>et</w:t>
      </w:r>
      <w:r w:rsidR="0052508A" w:rsidRPr="00ED22D1">
        <w:rPr>
          <w:sz w:val="16"/>
          <w:szCs w:val="16"/>
          <w:lang w:val="fr-CA"/>
        </w:rPr>
        <w:t> </w:t>
      </w:r>
      <w:r w:rsidRPr="00ED22D1">
        <w:rPr>
          <w:sz w:val="16"/>
          <w:szCs w:val="16"/>
          <w:lang w:val="fr-CA"/>
        </w:rPr>
        <w:t>201</w:t>
      </w:r>
      <w:r w:rsidR="004A6828" w:rsidRPr="00ED22D1">
        <w:rPr>
          <w:sz w:val="16"/>
          <w:szCs w:val="16"/>
          <w:lang w:val="fr-CA"/>
        </w:rPr>
        <w:t>7</w:t>
      </w:r>
      <w:r w:rsidR="001B31BF" w:rsidRPr="00ED22D1">
        <w:rPr>
          <w:sz w:val="16"/>
          <w:szCs w:val="16"/>
          <w:lang w:val="fr-CA"/>
        </w:rPr>
        <w:t>.</w:t>
      </w:r>
    </w:p>
    <w:p w:rsidR="00387175" w:rsidRPr="00ED22D1" w:rsidRDefault="00387175" w:rsidP="00387175">
      <w:pPr>
        <w:rPr>
          <w:sz w:val="16"/>
          <w:szCs w:val="16"/>
          <w:lang w:val="fr-CA"/>
        </w:rPr>
      </w:pPr>
      <w:r w:rsidRPr="00ED22D1">
        <w:rPr>
          <w:sz w:val="16"/>
          <w:szCs w:val="16"/>
          <w:lang w:val="fr-CA"/>
        </w:rPr>
        <w:t>**</w:t>
      </w:r>
      <w:r w:rsidR="001B31BF" w:rsidRPr="00ED22D1">
        <w:rPr>
          <w:sz w:val="16"/>
          <w:szCs w:val="16"/>
          <w:lang w:val="fr-CA"/>
        </w:rPr>
        <w:t xml:space="preserve">Selon le rapport de mise en oeuvre du </w:t>
      </w:r>
      <w:r w:rsidR="00181884" w:rsidRPr="00ED22D1">
        <w:rPr>
          <w:sz w:val="16"/>
          <w:szCs w:val="16"/>
          <w:lang w:val="fr-CA"/>
        </w:rPr>
        <w:t>programme de pays</w:t>
      </w:r>
      <w:r w:rsidRPr="00ED22D1">
        <w:rPr>
          <w:sz w:val="16"/>
          <w:szCs w:val="16"/>
          <w:lang w:val="fr-CA"/>
        </w:rPr>
        <w:t>.</w:t>
      </w:r>
    </w:p>
    <w:p w:rsidR="00387175" w:rsidRPr="00ED22D1" w:rsidRDefault="00387175" w:rsidP="00387175">
      <w:pPr>
        <w:rPr>
          <w:lang w:val="fr-CA"/>
        </w:rPr>
      </w:pPr>
    </w:p>
    <w:p w:rsidR="00387175" w:rsidRPr="00ED22D1" w:rsidRDefault="00EB650F" w:rsidP="00EB650F">
      <w:pPr>
        <w:pStyle w:val="Heading1"/>
        <w:keepNext/>
        <w:keepLines/>
        <w:numPr>
          <w:ilvl w:val="0"/>
          <w:numId w:val="0"/>
        </w:numPr>
        <w:rPr>
          <w:lang w:val="fr-CA"/>
        </w:rPr>
      </w:pPr>
      <w:r w:rsidRPr="00ED22D1">
        <w:rPr>
          <w:lang w:val="fr-CA"/>
        </w:rPr>
        <w:lastRenderedPageBreak/>
        <w:t>122.</w:t>
      </w:r>
      <w:r w:rsidRPr="00ED22D1">
        <w:rPr>
          <w:lang w:val="fr-CA"/>
        </w:rPr>
        <w:tab/>
      </w:r>
      <w:r w:rsidR="00B70069" w:rsidRPr="00ED22D1">
        <w:rPr>
          <w:lang w:val="fr-CA"/>
        </w:rPr>
        <w:t xml:space="preserve">La </w:t>
      </w:r>
      <w:r w:rsidR="00903152" w:rsidRPr="00ED22D1">
        <w:rPr>
          <w:lang w:val="fr-CA"/>
        </w:rPr>
        <w:t>réduction</w:t>
      </w:r>
      <w:r w:rsidR="00387175" w:rsidRPr="00ED22D1">
        <w:rPr>
          <w:lang w:val="fr-CA"/>
        </w:rPr>
        <w:t xml:space="preserve"> </w:t>
      </w:r>
      <w:r w:rsidR="00B70069" w:rsidRPr="00ED22D1">
        <w:rPr>
          <w:lang w:val="fr-CA"/>
        </w:rPr>
        <w:t>de la</w:t>
      </w:r>
      <w:r w:rsidR="00921BDE" w:rsidRPr="00ED22D1">
        <w:rPr>
          <w:lang w:val="fr-CA"/>
        </w:rPr>
        <w:t xml:space="preserve"> consommation de HCFC</w:t>
      </w:r>
      <w:r w:rsidR="00104BF4" w:rsidRPr="00ED22D1">
        <w:rPr>
          <w:lang w:val="fr-CA"/>
        </w:rPr>
        <w:t xml:space="preserve"> a </w:t>
      </w:r>
      <w:r w:rsidR="00903152" w:rsidRPr="00ED22D1">
        <w:rPr>
          <w:lang w:val="fr-CA"/>
        </w:rPr>
        <w:t>été</w:t>
      </w:r>
      <w:r w:rsidR="00387175" w:rsidRPr="00ED22D1">
        <w:rPr>
          <w:lang w:val="fr-CA"/>
        </w:rPr>
        <w:t xml:space="preserve"> </w:t>
      </w:r>
      <w:r w:rsidR="00B67AA6" w:rsidRPr="00ED22D1">
        <w:rPr>
          <w:lang w:val="fr-CA"/>
        </w:rPr>
        <w:t>réalisé</w:t>
      </w:r>
      <w:r w:rsidR="00B70069" w:rsidRPr="00ED22D1">
        <w:rPr>
          <w:lang w:val="fr-CA"/>
        </w:rPr>
        <w:t>e</w:t>
      </w:r>
      <w:r w:rsidR="00387175" w:rsidRPr="00ED22D1">
        <w:rPr>
          <w:lang w:val="fr-CA"/>
        </w:rPr>
        <w:t xml:space="preserve"> </w:t>
      </w:r>
      <w:r w:rsidR="00B70069" w:rsidRPr="00ED22D1">
        <w:rPr>
          <w:lang w:val="fr-CA"/>
        </w:rPr>
        <w:t>par l’</w:t>
      </w:r>
      <w:r w:rsidR="00387175" w:rsidRPr="00ED22D1">
        <w:rPr>
          <w:lang w:val="fr-CA"/>
        </w:rPr>
        <w:t xml:space="preserve">application </w:t>
      </w:r>
      <w:r w:rsidR="00B70069" w:rsidRPr="00ED22D1">
        <w:rPr>
          <w:lang w:val="fr-CA"/>
        </w:rPr>
        <w:t>d</w:t>
      </w:r>
      <w:r w:rsidR="007F5115" w:rsidRPr="00ED22D1">
        <w:rPr>
          <w:lang w:val="fr-CA"/>
        </w:rPr>
        <w:t xml:space="preserve">e </w:t>
      </w:r>
      <w:r w:rsidR="00B70069" w:rsidRPr="00ED22D1">
        <w:rPr>
          <w:lang w:val="fr-CA"/>
        </w:rPr>
        <w:t>contingent</w:t>
      </w:r>
      <w:r w:rsidR="007F5115" w:rsidRPr="00ED22D1">
        <w:rPr>
          <w:lang w:val="fr-CA"/>
        </w:rPr>
        <w:t>s</w:t>
      </w:r>
      <w:r w:rsidR="00B70069" w:rsidRPr="00ED22D1">
        <w:rPr>
          <w:lang w:val="fr-CA"/>
        </w:rPr>
        <w:t xml:space="preserve"> de product</w:t>
      </w:r>
      <w:r w:rsidR="007F5115" w:rsidRPr="00ED22D1">
        <w:rPr>
          <w:lang w:val="fr-CA"/>
        </w:rPr>
        <w:t>i</w:t>
      </w:r>
      <w:r w:rsidR="00B70069" w:rsidRPr="00ED22D1">
        <w:rPr>
          <w:lang w:val="fr-CA"/>
        </w:rPr>
        <w:t xml:space="preserve">on de </w:t>
      </w:r>
      <w:r w:rsidR="00387175" w:rsidRPr="00ED22D1">
        <w:rPr>
          <w:lang w:val="fr-CA"/>
        </w:rPr>
        <w:t xml:space="preserve">HCFC </w:t>
      </w:r>
      <w:r w:rsidR="004A6828" w:rsidRPr="00ED22D1">
        <w:rPr>
          <w:lang w:val="fr-CA"/>
        </w:rPr>
        <w:t xml:space="preserve">et </w:t>
      </w:r>
      <w:r w:rsidR="007F5115" w:rsidRPr="00ED22D1">
        <w:rPr>
          <w:lang w:val="fr-CA"/>
        </w:rPr>
        <w:t xml:space="preserve">de ventes domestiques émis pour </w:t>
      </w:r>
      <w:r w:rsidR="00232667" w:rsidRPr="00ED22D1">
        <w:rPr>
          <w:lang w:val="fr-CA"/>
        </w:rPr>
        <w:t>chaque</w:t>
      </w:r>
      <w:r w:rsidR="00387175" w:rsidRPr="00ED22D1">
        <w:rPr>
          <w:lang w:val="fr-CA"/>
        </w:rPr>
        <w:t xml:space="preserve"> produc</w:t>
      </w:r>
      <w:r w:rsidR="007F5115" w:rsidRPr="00ED22D1">
        <w:rPr>
          <w:lang w:val="fr-CA"/>
        </w:rPr>
        <w:t>teur; des contingents de</w:t>
      </w:r>
      <w:r w:rsidR="00AD0203" w:rsidRPr="00ED22D1">
        <w:rPr>
          <w:lang w:val="fr-CA"/>
        </w:rPr>
        <w:t xml:space="preserve"> consommation</w:t>
      </w:r>
      <w:r w:rsidR="00921BDE" w:rsidRPr="00ED22D1">
        <w:rPr>
          <w:lang w:val="fr-CA"/>
        </w:rPr>
        <w:t xml:space="preserve"> </w:t>
      </w:r>
      <w:r w:rsidR="00B53D8B" w:rsidRPr="00ED22D1">
        <w:rPr>
          <w:lang w:val="fr-CA"/>
        </w:rPr>
        <w:t>de HCFC</w:t>
      </w:r>
      <w:r w:rsidR="00387175" w:rsidRPr="00ED22D1">
        <w:rPr>
          <w:lang w:val="fr-CA"/>
        </w:rPr>
        <w:t xml:space="preserve"> </w:t>
      </w:r>
      <w:r w:rsidR="007F5115" w:rsidRPr="00ED22D1">
        <w:rPr>
          <w:lang w:val="fr-CA"/>
        </w:rPr>
        <w:t xml:space="preserve">pour les entreprises de fabrication </w:t>
      </w:r>
      <w:r w:rsidR="00053099" w:rsidRPr="00ED22D1">
        <w:rPr>
          <w:lang w:val="fr-CA"/>
        </w:rPr>
        <w:t xml:space="preserve">utilisant </w:t>
      </w:r>
      <w:r w:rsidR="008D5B5F" w:rsidRPr="00ED22D1">
        <w:rPr>
          <w:lang w:val="fr-CA"/>
        </w:rPr>
        <w:t>plus de</w:t>
      </w:r>
      <w:r w:rsidR="00387175" w:rsidRPr="00ED22D1">
        <w:rPr>
          <w:lang w:val="fr-CA"/>
        </w:rPr>
        <w:t xml:space="preserve"> 100 </w:t>
      </w:r>
      <w:r w:rsidR="001279D7" w:rsidRPr="00ED22D1">
        <w:rPr>
          <w:lang w:val="fr-CA"/>
        </w:rPr>
        <w:t>tm</w:t>
      </w:r>
      <w:r w:rsidR="00387175" w:rsidRPr="00ED22D1">
        <w:rPr>
          <w:lang w:val="fr-CA"/>
        </w:rPr>
        <w:t>;</w:t>
      </w:r>
      <w:r w:rsidR="004A6828" w:rsidRPr="00ED22D1">
        <w:rPr>
          <w:lang w:val="fr-CA"/>
        </w:rPr>
        <w:t xml:space="preserve"> et </w:t>
      </w:r>
      <w:r w:rsidR="007F5115" w:rsidRPr="00ED22D1">
        <w:rPr>
          <w:lang w:val="fr-CA"/>
        </w:rPr>
        <w:t xml:space="preserve">la </w:t>
      </w:r>
      <w:r w:rsidR="00FB1DC4" w:rsidRPr="00ED22D1">
        <w:rPr>
          <w:lang w:val="fr-CA"/>
        </w:rPr>
        <w:t>reconversion</w:t>
      </w:r>
      <w:r w:rsidR="00387175" w:rsidRPr="00ED22D1">
        <w:rPr>
          <w:lang w:val="fr-CA"/>
        </w:rPr>
        <w:t xml:space="preserve"> </w:t>
      </w:r>
      <w:r w:rsidR="007F5115" w:rsidRPr="00ED22D1">
        <w:rPr>
          <w:lang w:val="fr-CA"/>
        </w:rPr>
        <w:t>d’</w:t>
      </w:r>
      <w:r w:rsidR="00921BDE" w:rsidRPr="00ED22D1">
        <w:rPr>
          <w:lang w:val="fr-CA"/>
        </w:rPr>
        <w:t>entreprise</w:t>
      </w:r>
      <w:r w:rsidR="00387175" w:rsidRPr="00ED22D1">
        <w:rPr>
          <w:lang w:val="fr-CA"/>
        </w:rPr>
        <w:t xml:space="preserve">s </w:t>
      </w:r>
      <w:r w:rsidR="007F5115" w:rsidRPr="00ED22D1">
        <w:rPr>
          <w:lang w:val="fr-CA"/>
        </w:rPr>
        <w:t xml:space="preserve">à la </w:t>
      </w:r>
      <w:r w:rsidR="004A6828" w:rsidRPr="00ED22D1">
        <w:rPr>
          <w:lang w:val="fr-CA"/>
        </w:rPr>
        <w:t xml:space="preserve">phase </w:t>
      </w:r>
      <w:r w:rsidR="00387175" w:rsidRPr="00ED22D1">
        <w:rPr>
          <w:lang w:val="fr-CA"/>
        </w:rPr>
        <w:t xml:space="preserve">I </w:t>
      </w:r>
      <w:r w:rsidR="001F19C1" w:rsidRPr="00ED22D1">
        <w:rPr>
          <w:lang w:val="fr-CA"/>
        </w:rPr>
        <w:t>du PGEH</w:t>
      </w:r>
      <w:r w:rsidR="00387175" w:rsidRPr="00ED22D1">
        <w:rPr>
          <w:lang w:val="fr-CA"/>
        </w:rPr>
        <w:t xml:space="preserve">. </w:t>
      </w:r>
    </w:p>
    <w:p w:rsidR="00387175" w:rsidRPr="00ED22D1" w:rsidRDefault="007F5115" w:rsidP="00387175">
      <w:pPr>
        <w:keepNext/>
        <w:spacing w:after="240"/>
        <w:rPr>
          <w:u w:val="single"/>
          <w:lang w:val="fr-CA"/>
        </w:rPr>
      </w:pPr>
      <w:r w:rsidRPr="00ED22D1">
        <w:rPr>
          <w:u w:val="single"/>
          <w:lang w:val="fr-CA"/>
        </w:rPr>
        <w:t>État</w:t>
      </w:r>
      <w:r w:rsidR="00387175" w:rsidRPr="00ED22D1">
        <w:rPr>
          <w:u w:val="single"/>
          <w:lang w:val="fr-CA"/>
        </w:rPr>
        <w:t xml:space="preserve"> </w:t>
      </w:r>
      <w:r w:rsidRPr="00ED22D1">
        <w:rPr>
          <w:u w:val="single"/>
          <w:lang w:val="fr-CA"/>
        </w:rPr>
        <w:t>de la</w:t>
      </w:r>
      <w:r w:rsidR="00387175" w:rsidRPr="00ED22D1">
        <w:rPr>
          <w:u w:val="single"/>
          <w:lang w:val="fr-CA"/>
        </w:rPr>
        <w:t xml:space="preserve"> </w:t>
      </w:r>
      <w:r w:rsidR="00C420BC" w:rsidRPr="00ED22D1">
        <w:rPr>
          <w:u w:val="single"/>
          <w:lang w:val="fr-CA"/>
        </w:rPr>
        <w:t>mise en oeuvre</w:t>
      </w:r>
    </w:p>
    <w:p w:rsidR="00387175" w:rsidRPr="00ED22D1" w:rsidRDefault="00EB650F" w:rsidP="00EB650F">
      <w:pPr>
        <w:pStyle w:val="Heading1"/>
        <w:keepNext/>
        <w:numPr>
          <w:ilvl w:val="0"/>
          <w:numId w:val="0"/>
        </w:numPr>
        <w:rPr>
          <w:lang w:val="fr-CA"/>
        </w:rPr>
      </w:pPr>
      <w:r w:rsidRPr="00ED22D1">
        <w:rPr>
          <w:lang w:val="fr-CA"/>
        </w:rPr>
        <w:t>123.</w:t>
      </w:r>
      <w:r w:rsidRPr="00ED22D1">
        <w:rPr>
          <w:lang w:val="fr-CA"/>
        </w:rPr>
        <w:tab/>
      </w:r>
      <w:r w:rsidR="007F5115" w:rsidRPr="00ED22D1">
        <w:rPr>
          <w:lang w:val="fr-CA"/>
        </w:rPr>
        <w:t xml:space="preserve">Pour répondre à </w:t>
      </w:r>
      <w:r w:rsidR="005A3CE2">
        <w:rPr>
          <w:lang w:val="fr-CA"/>
        </w:rPr>
        <w:t xml:space="preserve">la </w:t>
      </w:r>
      <w:r w:rsidR="007F5115" w:rsidRPr="00ED22D1">
        <w:rPr>
          <w:lang w:val="fr-CA"/>
        </w:rPr>
        <w:t xml:space="preserve">question sur l’état d’achèvement des nouvelles initiatives en rapport avec la politique et l’aspect réglementaire du </w:t>
      </w:r>
      <w:r w:rsidR="002F66FA" w:rsidRPr="00ED22D1">
        <w:rPr>
          <w:lang w:val="fr-CA"/>
        </w:rPr>
        <w:t>plan</w:t>
      </w:r>
      <w:r w:rsidR="001F19C1" w:rsidRPr="00ED22D1">
        <w:rPr>
          <w:lang w:val="fr-CA"/>
        </w:rPr>
        <w:t>, le PNUD</w:t>
      </w:r>
      <w:r w:rsidR="00387175" w:rsidRPr="00ED22D1">
        <w:rPr>
          <w:lang w:val="fr-CA"/>
        </w:rPr>
        <w:t xml:space="preserve"> </w:t>
      </w:r>
      <w:r w:rsidR="007F5115" w:rsidRPr="00ED22D1">
        <w:rPr>
          <w:lang w:val="fr-CA"/>
        </w:rPr>
        <w:t xml:space="preserve">a </w:t>
      </w:r>
      <w:r w:rsidR="002B7FD8" w:rsidRPr="00ED22D1">
        <w:rPr>
          <w:lang w:val="fr-CA"/>
        </w:rPr>
        <w:t>expliqué</w:t>
      </w:r>
      <w:r w:rsidR="00387175" w:rsidRPr="00ED22D1">
        <w:rPr>
          <w:lang w:val="fr-CA"/>
        </w:rPr>
        <w:t xml:space="preserve"> </w:t>
      </w:r>
      <w:r w:rsidR="007F5115" w:rsidRPr="00ED22D1">
        <w:rPr>
          <w:lang w:val="fr-CA"/>
        </w:rPr>
        <w:t>qu</w:t>
      </w:r>
      <w:r w:rsidR="005A3CE2">
        <w:rPr>
          <w:lang w:val="fr-CA"/>
        </w:rPr>
        <w:t>’on a commencé</w:t>
      </w:r>
      <w:r w:rsidR="00733306" w:rsidRPr="00ED22D1">
        <w:rPr>
          <w:lang w:val="fr-CA"/>
        </w:rPr>
        <w:t xml:space="preserve"> </w:t>
      </w:r>
      <w:r w:rsidR="005A3CE2">
        <w:rPr>
          <w:lang w:val="fr-CA"/>
        </w:rPr>
        <w:t xml:space="preserve">en juillet 2018 </w:t>
      </w:r>
      <w:r w:rsidR="00733306" w:rsidRPr="00ED22D1">
        <w:rPr>
          <w:lang w:val="fr-CA"/>
        </w:rPr>
        <w:t>la</w:t>
      </w:r>
      <w:r w:rsidR="005A3CE2">
        <w:rPr>
          <w:lang w:val="fr-CA"/>
        </w:rPr>
        <w:t> </w:t>
      </w:r>
      <w:r w:rsidR="000D737E" w:rsidRPr="00ED22D1">
        <w:rPr>
          <w:lang w:val="fr-CA"/>
        </w:rPr>
        <w:t>prépar</w:t>
      </w:r>
      <w:r w:rsidR="00387175" w:rsidRPr="00ED22D1">
        <w:rPr>
          <w:lang w:val="fr-CA"/>
        </w:rPr>
        <w:t xml:space="preserve">ation </w:t>
      </w:r>
      <w:r w:rsidR="007F5115" w:rsidRPr="00ED22D1">
        <w:rPr>
          <w:lang w:val="fr-CA"/>
        </w:rPr>
        <w:t xml:space="preserve">pour l’imposition d’une interdiction </w:t>
      </w:r>
      <w:r w:rsidR="0095112A" w:rsidRPr="00ED22D1">
        <w:rPr>
          <w:lang w:val="fr-CA"/>
        </w:rPr>
        <w:t>d’utiliser</w:t>
      </w:r>
      <w:r w:rsidR="007F5115" w:rsidRPr="00ED22D1">
        <w:rPr>
          <w:lang w:val="fr-CA"/>
        </w:rPr>
        <w:t xml:space="preserve"> des </w:t>
      </w:r>
      <w:r w:rsidR="008D5B5F" w:rsidRPr="00ED22D1">
        <w:rPr>
          <w:lang w:val="fr-CA"/>
        </w:rPr>
        <w:t>HCFC</w:t>
      </w:r>
      <w:r w:rsidR="007F5115" w:rsidRPr="00ED22D1">
        <w:rPr>
          <w:lang w:val="fr-CA"/>
        </w:rPr>
        <w:t xml:space="preserve"> dans le sous-secteur </w:t>
      </w:r>
      <w:r w:rsidR="00387175" w:rsidRPr="00ED22D1">
        <w:rPr>
          <w:lang w:val="fr-CA"/>
        </w:rPr>
        <w:t>DMD</w:t>
      </w:r>
      <w:r w:rsidR="0095112A" w:rsidRPr="00ED22D1">
        <w:rPr>
          <w:lang w:val="fr-CA"/>
        </w:rPr>
        <w:t xml:space="preserve"> d’ici le</w:t>
      </w:r>
      <w:r w:rsidR="005A3CE2">
        <w:rPr>
          <w:lang w:val="fr-CA"/>
        </w:rPr>
        <w:t> </w:t>
      </w:r>
      <w:r w:rsidR="00387175" w:rsidRPr="00ED22D1">
        <w:rPr>
          <w:lang w:val="fr-CA"/>
        </w:rPr>
        <w:t>1</w:t>
      </w:r>
      <w:r w:rsidR="00B53D8B" w:rsidRPr="00ED22D1">
        <w:rPr>
          <w:lang w:val="fr-CA"/>
        </w:rPr>
        <w:t xml:space="preserve"> janvier</w:t>
      </w:r>
      <w:r w:rsidR="00387175" w:rsidRPr="00ED22D1">
        <w:rPr>
          <w:lang w:val="fr-CA"/>
        </w:rPr>
        <w:t xml:space="preserve"> 202</w:t>
      </w:r>
      <w:r w:rsidR="004A6828" w:rsidRPr="00ED22D1">
        <w:rPr>
          <w:lang w:val="fr-CA"/>
        </w:rPr>
        <w:t>6</w:t>
      </w:r>
      <w:r w:rsidR="00B53D8B" w:rsidRPr="00ED22D1">
        <w:rPr>
          <w:lang w:val="fr-CA"/>
        </w:rPr>
        <w:t>.</w:t>
      </w:r>
      <w:r w:rsidR="00387175" w:rsidRPr="00ED22D1">
        <w:rPr>
          <w:lang w:val="fr-CA"/>
        </w:rPr>
        <w:t xml:space="preserve"> </w:t>
      </w:r>
      <w:r w:rsidR="0095112A" w:rsidRPr="00ED22D1">
        <w:rPr>
          <w:lang w:val="fr-CA"/>
        </w:rPr>
        <w:t xml:space="preserve">Cette </w:t>
      </w:r>
      <w:r w:rsidR="00DE118B" w:rsidRPr="00ED22D1">
        <w:rPr>
          <w:lang w:val="fr-CA"/>
        </w:rPr>
        <w:t>activité</w:t>
      </w:r>
      <w:r w:rsidR="00387175" w:rsidRPr="00ED22D1">
        <w:rPr>
          <w:lang w:val="fr-CA"/>
        </w:rPr>
        <w:t xml:space="preserve"> </w:t>
      </w:r>
      <w:r w:rsidR="0095112A" w:rsidRPr="00ED22D1">
        <w:rPr>
          <w:lang w:val="fr-CA"/>
        </w:rPr>
        <w:t xml:space="preserve">analysera les effets potentiels de l’interdiction sur le pays en général et </w:t>
      </w:r>
      <w:r w:rsidR="001B31BF" w:rsidRPr="00ED22D1">
        <w:rPr>
          <w:lang w:val="fr-CA"/>
        </w:rPr>
        <w:t>le</w:t>
      </w:r>
      <w:r w:rsidR="005A3CE2">
        <w:rPr>
          <w:lang w:val="fr-CA"/>
        </w:rPr>
        <w:t> </w:t>
      </w:r>
      <w:r w:rsidR="001B31BF" w:rsidRPr="00ED22D1">
        <w:rPr>
          <w:lang w:val="fr-CA"/>
        </w:rPr>
        <w:t>secteur des solvants</w:t>
      </w:r>
      <w:r w:rsidR="00387175" w:rsidRPr="00ED22D1">
        <w:rPr>
          <w:lang w:val="fr-CA"/>
        </w:rPr>
        <w:t xml:space="preserve"> </w:t>
      </w:r>
      <w:r w:rsidR="0095112A" w:rsidRPr="00ED22D1">
        <w:rPr>
          <w:lang w:val="fr-CA"/>
        </w:rPr>
        <w:t>en particulier</w:t>
      </w:r>
      <w:r w:rsidR="00846324" w:rsidRPr="00ED22D1">
        <w:rPr>
          <w:lang w:val="fr-CA"/>
        </w:rPr>
        <w:t>,</w:t>
      </w:r>
      <w:r w:rsidR="00387175" w:rsidRPr="00ED22D1">
        <w:rPr>
          <w:lang w:val="fr-CA"/>
        </w:rPr>
        <w:t xml:space="preserve"> </w:t>
      </w:r>
      <w:r w:rsidR="00846324" w:rsidRPr="00ED22D1">
        <w:rPr>
          <w:lang w:val="fr-CA"/>
        </w:rPr>
        <w:t xml:space="preserve">collectera des données de l’industrie afin de réduire tout effet négatif sur les </w:t>
      </w:r>
      <w:r w:rsidR="00921BDE" w:rsidRPr="00ED22D1">
        <w:rPr>
          <w:lang w:val="fr-CA"/>
        </w:rPr>
        <w:t>entreprise</w:t>
      </w:r>
      <w:r w:rsidR="00387175" w:rsidRPr="00ED22D1">
        <w:rPr>
          <w:lang w:val="fr-CA"/>
        </w:rPr>
        <w:t xml:space="preserve">s, </w:t>
      </w:r>
      <w:r w:rsidR="00846324" w:rsidRPr="00ED22D1">
        <w:rPr>
          <w:lang w:val="fr-CA"/>
        </w:rPr>
        <w:t>et proposera aussi le texte de l’interdiction</w:t>
      </w:r>
      <w:r w:rsidR="00387175" w:rsidRPr="00ED22D1">
        <w:rPr>
          <w:lang w:val="fr-CA"/>
        </w:rPr>
        <w:t xml:space="preserve">. </w:t>
      </w:r>
    </w:p>
    <w:p w:rsidR="00387175" w:rsidRPr="00ED22D1" w:rsidRDefault="00EB650F" w:rsidP="00EB650F">
      <w:pPr>
        <w:pStyle w:val="Heading1"/>
        <w:numPr>
          <w:ilvl w:val="0"/>
          <w:numId w:val="0"/>
        </w:numPr>
        <w:rPr>
          <w:lang w:val="fr-CA"/>
        </w:rPr>
      </w:pPr>
      <w:r w:rsidRPr="00ED22D1">
        <w:rPr>
          <w:lang w:val="fr-CA"/>
        </w:rPr>
        <w:t>124.</w:t>
      </w:r>
      <w:r w:rsidRPr="00ED22D1">
        <w:rPr>
          <w:lang w:val="fr-CA"/>
        </w:rPr>
        <w:tab/>
      </w:r>
      <w:r w:rsidR="00733306" w:rsidRPr="00ED22D1">
        <w:rPr>
          <w:lang w:val="fr-CA"/>
        </w:rPr>
        <w:t xml:space="preserve">À la </w:t>
      </w:r>
      <w:r w:rsidR="00B53D8B" w:rsidRPr="00ED22D1">
        <w:rPr>
          <w:lang w:val="fr-CA"/>
        </w:rPr>
        <w:t>8</w:t>
      </w:r>
      <w:r w:rsidR="00387175" w:rsidRPr="00ED22D1">
        <w:rPr>
          <w:lang w:val="fr-CA"/>
        </w:rPr>
        <w:t>0</w:t>
      </w:r>
      <w:r w:rsidR="00B53D8B" w:rsidRPr="00ED22D1">
        <w:rPr>
          <w:vertAlign w:val="superscript"/>
          <w:lang w:val="fr-CA"/>
        </w:rPr>
        <w:t>e</w:t>
      </w:r>
      <w:r w:rsidR="00B53D8B" w:rsidRPr="00ED22D1">
        <w:rPr>
          <w:lang w:val="fr-CA"/>
        </w:rPr>
        <w:t xml:space="preserve"> </w:t>
      </w:r>
      <w:r w:rsidR="00DD185D" w:rsidRPr="00ED22D1">
        <w:rPr>
          <w:lang w:val="fr-CA"/>
        </w:rPr>
        <w:t>réunion</w:t>
      </w:r>
      <w:r w:rsidR="00387175" w:rsidRPr="00ED22D1">
        <w:rPr>
          <w:lang w:val="fr-CA"/>
        </w:rPr>
        <w:t>,</w:t>
      </w:r>
      <w:r w:rsidR="00DD185D" w:rsidRPr="00ED22D1">
        <w:rPr>
          <w:lang w:val="fr-CA"/>
        </w:rPr>
        <w:t xml:space="preserve"> le Secrétariat</w:t>
      </w:r>
      <w:r w:rsidR="00387175" w:rsidRPr="00ED22D1">
        <w:rPr>
          <w:lang w:val="fr-CA"/>
        </w:rPr>
        <w:t xml:space="preserve"> </w:t>
      </w:r>
      <w:r w:rsidR="00846324" w:rsidRPr="00ED22D1">
        <w:rPr>
          <w:lang w:val="fr-CA"/>
        </w:rPr>
        <w:t xml:space="preserve">a </w:t>
      </w:r>
      <w:r w:rsidR="00921BDE" w:rsidRPr="00ED22D1">
        <w:rPr>
          <w:lang w:val="fr-CA"/>
        </w:rPr>
        <w:t>déjà</w:t>
      </w:r>
      <w:r w:rsidR="00387175" w:rsidRPr="00ED22D1">
        <w:rPr>
          <w:lang w:val="fr-CA"/>
        </w:rPr>
        <w:t xml:space="preserve"> </w:t>
      </w:r>
      <w:r w:rsidR="00846324" w:rsidRPr="00ED22D1">
        <w:rPr>
          <w:lang w:val="fr-CA"/>
        </w:rPr>
        <w:t xml:space="preserve">indiqué que les tranches de </w:t>
      </w:r>
      <w:r w:rsidR="00D15079" w:rsidRPr="00ED22D1">
        <w:rPr>
          <w:lang w:val="fr-CA"/>
        </w:rPr>
        <w:t>financement</w:t>
      </w:r>
      <w:r w:rsidR="00387175" w:rsidRPr="00ED22D1">
        <w:rPr>
          <w:lang w:val="fr-CA"/>
        </w:rPr>
        <w:t xml:space="preserve"> </w:t>
      </w:r>
      <w:r w:rsidR="00846324" w:rsidRPr="00ED22D1">
        <w:rPr>
          <w:lang w:val="fr-CA"/>
        </w:rPr>
        <w:t xml:space="preserve">du secteur pourraient présenter des difficultés en ce qui a trait à l’accélération de la signature des </w:t>
      </w:r>
      <w:r w:rsidR="001B45EC" w:rsidRPr="00ED22D1">
        <w:rPr>
          <w:lang w:val="fr-CA"/>
        </w:rPr>
        <w:t>accord</w:t>
      </w:r>
      <w:r w:rsidR="00387175" w:rsidRPr="00ED22D1">
        <w:rPr>
          <w:lang w:val="fr-CA"/>
        </w:rPr>
        <w:t xml:space="preserve">s </w:t>
      </w:r>
      <w:r w:rsidR="00B84F94" w:rsidRPr="00ED22D1">
        <w:rPr>
          <w:lang w:val="fr-CA"/>
        </w:rPr>
        <w:t xml:space="preserve">avec </w:t>
      </w:r>
      <w:r w:rsidR="00846324" w:rsidRPr="00ED22D1">
        <w:rPr>
          <w:lang w:val="fr-CA"/>
        </w:rPr>
        <w:t xml:space="preserve">les </w:t>
      </w:r>
      <w:r w:rsidR="00921BDE" w:rsidRPr="00ED22D1">
        <w:rPr>
          <w:lang w:val="fr-CA"/>
        </w:rPr>
        <w:t>entreprise</w:t>
      </w:r>
      <w:r w:rsidR="00387175" w:rsidRPr="00ED22D1">
        <w:rPr>
          <w:lang w:val="fr-CA"/>
        </w:rPr>
        <w:t>s</w:t>
      </w:r>
      <w:r w:rsidR="0031390F" w:rsidRPr="00ED22D1">
        <w:rPr>
          <w:lang w:val="fr-CA"/>
        </w:rPr>
        <w:t>. Le</w:t>
      </w:r>
      <w:r w:rsidR="001F19C1" w:rsidRPr="00ED22D1">
        <w:rPr>
          <w:lang w:val="fr-CA"/>
        </w:rPr>
        <w:t xml:space="preserve"> PNUD</w:t>
      </w:r>
      <w:r w:rsidR="00387175" w:rsidRPr="00ED22D1">
        <w:rPr>
          <w:lang w:val="fr-CA"/>
        </w:rPr>
        <w:t xml:space="preserve"> </w:t>
      </w:r>
      <w:r w:rsidR="00846324" w:rsidRPr="00ED22D1">
        <w:rPr>
          <w:lang w:val="fr-CA"/>
        </w:rPr>
        <w:t xml:space="preserve">a indiqué que des </w:t>
      </w:r>
      <w:r w:rsidR="00921BDE" w:rsidRPr="00ED22D1">
        <w:rPr>
          <w:lang w:val="fr-CA"/>
        </w:rPr>
        <w:t>contrats</w:t>
      </w:r>
      <w:r w:rsidR="00903152" w:rsidRPr="00ED22D1">
        <w:rPr>
          <w:lang w:val="fr-CA"/>
        </w:rPr>
        <w:t xml:space="preserve"> ont </w:t>
      </w:r>
      <w:r w:rsidR="00921BDE" w:rsidRPr="00ED22D1">
        <w:rPr>
          <w:lang w:val="fr-CA"/>
        </w:rPr>
        <w:t>déjà</w:t>
      </w:r>
      <w:r w:rsidR="00903152" w:rsidRPr="00ED22D1">
        <w:rPr>
          <w:lang w:val="fr-CA"/>
        </w:rPr>
        <w:t xml:space="preserve"> été</w:t>
      </w:r>
      <w:r w:rsidR="00F320D6" w:rsidRPr="00ED22D1">
        <w:rPr>
          <w:lang w:val="fr-CA"/>
        </w:rPr>
        <w:t xml:space="preserve"> signé</w:t>
      </w:r>
      <w:r w:rsidR="00846324" w:rsidRPr="00ED22D1">
        <w:rPr>
          <w:lang w:val="fr-CA"/>
        </w:rPr>
        <w:t>s</w:t>
      </w:r>
      <w:r w:rsidR="00387175" w:rsidRPr="00ED22D1">
        <w:rPr>
          <w:lang w:val="fr-CA"/>
        </w:rPr>
        <w:t xml:space="preserve"> </w:t>
      </w:r>
      <w:r w:rsidR="00846324" w:rsidRPr="00ED22D1">
        <w:rPr>
          <w:lang w:val="fr-CA"/>
        </w:rPr>
        <w:t xml:space="preserve">pour </w:t>
      </w:r>
      <w:r w:rsidR="003E4C4F">
        <w:rPr>
          <w:lang w:val="fr-CA"/>
        </w:rPr>
        <w:t>la totalité d</w:t>
      </w:r>
      <w:r w:rsidR="00846324" w:rsidRPr="00ED22D1">
        <w:rPr>
          <w:lang w:val="fr-CA"/>
        </w:rPr>
        <w:t xml:space="preserve">es </w:t>
      </w:r>
      <w:r w:rsidR="00387175" w:rsidRPr="00ED22D1">
        <w:rPr>
          <w:lang w:val="fr-CA"/>
        </w:rPr>
        <w:t xml:space="preserve">24 </w:t>
      </w:r>
      <w:r w:rsidR="00921BDE" w:rsidRPr="00ED22D1">
        <w:rPr>
          <w:lang w:val="fr-CA"/>
        </w:rPr>
        <w:t>entreprise</w:t>
      </w:r>
      <w:r w:rsidR="00387175" w:rsidRPr="00ED22D1">
        <w:rPr>
          <w:lang w:val="fr-CA"/>
        </w:rPr>
        <w:t>s initial</w:t>
      </w:r>
      <w:r w:rsidR="00846324" w:rsidRPr="00ED22D1">
        <w:rPr>
          <w:lang w:val="fr-CA"/>
        </w:rPr>
        <w:t>ement</w:t>
      </w:r>
      <w:r w:rsidR="0080736A" w:rsidRPr="00ED22D1">
        <w:rPr>
          <w:lang w:val="fr-CA"/>
        </w:rPr>
        <w:t xml:space="preserve"> identifié</w:t>
      </w:r>
      <w:r w:rsidR="00846324" w:rsidRPr="00ED22D1">
        <w:rPr>
          <w:lang w:val="fr-CA"/>
        </w:rPr>
        <w:t>es</w:t>
      </w:r>
      <w:r w:rsidR="00387175" w:rsidRPr="00ED22D1">
        <w:rPr>
          <w:lang w:val="fr-CA"/>
        </w:rPr>
        <w:t>,</w:t>
      </w:r>
      <w:r w:rsidR="004A6828" w:rsidRPr="00ED22D1">
        <w:rPr>
          <w:lang w:val="fr-CA"/>
        </w:rPr>
        <w:t xml:space="preserve"> et </w:t>
      </w:r>
      <w:r w:rsidR="00846324" w:rsidRPr="00ED22D1">
        <w:rPr>
          <w:lang w:val="fr-CA"/>
        </w:rPr>
        <w:t xml:space="preserve">qu’elles ont commencé ou sont à terminer le deuxième jalon </w:t>
      </w:r>
      <w:r w:rsidR="00387175" w:rsidRPr="00ED22D1">
        <w:rPr>
          <w:lang w:val="fr-CA"/>
        </w:rPr>
        <w:t>(</w:t>
      </w:r>
      <w:r w:rsidR="00846324" w:rsidRPr="00ED22D1">
        <w:rPr>
          <w:lang w:val="fr-CA"/>
        </w:rPr>
        <w:t>soit l’achat d’</w:t>
      </w:r>
      <w:r w:rsidR="00921BDE" w:rsidRPr="00ED22D1">
        <w:rPr>
          <w:lang w:val="fr-CA"/>
        </w:rPr>
        <w:t>équipements</w:t>
      </w:r>
      <w:r w:rsidR="00387175" w:rsidRPr="00ED22D1">
        <w:rPr>
          <w:lang w:val="fr-CA"/>
        </w:rPr>
        <w:t xml:space="preserve">, </w:t>
      </w:r>
      <w:r w:rsidR="00846324" w:rsidRPr="00ED22D1">
        <w:rPr>
          <w:lang w:val="fr-CA"/>
        </w:rPr>
        <w:t xml:space="preserve">la construction du circuit de </w:t>
      </w:r>
      <w:r w:rsidR="00387175" w:rsidRPr="00ED22D1">
        <w:rPr>
          <w:lang w:val="fr-CA"/>
        </w:rPr>
        <w:t>production)</w:t>
      </w:r>
      <w:r w:rsidR="003E4C4F">
        <w:rPr>
          <w:lang w:val="fr-CA"/>
        </w:rPr>
        <w:t>,</w:t>
      </w:r>
      <w:r w:rsidR="00387175" w:rsidRPr="00ED22D1">
        <w:rPr>
          <w:lang w:val="fr-CA"/>
        </w:rPr>
        <w:t xml:space="preserve"> </w:t>
      </w:r>
      <w:r w:rsidR="00846324" w:rsidRPr="00ED22D1">
        <w:rPr>
          <w:lang w:val="fr-CA"/>
        </w:rPr>
        <w:t xml:space="preserve">ce qui </w:t>
      </w:r>
      <w:r w:rsidR="003E4C4F">
        <w:rPr>
          <w:lang w:val="fr-CA"/>
        </w:rPr>
        <w:t>exigerait</w:t>
      </w:r>
      <w:r w:rsidR="00846324" w:rsidRPr="00ED22D1">
        <w:rPr>
          <w:lang w:val="fr-CA"/>
        </w:rPr>
        <w:t xml:space="preserve"> le versement de </w:t>
      </w:r>
      <w:r w:rsidR="00387175" w:rsidRPr="00ED22D1">
        <w:rPr>
          <w:lang w:val="fr-CA"/>
        </w:rPr>
        <w:t xml:space="preserve">30 </w:t>
      </w:r>
      <w:r w:rsidR="001B31BF" w:rsidRPr="00ED22D1">
        <w:rPr>
          <w:lang w:val="fr-CA"/>
        </w:rPr>
        <w:t>pour cent</w:t>
      </w:r>
      <w:r w:rsidR="00387175" w:rsidRPr="00ED22D1">
        <w:rPr>
          <w:lang w:val="fr-CA"/>
        </w:rPr>
        <w:t xml:space="preserve"> </w:t>
      </w:r>
      <w:r w:rsidR="00846324" w:rsidRPr="00ED22D1">
        <w:rPr>
          <w:lang w:val="fr-CA"/>
        </w:rPr>
        <w:t>de</w:t>
      </w:r>
      <w:r w:rsidR="003E4C4F">
        <w:rPr>
          <w:lang w:val="fr-CA"/>
        </w:rPr>
        <w:t> </w:t>
      </w:r>
      <w:r w:rsidR="00846324" w:rsidRPr="00ED22D1">
        <w:rPr>
          <w:lang w:val="fr-CA"/>
        </w:rPr>
        <w:t>leurs surcoûts d’investissement</w:t>
      </w:r>
      <w:r w:rsidR="00387175" w:rsidRPr="00ED22D1">
        <w:rPr>
          <w:lang w:val="fr-CA"/>
        </w:rPr>
        <w:t xml:space="preserve">. </w:t>
      </w:r>
      <w:r w:rsidR="00846324" w:rsidRPr="00ED22D1">
        <w:rPr>
          <w:lang w:val="fr-CA"/>
        </w:rPr>
        <w:t>En outre</w:t>
      </w:r>
      <w:r w:rsidR="00387175" w:rsidRPr="00ED22D1">
        <w:rPr>
          <w:lang w:val="fr-CA"/>
        </w:rPr>
        <w:t xml:space="preserve">, </w:t>
      </w:r>
      <w:r w:rsidR="00846324" w:rsidRPr="00ED22D1">
        <w:rPr>
          <w:lang w:val="fr-CA"/>
        </w:rPr>
        <w:t xml:space="preserve">on s’attend à ce que les </w:t>
      </w:r>
      <w:r w:rsidR="00387175" w:rsidRPr="00ED22D1">
        <w:rPr>
          <w:lang w:val="fr-CA"/>
        </w:rPr>
        <w:t>27 </w:t>
      </w:r>
      <w:r w:rsidR="00846324" w:rsidRPr="00ED22D1">
        <w:rPr>
          <w:lang w:val="fr-CA"/>
        </w:rPr>
        <w:t xml:space="preserve">nouvelles petites et moyennes entreprises </w:t>
      </w:r>
      <w:r w:rsidR="003E4C4F">
        <w:rPr>
          <w:lang w:val="fr-CA"/>
        </w:rPr>
        <w:t xml:space="preserve">(PME) </w:t>
      </w:r>
      <w:r w:rsidR="00846324" w:rsidRPr="00ED22D1">
        <w:rPr>
          <w:lang w:val="fr-CA"/>
        </w:rPr>
        <w:t xml:space="preserve">terminent les </w:t>
      </w:r>
      <w:r w:rsidR="00921BDE" w:rsidRPr="00ED22D1">
        <w:rPr>
          <w:lang w:val="fr-CA"/>
        </w:rPr>
        <w:t>vérification</w:t>
      </w:r>
      <w:r w:rsidR="00387175" w:rsidRPr="00ED22D1">
        <w:rPr>
          <w:lang w:val="fr-CA"/>
        </w:rPr>
        <w:t>s</w:t>
      </w:r>
      <w:r w:rsidR="00846324" w:rsidRPr="00ED22D1">
        <w:rPr>
          <w:lang w:val="fr-CA"/>
        </w:rPr>
        <w:t xml:space="preserve"> de la</w:t>
      </w:r>
      <w:r w:rsidR="00387175" w:rsidRPr="00ED22D1">
        <w:rPr>
          <w:lang w:val="fr-CA"/>
        </w:rPr>
        <w:t xml:space="preserve"> </w:t>
      </w:r>
      <w:r w:rsidR="00181884" w:rsidRPr="00ED22D1">
        <w:rPr>
          <w:lang w:val="fr-CA"/>
        </w:rPr>
        <w:t>consommation</w:t>
      </w:r>
      <w:r w:rsidR="004A6828" w:rsidRPr="00ED22D1">
        <w:rPr>
          <w:lang w:val="fr-CA"/>
        </w:rPr>
        <w:t xml:space="preserve"> et </w:t>
      </w:r>
      <w:r w:rsidR="00846324" w:rsidRPr="00ED22D1">
        <w:rPr>
          <w:lang w:val="fr-CA"/>
        </w:rPr>
        <w:t xml:space="preserve">signent des </w:t>
      </w:r>
      <w:r w:rsidR="00921BDE" w:rsidRPr="00ED22D1">
        <w:rPr>
          <w:lang w:val="fr-CA"/>
        </w:rPr>
        <w:t>contrats</w:t>
      </w:r>
      <w:r w:rsidR="00387175" w:rsidRPr="00ED22D1">
        <w:rPr>
          <w:lang w:val="fr-CA"/>
        </w:rPr>
        <w:t xml:space="preserve"> </w:t>
      </w:r>
      <w:r w:rsidR="00B84F94" w:rsidRPr="00ED22D1">
        <w:rPr>
          <w:lang w:val="fr-CA"/>
        </w:rPr>
        <w:t>avec</w:t>
      </w:r>
      <w:r w:rsidR="00F320D6" w:rsidRPr="00ED22D1">
        <w:rPr>
          <w:lang w:val="fr-CA"/>
        </w:rPr>
        <w:t xml:space="preserve"> l’IECO</w:t>
      </w:r>
      <w:r w:rsidR="00387175" w:rsidRPr="00ED22D1">
        <w:rPr>
          <w:lang w:val="fr-CA"/>
        </w:rPr>
        <w:t xml:space="preserve"> </w:t>
      </w:r>
      <w:r w:rsidR="00846324" w:rsidRPr="00BF7D63">
        <w:rPr>
          <w:lang w:val="fr-FR"/>
        </w:rPr>
        <w:t>au</w:t>
      </w:r>
      <w:r w:rsidR="003E4C4F" w:rsidRPr="00BF7D63">
        <w:rPr>
          <w:lang w:val="fr-FR"/>
        </w:rPr>
        <w:t> </w:t>
      </w:r>
      <w:r w:rsidR="00846324" w:rsidRPr="00ED22D1">
        <w:rPr>
          <w:lang w:val="fr-CA"/>
        </w:rPr>
        <w:t xml:space="preserve">premier trimestre de </w:t>
      </w:r>
      <w:r w:rsidR="00387175" w:rsidRPr="00ED22D1">
        <w:rPr>
          <w:lang w:val="fr-CA"/>
        </w:rPr>
        <w:t>201</w:t>
      </w:r>
      <w:r w:rsidR="004A6828" w:rsidRPr="00ED22D1">
        <w:rPr>
          <w:lang w:val="fr-CA"/>
        </w:rPr>
        <w:t>9</w:t>
      </w:r>
      <w:r w:rsidR="00846324" w:rsidRPr="00ED22D1">
        <w:rPr>
          <w:lang w:val="fr-CA"/>
        </w:rPr>
        <w:t>,</w:t>
      </w:r>
      <w:r w:rsidR="004A6828" w:rsidRPr="00ED22D1">
        <w:rPr>
          <w:lang w:val="fr-CA"/>
        </w:rPr>
        <w:t> </w:t>
      </w:r>
      <w:r w:rsidR="00846324" w:rsidRPr="00ED22D1">
        <w:rPr>
          <w:lang w:val="fr-CA"/>
        </w:rPr>
        <w:t>ce qui exigerait des ressources financières supplémentaires afin d’assurer en</w:t>
      </w:r>
      <w:r w:rsidR="003E4C4F">
        <w:rPr>
          <w:lang w:val="fr-CA"/>
        </w:rPr>
        <w:t> </w:t>
      </w:r>
      <w:r w:rsidR="00846324" w:rsidRPr="00ED22D1">
        <w:rPr>
          <w:lang w:val="fr-CA"/>
        </w:rPr>
        <w:t>temps opportun la mise en oeuvre de leur</w:t>
      </w:r>
      <w:r w:rsidR="00FB1DC4" w:rsidRPr="00ED22D1">
        <w:rPr>
          <w:lang w:val="fr-CA"/>
        </w:rPr>
        <w:t xml:space="preserve"> reconversion</w:t>
      </w:r>
      <w:r w:rsidR="00387175" w:rsidRPr="00ED22D1">
        <w:rPr>
          <w:lang w:val="fr-CA"/>
        </w:rPr>
        <w:t>.</w:t>
      </w:r>
    </w:p>
    <w:p w:rsidR="00387175" w:rsidRPr="00ED22D1" w:rsidRDefault="00EB650F" w:rsidP="00EB650F">
      <w:pPr>
        <w:pStyle w:val="Heading1"/>
        <w:numPr>
          <w:ilvl w:val="0"/>
          <w:numId w:val="0"/>
        </w:numPr>
        <w:rPr>
          <w:lang w:val="fr-CA"/>
        </w:rPr>
      </w:pPr>
      <w:r w:rsidRPr="00ED22D1">
        <w:rPr>
          <w:lang w:val="fr-CA"/>
        </w:rPr>
        <w:t>125.</w:t>
      </w:r>
      <w:r w:rsidRPr="00ED22D1">
        <w:rPr>
          <w:lang w:val="fr-CA"/>
        </w:rPr>
        <w:tab/>
      </w:r>
      <w:r w:rsidR="00B4355E" w:rsidRPr="00ED22D1">
        <w:rPr>
          <w:lang w:val="fr-CA"/>
        </w:rPr>
        <w:t>En fonction de</w:t>
      </w:r>
      <w:r w:rsidR="00846324" w:rsidRPr="00ED22D1">
        <w:rPr>
          <w:lang w:val="fr-CA"/>
        </w:rPr>
        <w:t xml:space="preserve"> ces données, </w:t>
      </w:r>
      <w:r w:rsidR="00921BDE" w:rsidRPr="00ED22D1">
        <w:rPr>
          <w:lang w:val="fr-CA"/>
        </w:rPr>
        <w:t>le gouvernement</w:t>
      </w:r>
      <w:r w:rsidR="001F19C1" w:rsidRPr="00ED22D1">
        <w:rPr>
          <w:lang w:val="fr-CA"/>
        </w:rPr>
        <w:t xml:space="preserve"> </w:t>
      </w:r>
      <w:r w:rsidR="00181884" w:rsidRPr="00ED22D1">
        <w:rPr>
          <w:lang w:val="fr-CA"/>
        </w:rPr>
        <w:t>de la Chine</w:t>
      </w:r>
      <w:r w:rsidR="004A6828" w:rsidRPr="00ED22D1">
        <w:rPr>
          <w:lang w:val="fr-CA"/>
        </w:rPr>
        <w:t xml:space="preserve"> et</w:t>
      </w:r>
      <w:r w:rsidR="001F19C1" w:rsidRPr="00ED22D1">
        <w:rPr>
          <w:lang w:val="fr-CA"/>
        </w:rPr>
        <w:t xml:space="preserve"> le PNUD</w:t>
      </w:r>
      <w:r w:rsidR="00387175" w:rsidRPr="00ED22D1">
        <w:rPr>
          <w:lang w:val="fr-CA"/>
        </w:rPr>
        <w:t xml:space="preserve"> </w:t>
      </w:r>
      <w:r w:rsidR="00846324" w:rsidRPr="00ED22D1">
        <w:rPr>
          <w:lang w:val="fr-CA"/>
        </w:rPr>
        <w:t>ont demandé un</w:t>
      </w:r>
      <w:r w:rsidR="003E4C4F">
        <w:rPr>
          <w:lang w:val="fr-CA"/>
        </w:rPr>
        <w:t> </w:t>
      </w:r>
      <w:r w:rsidR="000D737E" w:rsidRPr="00ED22D1">
        <w:rPr>
          <w:lang w:val="fr-CA"/>
        </w:rPr>
        <w:t>rajustement</w:t>
      </w:r>
      <w:r w:rsidR="00846324" w:rsidRPr="00ED22D1">
        <w:rPr>
          <w:lang w:val="fr-CA"/>
        </w:rPr>
        <w:t xml:space="preserve"> à la distribution de la </w:t>
      </w:r>
      <w:r w:rsidR="00387175" w:rsidRPr="00ED22D1">
        <w:rPr>
          <w:lang w:val="fr-CA"/>
        </w:rPr>
        <w:t>tranche</w:t>
      </w:r>
      <w:r w:rsidR="00846324" w:rsidRPr="00ED22D1">
        <w:rPr>
          <w:lang w:val="fr-CA"/>
        </w:rPr>
        <w:t xml:space="preserve"> pour les</w:t>
      </w:r>
      <w:r w:rsidR="00387175" w:rsidRPr="00ED22D1">
        <w:rPr>
          <w:lang w:val="fr-CA"/>
        </w:rPr>
        <w:t xml:space="preserve"> </w:t>
      </w:r>
      <w:r w:rsidR="0052712E" w:rsidRPr="00ED22D1">
        <w:rPr>
          <w:lang w:val="fr-CA"/>
        </w:rPr>
        <w:t>année</w:t>
      </w:r>
      <w:r w:rsidR="00387175" w:rsidRPr="00ED22D1">
        <w:rPr>
          <w:lang w:val="fr-CA"/>
        </w:rPr>
        <w:t>s 2019-202</w:t>
      </w:r>
      <w:r w:rsidR="004A6828" w:rsidRPr="00ED22D1">
        <w:rPr>
          <w:lang w:val="fr-CA"/>
        </w:rPr>
        <w:t>6</w:t>
      </w:r>
      <w:r w:rsidR="00B4355E" w:rsidRPr="00ED22D1">
        <w:rPr>
          <w:lang w:val="fr-CA"/>
        </w:rPr>
        <w:t>,</w:t>
      </w:r>
      <w:r w:rsidR="004A6828" w:rsidRPr="00ED22D1">
        <w:rPr>
          <w:lang w:val="fr-CA"/>
        </w:rPr>
        <w:t> </w:t>
      </w:r>
      <w:r w:rsidR="00B4355E" w:rsidRPr="00ED22D1">
        <w:rPr>
          <w:lang w:val="fr-CA"/>
        </w:rPr>
        <w:t xml:space="preserve">afin de </w:t>
      </w:r>
      <w:r w:rsidR="003E4C4F">
        <w:rPr>
          <w:lang w:val="fr-CA"/>
        </w:rPr>
        <w:t>disposer du</w:t>
      </w:r>
      <w:r w:rsidR="00B4355E" w:rsidRPr="00ED22D1">
        <w:rPr>
          <w:lang w:val="fr-CA"/>
        </w:rPr>
        <w:t xml:space="preserve"> </w:t>
      </w:r>
      <w:r w:rsidR="00387A9A" w:rsidRPr="00ED22D1">
        <w:rPr>
          <w:lang w:val="fr-CA"/>
        </w:rPr>
        <w:t>flux de</w:t>
      </w:r>
      <w:r w:rsidR="003E4C4F">
        <w:rPr>
          <w:lang w:val="fr-CA"/>
        </w:rPr>
        <w:t> </w:t>
      </w:r>
      <w:r w:rsidR="00387A9A" w:rsidRPr="00ED22D1">
        <w:rPr>
          <w:lang w:val="fr-CA"/>
        </w:rPr>
        <w:t>trésorerie</w:t>
      </w:r>
      <w:r w:rsidR="00387175" w:rsidRPr="00ED22D1">
        <w:rPr>
          <w:lang w:val="fr-CA"/>
        </w:rPr>
        <w:t xml:space="preserve"> </w:t>
      </w:r>
      <w:r w:rsidR="00B4355E" w:rsidRPr="00ED22D1">
        <w:rPr>
          <w:lang w:val="fr-CA"/>
        </w:rPr>
        <w:t xml:space="preserve">nécessaire à la signature de nouvelles </w:t>
      </w:r>
      <w:r w:rsidR="00921BDE" w:rsidRPr="00ED22D1">
        <w:rPr>
          <w:lang w:val="fr-CA"/>
        </w:rPr>
        <w:t>entreprise</w:t>
      </w:r>
      <w:r w:rsidR="00387175" w:rsidRPr="00ED22D1">
        <w:rPr>
          <w:lang w:val="fr-CA"/>
        </w:rPr>
        <w:t>s,</w:t>
      </w:r>
      <w:r w:rsidR="004A6828" w:rsidRPr="00ED22D1">
        <w:rPr>
          <w:lang w:val="fr-CA"/>
        </w:rPr>
        <w:t xml:space="preserve"> et </w:t>
      </w:r>
      <w:r w:rsidR="00B4355E" w:rsidRPr="00ED22D1">
        <w:rPr>
          <w:lang w:val="fr-CA"/>
        </w:rPr>
        <w:t xml:space="preserve">au versement en temps opportun correspondant à l’avancement de leur </w:t>
      </w:r>
      <w:r w:rsidR="00921BDE" w:rsidRPr="00ED22D1">
        <w:rPr>
          <w:lang w:val="fr-CA"/>
        </w:rPr>
        <w:t xml:space="preserve">mise en oeuvre </w:t>
      </w:r>
      <w:r w:rsidR="004A6828" w:rsidRPr="00ED22D1">
        <w:rPr>
          <w:lang w:val="fr-CA"/>
        </w:rPr>
        <w:t xml:space="preserve">et </w:t>
      </w:r>
      <w:r w:rsidR="00B4355E" w:rsidRPr="00ED22D1">
        <w:rPr>
          <w:lang w:val="fr-CA"/>
        </w:rPr>
        <w:t>des jalons établis</w:t>
      </w:r>
      <w:r w:rsidR="00387175" w:rsidRPr="00ED22D1">
        <w:rPr>
          <w:lang w:val="fr-CA"/>
        </w:rPr>
        <w:t xml:space="preserve">. </w:t>
      </w:r>
      <w:r w:rsidR="00AF2593" w:rsidRPr="00ED22D1">
        <w:rPr>
          <w:lang w:val="fr-CA"/>
        </w:rPr>
        <w:t xml:space="preserve">Le rajustement proposé de la </w:t>
      </w:r>
      <w:r w:rsidR="00387175" w:rsidRPr="00ED22D1">
        <w:rPr>
          <w:lang w:val="fr-CA"/>
        </w:rPr>
        <w:t xml:space="preserve">tranche </w:t>
      </w:r>
      <w:r w:rsidR="00AF2593" w:rsidRPr="00ED22D1">
        <w:rPr>
          <w:lang w:val="fr-CA"/>
        </w:rPr>
        <w:t xml:space="preserve">reflète aussi les </w:t>
      </w:r>
      <w:r w:rsidR="000D737E" w:rsidRPr="00ED22D1">
        <w:rPr>
          <w:lang w:val="fr-CA"/>
        </w:rPr>
        <w:t>rajustement</w:t>
      </w:r>
      <w:r w:rsidR="00387175" w:rsidRPr="00ED22D1">
        <w:rPr>
          <w:lang w:val="fr-CA"/>
        </w:rPr>
        <w:t xml:space="preserve">s </w:t>
      </w:r>
      <w:r w:rsidR="00AF2593" w:rsidRPr="00ED22D1">
        <w:rPr>
          <w:lang w:val="fr-CA"/>
        </w:rPr>
        <w:t>aux versements des surcoûts d’exploitation</w:t>
      </w:r>
      <w:r w:rsidR="00387175" w:rsidRPr="00ED22D1">
        <w:rPr>
          <w:lang w:val="fr-CA"/>
        </w:rPr>
        <w:t xml:space="preserve"> </w:t>
      </w:r>
      <w:r w:rsidR="00AF2593" w:rsidRPr="00ED22D1">
        <w:rPr>
          <w:lang w:val="fr-CA"/>
        </w:rPr>
        <w:t>qui ne seront effectués qu’en</w:t>
      </w:r>
      <w:r w:rsidR="0052712E" w:rsidRPr="00ED22D1">
        <w:rPr>
          <w:lang w:val="fr-CA"/>
        </w:rPr>
        <w:t xml:space="preserve"> 20</w:t>
      </w:r>
      <w:r w:rsidR="00387175" w:rsidRPr="00ED22D1">
        <w:rPr>
          <w:lang w:val="fr-CA"/>
        </w:rPr>
        <w:t>20</w:t>
      </w:r>
      <w:r w:rsidR="004A6828" w:rsidRPr="00ED22D1">
        <w:rPr>
          <w:lang w:val="fr-CA"/>
        </w:rPr>
        <w:t xml:space="preserve"> et </w:t>
      </w:r>
      <w:r w:rsidR="00387175" w:rsidRPr="00ED22D1">
        <w:rPr>
          <w:lang w:val="fr-CA"/>
        </w:rPr>
        <w:t xml:space="preserve">2021 </w:t>
      </w:r>
      <w:r w:rsidR="00AF2593" w:rsidRPr="00ED22D1">
        <w:rPr>
          <w:lang w:val="fr-CA"/>
        </w:rPr>
        <w:t>lorsque le premier groupe d’</w:t>
      </w:r>
      <w:r w:rsidR="00921BDE" w:rsidRPr="00ED22D1">
        <w:rPr>
          <w:lang w:val="fr-CA"/>
        </w:rPr>
        <w:t>entreprise</w:t>
      </w:r>
      <w:r w:rsidR="00387175" w:rsidRPr="00ED22D1">
        <w:rPr>
          <w:lang w:val="fr-CA"/>
        </w:rPr>
        <w:t xml:space="preserve">s </w:t>
      </w:r>
      <w:r w:rsidR="00AF2593" w:rsidRPr="00ED22D1">
        <w:rPr>
          <w:lang w:val="fr-CA"/>
        </w:rPr>
        <w:t xml:space="preserve">aura </w:t>
      </w:r>
      <w:r w:rsidR="002F6D48" w:rsidRPr="00ED22D1">
        <w:rPr>
          <w:lang w:val="fr-CA"/>
        </w:rPr>
        <w:t>achevé</w:t>
      </w:r>
      <w:r w:rsidR="00387175" w:rsidRPr="00ED22D1">
        <w:rPr>
          <w:lang w:val="fr-CA"/>
        </w:rPr>
        <w:t xml:space="preserve"> </w:t>
      </w:r>
      <w:r w:rsidR="00AF2593" w:rsidRPr="00ED22D1">
        <w:rPr>
          <w:lang w:val="fr-CA"/>
        </w:rPr>
        <w:t>les</w:t>
      </w:r>
      <w:r w:rsidR="00FB1DC4" w:rsidRPr="00ED22D1">
        <w:rPr>
          <w:lang w:val="fr-CA"/>
        </w:rPr>
        <w:t xml:space="preserve"> reconversion</w:t>
      </w:r>
      <w:r w:rsidR="00387175" w:rsidRPr="00ED22D1">
        <w:rPr>
          <w:lang w:val="fr-CA"/>
        </w:rPr>
        <w:t>s</w:t>
      </w:r>
      <w:r w:rsidR="0031390F" w:rsidRPr="00ED22D1">
        <w:rPr>
          <w:lang w:val="fr-CA"/>
        </w:rPr>
        <w:t>. Le</w:t>
      </w:r>
      <w:r w:rsidR="001F19C1" w:rsidRPr="00ED22D1">
        <w:rPr>
          <w:lang w:val="fr-CA"/>
        </w:rPr>
        <w:t xml:space="preserve"> PNUD</w:t>
      </w:r>
      <w:r w:rsidR="00387175" w:rsidRPr="00ED22D1">
        <w:rPr>
          <w:lang w:val="fr-CA"/>
        </w:rPr>
        <w:t xml:space="preserve"> </w:t>
      </w:r>
      <w:r w:rsidR="00AF2593" w:rsidRPr="00ED22D1">
        <w:rPr>
          <w:lang w:val="fr-CA"/>
        </w:rPr>
        <w:t>a</w:t>
      </w:r>
      <w:r w:rsidR="003E4C4F">
        <w:rPr>
          <w:lang w:val="fr-CA"/>
        </w:rPr>
        <w:t> </w:t>
      </w:r>
      <w:r w:rsidR="00230A1A" w:rsidRPr="00ED22D1">
        <w:rPr>
          <w:lang w:val="fr-CA"/>
        </w:rPr>
        <w:t>aussi</w:t>
      </w:r>
      <w:r w:rsidR="00387175" w:rsidRPr="00ED22D1">
        <w:rPr>
          <w:lang w:val="fr-CA"/>
        </w:rPr>
        <w:t xml:space="preserve"> </w:t>
      </w:r>
      <w:r w:rsidR="00AF2593" w:rsidRPr="00ED22D1">
        <w:rPr>
          <w:lang w:val="fr-CA"/>
        </w:rPr>
        <w:t>réitéré que des délais continus dans les approbations de la tranche pourraient compromettre la</w:t>
      </w:r>
      <w:r w:rsidR="003E4C4F">
        <w:rPr>
          <w:lang w:val="fr-CA"/>
        </w:rPr>
        <w:t> </w:t>
      </w:r>
      <w:r w:rsidR="00AF2593" w:rsidRPr="00ED22D1">
        <w:rPr>
          <w:lang w:val="fr-CA"/>
        </w:rPr>
        <w:t xml:space="preserve">capacité du </w:t>
      </w:r>
      <w:r w:rsidR="00921BDE" w:rsidRPr="00ED22D1">
        <w:rPr>
          <w:lang w:val="fr-CA"/>
        </w:rPr>
        <w:t>gouvernement</w:t>
      </w:r>
      <w:r w:rsidR="001F19C1" w:rsidRPr="00ED22D1">
        <w:rPr>
          <w:lang w:val="fr-CA"/>
        </w:rPr>
        <w:t xml:space="preserve"> </w:t>
      </w:r>
      <w:r w:rsidR="00181884" w:rsidRPr="00ED22D1">
        <w:rPr>
          <w:lang w:val="fr-CA"/>
        </w:rPr>
        <w:t>de la Chine</w:t>
      </w:r>
      <w:r w:rsidR="00387175" w:rsidRPr="00ED22D1">
        <w:rPr>
          <w:lang w:val="fr-CA"/>
        </w:rPr>
        <w:t xml:space="preserve"> </w:t>
      </w:r>
      <w:r w:rsidR="00AF2593" w:rsidRPr="00ED22D1">
        <w:rPr>
          <w:lang w:val="fr-CA"/>
        </w:rPr>
        <w:t xml:space="preserve">à respecter </w:t>
      </w:r>
      <w:r w:rsidR="00733306" w:rsidRPr="00ED22D1">
        <w:rPr>
          <w:lang w:val="fr-CA"/>
        </w:rPr>
        <w:t>l’élimination</w:t>
      </w:r>
      <w:r w:rsidR="00387175" w:rsidRPr="00ED22D1">
        <w:rPr>
          <w:lang w:val="fr-CA"/>
        </w:rPr>
        <w:t xml:space="preserve"> </w:t>
      </w:r>
      <w:r w:rsidR="00AF2593" w:rsidRPr="00ED22D1">
        <w:rPr>
          <w:lang w:val="fr-CA"/>
        </w:rPr>
        <w:t>convenue</w:t>
      </w:r>
      <w:r w:rsidR="00387175" w:rsidRPr="00ED22D1">
        <w:rPr>
          <w:lang w:val="fr-CA"/>
        </w:rPr>
        <w:t>.</w:t>
      </w:r>
    </w:p>
    <w:p w:rsidR="00387175" w:rsidRPr="00ED22D1" w:rsidRDefault="00EB650F" w:rsidP="00EB650F">
      <w:pPr>
        <w:pStyle w:val="Heading1"/>
        <w:numPr>
          <w:ilvl w:val="0"/>
          <w:numId w:val="0"/>
        </w:numPr>
        <w:rPr>
          <w:lang w:val="fr-CA"/>
        </w:rPr>
      </w:pPr>
      <w:r w:rsidRPr="00ED22D1">
        <w:rPr>
          <w:lang w:val="fr-CA"/>
        </w:rPr>
        <w:t>126.</w:t>
      </w:r>
      <w:r w:rsidRPr="00ED22D1">
        <w:rPr>
          <w:lang w:val="fr-CA"/>
        </w:rPr>
        <w:tab/>
      </w:r>
      <w:r w:rsidR="00AF2593" w:rsidRPr="00ED22D1">
        <w:rPr>
          <w:lang w:val="fr-CA"/>
        </w:rPr>
        <w:t>La</w:t>
      </w:r>
      <w:r w:rsidR="00387175" w:rsidRPr="00ED22D1">
        <w:rPr>
          <w:lang w:val="fr-CA"/>
        </w:rPr>
        <w:t xml:space="preserve"> redistribution </w:t>
      </w:r>
      <w:r w:rsidR="00AF2593" w:rsidRPr="00ED22D1">
        <w:rPr>
          <w:lang w:val="fr-CA"/>
        </w:rPr>
        <w:t>des</w:t>
      </w:r>
      <w:r w:rsidR="00387175" w:rsidRPr="00ED22D1">
        <w:rPr>
          <w:lang w:val="fr-CA"/>
        </w:rPr>
        <w:t xml:space="preserve"> tranches</w:t>
      </w:r>
      <w:r w:rsidR="00903152" w:rsidRPr="00ED22D1">
        <w:rPr>
          <w:lang w:val="fr-CA"/>
        </w:rPr>
        <w:t xml:space="preserve"> est présenté</w:t>
      </w:r>
      <w:r w:rsidR="00AF2593" w:rsidRPr="00ED22D1">
        <w:rPr>
          <w:lang w:val="fr-CA"/>
        </w:rPr>
        <w:t>e</w:t>
      </w:r>
      <w:r w:rsidR="00387175" w:rsidRPr="00ED22D1">
        <w:rPr>
          <w:lang w:val="fr-CA"/>
        </w:rPr>
        <w:t xml:space="preserve"> </w:t>
      </w:r>
      <w:r w:rsidR="00AF2593" w:rsidRPr="00ED22D1">
        <w:rPr>
          <w:lang w:val="fr-CA"/>
        </w:rPr>
        <w:t>aux</w:t>
      </w:r>
      <w:r w:rsidR="00387175" w:rsidRPr="00ED22D1">
        <w:rPr>
          <w:lang w:val="fr-CA"/>
        </w:rPr>
        <w:t xml:space="preserve"> paragraph</w:t>
      </w:r>
      <w:r w:rsidR="00AF2593" w:rsidRPr="00ED22D1">
        <w:rPr>
          <w:lang w:val="fr-CA"/>
        </w:rPr>
        <w:t>e</w:t>
      </w:r>
      <w:r w:rsidR="00387175" w:rsidRPr="00ED22D1">
        <w:rPr>
          <w:lang w:val="fr-CA"/>
        </w:rPr>
        <w:t>s 48 to 5</w:t>
      </w:r>
      <w:r w:rsidR="004A6828" w:rsidRPr="00ED22D1">
        <w:rPr>
          <w:lang w:val="fr-CA"/>
        </w:rPr>
        <w:t>5</w:t>
      </w:r>
      <w:r w:rsidR="00AF2593" w:rsidRPr="00ED22D1">
        <w:rPr>
          <w:lang w:val="fr-CA"/>
        </w:rPr>
        <w:t>,</w:t>
      </w:r>
      <w:r w:rsidR="004A6828" w:rsidRPr="00ED22D1">
        <w:rPr>
          <w:lang w:val="fr-CA"/>
        </w:rPr>
        <w:t> </w:t>
      </w:r>
      <w:r w:rsidR="00AF2593" w:rsidRPr="00ED22D1">
        <w:rPr>
          <w:lang w:val="fr-CA"/>
        </w:rPr>
        <w:t xml:space="preserve">dans la </w:t>
      </w:r>
      <w:r w:rsidR="00387175" w:rsidRPr="00ED22D1">
        <w:rPr>
          <w:lang w:val="fr-CA"/>
        </w:rPr>
        <w:t>section R</w:t>
      </w:r>
      <w:r w:rsidR="00AF2593" w:rsidRPr="00ED22D1">
        <w:rPr>
          <w:lang w:val="fr-CA"/>
        </w:rPr>
        <w:t>é</w:t>
      </w:r>
      <w:r w:rsidR="00387175" w:rsidRPr="00ED22D1">
        <w:rPr>
          <w:lang w:val="fr-CA"/>
        </w:rPr>
        <w:t xml:space="preserve">vision </w:t>
      </w:r>
      <w:r w:rsidR="00AF2593" w:rsidRPr="00ED22D1">
        <w:rPr>
          <w:lang w:val="fr-CA"/>
        </w:rPr>
        <w:t>de</w:t>
      </w:r>
      <w:r w:rsidR="003E4C4F">
        <w:rPr>
          <w:lang w:val="fr-CA"/>
        </w:rPr>
        <w:t> </w:t>
      </w:r>
      <w:r w:rsidR="00CE7FEC" w:rsidRPr="00ED22D1">
        <w:rPr>
          <w:lang w:val="fr-CA"/>
        </w:rPr>
        <w:t>l’accord</w:t>
      </w:r>
      <w:r w:rsidR="00387175" w:rsidRPr="00ED22D1">
        <w:rPr>
          <w:lang w:val="fr-CA"/>
        </w:rPr>
        <w:t xml:space="preserve"> </w:t>
      </w:r>
      <w:r w:rsidR="00AF2593" w:rsidRPr="00ED22D1">
        <w:rPr>
          <w:lang w:val="fr-CA"/>
        </w:rPr>
        <w:t>pour</w:t>
      </w:r>
      <w:r w:rsidR="00616B46" w:rsidRPr="00ED22D1">
        <w:rPr>
          <w:lang w:val="fr-CA"/>
        </w:rPr>
        <w:t xml:space="preserve"> </w:t>
      </w:r>
      <w:r w:rsidR="00AF2593" w:rsidRPr="00ED22D1">
        <w:rPr>
          <w:lang w:val="fr-CA"/>
        </w:rPr>
        <w:t xml:space="preserve">la phase II du PGEH </w:t>
      </w:r>
      <w:r w:rsidR="001B31BF" w:rsidRPr="00ED22D1">
        <w:rPr>
          <w:lang w:val="fr-CA"/>
        </w:rPr>
        <w:t>de la Chine</w:t>
      </w:r>
      <w:r w:rsidR="00387175" w:rsidRPr="00ED22D1">
        <w:rPr>
          <w:lang w:val="fr-CA"/>
        </w:rPr>
        <w:t xml:space="preserve">. </w:t>
      </w:r>
    </w:p>
    <w:p w:rsidR="00387175" w:rsidRPr="00ED22D1" w:rsidRDefault="00B53D8B" w:rsidP="00387175">
      <w:pPr>
        <w:pStyle w:val="Title1"/>
        <w:spacing w:after="240"/>
        <w:jc w:val="left"/>
        <w:rPr>
          <w:b w:val="0"/>
          <w:caps w:val="0"/>
          <w:u w:val="single"/>
          <w:lang w:val="fr-CA"/>
        </w:rPr>
      </w:pPr>
      <w:r w:rsidRPr="00ED22D1">
        <w:rPr>
          <w:b w:val="0"/>
          <w:caps w:val="0"/>
          <w:u w:val="single"/>
          <w:lang w:val="fr-CA"/>
        </w:rPr>
        <w:t>Unité de suivi et de mise en oeuvre du projet</w:t>
      </w:r>
      <w:r w:rsidR="00387175" w:rsidRPr="00ED22D1">
        <w:rPr>
          <w:b w:val="0"/>
          <w:caps w:val="0"/>
          <w:u w:val="single"/>
          <w:lang w:val="fr-CA"/>
        </w:rPr>
        <w:t xml:space="preserve"> (PMU)</w:t>
      </w:r>
    </w:p>
    <w:p w:rsidR="00387175" w:rsidRDefault="00EB650F" w:rsidP="00EB650F">
      <w:pPr>
        <w:pStyle w:val="Heading1"/>
        <w:numPr>
          <w:ilvl w:val="0"/>
          <w:numId w:val="0"/>
        </w:numPr>
        <w:rPr>
          <w:lang w:val="fr-CA"/>
        </w:rPr>
      </w:pPr>
      <w:r w:rsidRPr="00ED22D1">
        <w:rPr>
          <w:lang w:val="fr-CA"/>
        </w:rPr>
        <w:t>127.</w:t>
      </w:r>
      <w:r w:rsidRPr="00ED22D1">
        <w:rPr>
          <w:lang w:val="fr-CA"/>
        </w:rPr>
        <w:tab/>
      </w:r>
      <w:r w:rsidR="00AF2593" w:rsidRPr="00ED22D1">
        <w:rPr>
          <w:lang w:val="fr-CA"/>
        </w:rPr>
        <w:t xml:space="preserve">Prenant note que, conformément à la </w:t>
      </w:r>
      <w:r w:rsidR="00AA6E77" w:rsidRPr="00ED22D1">
        <w:rPr>
          <w:lang w:val="fr-CA"/>
        </w:rPr>
        <w:t>décision</w:t>
      </w:r>
      <w:r w:rsidR="00387175" w:rsidRPr="00ED22D1">
        <w:rPr>
          <w:lang w:val="fr-CA"/>
        </w:rPr>
        <w:t> 81/46</w:t>
      </w:r>
      <w:r w:rsidR="00B53D8B" w:rsidRPr="00ED22D1">
        <w:rPr>
          <w:lang w:val="fr-CA"/>
        </w:rPr>
        <w:t> </w:t>
      </w:r>
      <w:r w:rsidR="00387175" w:rsidRPr="00ED22D1">
        <w:rPr>
          <w:lang w:val="fr-CA"/>
        </w:rPr>
        <w:t xml:space="preserve">b), </w:t>
      </w:r>
      <w:r w:rsidR="00AF2593" w:rsidRPr="00ED22D1">
        <w:rPr>
          <w:lang w:val="fr-CA"/>
        </w:rPr>
        <w:t xml:space="preserve">les </w:t>
      </w:r>
      <w:r w:rsidR="00B53D8B" w:rsidRPr="00ED22D1">
        <w:rPr>
          <w:lang w:val="fr-CA"/>
        </w:rPr>
        <w:t>agences d’exécution</w:t>
      </w:r>
      <w:r w:rsidR="00387175" w:rsidRPr="00ED22D1">
        <w:rPr>
          <w:lang w:val="fr-CA"/>
        </w:rPr>
        <w:t xml:space="preserve"> </w:t>
      </w:r>
      <w:r w:rsidR="00AF2593" w:rsidRPr="00ED22D1">
        <w:rPr>
          <w:lang w:val="fr-CA"/>
        </w:rPr>
        <w:t>commenceront à</w:t>
      </w:r>
      <w:r w:rsidR="003E4C4F">
        <w:rPr>
          <w:lang w:val="fr-CA"/>
        </w:rPr>
        <w:t> </w:t>
      </w:r>
      <w:r w:rsidR="00AF2593" w:rsidRPr="00ED22D1">
        <w:rPr>
          <w:lang w:val="fr-CA"/>
        </w:rPr>
        <w:t xml:space="preserve">utiliser </w:t>
      </w:r>
      <w:r w:rsidR="003E4C4F" w:rsidRPr="00ED22D1">
        <w:rPr>
          <w:lang w:val="fr-CA"/>
        </w:rPr>
        <w:t xml:space="preserve">pour les dépenses des PMU </w:t>
      </w:r>
      <w:r w:rsidR="00AF2593" w:rsidRPr="00ED22D1">
        <w:rPr>
          <w:lang w:val="fr-CA"/>
        </w:rPr>
        <w:t xml:space="preserve">le format de rapport financier convenu </w:t>
      </w:r>
      <w:r w:rsidR="00733306" w:rsidRPr="00ED22D1">
        <w:rPr>
          <w:lang w:val="fr-CA"/>
        </w:rPr>
        <w:t xml:space="preserve">à la </w:t>
      </w:r>
      <w:r w:rsidR="00B53D8B" w:rsidRPr="00ED22D1">
        <w:rPr>
          <w:lang w:val="fr-CA"/>
        </w:rPr>
        <w:t>8</w:t>
      </w:r>
      <w:r w:rsidR="00387175" w:rsidRPr="00ED22D1">
        <w:rPr>
          <w:lang w:val="fr-CA"/>
        </w:rPr>
        <w:t>1</w:t>
      </w:r>
      <w:r w:rsidR="00B53D8B" w:rsidRPr="00ED22D1">
        <w:rPr>
          <w:vertAlign w:val="superscript"/>
          <w:lang w:val="fr-CA"/>
        </w:rPr>
        <w:t>e</w:t>
      </w:r>
      <w:r w:rsidR="00B53D8B" w:rsidRPr="00ED22D1">
        <w:rPr>
          <w:lang w:val="fr-CA"/>
        </w:rPr>
        <w:t xml:space="preserve"> </w:t>
      </w:r>
      <w:r w:rsidR="00DD185D" w:rsidRPr="00ED22D1">
        <w:rPr>
          <w:lang w:val="fr-CA"/>
        </w:rPr>
        <w:t>réunion</w:t>
      </w:r>
      <w:r w:rsidR="00387175" w:rsidRPr="00ED22D1">
        <w:rPr>
          <w:rStyle w:val="FootnoteReference"/>
          <w:lang w:val="fr-CA"/>
        </w:rPr>
        <w:footnoteReference w:id="23"/>
      </w:r>
      <w:r w:rsidR="00387175" w:rsidRPr="00ED22D1">
        <w:rPr>
          <w:lang w:val="fr-CA"/>
        </w:rPr>
        <w:t xml:space="preserve"> </w:t>
      </w:r>
      <w:r w:rsidR="00AF2593" w:rsidRPr="00ED22D1">
        <w:rPr>
          <w:lang w:val="fr-CA"/>
        </w:rPr>
        <w:t>pour les tranches de</w:t>
      </w:r>
      <w:r w:rsidR="00387175" w:rsidRPr="00ED22D1">
        <w:rPr>
          <w:lang w:val="fr-CA"/>
        </w:rPr>
        <w:t xml:space="preserve"> 2019</w:t>
      </w:r>
      <w:r w:rsidR="001F19C1" w:rsidRPr="00ED22D1">
        <w:rPr>
          <w:lang w:val="fr-CA"/>
        </w:rPr>
        <w:t>, le PNUD</w:t>
      </w:r>
      <w:r w:rsidR="00387175" w:rsidRPr="00ED22D1">
        <w:rPr>
          <w:lang w:val="fr-CA"/>
        </w:rPr>
        <w:t xml:space="preserve"> </w:t>
      </w:r>
      <w:r w:rsidR="00AF2593" w:rsidRPr="00ED22D1">
        <w:rPr>
          <w:lang w:val="fr-CA"/>
        </w:rPr>
        <w:t xml:space="preserve">a fourni la meilleure estimation des dépenses des PMU pour la présente </w:t>
      </w:r>
      <w:r w:rsidR="00DD185D" w:rsidRPr="00ED22D1">
        <w:rPr>
          <w:lang w:val="fr-CA"/>
        </w:rPr>
        <w:t xml:space="preserve"> réunion</w:t>
      </w:r>
      <w:r w:rsidR="00B53D8B" w:rsidRPr="00ED22D1">
        <w:rPr>
          <w:lang w:val="fr-CA"/>
        </w:rPr>
        <w:t xml:space="preserve"> (T</w:t>
      </w:r>
      <w:r w:rsidR="00CE7FEC" w:rsidRPr="00ED22D1">
        <w:rPr>
          <w:lang w:val="fr-CA"/>
        </w:rPr>
        <w:t xml:space="preserve">ableau </w:t>
      </w:r>
      <w:r w:rsidR="004A6828" w:rsidRPr="00ED22D1">
        <w:rPr>
          <w:lang w:val="fr-CA"/>
        </w:rPr>
        <w:t>4</w:t>
      </w:r>
      <w:r w:rsidR="00B53D8B" w:rsidRPr="00ED22D1">
        <w:rPr>
          <w:lang w:val="fr-CA"/>
        </w:rPr>
        <w:t>).</w:t>
      </w:r>
      <w:r w:rsidR="00387175" w:rsidRPr="00ED22D1">
        <w:rPr>
          <w:lang w:val="fr-CA"/>
        </w:rPr>
        <w:t xml:space="preserve"> </w:t>
      </w:r>
    </w:p>
    <w:p w:rsidR="00002FF6" w:rsidRDefault="00002FF6" w:rsidP="00002FF6">
      <w:pPr>
        <w:rPr>
          <w:lang w:val="fr-CA"/>
        </w:rPr>
      </w:pPr>
    </w:p>
    <w:p w:rsidR="00002FF6" w:rsidRDefault="00002FF6" w:rsidP="00002FF6">
      <w:pPr>
        <w:rPr>
          <w:lang w:val="fr-CA"/>
        </w:rPr>
      </w:pPr>
    </w:p>
    <w:p w:rsidR="00002FF6" w:rsidRDefault="00002FF6" w:rsidP="00002FF6">
      <w:pPr>
        <w:rPr>
          <w:lang w:val="fr-CA"/>
        </w:rPr>
      </w:pPr>
    </w:p>
    <w:p w:rsidR="00002FF6" w:rsidRDefault="00002FF6" w:rsidP="00002FF6">
      <w:pPr>
        <w:rPr>
          <w:lang w:val="fr-CA"/>
        </w:rPr>
      </w:pPr>
    </w:p>
    <w:p w:rsidR="00002FF6" w:rsidRDefault="00002FF6" w:rsidP="00002FF6">
      <w:pPr>
        <w:rPr>
          <w:lang w:val="fr-CA"/>
        </w:rPr>
      </w:pPr>
    </w:p>
    <w:p w:rsidR="00002FF6" w:rsidRDefault="00002FF6" w:rsidP="00002FF6">
      <w:pPr>
        <w:rPr>
          <w:lang w:val="fr-CA"/>
        </w:rPr>
      </w:pPr>
    </w:p>
    <w:p w:rsidR="00002FF6" w:rsidRDefault="00002FF6" w:rsidP="00002FF6">
      <w:pPr>
        <w:rPr>
          <w:lang w:val="fr-CA"/>
        </w:rPr>
      </w:pPr>
    </w:p>
    <w:p w:rsidR="00002FF6" w:rsidRPr="00002FF6" w:rsidRDefault="00002FF6" w:rsidP="00002FF6">
      <w:pPr>
        <w:rPr>
          <w:lang w:val="fr-CA"/>
        </w:rPr>
      </w:pPr>
    </w:p>
    <w:p w:rsidR="00387175" w:rsidRPr="00ED22D1" w:rsidRDefault="00CE7FEC" w:rsidP="00387175">
      <w:pPr>
        <w:rPr>
          <w:b/>
          <w:lang w:val="fr-CA"/>
        </w:rPr>
      </w:pPr>
      <w:r w:rsidRPr="00ED22D1">
        <w:rPr>
          <w:b/>
          <w:lang w:val="fr-CA"/>
        </w:rPr>
        <w:lastRenderedPageBreak/>
        <w:t xml:space="preserve">Tableau </w:t>
      </w:r>
      <w:r w:rsidR="004A6828" w:rsidRPr="00ED22D1">
        <w:rPr>
          <w:b/>
          <w:lang w:val="fr-CA"/>
        </w:rPr>
        <w:t>4</w:t>
      </w:r>
      <w:r w:rsidR="00B53D8B" w:rsidRPr="00ED22D1">
        <w:rPr>
          <w:b/>
          <w:lang w:val="fr-CA"/>
        </w:rPr>
        <w:t>.</w:t>
      </w:r>
      <w:r w:rsidR="00387175" w:rsidRPr="00ED22D1">
        <w:rPr>
          <w:b/>
          <w:lang w:val="fr-CA"/>
        </w:rPr>
        <w:t xml:space="preserve"> </w:t>
      </w:r>
      <w:r w:rsidR="00B53D8B" w:rsidRPr="00ED22D1">
        <w:rPr>
          <w:b/>
          <w:lang w:val="fr-CA"/>
        </w:rPr>
        <w:t xml:space="preserve">Dépenses du </w:t>
      </w:r>
      <w:r w:rsidR="00387175" w:rsidRPr="00ED22D1">
        <w:rPr>
          <w:b/>
          <w:lang w:val="fr-CA"/>
        </w:rPr>
        <w:t>PMU,</w:t>
      </w:r>
      <w:r w:rsidR="004A6828" w:rsidRPr="00ED22D1">
        <w:rPr>
          <w:b/>
          <w:lang w:val="fr-CA"/>
        </w:rPr>
        <w:t xml:space="preserve"> phase </w:t>
      </w:r>
      <w:r w:rsidR="00387175" w:rsidRPr="00ED22D1">
        <w:rPr>
          <w:b/>
          <w:lang w:val="fr-CA"/>
        </w:rPr>
        <w:t xml:space="preserve">II </w:t>
      </w:r>
      <w:r w:rsidR="00B53D8B" w:rsidRPr="00ED22D1">
        <w:rPr>
          <w:b/>
          <w:lang w:val="fr-CA"/>
        </w:rPr>
        <w:t xml:space="preserve">du </w:t>
      </w:r>
      <w:r w:rsidR="004A6828" w:rsidRPr="00ED22D1">
        <w:rPr>
          <w:b/>
          <w:lang w:val="fr-CA"/>
        </w:rPr>
        <w:t>plan du secteur des solvants</w:t>
      </w:r>
      <w:r w:rsidR="00387175" w:rsidRPr="00ED22D1">
        <w:rPr>
          <w:b/>
          <w:lang w:val="fr-CA"/>
        </w:rPr>
        <w:t xml:space="preserve"> </w:t>
      </w:r>
      <w:r w:rsidR="00181884" w:rsidRPr="00ED22D1">
        <w:rPr>
          <w:b/>
          <w:lang w:val="fr-CA"/>
        </w:rPr>
        <w:t>en Chine</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5"/>
        <w:gridCol w:w="4769"/>
        <w:gridCol w:w="1013"/>
        <w:gridCol w:w="1061"/>
        <w:gridCol w:w="1007"/>
      </w:tblGrid>
      <w:tr w:rsidR="00387175" w:rsidRPr="00ED22D1" w:rsidTr="00DF76A8">
        <w:trPr>
          <w:jc w:val="center"/>
        </w:trPr>
        <w:tc>
          <w:tcPr>
            <w:tcW w:w="791" w:type="pct"/>
            <w:tcBorders>
              <w:bottom w:val="single" w:sz="4" w:space="0" w:color="000000"/>
            </w:tcBorders>
            <w:vAlign w:val="center"/>
          </w:tcPr>
          <w:p w:rsidR="00387175" w:rsidRPr="00ED22D1" w:rsidRDefault="00387175" w:rsidP="00387175">
            <w:pPr>
              <w:tabs>
                <w:tab w:val="left" w:pos="284"/>
              </w:tabs>
              <w:jc w:val="center"/>
              <w:rPr>
                <w:b/>
                <w:kern w:val="36"/>
                <w:sz w:val="20"/>
                <w:szCs w:val="20"/>
                <w:lang w:val="fr-CA"/>
              </w:rPr>
            </w:pPr>
            <w:r w:rsidRPr="00ED22D1">
              <w:rPr>
                <w:b/>
                <w:kern w:val="36"/>
                <w:sz w:val="20"/>
                <w:szCs w:val="20"/>
                <w:lang w:val="fr-CA"/>
              </w:rPr>
              <w:t>Items</w:t>
            </w:r>
          </w:p>
        </w:tc>
        <w:tc>
          <w:tcPr>
            <w:tcW w:w="2557" w:type="pct"/>
            <w:tcBorders>
              <w:bottom w:val="single" w:sz="4" w:space="0" w:color="000000"/>
              <w:right w:val="single" w:sz="4" w:space="0" w:color="auto"/>
            </w:tcBorders>
            <w:vAlign w:val="center"/>
          </w:tcPr>
          <w:p w:rsidR="00387175" w:rsidRPr="00ED22D1" w:rsidRDefault="00387175" w:rsidP="00387175">
            <w:pPr>
              <w:tabs>
                <w:tab w:val="left" w:pos="284"/>
              </w:tabs>
              <w:jc w:val="center"/>
              <w:rPr>
                <w:b/>
                <w:kern w:val="36"/>
                <w:sz w:val="20"/>
                <w:szCs w:val="20"/>
                <w:lang w:val="fr-CA"/>
              </w:rPr>
            </w:pPr>
            <w:r w:rsidRPr="00ED22D1">
              <w:rPr>
                <w:b/>
                <w:kern w:val="36"/>
                <w:sz w:val="20"/>
                <w:szCs w:val="20"/>
                <w:lang w:val="fr-CA"/>
              </w:rPr>
              <w:t>Description</w:t>
            </w:r>
          </w:p>
        </w:tc>
        <w:tc>
          <w:tcPr>
            <w:tcW w:w="543" w:type="pct"/>
            <w:tcBorders>
              <w:bottom w:val="single" w:sz="4" w:space="0" w:color="000000"/>
              <w:right w:val="single" w:sz="4" w:space="0" w:color="auto"/>
            </w:tcBorders>
          </w:tcPr>
          <w:p w:rsidR="00387175" w:rsidRPr="00ED22D1" w:rsidRDefault="00181884" w:rsidP="00387175">
            <w:pPr>
              <w:tabs>
                <w:tab w:val="left" w:pos="284"/>
              </w:tabs>
              <w:jc w:val="center"/>
              <w:rPr>
                <w:b/>
                <w:kern w:val="36"/>
                <w:sz w:val="20"/>
                <w:szCs w:val="20"/>
                <w:lang w:val="fr-CA"/>
              </w:rPr>
            </w:pPr>
            <w:r w:rsidRPr="00ED22D1">
              <w:rPr>
                <w:b/>
                <w:kern w:val="36"/>
                <w:sz w:val="20"/>
                <w:szCs w:val="20"/>
                <w:lang w:val="fr-CA"/>
              </w:rPr>
              <w:t>Première</w:t>
            </w:r>
            <w:r w:rsidR="00387175" w:rsidRPr="00ED22D1">
              <w:rPr>
                <w:b/>
                <w:kern w:val="36"/>
                <w:sz w:val="20"/>
                <w:szCs w:val="20"/>
                <w:lang w:val="fr-CA"/>
              </w:rPr>
              <w:t xml:space="preserve"> tranche</w:t>
            </w:r>
          </w:p>
        </w:tc>
        <w:tc>
          <w:tcPr>
            <w:tcW w:w="569" w:type="pct"/>
            <w:tcBorders>
              <w:bottom w:val="single" w:sz="4" w:space="0" w:color="000000"/>
              <w:right w:val="single" w:sz="4" w:space="0" w:color="auto"/>
            </w:tcBorders>
          </w:tcPr>
          <w:p w:rsidR="00387175" w:rsidRPr="00ED22D1" w:rsidRDefault="00921BDE" w:rsidP="00387175">
            <w:pPr>
              <w:tabs>
                <w:tab w:val="left" w:pos="284"/>
              </w:tabs>
              <w:jc w:val="center"/>
              <w:rPr>
                <w:b/>
                <w:kern w:val="36"/>
                <w:sz w:val="20"/>
                <w:szCs w:val="20"/>
                <w:lang w:val="fr-CA"/>
              </w:rPr>
            </w:pPr>
            <w:r w:rsidRPr="00ED22D1">
              <w:rPr>
                <w:b/>
                <w:kern w:val="36"/>
                <w:sz w:val="20"/>
                <w:szCs w:val="20"/>
                <w:lang w:val="fr-CA"/>
              </w:rPr>
              <w:t>Deuxième</w:t>
            </w:r>
            <w:r w:rsidR="00387175" w:rsidRPr="00ED22D1">
              <w:rPr>
                <w:b/>
                <w:kern w:val="36"/>
                <w:sz w:val="20"/>
                <w:szCs w:val="20"/>
                <w:lang w:val="fr-CA"/>
              </w:rPr>
              <w:t xml:space="preserve"> tranche</w:t>
            </w:r>
          </w:p>
        </w:tc>
        <w:tc>
          <w:tcPr>
            <w:tcW w:w="540" w:type="pct"/>
            <w:tcBorders>
              <w:left w:val="single" w:sz="4" w:space="0" w:color="auto"/>
              <w:bottom w:val="single" w:sz="4" w:space="0" w:color="000000"/>
            </w:tcBorders>
            <w:vAlign w:val="center"/>
          </w:tcPr>
          <w:p w:rsidR="00387175" w:rsidRPr="00ED22D1" w:rsidRDefault="00387175" w:rsidP="00387175">
            <w:pPr>
              <w:tabs>
                <w:tab w:val="left" w:pos="284"/>
              </w:tabs>
              <w:jc w:val="center"/>
              <w:rPr>
                <w:b/>
                <w:kern w:val="36"/>
                <w:sz w:val="20"/>
                <w:szCs w:val="20"/>
                <w:lang w:val="fr-CA"/>
              </w:rPr>
            </w:pPr>
            <w:r w:rsidRPr="00ED22D1">
              <w:rPr>
                <w:b/>
                <w:kern w:val="36"/>
                <w:sz w:val="20"/>
                <w:szCs w:val="20"/>
                <w:lang w:val="fr-CA"/>
              </w:rPr>
              <w:t>Total</w:t>
            </w:r>
          </w:p>
          <w:p w:rsidR="00387175" w:rsidRPr="00ED22D1" w:rsidRDefault="00874624" w:rsidP="00387175">
            <w:pPr>
              <w:tabs>
                <w:tab w:val="left" w:pos="284"/>
              </w:tabs>
              <w:jc w:val="center"/>
              <w:rPr>
                <w:b/>
                <w:kern w:val="36"/>
                <w:sz w:val="20"/>
                <w:szCs w:val="20"/>
                <w:lang w:val="fr-CA"/>
              </w:rPr>
            </w:pPr>
            <w:r w:rsidRPr="00ED22D1">
              <w:rPr>
                <w:b/>
                <w:kern w:val="36"/>
                <w:sz w:val="20"/>
                <w:szCs w:val="20"/>
                <w:lang w:val="fr-CA"/>
              </w:rPr>
              <w:t>($US)</w:t>
            </w:r>
          </w:p>
        </w:tc>
      </w:tr>
      <w:tr w:rsidR="000768BB" w:rsidRPr="00ED22D1" w:rsidTr="00DF76A8">
        <w:trPr>
          <w:trHeight w:val="332"/>
          <w:jc w:val="center"/>
        </w:trPr>
        <w:tc>
          <w:tcPr>
            <w:tcW w:w="791" w:type="pct"/>
            <w:vMerge w:val="restart"/>
            <w:vAlign w:val="center"/>
          </w:tcPr>
          <w:p w:rsidR="000768BB" w:rsidRPr="00ED22D1" w:rsidRDefault="000768BB" w:rsidP="000768BB">
            <w:pPr>
              <w:tabs>
                <w:tab w:val="left" w:pos="284"/>
              </w:tabs>
              <w:spacing w:after="100" w:afterAutospacing="1"/>
              <w:jc w:val="left"/>
              <w:rPr>
                <w:kern w:val="36"/>
                <w:sz w:val="20"/>
                <w:szCs w:val="20"/>
                <w:lang w:val="fr-CA"/>
              </w:rPr>
            </w:pPr>
            <w:r w:rsidRPr="00ED22D1">
              <w:rPr>
                <w:kern w:val="36"/>
                <w:sz w:val="20"/>
                <w:szCs w:val="20"/>
                <w:lang w:val="fr-CA"/>
              </w:rPr>
              <w:t>Personnel du projet</w:t>
            </w:r>
          </w:p>
        </w:tc>
        <w:tc>
          <w:tcPr>
            <w:tcW w:w="2557" w:type="pct"/>
            <w:tcBorders>
              <w:right w:val="single" w:sz="4" w:space="0" w:color="auto"/>
            </w:tcBorders>
          </w:tcPr>
          <w:p w:rsidR="000768BB" w:rsidRPr="00ED22D1" w:rsidRDefault="000768BB" w:rsidP="000768BB">
            <w:pPr>
              <w:tabs>
                <w:tab w:val="left" w:pos="284"/>
              </w:tabs>
              <w:spacing w:after="100" w:afterAutospacing="1"/>
              <w:rPr>
                <w:kern w:val="36"/>
                <w:sz w:val="20"/>
                <w:szCs w:val="20"/>
                <w:lang w:val="fr-CA"/>
              </w:rPr>
            </w:pPr>
            <w:r w:rsidRPr="00ED22D1">
              <w:rPr>
                <w:kern w:val="36"/>
                <w:sz w:val="20"/>
                <w:szCs w:val="20"/>
                <w:lang w:val="fr-CA"/>
              </w:rPr>
              <w:t>Personnel de gestion du programme</w:t>
            </w:r>
          </w:p>
        </w:tc>
        <w:tc>
          <w:tcPr>
            <w:tcW w:w="543"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36 154 </w:t>
            </w:r>
          </w:p>
        </w:tc>
        <w:tc>
          <w:tcPr>
            <w:tcW w:w="569"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54 562 </w:t>
            </w:r>
          </w:p>
        </w:tc>
        <w:tc>
          <w:tcPr>
            <w:tcW w:w="540" w:type="pct"/>
            <w:tcBorders>
              <w:lef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90 716 </w:t>
            </w:r>
          </w:p>
        </w:tc>
      </w:tr>
      <w:tr w:rsidR="000768BB" w:rsidRPr="00ED22D1" w:rsidTr="00DF76A8">
        <w:trPr>
          <w:trHeight w:val="620"/>
          <w:jc w:val="center"/>
        </w:trPr>
        <w:tc>
          <w:tcPr>
            <w:tcW w:w="791" w:type="pct"/>
            <w:vMerge/>
            <w:vAlign w:val="center"/>
          </w:tcPr>
          <w:p w:rsidR="000768BB" w:rsidRPr="00ED22D1" w:rsidRDefault="000768BB" w:rsidP="00387175">
            <w:pPr>
              <w:tabs>
                <w:tab w:val="left" w:pos="284"/>
              </w:tabs>
              <w:jc w:val="left"/>
              <w:rPr>
                <w:kern w:val="36"/>
                <w:sz w:val="20"/>
                <w:szCs w:val="20"/>
                <w:lang w:val="fr-CA"/>
              </w:rPr>
            </w:pPr>
          </w:p>
        </w:tc>
        <w:tc>
          <w:tcPr>
            <w:tcW w:w="2557" w:type="pct"/>
            <w:tcBorders>
              <w:right w:val="single" w:sz="4" w:space="0" w:color="auto"/>
            </w:tcBorders>
          </w:tcPr>
          <w:p w:rsidR="000768BB" w:rsidRPr="00ED22D1" w:rsidRDefault="000768BB" w:rsidP="00002FF6">
            <w:pPr>
              <w:tabs>
                <w:tab w:val="left" w:pos="284"/>
              </w:tabs>
              <w:spacing w:after="100" w:afterAutospacing="1"/>
              <w:jc w:val="left"/>
              <w:rPr>
                <w:kern w:val="36"/>
                <w:sz w:val="20"/>
                <w:szCs w:val="20"/>
                <w:lang w:val="fr-CA"/>
              </w:rPr>
            </w:pPr>
            <w:r w:rsidRPr="00ED22D1">
              <w:rPr>
                <w:kern w:val="36"/>
                <w:sz w:val="20"/>
                <w:szCs w:val="20"/>
                <w:lang w:val="fr-CA"/>
              </w:rPr>
              <w:t>Autre personnel de soutien (finances, achats, soutien en droit, autres)</w:t>
            </w:r>
          </w:p>
        </w:tc>
        <w:tc>
          <w:tcPr>
            <w:tcW w:w="543"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27 811 </w:t>
            </w:r>
          </w:p>
        </w:tc>
        <w:tc>
          <w:tcPr>
            <w:tcW w:w="569"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41 970 </w:t>
            </w:r>
          </w:p>
        </w:tc>
        <w:tc>
          <w:tcPr>
            <w:tcW w:w="540" w:type="pct"/>
            <w:tcBorders>
              <w:lef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69 781 </w:t>
            </w:r>
          </w:p>
        </w:tc>
      </w:tr>
      <w:tr w:rsidR="000768BB" w:rsidRPr="00ED22D1" w:rsidTr="00DF76A8">
        <w:trPr>
          <w:jc w:val="center"/>
        </w:trPr>
        <w:tc>
          <w:tcPr>
            <w:tcW w:w="791" w:type="pct"/>
            <w:vAlign w:val="center"/>
          </w:tcPr>
          <w:p w:rsidR="000768BB" w:rsidRPr="00ED22D1" w:rsidRDefault="000768BB" w:rsidP="000768BB">
            <w:pPr>
              <w:tabs>
                <w:tab w:val="left" w:pos="284"/>
              </w:tabs>
              <w:spacing w:after="100" w:afterAutospacing="1"/>
              <w:jc w:val="left"/>
              <w:rPr>
                <w:kern w:val="36"/>
                <w:sz w:val="20"/>
                <w:szCs w:val="20"/>
                <w:lang w:val="fr-CA"/>
              </w:rPr>
            </w:pPr>
            <w:r w:rsidRPr="00ED22D1">
              <w:rPr>
                <w:kern w:val="36"/>
                <w:sz w:val="20"/>
                <w:szCs w:val="20"/>
                <w:lang w:val="fr-CA"/>
              </w:rPr>
              <w:t>Dépenses de l’agence d’exploitation</w:t>
            </w:r>
          </w:p>
        </w:tc>
        <w:tc>
          <w:tcPr>
            <w:tcW w:w="2557" w:type="pct"/>
            <w:tcBorders>
              <w:right w:val="single" w:sz="4" w:space="0" w:color="auto"/>
            </w:tcBorders>
          </w:tcPr>
          <w:p w:rsidR="000768BB" w:rsidRPr="00ED22D1" w:rsidRDefault="000768BB" w:rsidP="000768BB">
            <w:pPr>
              <w:tabs>
                <w:tab w:val="left" w:pos="284"/>
              </w:tabs>
              <w:spacing w:after="100" w:afterAutospacing="1"/>
              <w:rPr>
                <w:kern w:val="36"/>
                <w:sz w:val="20"/>
                <w:szCs w:val="20"/>
                <w:lang w:val="fr-CA"/>
              </w:rPr>
            </w:pPr>
            <w:r w:rsidRPr="00ED22D1">
              <w:rPr>
                <w:kern w:val="36"/>
                <w:sz w:val="20"/>
                <w:szCs w:val="20"/>
                <w:lang w:val="fr-CA"/>
              </w:rPr>
              <w:t>Dépenses d’exploitation quotidiennes (voyages au pays, réunions, installations de bureaux et équipements, autres)</w:t>
            </w:r>
          </w:p>
        </w:tc>
        <w:tc>
          <w:tcPr>
            <w:tcW w:w="543"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34 092 </w:t>
            </w:r>
          </w:p>
        </w:tc>
        <w:tc>
          <w:tcPr>
            <w:tcW w:w="569"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51 450 </w:t>
            </w:r>
          </w:p>
        </w:tc>
        <w:tc>
          <w:tcPr>
            <w:tcW w:w="540" w:type="pct"/>
            <w:tcBorders>
              <w:lef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85 542 </w:t>
            </w:r>
          </w:p>
        </w:tc>
      </w:tr>
      <w:tr w:rsidR="000768BB" w:rsidRPr="00ED22D1" w:rsidTr="00DF76A8">
        <w:trPr>
          <w:jc w:val="center"/>
        </w:trPr>
        <w:tc>
          <w:tcPr>
            <w:tcW w:w="791" w:type="pct"/>
            <w:vAlign w:val="center"/>
          </w:tcPr>
          <w:p w:rsidR="000768BB" w:rsidRPr="00ED22D1" w:rsidRDefault="000768BB" w:rsidP="000768BB">
            <w:pPr>
              <w:tabs>
                <w:tab w:val="left" w:pos="284"/>
              </w:tabs>
              <w:spacing w:after="100" w:afterAutospacing="1"/>
              <w:jc w:val="left"/>
              <w:rPr>
                <w:kern w:val="36"/>
                <w:sz w:val="20"/>
                <w:szCs w:val="20"/>
                <w:lang w:val="fr-CA"/>
              </w:rPr>
            </w:pPr>
            <w:r w:rsidRPr="00ED22D1">
              <w:rPr>
                <w:kern w:val="36"/>
                <w:sz w:val="20"/>
                <w:szCs w:val="20"/>
                <w:lang w:val="fr-CA"/>
              </w:rPr>
              <w:t>Services de consultation</w:t>
            </w:r>
          </w:p>
        </w:tc>
        <w:tc>
          <w:tcPr>
            <w:tcW w:w="2557" w:type="pct"/>
            <w:tcBorders>
              <w:right w:val="single" w:sz="4" w:space="0" w:color="auto"/>
            </w:tcBorders>
          </w:tcPr>
          <w:p w:rsidR="000768BB" w:rsidRPr="00ED22D1" w:rsidRDefault="000768BB" w:rsidP="000768BB">
            <w:pPr>
              <w:tabs>
                <w:tab w:val="left" w:pos="284"/>
              </w:tabs>
              <w:spacing w:after="100" w:afterAutospacing="1"/>
              <w:rPr>
                <w:kern w:val="36"/>
                <w:sz w:val="20"/>
                <w:szCs w:val="20"/>
                <w:lang w:val="fr-CA"/>
              </w:rPr>
            </w:pPr>
            <w:r w:rsidRPr="00ED22D1">
              <w:rPr>
                <w:kern w:val="36"/>
                <w:sz w:val="20"/>
                <w:szCs w:val="20"/>
                <w:lang w:val="fr-CA"/>
              </w:rPr>
              <w:t xml:space="preserve">Consultations d’institutions et de spécialistes embauchés pour l’évaluation des projets, vérification financière et technique, examen technique, évaluation des appels d’offres, soutien technique. Personnel à contrat </w:t>
            </w:r>
            <w:r w:rsidR="009F5E40" w:rsidRPr="00ED22D1">
              <w:rPr>
                <w:kern w:val="36"/>
                <w:sz w:val="20"/>
                <w:szCs w:val="20"/>
                <w:lang w:val="fr-CA"/>
              </w:rPr>
              <w:t>pour aider lors</w:t>
            </w:r>
            <w:r w:rsidRPr="00ED22D1">
              <w:rPr>
                <w:kern w:val="36"/>
                <w:sz w:val="20"/>
                <w:szCs w:val="20"/>
                <w:lang w:val="fr-CA"/>
              </w:rPr>
              <w:t xml:space="preserve"> des charges de travail élevées ou lors d’événements spéciaux, comme des réunions, des ateliers, et coûts de traduction.</w:t>
            </w:r>
          </w:p>
        </w:tc>
        <w:tc>
          <w:tcPr>
            <w:tcW w:w="543"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38 943 </w:t>
            </w:r>
          </w:p>
        </w:tc>
        <w:tc>
          <w:tcPr>
            <w:tcW w:w="569" w:type="pct"/>
            <w:tcBorders>
              <w:righ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58 770 </w:t>
            </w:r>
          </w:p>
        </w:tc>
        <w:tc>
          <w:tcPr>
            <w:tcW w:w="540" w:type="pct"/>
            <w:tcBorders>
              <w:left w:val="single" w:sz="4" w:space="0" w:color="auto"/>
            </w:tcBorders>
            <w:vAlign w:val="center"/>
          </w:tcPr>
          <w:p w:rsidR="000768BB" w:rsidRPr="00ED22D1" w:rsidRDefault="000768BB" w:rsidP="00387175">
            <w:pPr>
              <w:tabs>
                <w:tab w:val="left" w:pos="284"/>
              </w:tabs>
              <w:jc w:val="right"/>
              <w:rPr>
                <w:kern w:val="36"/>
                <w:sz w:val="20"/>
                <w:szCs w:val="20"/>
                <w:lang w:val="fr-CA"/>
              </w:rPr>
            </w:pPr>
            <w:r w:rsidRPr="00ED22D1">
              <w:rPr>
                <w:bCs/>
                <w:sz w:val="20"/>
                <w:szCs w:val="20"/>
                <w:lang w:val="fr-CA"/>
              </w:rPr>
              <w:t xml:space="preserve">97 713 </w:t>
            </w:r>
          </w:p>
        </w:tc>
      </w:tr>
      <w:tr w:rsidR="00387175" w:rsidRPr="00ED22D1" w:rsidTr="00DF76A8">
        <w:trPr>
          <w:jc w:val="center"/>
        </w:trPr>
        <w:tc>
          <w:tcPr>
            <w:tcW w:w="3348" w:type="pct"/>
            <w:gridSpan w:val="2"/>
            <w:tcBorders>
              <w:right w:val="single" w:sz="4" w:space="0" w:color="auto"/>
            </w:tcBorders>
            <w:vAlign w:val="center"/>
          </w:tcPr>
          <w:p w:rsidR="00387175" w:rsidRPr="00ED22D1" w:rsidRDefault="00387175" w:rsidP="00B53D8B">
            <w:pPr>
              <w:tabs>
                <w:tab w:val="left" w:pos="284"/>
              </w:tabs>
              <w:rPr>
                <w:b/>
                <w:kern w:val="36"/>
                <w:sz w:val="20"/>
                <w:szCs w:val="20"/>
                <w:lang w:val="fr-CA"/>
              </w:rPr>
            </w:pPr>
            <w:r w:rsidRPr="00ED22D1">
              <w:rPr>
                <w:b/>
                <w:kern w:val="36"/>
                <w:sz w:val="20"/>
                <w:szCs w:val="20"/>
                <w:lang w:val="fr-CA"/>
              </w:rPr>
              <w:t xml:space="preserve">Total </w:t>
            </w:r>
            <w:r w:rsidR="00B53D8B" w:rsidRPr="00ED22D1">
              <w:rPr>
                <w:b/>
                <w:kern w:val="36"/>
                <w:sz w:val="20"/>
                <w:szCs w:val="20"/>
                <w:lang w:val="fr-CA"/>
              </w:rPr>
              <w:t xml:space="preserve">des décaissements du </w:t>
            </w:r>
            <w:r w:rsidRPr="00ED22D1">
              <w:rPr>
                <w:b/>
                <w:kern w:val="36"/>
                <w:sz w:val="20"/>
                <w:szCs w:val="20"/>
                <w:lang w:val="fr-CA"/>
              </w:rPr>
              <w:t xml:space="preserve">PMU </w:t>
            </w:r>
            <w:r w:rsidR="00B53D8B" w:rsidRPr="00ED22D1">
              <w:rPr>
                <w:b/>
                <w:kern w:val="36"/>
                <w:sz w:val="20"/>
                <w:szCs w:val="20"/>
                <w:lang w:val="fr-CA"/>
              </w:rPr>
              <w:t xml:space="preserve">pour la </w:t>
            </w:r>
            <w:r w:rsidRPr="00ED22D1">
              <w:rPr>
                <w:b/>
                <w:kern w:val="36"/>
                <w:sz w:val="20"/>
                <w:szCs w:val="20"/>
                <w:lang w:val="fr-CA"/>
              </w:rPr>
              <w:t>tranche 1</w:t>
            </w:r>
            <w:r w:rsidR="004A6828" w:rsidRPr="00ED22D1">
              <w:rPr>
                <w:b/>
                <w:kern w:val="36"/>
                <w:sz w:val="20"/>
                <w:szCs w:val="20"/>
                <w:lang w:val="fr-CA"/>
              </w:rPr>
              <w:t xml:space="preserve"> et </w:t>
            </w:r>
            <w:r w:rsidR="00B53D8B" w:rsidRPr="00ED22D1">
              <w:rPr>
                <w:b/>
                <w:kern w:val="36"/>
                <w:sz w:val="20"/>
                <w:szCs w:val="20"/>
                <w:lang w:val="fr-CA"/>
              </w:rPr>
              <w:t xml:space="preserve">la </w:t>
            </w:r>
            <w:r w:rsidRPr="00ED22D1">
              <w:rPr>
                <w:b/>
                <w:kern w:val="36"/>
                <w:sz w:val="20"/>
                <w:szCs w:val="20"/>
                <w:lang w:val="fr-CA"/>
              </w:rPr>
              <w:t>tranche 2</w:t>
            </w:r>
          </w:p>
        </w:tc>
        <w:tc>
          <w:tcPr>
            <w:tcW w:w="543" w:type="pct"/>
            <w:tcBorders>
              <w:right w:val="single" w:sz="4" w:space="0" w:color="auto"/>
            </w:tcBorders>
            <w:vAlign w:val="center"/>
          </w:tcPr>
          <w:p w:rsidR="00387175" w:rsidRPr="00ED22D1" w:rsidRDefault="00387175" w:rsidP="00387175">
            <w:pPr>
              <w:tabs>
                <w:tab w:val="left" w:pos="284"/>
              </w:tabs>
              <w:jc w:val="right"/>
              <w:rPr>
                <w:b/>
                <w:bCs/>
                <w:sz w:val="20"/>
                <w:szCs w:val="20"/>
                <w:lang w:val="fr-CA"/>
              </w:rPr>
            </w:pPr>
            <w:r w:rsidRPr="00ED22D1">
              <w:rPr>
                <w:b/>
                <w:bCs/>
                <w:sz w:val="20"/>
                <w:szCs w:val="20"/>
                <w:lang w:val="fr-CA"/>
              </w:rPr>
              <w:t>13</w:t>
            </w:r>
            <w:r w:rsidR="004A6828" w:rsidRPr="00ED22D1">
              <w:rPr>
                <w:b/>
                <w:bCs/>
                <w:sz w:val="20"/>
                <w:szCs w:val="20"/>
                <w:lang w:val="fr-CA"/>
              </w:rPr>
              <w:t>7 </w:t>
            </w:r>
            <w:r w:rsidRPr="00ED22D1">
              <w:rPr>
                <w:b/>
                <w:bCs/>
                <w:sz w:val="20"/>
                <w:szCs w:val="20"/>
                <w:lang w:val="fr-CA"/>
              </w:rPr>
              <w:t>000</w:t>
            </w:r>
          </w:p>
        </w:tc>
        <w:tc>
          <w:tcPr>
            <w:tcW w:w="569" w:type="pct"/>
            <w:tcBorders>
              <w:right w:val="single" w:sz="4" w:space="0" w:color="auto"/>
            </w:tcBorders>
            <w:vAlign w:val="center"/>
          </w:tcPr>
          <w:p w:rsidR="00387175" w:rsidRPr="00ED22D1" w:rsidRDefault="00387175" w:rsidP="00387175">
            <w:pPr>
              <w:tabs>
                <w:tab w:val="left" w:pos="284"/>
              </w:tabs>
              <w:jc w:val="right"/>
              <w:rPr>
                <w:b/>
                <w:bCs/>
                <w:sz w:val="20"/>
                <w:szCs w:val="20"/>
                <w:lang w:val="fr-CA"/>
              </w:rPr>
            </w:pPr>
            <w:r w:rsidRPr="00ED22D1">
              <w:rPr>
                <w:b/>
                <w:bCs/>
                <w:sz w:val="20"/>
                <w:szCs w:val="20"/>
                <w:lang w:val="fr-CA"/>
              </w:rPr>
              <w:t>20</w:t>
            </w:r>
            <w:r w:rsidR="004A6828" w:rsidRPr="00ED22D1">
              <w:rPr>
                <w:b/>
                <w:bCs/>
                <w:sz w:val="20"/>
                <w:szCs w:val="20"/>
                <w:lang w:val="fr-CA"/>
              </w:rPr>
              <w:t>6 </w:t>
            </w:r>
            <w:r w:rsidRPr="00ED22D1">
              <w:rPr>
                <w:b/>
                <w:bCs/>
                <w:sz w:val="20"/>
                <w:szCs w:val="20"/>
                <w:lang w:val="fr-CA"/>
              </w:rPr>
              <w:t>752</w:t>
            </w:r>
          </w:p>
        </w:tc>
        <w:tc>
          <w:tcPr>
            <w:tcW w:w="540" w:type="pct"/>
            <w:tcBorders>
              <w:left w:val="single" w:sz="4" w:space="0" w:color="auto"/>
            </w:tcBorders>
            <w:vAlign w:val="center"/>
          </w:tcPr>
          <w:p w:rsidR="00387175" w:rsidRPr="00ED22D1" w:rsidRDefault="00387175" w:rsidP="00387175">
            <w:pPr>
              <w:tabs>
                <w:tab w:val="left" w:pos="284"/>
              </w:tabs>
              <w:jc w:val="right"/>
              <w:rPr>
                <w:b/>
                <w:bCs/>
                <w:sz w:val="20"/>
                <w:szCs w:val="20"/>
                <w:lang w:val="fr-CA"/>
              </w:rPr>
            </w:pPr>
            <w:r w:rsidRPr="00ED22D1">
              <w:rPr>
                <w:b/>
                <w:bCs/>
                <w:sz w:val="20"/>
                <w:szCs w:val="20"/>
                <w:lang w:val="fr-CA"/>
              </w:rPr>
              <w:t>34</w:t>
            </w:r>
            <w:r w:rsidR="004A6828" w:rsidRPr="00ED22D1">
              <w:rPr>
                <w:b/>
                <w:bCs/>
                <w:sz w:val="20"/>
                <w:szCs w:val="20"/>
                <w:lang w:val="fr-CA"/>
              </w:rPr>
              <w:t>3 </w:t>
            </w:r>
            <w:r w:rsidRPr="00ED22D1">
              <w:rPr>
                <w:b/>
                <w:bCs/>
                <w:sz w:val="20"/>
                <w:szCs w:val="20"/>
                <w:lang w:val="fr-CA"/>
              </w:rPr>
              <w:t>752</w:t>
            </w:r>
          </w:p>
        </w:tc>
      </w:tr>
    </w:tbl>
    <w:p w:rsidR="00387175" w:rsidRPr="00ED22D1" w:rsidRDefault="00387175" w:rsidP="00387175">
      <w:pPr>
        <w:widowControl w:val="0"/>
        <w:rPr>
          <w:lang w:val="fr-CA"/>
        </w:rPr>
      </w:pPr>
    </w:p>
    <w:p w:rsidR="00387175" w:rsidRPr="00ED22D1" w:rsidRDefault="00DB7C5D" w:rsidP="00387175">
      <w:pPr>
        <w:pStyle w:val="Title1"/>
        <w:widowControl w:val="0"/>
        <w:spacing w:after="240"/>
        <w:jc w:val="left"/>
        <w:rPr>
          <w:b w:val="0"/>
          <w:caps w:val="0"/>
          <w:u w:val="single"/>
          <w:lang w:val="fr-CA"/>
        </w:rPr>
      </w:pPr>
      <w:r w:rsidRPr="00ED22D1">
        <w:rPr>
          <w:b w:val="0"/>
          <w:caps w:val="0"/>
          <w:u w:val="single"/>
          <w:lang w:val="fr-CA"/>
        </w:rPr>
        <w:t>Intérêts</w:t>
      </w:r>
    </w:p>
    <w:p w:rsidR="00387175" w:rsidRPr="00ED22D1" w:rsidRDefault="00EB650F" w:rsidP="00EB650F">
      <w:pPr>
        <w:pStyle w:val="Heading1"/>
        <w:widowControl w:val="0"/>
        <w:numPr>
          <w:ilvl w:val="0"/>
          <w:numId w:val="0"/>
        </w:numPr>
        <w:rPr>
          <w:kern w:val="36"/>
          <w:lang w:val="fr-CA"/>
        </w:rPr>
      </w:pPr>
      <w:r w:rsidRPr="00ED22D1">
        <w:rPr>
          <w:kern w:val="36"/>
          <w:lang w:val="fr-CA"/>
        </w:rPr>
        <w:t>128.</w:t>
      </w:r>
      <w:r w:rsidRPr="00ED22D1">
        <w:rPr>
          <w:kern w:val="36"/>
          <w:lang w:val="fr-CA"/>
        </w:rPr>
        <w:tab/>
      </w:r>
      <w:r w:rsidR="000249DD" w:rsidRPr="00ED22D1">
        <w:rPr>
          <w:kern w:val="36"/>
          <w:lang w:val="fr-CA"/>
        </w:rPr>
        <w:t xml:space="preserve">Les renseignements sur les </w:t>
      </w:r>
      <w:r w:rsidR="007B6A35" w:rsidRPr="00ED22D1">
        <w:rPr>
          <w:kern w:val="36"/>
          <w:lang w:val="fr-CA"/>
        </w:rPr>
        <w:t>intérêts courus</w:t>
      </w:r>
      <w:r w:rsidR="00387175" w:rsidRPr="00ED22D1">
        <w:rPr>
          <w:kern w:val="36"/>
          <w:lang w:val="fr-CA"/>
        </w:rPr>
        <w:t xml:space="preserve"> </w:t>
      </w:r>
      <w:r w:rsidR="000249DD" w:rsidRPr="00ED22D1">
        <w:rPr>
          <w:kern w:val="36"/>
          <w:lang w:val="fr-CA"/>
        </w:rPr>
        <w:t xml:space="preserve">sur </w:t>
      </w:r>
      <w:r w:rsidR="00393F6B" w:rsidRPr="00ED22D1">
        <w:rPr>
          <w:kern w:val="36"/>
          <w:lang w:val="fr-CA"/>
        </w:rPr>
        <w:t>le financement</w:t>
      </w:r>
      <w:r w:rsidR="00387175" w:rsidRPr="00ED22D1">
        <w:rPr>
          <w:kern w:val="36"/>
          <w:lang w:val="fr-CA"/>
        </w:rPr>
        <w:t xml:space="preserve"> </w:t>
      </w:r>
      <w:r w:rsidR="00AA6E77" w:rsidRPr="00ED22D1">
        <w:rPr>
          <w:kern w:val="36"/>
          <w:lang w:val="fr-CA"/>
        </w:rPr>
        <w:t>approuvé</w:t>
      </w:r>
      <w:r w:rsidR="00387175" w:rsidRPr="00ED22D1">
        <w:rPr>
          <w:kern w:val="36"/>
          <w:lang w:val="fr-CA"/>
        </w:rPr>
        <w:t xml:space="preserve"> </w:t>
      </w:r>
      <w:r w:rsidR="000249DD" w:rsidRPr="00ED22D1">
        <w:rPr>
          <w:kern w:val="36"/>
          <w:lang w:val="fr-CA"/>
        </w:rPr>
        <w:t xml:space="preserve">pour les </w:t>
      </w:r>
      <w:r w:rsidR="007B6A35" w:rsidRPr="00ED22D1">
        <w:rPr>
          <w:kern w:val="36"/>
          <w:lang w:val="fr-CA"/>
        </w:rPr>
        <w:t>plans des secteurs</w:t>
      </w:r>
      <w:r w:rsidR="00387175" w:rsidRPr="00ED22D1">
        <w:rPr>
          <w:kern w:val="36"/>
          <w:lang w:val="fr-CA"/>
        </w:rPr>
        <w:t xml:space="preserve"> </w:t>
      </w:r>
      <w:r w:rsidR="001F19C1" w:rsidRPr="00ED22D1">
        <w:rPr>
          <w:kern w:val="36"/>
          <w:lang w:val="fr-CA"/>
        </w:rPr>
        <w:t>du PGEH</w:t>
      </w:r>
      <w:r w:rsidR="00387175" w:rsidRPr="00ED22D1">
        <w:rPr>
          <w:kern w:val="36"/>
          <w:lang w:val="fr-CA"/>
        </w:rPr>
        <w:t xml:space="preserve"> </w:t>
      </w:r>
      <w:r w:rsidR="001B31BF" w:rsidRPr="00ED22D1">
        <w:rPr>
          <w:kern w:val="36"/>
          <w:lang w:val="fr-CA"/>
        </w:rPr>
        <w:t>de la Chine</w:t>
      </w:r>
      <w:r w:rsidR="00903152" w:rsidRPr="00ED22D1">
        <w:rPr>
          <w:kern w:val="36"/>
          <w:lang w:val="fr-CA"/>
        </w:rPr>
        <w:t xml:space="preserve"> </w:t>
      </w:r>
      <w:r w:rsidR="000249DD" w:rsidRPr="00ED22D1">
        <w:rPr>
          <w:kern w:val="36"/>
          <w:lang w:val="fr-CA"/>
        </w:rPr>
        <w:t>sont fournis à chaque dernière réunion de l’</w:t>
      </w:r>
      <w:r w:rsidR="0052712E" w:rsidRPr="00ED22D1">
        <w:rPr>
          <w:kern w:val="36"/>
          <w:lang w:val="fr-CA"/>
        </w:rPr>
        <w:t>année</w:t>
      </w:r>
      <w:r w:rsidR="00387175" w:rsidRPr="00ED22D1">
        <w:rPr>
          <w:kern w:val="36"/>
          <w:lang w:val="fr-CA"/>
        </w:rPr>
        <w:t xml:space="preserve"> </w:t>
      </w:r>
      <w:r w:rsidR="000249DD" w:rsidRPr="00ED22D1">
        <w:rPr>
          <w:kern w:val="36"/>
          <w:lang w:val="fr-CA"/>
        </w:rPr>
        <w:t xml:space="preserve">qui suit </w:t>
      </w:r>
      <w:r w:rsidR="004E1A20" w:rsidRPr="00ED22D1">
        <w:rPr>
          <w:kern w:val="36"/>
          <w:lang w:val="fr-CA"/>
        </w:rPr>
        <w:t>une demande de vérification financière</w:t>
      </w:r>
      <w:r w:rsidR="00387175" w:rsidRPr="00ED22D1">
        <w:rPr>
          <w:kern w:val="36"/>
          <w:lang w:val="fr-CA"/>
        </w:rPr>
        <w:t xml:space="preserve">. </w:t>
      </w:r>
      <w:r w:rsidR="004E1A20" w:rsidRPr="00ED22D1">
        <w:rPr>
          <w:kern w:val="36"/>
          <w:lang w:val="fr-CA"/>
        </w:rPr>
        <w:t xml:space="preserve">Les données sur les </w:t>
      </w:r>
      <w:r w:rsidR="007B6A35" w:rsidRPr="00ED22D1">
        <w:rPr>
          <w:kern w:val="36"/>
          <w:lang w:val="fr-CA"/>
        </w:rPr>
        <w:t>intérêts courus</w:t>
      </w:r>
      <w:r w:rsidR="00387175" w:rsidRPr="00ED22D1">
        <w:rPr>
          <w:kern w:val="36"/>
          <w:lang w:val="fr-CA"/>
        </w:rPr>
        <w:t xml:space="preserve"> </w:t>
      </w:r>
      <w:r w:rsidR="0052712E" w:rsidRPr="00ED22D1">
        <w:rPr>
          <w:kern w:val="36"/>
          <w:lang w:val="fr-CA"/>
        </w:rPr>
        <w:t>en 20</w:t>
      </w:r>
      <w:r w:rsidR="00387175" w:rsidRPr="00ED22D1">
        <w:rPr>
          <w:kern w:val="36"/>
          <w:lang w:val="fr-CA"/>
        </w:rPr>
        <w:t xml:space="preserve">18 </w:t>
      </w:r>
      <w:r w:rsidR="004E1A20" w:rsidRPr="00ED22D1">
        <w:rPr>
          <w:kern w:val="36"/>
          <w:lang w:val="fr-CA"/>
        </w:rPr>
        <w:t>seront donc présenté</w:t>
      </w:r>
      <w:r w:rsidR="00616B46" w:rsidRPr="00ED22D1">
        <w:rPr>
          <w:kern w:val="36"/>
          <w:lang w:val="fr-CA"/>
        </w:rPr>
        <w:t>e</w:t>
      </w:r>
      <w:r w:rsidR="004E1A20" w:rsidRPr="00ED22D1">
        <w:rPr>
          <w:kern w:val="36"/>
          <w:lang w:val="fr-CA"/>
        </w:rPr>
        <w:t>s à</w:t>
      </w:r>
      <w:r w:rsidR="00002FF6">
        <w:rPr>
          <w:kern w:val="36"/>
          <w:lang w:val="fr-CA"/>
        </w:rPr>
        <w:t> </w:t>
      </w:r>
      <w:r w:rsidR="004E1A20" w:rsidRPr="00ED22D1">
        <w:rPr>
          <w:kern w:val="36"/>
          <w:lang w:val="fr-CA"/>
        </w:rPr>
        <w:t>la</w:t>
      </w:r>
      <w:r w:rsidR="00002FF6">
        <w:rPr>
          <w:kern w:val="36"/>
          <w:lang w:val="fr-CA"/>
        </w:rPr>
        <w:t> </w:t>
      </w:r>
      <w:r w:rsidR="004E1A20" w:rsidRPr="00ED22D1">
        <w:rPr>
          <w:kern w:val="36"/>
          <w:lang w:val="fr-CA"/>
        </w:rPr>
        <w:t>8</w:t>
      </w:r>
      <w:r w:rsidR="00387175" w:rsidRPr="00ED22D1">
        <w:rPr>
          <w:kern w:val="36"/>
          <w:lang w:val="fr-CA"/>
        </w:rPr>
        <w:t>4</w:t>
      </w:r>
      <w:r w:rsidR="004E1A20" w:rsidRPr="00ED22D1">
        <w:rPr>
          <w:kern w:val="36"/>
          <w:vertAlign w:val="superscript"/>
          <w:lang w:val="fr-CA"/>
        </w:rPr>
        <w:t>e</w:t>
      </w:r>
      <w:r w:rsidR="00002FF6">
        <w:rPr>
          <w:kern w:val="36"/>
          <w:vertAlign w:val="superscript"/>
          <w:lang w:val="fr-CA"/>
        </w:rPr>
        <w:t> </w:t>
      </w:r>
      <w:r w:rsidR="00DD185D" w:rsidRPr="00ED22D1">
        <w:rPr>
          <w:kern w:val="36"/>
          <w:lang w:val="fr-CA"/>
        </w:rPr>
        <w:t>réunion</w:t>
      </w:r>
      <w:r w:rsidR="00387175" w:rsidRPr="00ED22D1">
        <w:rPr>
          <w:kern w:val="36"/>
          <w:lang w:val="fr-CA"/>
        </w:rPr>
        <w:t>.</w:t>
      </w:r>
    </w:p>
    <w:p w:rsidR="00387175" w:rsidRPr="00ED22D1" w:rsidRDefault="00B84F94" w:rsidP="00387175">
      <w:pPr>
        <w:keepNext/>
        <w:spacing w:after="240"/>
        <w:rPr>
          <w:u w:val="single"/>
          <w:lang w:val="fr-CA"/>
        </w:rPr>
      </w:pPr>
      <w:r w:rsidRPr="00ED22D1">
        <w:rPr>
          <w:u w:val="single"/>
          <w:lang w:val="fr-CA"/>
        </w:rPr>
        <w:t>Durabilité</w:t>
      </w:r>
      <w:r w:rsidR="00387175" w:rsidRPr="00ED22D1">
        <w:rPr>
          <w:u w:val="single"/>
          <w:lang w:val="fr-CA"/>
        </w:rPr>
        <w:t xml:space="preserve"> </w:t>
      </w:r>
      <w:r w:rsidR="004E1A20" w:rsidRPr="00ED22D1">
        <w:rPr>
          <w:u w:val="single"/>
          <w:lang w:val="fr-CA"/>
        </w:rPr>
        <w:t xml:space="preserve">de l’élimination des </w:t>
      </w:r>
      <w:r w:rsidR="00387175" w:rsidRPr="00ED22D1">
        <w:rPr>
          <w:u w:val="single"/>
          <w:lang w:val="fr-CA"/>
        </w:rPr>
        <w:t>HCFC</w:t>
      </w:r>
    </w:p>
    <w:p w:rsidR="00387175" w:rsidRPr="00ED22D1" w:rsidRDefault="00EB650F" w:rsidP="00EB650F">
      <w:pPr>
        <w:pStyle w:val="Heading1"/>
        <w:numPr>
          <w:ilvl w:val="0"/>
          <w:numId w:val="0"/>
        </w:numPr>
        <w:rPr>
          <w:lang w:val="fr-CA"/>
        </w:rPr>
      </w:pPr>
      <w:r w:rsidRPr="00ED22D1">
        <w:rPr>
          <w:lang w:val="fr-CA"/>
        </w:rPr>
        <w:t>129.</w:t>
      </w:r>
      <w:r w:rsidRPr="00ED22D1">
        <w:rPr>
          <w:lang w:val="fr-CA"/>
        </w:rPr>
        <w:tab/>
      </w:r>
      <w:r w:rsidR="003A0EEB" w:rsidRPr="00ED22D1">
        <w:rPr>
          <w:lang w:val="fr-CA"/>
        </w:rPr>
        <w:t xml:space="preserve">En expliquant comment le cadre stratégique et la mise à exécution seront renforcés afin de s’assurer de l’élimination durable des HCFC dans le secteur des </w:t>
      </w:r>
      <w:r w:rsidR="001B31BF" w:rsidRPr="00ED22D1">
        <w:rPr>
          <w:lang w:val="fr-CA"/>
        </w:rPr>
        <w:t>solvants</w:t>
      </w:r>
      <w:r w:rsidR="001F19C1" w:rsidRPr="00ED22D1">
        <w:rPr>
          <w:lang w:val="fr-CA"/>
        </w:rPr>
        <w:t>, le PNUD</w:t>
      </w:r>
      <w:r w:rsidR="00387175" w:rsidRPr="00ED22D1">
        <w:rPr>
          <w:lang w:val="fr-CA"/>
        </w:rPr>
        <w:t xml:space="preserve"> </w:t>
      </w:r>
      <w:r w:rsidR="003A0EEB" w:rsidRPr="00ED22D1">
        <w:rPr>
          <w:lang w:val="fr-CA"/>
        </w:rPr>
        <w:t xml:space="preserve">a indiqué que le gouvernement de la Chine décréterait l’interdiction d’utiliser des HCFC comme </w:t>
      </w:r>
      <w:r w:rsidR="0052712E" w:rsidRPr="00ED22D1">
        <w:rPr>
          <w:lang w:val="fr-CA"/>
        </w:rPr>
        <w:t>solvant</w:t>
      </w:r>
      <w:r w:rsidR="00387175" w:rsidRPr="00ED22D1">
        <w:rPr>
          <w:lang w:val="fr-CA"/>
        </w:rPr>
        <w:t xml:space="preserve"> </w:t>
      </w:r>
      <w:r w:rsidR="003A0EEB" w:rsidRPr="00ED22D1">
        <w:rPr>
          <w:lang w:val="fr-CA"/>
        </w:rPr>
        <w:t>dans le</w:t>
      </w:r>
      <w:r w:rsidR="00387175" w:rsidRPr="00ED22D1">
        <w:rPr>
          <w:lang w:val="fr-CA"/>
        </w:rPr>
        <w:t xml:space="preserve"> </w:t>
      </w:r>
      <w:r w:rsidR="00733306" w:rsidRPr="00ED22D1">
        <w:rPr>
          <w:lang w:val="fr-CA"/>
        </w:rPr>
        <w:t xml:space="preserve">secteur </w:t>
      </w:r>
      <w:r w:rsidR="003A0EEB" w:rsidRPr="00ED22D1">
        <w:rPr>
          <w:lang w:val="fr-CA"/>
        </w:rPr>
        <w:t>avant</w:t>
      </w:r>
      <w:r w:rsidR="00387175" w:rsidRPr="00ED22D1">
        <w:rPr>
          <w:lang w:val="fr-CA"/>
        </w:rPr>
        <w:t xml:space="preserve"> </w:t>
      </w:r>
      <w:r w:rsidR="00733306" w:rsidRPr="00ED22D1">
        <w:rPr>
          <w:lang w:val="fr-CA"/>
        </w:rPr>
        <w:t>l’élimination totale</w:t>
      </w:r>
      <w:r w:rsidR="00387175" w:rsidRPr="00ED22D1">
        <w:rPr>
          <w:lang w:val="fr-CA"/>
        </w:rPr>
        <w:t xml:space="preserve"> </w:t>
      </w:r>
      <w:r w:rsidR="008D5B5F" w:rsidRPr="00ED22D1">
        <w:rPr>
          <w:lang w:val="fr-CA"/>
        </w:rPr>
        <w:t>de</w:t>
      </w:r>
      <w:r w:rsidR="003A0EEB" w:rsidRPr="00ED22D1">
        <w:rPr>
          <w:lang w:val="fr-CA"/>
        </w:rPr>
        <w:t>s</w:t>
      </w:r>
      <w:r w:rsidR="008D5B5F" w:rsidRPr="00ED22D1">
        <w:rPr>
          <w:lang w:val="fr-CA"/>
        </w:rPr>
        <w:t xml:space="preserve"> HCFC</w:t>
      </w:r>
      <w:r w:rsidR="00387175" w:rsidRPr="00ED22D1">
        <w:rPr>
          <w:lang w:val="fr-CA"/>
        </w:rPr>
        <w:t xml:space="preserve">. </w:t>
      </w:r>
      <w:r w:rsidR="003A0EEB" w:rsidRPr="00ED22D1">
        <w:rPr>
          <w:lang w:val="fr-CA"/>
        </w:rPr>
        <w:t>En outre, conformément à la décision 82/65, le gouvernement de la Chine a présenté à la présente réunion la revue des systèmes actuels de suivi, de présentation de rapports, de vérification et de mise à exécution</w:t>
      </w:r>
      <w:r w:rsidR="00387175" w:rsidRPr="00ED22D1">
        <w:rPr>
          <w:lang w:val="fr-CA"/>
        </w:rPr>
        <w:t xml:space="preserve"> </w:t>
      </w:r>
      <w:r w:rsidR="003A0EEB" w:rsidRPr="00ED22D1">
        <w:rPr>
          <w:lang w:val="fr-CA"/>
        </w:rPr>
        <w:t>dans le cadre des plans de gestion de l’élimination de la production et de la consommation de HCFC (PGEH et PGEPH</w:t>
      </w:r>
      <w:r w:rsidR="00387175" w:rsidRPr="00ED22D1">
        <w:rPr>
          <w:lang w:val="fr-CA"/>
        </w:rPr>
        <w:t>),</w:t>
      </w:r>
      <w:r w:rsidR="00387175" w:rsidRPr="00ED22D1">
        <w:rPr>
          <w:rStyle w:val="FootnoteReference"/>
          <w:lang w:val="fr-CA"/>
        </w:rPr>
        <w:footnoteReference w:id="24"/>
      </w:r>
      <w:r w:rsidR="00387175" w:rsidRPr="00ED22D1">
        <w:rPr>
          <w:lang w:val="fr-CA"/>
        </w:rPr>
        <w:t xml:space="preserve"> </w:t>
      </w:r>
      <w:r w:rsidR="004B666A" w:rsidRPr="00ED22D1">
        <w:rPr>
          <w:lang w:val="fr-CA"/>
        </w:rPr>
        <w:t xml:space="preserve">y </w:t>
      </w:r>
      <w:r w:rsidR="003A0EEB" w:rsidRPr="00ED22D1">
        <w:rPr>
          <w:lang w:val="fr-CA"/>
        </w:rPr>
        <w:t xml:space="preserve">compris le plan </w:t>
      </w:r>
      <w:r w:rsidR="005417A8" w:rsidRPr="00ED22D1">
        <w:rPr>
          <w:lang w:val="fr-CA"/>
        </w:rPr>
        <w:t>d’</w:t>
      </w:r>
      <w:r w:rsidR="003A0EEB" w:rsidRPr="00ED22D1">
        <w:rPr>
          <w:lang w:val="fr-CA"/>
        </w:rPr>
        <w:t>action visant à renforcer les lois et leur mise en oeuvre</w:t>
      </w:r>
      <w:r w:rsidR="00387175" w:rsidRPr="00ED22D1">
        <w:rPr>
          <w:lang w:val="fr-CA"/>
        </w:rPr>
        <w:t>.</w:t>
      </w:r>
      <w:r w:rsidR="003A0EEB" w:rsidRPr="00ED22D1">
        <w:rPr>
          <w:lang w:val="fr-CA"/>
        </w:rPr>
        <w:t xml:space="preserve">   </w:t>
      </w:r>
    </w:p>
    <w:p w:rsidR="00387175" w:rsidRPr="00ED22D1" w:rsidRDefault="00387175" w:rsidP="00387175">
      <w:pPr>
        <w:keepNext/>
        <w:spacing w:after="240"/>
        <w:rPr>
          <w:u w:val="single"/>
          <w:lang w:val="fr-CA"/>
        </w:rPr>
      </w:pPr>
      <w:r w:rsidRPr="00ED22D1">
        <w:rPr>
          <w:u w:val="single"/>
          <w:lang w:val="fr-CA"/>
        </w:rPr>
        <w:t>Conclusion</w:t>
      </w:r>
    </w:p>
    <w:p w:rsidR="00387175" w:rsidRPr="00ED22D1" w:rsidRDefault="00EB650F" w:rsidP="00EB650F">
      <w:pPr>
        <w:pStyle w:val="Heading1"/>
        <w:numPr>
          <w:ilvl w:val="0"/>
          <w:numId w:val="0"/>
        </w:numPr>
        <w:rPr>
          <w:lang w:val="fr-CA"/>
        </w:rPr>
      </w:pPr>
      <w:r w:rsidRPr="00ED22D1">
        <w:rPr>
          <w:lang w:val="fr-CA"/>
        </w:rPr>
        <w:t>130.</w:t>
      </w:r>
      <w:r w:rsidRPr="00ED22D1">
        <w:rPr>
          <w:lang w:val="fr-CA"/>
        </w:rPr>
        <w:tab/>
      </w:r>
      <w:r w:rsidR="00E71388" w:rsidRPr="00ED22D1">
        <w:rPr>
          <w:lang w:val="fr-CA"/>
        </w:rPr>
        <w:t>Le Secré</w:t>
      </w:r>
      <w:r w:rsidR="00DD185D" w:rsidRPr="00ED22D1">
        <w:rPr>
          <w:lang w:val="fr-CA"/>
        </w:rPr>
        <w:t>tariat</w:t>
      </w:r>
      <w:r w:rsidR="00387175" w:rsidRPr="00ED22D1">
        <w:rPr>
          <w:lang w:val="fr-CA"/>
        </w:rPr>
        <w:t xml:space="preserve"> </w:t>
      </w:r>
      <w:r w:rsidR="00C567EA" w:rsidRPr="00ED22D1">
        <w:rPr>
          <w:lang w:val="fr-CA"/>
        </w:rPr>
        <w:t xml:space="preserve">a souligné que le </w:t>
      </w:r>
      <w:r w:rsidR="004A6828" w:rsidRPr="00ED22D1">
        <w:rPr>
          <w:lang w:val="fr-CA"/>
        </w:rPr>
        <w:t>plan du secteur des solvants</w:t>
      </w:r>
      <w:r w:rsidR="00903152" w:rsidRPr="00ED22D1">
        <w:rPr>
          <w:lang w:val="fr-CA"/>
        </w:rPr>
        <w:t xml:space="preserve"> </w:t>
      </w:r>
      <w:r w:rsidR="00C567EA" w:rsidRPr="00ED22D1">
        <w:rPr>
          <w:lang w:val="fr-CA"/>
        </w:rPr>
        <w:t xml:space="preserve">avance bien et que </w:t>
      </w:r>
      <w:r w:rsidR="00002FF6">
        <w:rPr>
          <w:lang w:val="fr-CA"/>
        </w:rPr>
        <w:t>la totalité d</w:t>
      </w:r>
      <w:r w:rsidR="00C567EA" w:rsidRPr="00ED22D1">
        <w:rPr>
          <w:lang w:val="fr-CA"/>
        </w:rPr>
        <w:t>es</w:t>
      </w:r>
      <w:r w:rsidR="00002FF6">
        <w:rPr>
          <w:lang w:val="fr-CA"/>
        </w:rPr>
        <w:t> </w:t>
      </w:r>
      <w:r w:rsidR="00387175" w:rsidRPr="00ED22D1">
        <w:rPr>
          <w:lang w:val="fr-CA"/>
        </w:rPr>
        <w:t>24</w:t>
      </w:r>
      <w:r w:rsidR="00782639" w:rsidRPr="00ED22D1">
        <w:rPr>
          <w:lang w:val="fr-CA"/>
        </w:rPr>
        <w:t> </w:t>
      </w:r>
      <w:r w:rsidR="00921BDE" w:rsidRPr="00ED22D1">
        <w:rPr>
          <w:lang w:val="fr-CA"/>
        </w:rPr>
        <w:t>entreprise</w:t>
      </w:r>
      <w:r w:rsidR="00387175" w:rsidRPr="00ED22D1">
        <w:rPr>
          <w:lang w:val="fr-CA"/>
        </w:rPr>
        <w:t xml:space="preserve">s </w:t>
      </w:r>
      <w:r w:rsidR="00C567EA" w:rsidRPr="00ED22D1">
        <w:rPr>
          <w:lang w:val="fr-CA"/>
        </w:rPr>
        <w:t xml:space="preserve">sélectionnées ont signé leurs contrats </w:t>
      </w:r>
      <w:r w:rsidR="00B84F94" w:rsidRPr="00ED22D1">
        <w:rPr>
          <w:lang w:val="fr-CA"/>
        </w:rPr>
        <w:t>avec</w:t>
      </w:r>
      <w:r w:rsidR="00F320D6" w:rsidRPr="00ED22D1">
        <w:rPr>
          <w:lang w:val="fr-CA"/>
        </w:rPr>
        <w:t xml:space="preserve"> l’IECO</w:t>
      </w:r>
      <w:r w:rsidR="00387175" w:rsidRPr="00ED22D1">
        <w:rPr>
          <w:lang w:val="fr-CA"/>
        </w:rPr>
        <w:t>,</w:t>
      </w:r>
      <w:r w:rsidR="004A6828" w:rsidRPr="00ED22D1">
        <w:rPr>
          <w:lang w:val="fr-CA"/>
        </w:rPr>
        <w:t xml:space="preserve"> et </w:t>
      </w:r>
      <w:r w:rsidR="00782639" w:rsidRPr="00ED22D1">
        <w:rPr>
          <w:lang w:val="fr-CA"/>
        </w:rPr>
        <w:t>commencé l’achat des</w:t>
      </w:r>
      <w:r w:rsidR="00387175" w:rsidRPr="00ED22D1">
        <w:rPr>
          <w:lang w:val="fr-CA"/>
        </w:rPr>
        <w:t xml:space="preserve"> </w:t>
      </w:r>
      <w:r w:rsidR="00921BDE" w:rsidRPr="00ED22D1">
        <w:rPr>
          <w:lang w:val="fr-CA"/>
        </w:rPr>
        <w:t>équipements</w:t>
      </w:r>
      <w:r w:rsidR="00387175" w:rsidRPr="00ED22D1">
        <w:rPr>
          <w:lang w:val="fr-CA"/>
        </w:rPr>
        <w:t xml:space="preserve">. </w:t>
      </w:r>
      <w:r w:rsidR="00782639" w:rsidRPr="00ED22D1">
        <w:rPr>
          <w:lang w:val="fr-CA"/>
        </w:rPr>
        <w:t xml:space="preserve">La </w:t>
      </w:r>
      <w:r w:rsidR="00FB1DC4" w:rsidRPr="00ED22D1">
        <w:rPr>
          <w:lang w:val="fr-CA"/>
        </w:rPr>
        <w:t>reconversion</w:t>
      </w:r>
      <w:r w:rsidR="00387175" w:rsidRPr="00ED22D1">
        <w:rPr>
          <w:lang w:val="fr-CA"/>
        </w:rPr>
        <w:t xml:space="preserve"> </w:t>
      </w:r>
      <w:r w:rsidR="00782639" w:rsidRPr="00ED22D1">
        <w:rPr>
          <w:lang w:val="fr-CA"/>
        </w:rPr>
        <w:t>de</w:t>
      </w:r>
      <w:r w:rsidR="00387175" w:rsidRPr="00ED22D1">
        <w:rPr>
          <w:lang w:val="fr-CA"/>
        </w:rPr>
        <w:t xml:space="preserve"> </w:t>
      </w:r>
      <w:r w:rsidR="00BB7CCB" w:rsidRPr="00ED22D1">
        <w:rPr>
          <w:lang w:val="fr-CA"/>
        </w:rPr>
        <w:t xml:space="preserve">ces </w:t>
      </w:r>
      <w:r w:rsidR="00387175" w:rsidRPr="00ED22D1">
        <w:rPr>
          <w:lang w:val="fr-CA"/>
        </w:rPr>
        <w:t xml:space="preserve">24 </w:t>
      </w:r>
      <w:r w:rsidR="00921BDE" w:rsidRPr="00ED22D1">
        <w:rPr>
          <w:lang w:val="fr-CA"/>
        </w:rPr>
        <w:t>entreprise</w:t>
      </w:r>
      <w:r w:rsidR="00387175" w:rsidRPr="00ED22D1">
        <w:rPr>
          <w:lang w:val="fr-CA"/>
        </w:rPr>
        <w:t xml:space="preserve">s </w:t>
      </w:r>
      <w:r w:rsidR="00782639" w:rsidRPr="00ED22D1">
        <w:rPr>
          <w:lang w:val="fr-CA"/>
        </w:rPr>
        <w:t xml:space="preserve">permettra d’éliminer </w:t>
      </w:r>
      <w:r w:rsidR="00387175" w:rsidRPr="00ED22D1">
        <w:rPr>
          <w:lang w:val="fr-CA"/>
        </w:rPr>
        <w:t>12</w:t>
      </w:r>
      <w:r w:rsidR="004A6828" w:rsidRPr="00ED22D1">
        <w:rPr>
          <w:lang w:val="fr-CA"/>
        </w:rPr>
        <w:t>9,</w:t>
      </w:r>
      <w:r w:rsidR="00387175" w:rsidRPr="00ED22D1">
        <w:rPr>
          <w:lang w:val="fr-CA"/>
        </w:rPr>
        <w:t>38</w:t>
      </w:r>
      <w:r w:rsidR="00F96C70" w:rsidRPr="00ED22D1">
        <w:rPr>
          <w:lang w:val="fr-CA"/>
        </w:rPr>
        <w:t xml:space="preserve"> tonnes PAO</w:t>
      </w:r>
      <w:r w:rsidR="00387175" w:rsidRPr="00ED22D1">
        <w:rPr>
          <w:lang w:val="fr-CA"/>
        </w:rPr>
        <w:t xml:space="preserve"> </w:t>
      </w:r>
      <w:r w:rsidR="008D5B5F" w:rsidRPr="00ED22D1">
        <w:rPr>
          <w:lang w:val="fr-CA"/>
        </w:rPr>
        <w:t>de</w:t>
      </w:r>
      <w:r w:rsidR="00002FF6">
        <w:rPr>
          <w:lang w:val="fr-CA"/>
        </w:rPr>
        <w:t> </w:t>
      </w:r>
      <w:r w:rsidR="008D5B5F" w:rsidRPr="00ED22D1">
        <w:rPr>
          <w:lang w:val="fr-CA"/>
        </w:rPr>
        <w:t>HCFC</w:t>
      </w:r>
      <w:r w:rsidR="00002FF6">
        <w:rPr>
          <w:lang w:val="fr-CA"/>
        </w:rPr>
        <w:noBreakHyphen/>
      </w:r>
      <w:r w:rsidR="00387175" w:rsidRPr="00ED22D1">
        <w:rPr>
          <w:lang w:val="fr-CA"/>
        </w:rPr>
        <w:t xml:space="preserve">141b, </w:t>
      </w:r>
      <w:r w:rsidR="00782639" w:rsidRPr="00ED22D1">
        <w:rPr>
          <w:lang w:val="fr-CA"/>
        </w:rPr>
        <w:t xml:space="preserve">ce qui représente </w:t>
      </w:r>
      <w:r w:rsidR="00387175" w:rsidRPr="00ED22D1">
        <w:rPr>
          <w:lang w:val="fr-CA"/>
        </w:rPr>
        <w:t>28 </w:t>
      </w:r>
      <w:r w:rsidR="001B31BF" w:rsidRPr="00ED22D1">
        <w:rPr>
          <w:lang w:val="fr-CA"/>
        </w:rPr>
        <w:t>pour cent</w:t>
      </w:r>
      <w:r w:rsidR="00387175" w:rsidRPr="00ED22D1">
        <w:rPr>
          <w:lang w:val="fr-CA"/>
        </w:rPr>
        <w:t xml:space="preserve"> </w:t>
      </w:r>
      <w:r w:rsidR="00782639" w:rsidRPr="00ED22D1">
        <w:rPr>
          <w:lang w:val="fr-CA"/>
        </w:rPr>
        <w:t xml:space="preserve">de l’objectif de réduction des </w:t>
      </w:r>
      <w:r w:rsidR="00387175" w:rsidRPr="00ED22D1">
        <w:rPr>
          <w:lang w:val="fr-CA"/>
        </w:rPr>
        <w:t xml:space="preserve">HCFC </w:t>
      </w:r>
      <w:r w:rsidR="00782639" w:rsidRPr="00ED22D1">
        <w:rPr>
          <w:lang w:val="fr-CA"/>
        </w:rPr>
        <w:t xml:space="preserve">pour la </w:t>
      </w:r>
      <w:r w:rsidR="004A6828" w:rsidRPr="00ED22D1">
        <w:rPr>
          <w:lang w:val="fr-CA"/>
        </w:rPr>
        <w:t xml:space="preserve">phase </w:t>
      </w:r>
      <w:r w:rsidR="00387175" w:rsidRPr="00ED22D1">
        <w:rPr>
          <w:lang w:val="fr-CA"/>
        </w:rPr>
        <w:t xml:space="preserve">II </w:t>
      </w:r>
      <w:r w:rsidR="00502C24" w:rsidRPr="00ED22D1">
        <w:rPr>
          <w:lang w:val="fr-CA"/>
        </w:rPr>
        <w:t>du</w:t>
      </w:r>
      <w:r w:rsidR="00002FF6">
        <w:rPr>
          <w:lang w:val="fr-CA"/>
        </w:rPr>
        <w:t> </w:t>
      </w:r>
      <w:r w:rsidR="00502C24" w:rsidRPr="00ED22D1">
        <w:rPr>
          <w:lang w:val="fr-CA"/>
        </w:rPr>
        <w:t xml:space="preserve">plan </w:t>
      </w:r>
      <w:r w:rsidR="004A6828" w:rsidRPr="00ED22D1">
        <w:rPr>
          <w:lang w:val="fr-CA"/>
        </w:rPr>
        <w:t>du secteur des solvants</w:t>
      </w:r>
      <w:r w:rsidR="00387175" w:rsidRPr="00ED22D1">
        <w:rPr>
          <w:lang w:val="fr-CA"/>
        </w:rPr>
        <w:t xml:space="preserve">. </w:t>
      </w:r>
      <w:r w:rsidR="00782639" w:rsidRPr="00ED22D1">
        <w:rPr>
          <w:lang w:val="fr-CA"/>
        </w:rPr>
        <w:t xml:space="preserve">En outre, </w:t>
      </w:r>
      <w:r w:rsidR="00616B46" w:rsidRPr="00ED22D1">
        <w:rPr>
          <w:lang w:val="fr-CA"/>
        </w:rPr>
        <w:t>un</w:t>
      </w:r>
      <w:r w:rsidR="00387175" w:rsidRPr="00ED22D1">
        <w:rPr>
          <w:lang w:val="fr-CA"/>
        </w:rPr>
        <w:t xml:space="preserve"> </w:t>
      </w:r>
      <w:r w:rsidR="00921BDE" w:rsidRPr="00ED22D1">
        <w:rPr>
          <w:lang w:val="fr-CA"/>
        </w:rPr>
        <w:t>deuxième</w:t>
      </w:r>
      <w:r w:rsidR="00387175" w:rsidRPr="00ED22D1">
        <w:rPr>
          <w:lang w:val="fr-CA"/>
        </w:rPr>
        <w:t xml:space="preserve"> </w:t>
      </w:r>
      <w:r w:rsidR="00782639" w:rsidRPr="00ED22D1">
        <w:rPr>
          <w:lang w:val="fr-CA"/>
        </w:rPr>
        <w:t xml:space="preserve">ensemble de </w:t>
      </w:r>
      <w:r w:rsidR="00387175" w:rsidRPr="00ED22D1">
        <w:rPr>
          <w:lang w:val="fr-CA"/>
        </w:rPr>
        <w:t xml:space="preserve">26 </w:t>
      </w:r>
      <w:r w:rsidR="00921BDE" w:rsidRPr="00ED22D1">
        <w:rPr>
          <w:lang w:val="fr-CA"/>
        </w:rPr>
        <w:t>entreprise</w:t>
      </w:r>
      <w:r w:rsidR="00387175" w:rsidRPr="00ED22D1">
        <w:rPr>
          <w:lang w:val="fr-CA"/>
        </w:rPr>
        <w:t>s</w:t>
      </w:r>
      <w:r w:rsidR="00903152" w:rsidRPr="00ED22D1">
        <w:rPr>
          <w:lang w:val="fr-CA"/>
        </w:rPr>
        <w:t xml:space="preserve"> ont été</w:t>
      </w:r>
      <w:r w:rsidR="0080736A" w:rsidRPr="00ED22D1">
        <w:rPr>
          <w:lang w:val="fr-CA"/>
        </w:rPr>
        <w:t xml:space="preserve"> identifié</w:t>
      </w:r>
      <w:r w:rsidR="00782639" w:rsidRPr="00ED22D1">
        <w:rPr>
          <w:lang w:val="fr-CA"/>
        </w:rPr>
        <w:t>es</w:t>
      </w:r>
      <w:r w:rsidR="00387175" w:rsidRPr="00ED22D1">
        <w:rPr>
          <w:lang w:val="fr-CA"/>
        </w:rPr>
        <w:t xml:space="preserve"> </w:t>
      </w:r>
      <w:r w:rsidR="00782639" w:rsidRPr="00ED22D1">
        <w:rPr>
          <w:lang w:val="fr-CA"/>
        </w:rPr>
        <w:t xml:space="preserve">avec une </w:t>
      </w:r>
      <w:r w:rsidR="00616B46" w:rsidRPr="00ED22D1">
        <w:rPr>
          <w:lang w:val="fr-CA"/>
        </w:rPr>
        <w:t>élimination</w:t>
      </w:r>
      <w:r w:rsidR="00782639" w:rsidRPr="00ED22D1">
        <w:rPr>
          <w:lang w:val="fr-CA"/>
        </w:rPr>
        <w:t xml:space="preserve"> estimative de </w:t>
      </w:r>
      <w:r w:rsidR="00387175" w:rsidRPr="00ED22D1">
        <w:rPr>
          <w:lang w:val="fr-CA"/>
        </w:rPr>
        <w:t>37</w:t>
      </w:r>
      <w:r w:rsidR="004A6828" w:rsidRPr="00ED22D1">
        <w:rPr>
          <w:lang w:val="fr-CA"/>
        </w:rPr>
        <w:t>2,</w:t>
      </w:r>
      <w:r w:rsidR="00387175" w:rsidRPr="00ED22D1">
        <w:rPr>
          <w:lang w:val="fr-CA"/>
        </w:rPr>
        <w:t>19</w:t>
      </w:r>
      <w:r w:rsidR="004B666A" w:rsidRPr="00ED22D1">
        <w:rPr>
          <w:lang w:val="fr-CA"/>
        </w:rPr>
        <w:t xml:space="preserve"> tm </w:t>
      </w:r>
      <w:r w:rsidR="00387175" w:rsidRPr="00ED22D1">
        <w:rPr>
          <w:lang w:val="fr-CA"/>
        </w:rPr>
        <w:t>(4</w:t>
      </w:r>
      <w:r w:rsidR="004A6828" w:rsidRPr="00ED22D1">
        <w:rPr>
          <w:lang w:val="fr-CA"/>
        </w:rPr>
        <w:t>0,</w:t>
      </w:r>
      <w:r w:rsidR="00387175" w:rsidRPr="00ED22D1">
        <w:rPr>
          <w:lang w:val="fr-CA"/>
        </w:rPr>
        <w:t>92</w:t>
      </w:r>
      <w:r w:rsidR="0052712E" w:rsidRPr="00ED22D1">
        <w:rPr>
          <w:lang w:val="fr-CA"/>
        </w:rPr>
        <w:t xml:space="preserve"> tonnes PAO)</w:t>
      </w:r>
      <w:r w:rsidR="00387175" w:rsidRPr="00ED22D1">
        <w:rPr>
          <w:lang w:val="fr-CA"/>
        </w:rPr>
        <w:t xml:space="preserve"> </w:t>
      </w:r>
      <w:r w:rsidR="008D5B5F" w:rsidRPr="00ED22D1">
        <w:rPr>
          <w:lang w:val="fr-CA"/>
        </w:rPr>
        <w:t>de HCFC</w:t>
      </w:r>
      <w:r w:rsidR="00387175" w:rsidRPr="00ED22D1">
        <w:rPr>
          <w:lang w:val="fr-CA"/>
        </w:rPr>
        <w:noBreakHyphen/>
        <w:t>141b. A</w:t>
      </w:r>
      <w:r w:rsidR="00782639" w:rsidRPr="00ED22D1">
        <w:rPr>
          <w:lang w:val="fr-CA"/>
        </w:rPr>
        <w:t xml:space="preserve">près </w:t>
      </w:r>
      <w:r w:rsidR="00921BDE" w:rsidRPr="00ED22D1">
        <w:rPr>
          <w:lang w:val="fr-CA"/>
        </w:rPr>
        <w:t>vérification</w:t>
      </w:r>
      <w:r w:rsidR="00387175" w:rsidRPr="00ED22D1">
        <w:rPr>
          <w:lang w:val="fr-CA"/>
        </w:rPr>
        <w:t xml:space="preserve"> </w:t>
      </w:r>
      <w:r w:rsidR="00782639" w:rsidRPr="00ED22D1">
        <w:rPr>
          <w:lang w:val="fr-CA"/>
        </w:rPr>
        <w:t>de</w:t>
      </w:r>
      <w:r w:rsidR="00002FF6">
        <w:rPr>
          <w:lang w:val="fr-CA"/>
        </w:rPr>
        <w:t> </w:t>
      </w:r>
      <w:r w:rsidR="00782639" w:rsidRPr="00ED22D1">
        <w:rPr>
          <w:lang w:val="fr-CA"/>
        </w:rPr>
        <w:t>la</w:t>
      </w:r>
      <w:r w:rsidR="00002FF6">
        <w:rPr>
          <w:lang w:val="fr-CA"/>
        </w:rPr>
        <w:t> </w:t>
      </w:r>
      <w:r w:rsidR="00181884" w:rsidRPr="00ED22D1">
        <w:rPr>
          <w:lang w:val="fr-CA"/>
        </w:rPr>
        <w:t>consommation</w:t>
      </w:r>
      <w:r w:rsidR="00387175" w:rsidRPr="00ED22D1">
        <w:rPr>
          <w:lang w:val="fr-CA"/>
        </w:rPr>
        <w:t xml:space="preserve">, </w:t>
      </w:r>
      <w:r w:rsidR="00782639" w:rsidRPr="00ED22D1">
        <w:rPr>
          <w:lang w:val="fr-CA"/>
        </w:rPr>
        <w:t xml:space="preserve">des </w:t>
      </w:r>
      <w:r w:rsidR="00921BDE" w:rsidRPr="00ED22D1">
        <w:rPr>
          <w:lang w:val="fr-CA"/>
        </w:rPr>
        <w:t>contrats</w:t>
      </w:r>
      <w:r w:rsidR="00387175" w:rsidRPr="00ED22D1">
        <w:rPr>
          <w:lang w:val="fr-CA"/>
        </w:rPr>
        <w:t xml:space="preserve"> </w:t>
      </w:r>
      <w:r w:rsidR="00782639" w:rsidRPr="00ED22D1">
        <w:rPr>
          <w:lang w:val="fr-CA"/>
        </w:rPr>
        <w:t xml:space="preserve">devraient être signés en 2019 par </w:t>
      </w:r>
      <w:r w:rsidR="00BB7CCB" w:rsidRPr="00ED22D1">
        <w:rPr>
          <w:lang w:val="fr-CA"/>
        </w:rPr>
        <w:t xml:space="preserve">ces </w:t>
      </w:r>
      <w:r w:rsidR="00921BDE" w:rsidRPr="00ED22D1">
        <w:rPr>
          <w:lang w:val="fr-CA"/>
        </w:rPr>
        <w:t>entreprise</w:t>
      </w:r>
      <w:r w:rsidR="00387175" w:rsidRPr="00ED22D1">
        <w:rPr>
          <w:lang w:val="fr-CA"/>
        </w:rPr>
        <w:t>s</w:t>
      </w:r>
      <w:r w:rsidR="00782639" w:rsidRPr="00ED22D1">
        <w:rPr>
          <w:lang w:val="fr-CA"/>
        </w:rPr>
        <w:t>.</w:t>
      </w:r>
      <w:r w:rsidR="00387175" w:rsidRPr="00ED22D1">
        <w:rPr>
          <w:lang w:val="fr-CA"/>
        </w:rPr>
        <w:t xml:space="preserve"> </w:t>
      </w:r>
      <w:r w:rsidR="00921BDE" w:rsidRPr="00ED22D1">
        <w:rPr>
          <w:lang w:val="fr-CA"/>
        </w:rPr>
        <w:t>Le gouvernement</w:t>
      </w:r>
      <w:r w:rsidR="001F19C1" w:rsidRPr="00ED22D1">
        <w:rPr>
          <w:lang w:val="fr-CA"/>
        </w:rPr>
        <w:t xml:space="preserve"> </w:t>
      </w:r>
      <w:r w:rsidR="00181884" w:rsidRPr="00ED22D1">
        <w:rPr>
          <w:lang w:val="fr-CA"/>
        </w:rPr>
        <w:t>de la Chine</w:t>
      </w:r>
      <w:r w:rsidR="00782639" w:rsidRPr="00ED22D1">
        <w:rPr>
          <w:lang w:val="fr-CA"/>
        </w:rPr>
        <w:t xml:space="preserve"> demande</w:t>
      </w:r>
      <w:r w:rsidR="00903152" w:rsidRPr="00ED22D1">
        <w:rPr>
          <w:lang w:val="fr-CA"/>
        </w:rPr>
        <w:t xml:space="preserve"> </w:t>
      </w:r>
      <w:r w:rsidR="00230A1A" w:rsidRPr="00ED22D1">
        <w:rPr>
          <w:lang w:val="fr-CA"/>
        </w:rPr>
        <w:t>aussi</w:t>
      </w:r>
      <w:r w:rsidR="00387175" w:rsidRPr="00ED22D1">
        <w:rPr>
          <w:lang w:val="fr-CA"/>
        </w:rPr>
        <w:t xml:space="preserve"> </w:t>
      </w:r>
      <w:r w:rsidR="00782639" w:rsidRPr="00ED22D1">
        <w:rPr>
          <w:lang w:val="fr-CA"/>
        </w:rPr>
        <w:t>une ré</w:t>
      </w:r>
      <w:r w:rsidR="00387175" w:rsidRPr="00ED22D1">
        <w:rPr>
          <w:lang w:val="fr-CA"/>
        </w:rPr>
        <w:t xml:space="preserve">allocation </w:t>
      </w:r>
      <w:r w:rsidR="00782639" w:rsidRPr="00ED22D1">
        <w:rPr>
          <w:lang w:val="fr-CA"/>
        </w:rPr>
        <w:t>des</w:t>
      </w:r>
      <w:r w:rsidR="00387175" w:rsidRPr="00ED22D1">
        <w:rPr>
          <w:lang w:val="fr-CA"/>
        </w:rPr>
        <w:t xml:space="preserve"> tranches </w:t>
      </w:r>
      <w:r w:rsidR="00782639" w:rsidRPr="00ED22D1">
        <w:rPr>
          <w:lang w:val="fr-CA"/>
        </w:rPr>
        <w:t>de</w:t>
      </w:r>
      <w:r w:rsidR="00387175" w:rsidRPr="00ED22D1">
        <w:rPr>
          <w:lang w:val="fr-CA"/>
        </w:rPr>
        <w:t xml:space="preserve"> 2018-2026</w:t>
      </w:r>
      <w:r w:rsidR="00782639" w:rsidRPr="00ED22D1">
        <w:rPr>
          <w:lang w:val="fr-CA"/>
        </w:rPr>
        <w:t xml:space="preserve">, ce qui facilitera la </w:t>
      </w:r>
      <w:r w:rsidR="00921BDE" w:rsidRPr="00ED22D1">
        <w:rPr>
          <w:lang w:val="fr-CA"/>
        </w:rPr>
        <w:t xml:space="preserve">mise en oeuvre </w:t>
      </w:r>
      <w:r w:rsidR="00782639" w:rsidRPr="00ED22D1">
        <w:rPr>
          <w:lang w:val="fr-CA"/>
        </w:rPr>
        <w:t xml:space="preserve">globale </w:t>
      </w:r>
      <w:r w:rsidR="00502C24" w:rsidRPr="00ED22D1">
        <w:rPr>
          <w:lang w:val="fr-CA"/>
        </w:rPr>
        <w:t xml:space="preserve">du plan </w:t>
      </w:r>
      <w:r w:rsidR="004A6828" w:rsidRPr="00ED22D1">
        <w:rPr>
          <w:lang w:val="fr-CA"/>
        </w:rPr>
        <w:t>du secteur des solvants</w:t>
      </w:r>
      <w:r w:rsidR="00387175" w:rsidRPr="00ED22D1">
        <w:rPr>
          <w:lang w:val="fr-CA"/>
        </w:rPr>
        <w:t xml:space="preserve"> </w:t>
      </w:r>
      <w:r w:rsidR="00782639" w:rsidRPr="00ED22D1">
        <w:rPr>
          <w:lang w:val="fr-CA"/>
        </w:rPr>
        <w:t xml:space="preserve">afin d’éliminer entièrement l’utilisation du </w:t>
      </w:r>
      <w:r w:rsidR="008D5B5F" w:rsidRPr="00ED22D1">
        <w:rPr>
          <w:lang w:val="fr-CA"/>
        </w:rPr>
        <w:t>HCFC</w:t>
      </w:r>
      <w:r w:rsidR="00387175" w:rsidRPr="00ED22D1">
        <w:rPr>
          <w:lang w:val="fr-CA"/>
        </w:rPr>
        <w:noBreakHyphen/>
        <w:t xml:space="preserve">141b </w:t>
      </w:r>
      <w:r w:rsidR="002D6976" w:rsidRPr="00ED22D1">
        <w:rPr>
          <w:lang w:val="fr-CA"/>
        </w:rPr>
        <w:t>d’ici</w:t>
      </w:r>
      <w:r w:rsidR="00002FF6">
        <w:rPr>
          <w:lang w:val="fr-CA"/>
        </w:rPr>
        <w:t> </w:t>
      </w:r>
      <w:r w:rsidR="002D6976" w:rsidRPr="00ED22D1">
        <w:rPr>
          <w:lang w:val="fr-CA"/>
        </w:rPr>
        <w:t>20</w:t>
      </w:r>
      <w:r w:rsidR="00387175" w:rsidRPr="00ED22D1">
        <w:rPr>
          <w:lang w:val="fr-CA"/>
        </w:rPr>
        <w:t>2</w:t>
      </w:r>
      <w:r w:rsidR="004A6828" w:rsidRPr="00ED22D1">
        <w:rPr>
          <w:lang w:val="fr-CA"/>
        </w:rPr>
        <w:t>6</w:t>
      </w:r>
      <w:r w:rsidR="00782639" w:rsidRPr="00ED22D1">
        <w:rPr>
          <w:lang w:val="fr-CA"/>
        </w:rPr>
        <w:t>.</w:t>
      </w:r>
      <w:r w:rsidR="00387175" w:rsidRPr="00ED22D1">
        <w:rPr>
          <w:lang w:val="fr-CA"/>
        </w:rPr>
        <w:t xml:space="preserve"> </w:t>
      </w:r>
      <w:r w:rsidR="00782639" w:rsidRPr="00ED22D1">
        <w:rPr>
          <w:lang w:val="fr-CA"/>
        </w:rPr>
        <w:t>Le</w:t>
      </w:r>
      <w:r w:rsidR="00387175" w:rsidRPr="00ED22D1">
        <w:rPr>
          <w:lang w:val="fr-CA"/>
        </w:rPr>
        <w:t xml:space="preserve"> </w:t>
      </w:r>
      <w:r w:rsidR="00181884" w:rsidRPr="00ED22D1">
        <w:rPr>
          <w:lang w:val="fr-CA"/>
        </w:rPr>
        <w:t>taux de décaissement</w:t>
      </w:r>
      <w:r w:rsidR="00903152" w:rsidRPr="00ED22D1">
        <w:rPr>
          <w:lang w:val="fr-CA"/>
        </w:rPr>
        <w:t xml:space="preserve"> est </w:t>
      </w:r>
      <w:r w:rsidR="00782639" w:rsidRPr="00ED22D1">
        <w:rPr>
          <w:lang w:val="fr-CA"/>
        </w:rPr>
        <w:t xml:space="preserve">de </w:t>
      </w:r>
      <w:r w:rsidR="00387175" w:rsidRPr="00ED22D1">
        <w:rPr>
          <w:lang w:val="fr-CA"/>
        </w:rPr>
        <w:t xml:space="preserve">85 </w:t>
      </w:r>
      <w:r w:rsidR="001B31BF" w:rsidRPr="00ED22D1">
        <w:rPr>
          <w:lang w:val="fr-CA"/>
        </w:rPr>
        <w:t>pour cent</w:t>
      </w:r>
      <w:r w:rsidR="0031390F" w:rsidRPr="00ED22D1">
        <w:rPr>
          <w:lang w:val="fr-CA"/>
        </w:rPr>
        <w:t>. Le</w:t>
      </w:r>
      <w:r w:rsidR="00DD185D" w:rsidRPr="00ED22D1">
        <w:rPr>
          <w:lang w:val="fr-CA"/>
        </w:rPr>
        <w:t xml:space="preserve"> Secrétariat</w:t>
      </w:r>
      <w:r w:rsidR="00387175" w:rsidRPr="00ED22D1">
        <w:rPr>
          <w:lang w:val="fr-CA"/>
        </w:rPr>
        <w:t xml:space="preserve"> </w:t>
      </w:r>
      <w:r w:rsidR="00782639" w:rsidRPr="00ED22D1">
        <w:rPr>
          <w:lang w:val="fr-CA"/>
        </w:rPr>
        <w:t xml:space="preserve">soutient la </w:t>
      </w:r>
      <w:r w:rsidR="00E81764" w:rsidRPr="00ED22D1">
        <w:rPr>
          <w:lang w:val="fr-CA"/>
        </w:rPr>
        <w:t>demande</w:t>
      </w:r>
      <w:r w:rsidR="00387175" w:rsidRPr="00ED22D1">
        <w:rPr>
          <w:lang w:val="fr-CA"/>
        </w:rPr>
        <w:t xml:space="preserve"> </w:t>
      </w:r>
      <w:r w:rsidR="00782639" w:rsidRPr="00ED22D1">
        <w:rPr>
          <w:lang w:val="fr-CA"/>
        </w:rPr>
        <w:t>de rajustement des tranches de financement pour</w:t>
      </w:r>
      <w:r w:rsidR="00387175" w:rsidRPr="00ED22D1">
        <w:rPr>
          <w:lang w:val="fr-CA"/>
        </w:rPr>
        <w:t xml:space="preserve"> </w:t>
      </w:r>
      <w:r w:rsidR="001B31BF" w:rsidRPr="00ED22D1">
        <w:rPr>
          <w:lang w:val="fr-CA"/>
        </w:rPr>
        <w:t>le secteur des solvants</w:t>
      </w:r>
      <w:r w:rsidR="00782639" w:rsidRPr="00ED22D1">
        <w:rPr>
          <w:lang w:val="fr-CA"/>
        </w:rPr>
        <w:t xml:space="preserve">, afin d’assurer la mise en oeuvre efficace </w:t>
      </w:r>
      <w:r w:rsidR="002F66FA" w:rsidRPr="00ED22D1">
        <w:rPr>
          <w:lang w:val="fr-CA"/>
        </w:rPr>
        <w:t>du plan</w:t>
      </w:r>
      <w:r w:rsidR="00387175" w:rsidRPr="00ED22D1">
        <w:rPr>
          <w:lang w:val="fr-CA"/>
        </w:rPr>
        <w:t xml:space="preserve">. </w:t>
      </w:r>
      <w:r w:rsidR="00782639" w:rsidRPr="00ED22D1">
        <w:rPr>
          <w:lang w:val="fr-CA"/>
        </w:rPr>
        <w:t xml:space="preserve">Étant donné l’avancement de </w:t>
      </w:r>
      <w:r w:rsidR="00B66E3F" w:rsidRPr="00ED22D1">
        <w:rPr>
          <w:lang w:val="fr-CA"/>
        </w:rPr>
        <w:t>la</w:t>
      </w:r>
      <w:r w:rsidR="00921BDE" w:rsidRPr="00ED22D1">
        <w:rPr>
          <w:lang w:val="fr-CA"/>
        </w:rPr>
        <w:t xml:space="preserve"> mise en oeuvre</w:t>
      </w:r>
      <w:r w:rsidR="00387175" w:rsidRPr="00ED22D1">
        <w:rPr>
          <w:lang w:val="fr-CA"/>
        </w:rPr>
        <w:t>,</w:t>
      </w:r>
      <w:r w:rsidR="00DD185D" w:rsidRPr="00ED22D1">
        <w:rPr>
          <w:lang w:val="fr-CA"/>
        </w:rPr>
        <w:t xml:space="preserve"> le Secrétariat</w:t>
      </w:r>
      <w:r w:rsidR="00387175" w:rsidRPr="00ED22D1">
        <w:rPr>
          <w:lang w:val="fr-CA"/>
        </w:rPr>
        <w:t xml:space="preserve"> recomm</w:t>
      </w:r>
      <w:r w:rsidR="00782639" w:rsidRPr="00ED22D1">
        <w:rPr>
          <w:lang w:val="fr-CA"/>
        </w:rPr>
        <w:t>a</w:t>
      </w:r>
      <w:r w:rsidR="00387175" w:rsidRPr="00ED22D1">
        <w:rPr>
          <w:lang w:val="fr-CA"/>
        </w:rPr>
        <w:t>nd</w:t>
      </w:r>
      <w:r w:rsidR="00782639" w:rsidRPr="00ED22D1">
        <w:rPr>
          <w:lang w:val="fr-CA"/>
        </w:rPr>
        <w:t>e</w:t>
      </w:r>
      <w:r w:rsidR="00CB2326" w:rsidRPr="00ED22D1">
        <w:rPr>
          <w:lang w:val="fr-CA"/>
        </w:rPr>
        <w:t xml:space="preserve"> </w:t>
      </w:r>
      <w:r w:rsidR="00782639" w:rsidRPr="00ED22D1">
        <w:rPr>
          <w:lang w:val="fr-CA"/>
        </w:rPr>
        <w:t>l’</w:t>
      </w:r>
      <w:r w:rsidR="00CB2326" w:rsidRPr="00ED22D1">
        <w:rPr>
          <w:lang w:val="fr-CA"/>
        </w:rPr>
        <w:t>approbation</w:t>
      </w:r>
      <w:r w:rsidR="00387175" w:rsidRPr="00ED22D1">
        <w:rPr>
          <w:lang w:val="fr-CA"/>
        </w:rPr>
        <w:t xml:space="preserve"> </w:t>
      </w:r>
      <w:r w:rsidR="00B66E3F" w:rsidRPr="00ED22D1">
        <w:rPr>
          <w:lang w:val="fr-CA"/>
        </w:rPr>
        <w:t>de la</w:t>
      </w:r>
      <w:r w:rsidR="00874624" w:rsidRPr="00ED22D1">
        <w:rPr>
          <w:lang w:val="fr-CA"/>
        </w:rPr>
        <w:t xml:space="preserve"> troisième</w:t>
      </w:r>
      <w:r w:rsidR="00387175" w:rsidRPr="00ED22D1">
        <w:rPr>
          <w:lang w:val="fr-CA"/>
        </w:rPr>
        <w:t xml:space="preserve"> tranche </w:t>
      </w:r>
      <w:r w:rsidR="00502C24" w:rsidRPr="00ED22D1">
        <w:rPr>
          <w:lang w:val="fr-CA"/>
        </w:rPr>
        <w:t xml:space="preserve">du plan </w:t>
      </w:r>
      <w:r w:rsidR="004A6828" w:rsidRPr="00ED22D1">
        <w:rPr>
          <w:lang w:val="fr-CA"/>
        </w:rPr>
        <w:t>du secteur des solvants</w:t>
      </w:r>
      <w:r w:rsidR="00387175" w:rsidRPr="00ED22D1">
        <w:rPr>
          <w:lang w:val="fr-CA"/>
        </w:rPr>
        <w:t xml:space="preserve">. </w:t>
      </w:r>
    </w:p>
    <w:p w:rsidR="00387175" w:rsidRPr="00ED22D1" w:rsidRDefault="001B45EC" w:rsidP="00387175">
      <w:pPr>
        <w:pStyle w:val="Heading1"/>
        <w:widowControl w:val="0"/>
        <w:numPr>
          <w:ilvl w:val="0"/>
          <w:numId w:val="0"/>
        </w:numPr>
        <w:rPr>
          <w:b/>
          <w:lang w:val="fr-CA"/>
        </w:rPr>
      </w:pPr>
      <w:r w:rsidRPr="00ED22D1">
        <w:rPr>
          <w:b/>
          <w:lang w:val="fr-CA"/>
        </w:rPr>
        <w:lastRenderedPageBreak/>
        <w:t>RECOMMANDATION</w:t>
      </w:r>
    </w:p>
    <w:p w:rsidR="00387175" w:rsidRPr="00ED22D1" w:rsidRDefault="00EB650F" w:rsidP="00EB650F">
      <w:pPr>
        <w:pStyle w:val="Heading1"/>
        <w:widowControl w:val="0"/>
        <w:numPr>
          <w:ilvl w:val="0"/>
          <w:numId w:val="0"/>
        </w:numPr>
        <w:rPr>
          <w:lang w:val="fr-CA"/>
        </w:rPr>
      </w:pPr>
      <w:r w:rsidRPr="00ED22D1">
        <w:rPr>
          <w:lang w:val="fr-CA"/>
        </w:rPr>
        <w:t>131.</w:t>
      </w:r>
      <w:r w:rsidRPr="00ED22D1">
        <w:rPr>
          <w:lang w:val="fr-CA"/>
        </w:rPr>
        <w:tab/>
      </w:r>
      <w:r w:rsidR="001B45EC" w:rsidRPr="00ED22D1">
        <w:rPr>
          <w:lang w:val="fr-CA"/>
        </w:rPr>
        <w:t>Le Comité exécutif peut envisager</w:t>
      </w:r>
      <w:r w:rsidR="00791BF7" w:rsidRPr="00ED22D1">
        <w:rPr>
          <w:lang w:val="fr-CA"/>
        </w:rPr>
        <w:t> :</w:t>
      </w:r>
    </w:p>
    <w:p w:rsidR="00387175" w:rsidRPr="00ED22D1" w:rsidRDefault="00EB650F" w:rsidP="00D26FF6">
      <w:pPr>
        <w:pStyle w:val="Heading2"/>
        <w:numPr>
          <w:ilvl w:val="0"/>
          <w:numId w:val="0"/>
        </w:numPr>
        <w:ind w:left="1440" w:hanging="720"/>
        <w:rPr>
          <w:lang w:val="fr-CA"/>
        </w:rPr>
      </w:pPr>
      <w:r w:rsidRPr="00ED22D1">
        <w:rPr>
          <w:lang w:val="fr-CA"/>
        </w:rPr>
        <w:t>(a)</w:t>
      </w:r>
      <w:r w:rsidRPr="00ED22D1">
        <w:rPr>
          <w:lang w:val="fr-CA"/>
        </w:rPr>
        <w:tab/>
      </w:r>
      <w:r w:rsidR="00720696" w:rsidRPr="00ED22D1">
        <w:rPr>
          <w:lang w:val="fr-CA"/>
        </w:rPr>
        <w:t>De prendre note du</w:t>
      </w:r>
      <w:r w:rsidR="00FB1DC4" w:rsidRPr="00ED22D1">
        <w:rPr>
          <w:lang w:val="fr-CA"/>
        </w:rPr>
        <w:t xml:space="preserve"> rapport</w:t>
      </w:r>
      <w:r w:rsidR="004A6828" w:rsidRPr="00ED22D1">
        <w:rPr>
          <w:lang w:val="fr-CA"/>
        </w:rPr>
        <w:t xml:space="preserve"> périodique</w:t>
      </w:r>
      <w:r w:rsidR="00387175" w:rsidRPr="00ED22D1">
        <w:rPr>
          <w:lang w:val="fr-CA"/>
        </w:rPr>
        <w:t xml:space="preserve"> </w:t>
      </w:r>
      <w:r w:rsidR="00921BDE" w:rsidRPr="00ED22D1">
        <w:rPr>
          <w:lang w:val="fr-CA"/>
        </w:rPr>
        <w:t>sur la mise en oeuvre de la deuxième</w:t>
      </w:r>
      <w:r w:rsidR="00387175" w:rsidRPr="00ED22D1">
        <w:rPr>
          <w:lang w:val="fr-CA"/>
        </w:rPr>
        <w:t xml:space="preserve"> tranche </w:t>
      </w:r>
      <w:r w:rsidR="00921BDE" w:rsidRPr="00ED22D1">
        <w:rPr>
          <w:lang w:val="fr-CA"/>
        </w:rPr>
        <w:t>de la phase</w:t>
      </w:r>
      <w:r w:rsidR="004A6828" w:rsidRPr="00ED22D1">
        <w:rPr>
          <w:lang w:val="fr-CA"/>
        </w:rPr>
        <w:t xml:space="preserve"> </w:t>
      </w:r>
      <w:r w:rsidR="00387175" w:rsidRPr="00ED22D1">
        <w:rPr>
          <w:lang w:val="fr-CA"/>
        </w:rPr>
        <w:t xml:space="preserve">II </w:t>
      </w:r>
      <w:r w:rsidR="00502C24" w:rsidRPr="00ED22D1">
        <w:rPr>
          <w:lang w:val="fr-CA"/>
        </w:rPr>
        <w:t xml:space="preserve">du plan </w:t>
      </w:r>
      <w:r w:rsidR="004A6828" w:rsidRPr="00ED22D1">
        <w:rPr>
          <w:lang w:val="fr-CA"/>
        </w:rPr>
        <w:t>du secteur des solvants</w:t>
      </w:r>
      <w:r w:rsidR="00387175" w:rsidRPr="00ED22D1">
        <w:rPr>
          <w:lang w:val="fr-CA"/>
        </w:rPr>
        <w:t xml:space="preserve"> </w:t>
      </w:r>
      <w:r w:rsidR="00002FF6">
        <w:rPr>
          <w:lang w:val="fr-CA"/>
        </w:rPr>
        <w:t xml:space="preserve">de la phase II du </w:t>
      </w:r>
      <w:r w:rsidR="00921BDE" w:rsidRPr="00ED22D1">
        <w:rPr>
          <w:lang w:val="fr-CA"/>
        </w:rPr>
        <w:t xml:space="preserve">plan </w:t>
      </w:r>
      <w:r w:rsidR="00720696" w:rsidRPr="00ED22D1">
        <w:rPr>
          <w:lang w:val="fr-CA"/>
        </w:rPr>
        <w:t xml:space="preserve">de </w:t>
      </w:r>
      <w:r w:rsidR="00616B46" w:rsidRPr="00ED22D1">
        <w:rPr>
          <w:lang w:val="fr-CA"/>
        </w:rPr>
        <w:t>gestion</w:t>
      </w:r>
      <w:r w:rsidR="00720696" w:rsidRPr="00ED22D1">
        <w:rPr>
          <w:lang w:val="fr-CA"/>
        </w:rPr>
        <w:t xml:space="preserve"> de l</w:t>
      </w:r>
      <w:r w:rsidR="00921BDE" w:rsidRPr="00ED22D1">
        <w:rPr>
          <w:lang w:val="fr-CA"/>
        </w:rPr>
        <w:t>’élimination</w:t>
      </w:r>
      <w:r w:rsidR="004A6828" w:rsidRPr="00ED22D1">
        <w:rPr>
          <w:lang w:val="fr-CA"/>
        </w:rPr>
        <w:t xml:space="preserve"> des</w:t>
      </w:r>
      <w:r w:rsidR="00002FF6">
        <w:rPr>
          <w:lang w:val="fr-CA"/>
        </w:rPr>
        <w:t xml:space="preserve"> HCFC </w:t>
      </w:r>
      <w:r w:rsidR="00720696" w:rsidRPr="00ED22D1">
        <w:rPr>
          <w:lang w:val="fr-CA"/>
        </w:rPr>
        <w:t>(</w:t>
      </w:r>
      <w:r w:rsidR="00DD185D" w:rsidRPr="00ED22D1">
        <w:rPr>
          <w:lang w:val="fr-CA"/>
        </w:rPr>
        <w:t>PGEH</w:t>
      </w:r>
      <w:r w:rsidR="00387175" w:rsidRPr="00ED22D1">
        <w:rPr>
          <w:lang w:val="fr-CA"/>
        </w:rPr>
        <w:t xml:space="preserve">) </w:t>
      </w:r>
      <w:r w:rsidR="001B31BF" w:rsidRPr="00ED22D1">
        <w:rPr>
          <w:lang w:val="fr-CA"/>
        </w:rPr>
        <w:t>de la Chine</w:t>
      </w:r>
      <w:r w:rsidR="00B84F94" w:rsidRPr="00ED22D1">
        <w:rPr>
          <w:lang w:val="fr-CA"/>
        </w:rPr>
        <w:t xml:space="preserve">; et </w:t>
      </w:r>
    </w:p>
    <w:p w:rsidR="00387175" w:rsidRDefault="00EB650F" w:rsidP="000940D5">
      <w:pPr>
        <w:pStyle w:val="Heading2"/>
        <w:keepNext/>
        <w:widowControl/>
        <w:numPr>
          <w:ilvl w:val="0"/>
          <w:numId w:val="0"/>
        </w:numPr>
        <w:ind w:left="1440" w:hanging="720"/>
        <w:rPr>
          <w:lang w:val="fr-CA"/>
        </w:rPr>
      </w:pPr>
      <w:r w:rsidRPr="00ED22D1">
        <w:rPr>
          <w:lang w:val="fr-CA"/>
        </w:rPr>
        <w:t>(b)</w:t>
      </w:r>
      <w:r w:rsidRPr="00ED22D1">
        <w:rPr>
          <w:lang w:val="fr-CA"/>
        </w:rPr>
        <w:tab/>
      </w:r>
      <w:r w:rsidR="00AE63A6" w:rsidRPr="00ED22D1">
        <w:rPr>
          <w:lang w:val="fr-CA"/>
        </w:rPr>
        <w:t>D’a</w:t>
      </w:r>
      <w:r w:rsidR="00387175" w:rsidRPr="00ED22D1">
        <w:rPr>
          <w:lang w:val="fr-CA"/>
        </w:rPr>
        <w:t>ppro</w:t>
      </w:r>
      <w:r w:rsidR="00F327B2" w:rsidRPr="00ED22D1">
        <w:rPr>
          <w:lang w:val="fr-CA"/>
        </w:rPr>
        <w:t>uver</w:t>
      </w:r>
      <w:r w:rsidR="00387175" w:rsidRPr="00ED22D1">
        <w:rPr>
          <w:lang w:val="fr-CA"/>
        </w:rPr>
        <w:t xml:space="preserve"> </w:t>
      </w:r>
      <w:r w:rsidR="00874624" w:rsidRPr="00ED22D1">
        <w:rPr>
          <w:lang w:val="fr-CA"/>
        </w:rPr>
        <w:t>la troisième</w:t>
      </w:r>
      <w:r w:rsidR="00387175" w:rsidRPr="00ED22D1">
        <w:rPr>
          <w:lang w:val="fr-CA"/>
        </w:rPr>
        <w:t xml:space="preserve"> tranche </w:t>
      </w:r>
      <w:r w:rsidR="00502C24" w:rsidRPr="00ED22D1">
        <w:rPr>
          <w:lang w:val="fr-CA"/>
        </w:rPr>
        <w:t xml:space="preserve">du plan </w:t>
      </w:r>
      <w:r w:rsidR="004A6828" w:rsidRPr="00ED22D1">
        <w:rPr>
          <w:lang w:val="fr-CA"/>
        </w:rPr>
        <w:t>du secteur des solvants</w:t>
      </w:r>
      <w:r w:rsidR="00387175" w:rsidRPr="00ED22D1">
        <w:rPr>
          <w:lang w:val="fr-CA"/>
        </w:rPr>
        <w:t xml:space="preserve"> </w:t>
      </w:r>
      <w:r w:rsidR="00921BDE" w:rsidRPr="00ED22D1">
        <w:rPr>
          <w:lang w:val="fr-CA"/>
        </w:rPr>
        <w:t>de la phase</w:t>
      </w:r>
      <w:r w:rsidR="004A6828" w:rsidRPr="00ED22D1">
        <w:rPr>
          <w:lang w:val="fr-CA"/>
        </w:rPr>
        <w:t xml:space="preserve"> </w:t>
      </w:r>
      <w:r w:rsidR="00387175" w:rsidRPr="00ED22D1">
        <w:rPr>
          <w:lang w:val="fr-CA"/>
        </w:rPr>
        <w:t xml:space="preserve">II </w:t>
      </w:r>
      <w:r w:rsidR="001F19C1" w:rsidRPr="00ED22D1">
        <w:rPr>
          <w:lang w:val="fr-CA"/>
        </w:rPr>
        <w:t>du PGEH</w:t>
      </w:r>
      <w:r w:rsidR="00387175" w:rsidRPr="00ED22D1">
        <w:rPr>
          <w:lang w:val="fr-CA"/>
        </w:rPr>
        <w:t xml:space="preserve"> </w:t>
      </w:r>
      <w:r w:rsidR="001B31BF" w:rsidRPr="00ED22D1">
        <w:rPr>
          <w:lang w:val="fr-CA"/>
        </w:rPr>
        <w:t>de la Chine</w:t>
      </w:r>
      <w:r w:rsidR="00387175" w:rsidRPr="00ED22D1">
        <w:rPr>
          <w:lang w:val="fr-CA"/>
        </w:rPr>
        <w:t>,</w:t>
      </w:r>
      <w:r w:rsidR="004A6828" w:rsidRPr="00ED22D1">
        <w:rPr>
          <w:lang w:val="fr-CA"/>
        </w:rPr>
        <w:t xml:space="preserve"> et </w:t>
      </w:r>
      <w:r w:rsidR="00F327B2" w:rsidRPr="00ED22D1">
        <w:rPr>
          <w:lang w:val="fr-CA"/>
        </w:rPr>
        <w:t xml:space="preserve">le plan de mise en oeuvre correspondant de la tranche </w:t>
      </w:r>
      <w:r w:rsidR="00387175" w:rsidRPr="00ED22D1">
        <w:rPr>
          <w:lang w:val="fr-CA"/>
        </w:rPr>
        <w:t xml:space="preserve">2018-2019, </w:t>
      </w:r>
      <w:r w:rsidR="001B31BF" w:rsidRPr="00ED22D1">
        <w:rPr>
          <w:lang w:val="fr-CA"/>
        </w:rPr>
        <w:t>au</w:t>
      </w:r>
      <w:r w:rsidR="00D26FF6">
        <w:rPr>
          <w:lang w:val="fr-CA"/>
        </w:rPr>
        <w:t xml:space="preserve"> </w:t>
      </w:r>
      <w:r w:rsidR="00F327B2" w:rsidRPr="00ED22D1">
        <w:rPr>
          <w:lang w:val="fr-CA"/>
        </w:rPr>
        <w:t>montant de</w:t>
      </w:r>
      <w:r w:rsidR="001B31BF" w:rsidRPr="00ED22D1">
        <w:rPr>
          <w:lang w:val="fr-CA"/>
        </w:rPr>
        <w:t xml:space="preserve"> </w:t>
      </w:r>
      <w:r w:rsidR="004A6828" w:rsidRPr="00ED22D1">
        <w:rPr>
          <w:lang w:val="fr-CA"/>
        </w:rPr>
        <w:t>5 </w:t>
      </w:r>
      <w:r w:rsidR="00387175" w:rsidRPr="00ED22D1">
        <w:rPr>
          <w:lang w:val="fr-CA"/>
        </w:rPr>
        <w:t>54</w:t>
      </w:r>
      <w:r w:rsidR="004A6828" w:rsidRPr="00ED22D1">
        <w:rPr>
          <w:lang w:val="fr-CA"/>
        </w:rPr>
        <w:t>9 </w:t>
      </w:r>
      <w:r w:rsidR="00387175" w:rsidRPr="00ED22D1">
        <w:rPr>
          <w:lang w:val="fr-CA"/>
        </w:rPr>
        <w:t>49</w:t>
      </w:r>
      <w:r w:rsidR="004A6828" w:rsidRPr="00ED22D1">
        <w:rPr>
          <w:lang w:val="fr-CA"/>
        </w:rPr>
        <w:t>2</w:t>
      </w:r>
      <w:r w:rsidR="00EC100C" w:rsidRPr="00ED22D1">
        <w:rPr>
          <w:lang w:val="fr-CA"/>
        </w:rPr>
        <w:t> $US</w:t>
      </w:r>
      <w:r w:rsidR="004A6828" w:rsidRPr="00ED22D1">
        <w:rPr>
          <w:lang w:val="fr-CA"/>
        </w:rPr>
        <w:t> </w:t>
      </w:r>
      <w:r w:rsidR="001B31BF" w:rsidRPr="00ED22D1">
        <w:rPr>
          <w:lang w:val="fr-CA"/>
        </w:rPr>
        <w:t>plus des coûts</w:t>
      </w:r>
      <w:r w:rsidR="00DD185D" w:rsidRPr="00ED22D1">
        <w:rPr>
          <w:lang w:val="fr-CA"/>
        </w:rPr>
        <w:t xml:space="preserve"> d’appui d’</w:t>
      </w:r>
      <w:r w:rsidR="001B31BF" w:rsidRPr="00ED22D1">
        <w:rPr>
          <w:lang w:val="fr-CA"/>
        </w:rPr>
        <w:t>agence de</w:t>
      </w:r>
      <w:r w:rsidR="00387175" w:rsidRPr="00ED22D1">
        <w:rPr>
          <w:lang w:val="fr-CA"/>
        </w:rPr>
        <w:t xml:space="preserve"> 38</w:t>
      </w:r>
      <w:r w:rsidR="004A6828" w:rsidRPr="00ED22D1">
        <w:rPr>
          <w:lang w:val="fr-CA"/>
        </w:rPr>
        <w:t>8 </w:t>
      </w:r>
      <w:r w:rsidR="00387175" w:rsidRPr="00ED22D1">
        <w:rPr>
          <w:lang w:val="fr-CA"/>
        </w:rPr>
        <w:t>464</w:t>
      </w:r>
      <w:r w:rsidR="00EC100C" w:rsidRPr="00ED22D1">
        <w:rPr>
          <w:lang w:val="fr-CA"/>
        </w:rPr>
        <w:t> $US</w:t>
      </w:r>
      <w:r w:rsidR="00387175" w:rsidRPr="00ED22D1">
        <w:rPr>
          <w:lang w:val="fr-CA"/>
        </w:rPr>
        <w:t xml:space="preserve"> </w:t>
      </w:r>
      <w:r w:rsidR="00921BDE" w:rsidRPr="00ED22D1">
        <w:rPr>
          <w:lang w:val="fr-CA"/>
        </w:rPr>
        <w:t xml:space="preserve">pour le </w:t>
      </w:r>
      <w:r w:rsidR="001F19C1" w:rsidRPr="00ED22D1">
        <w:rPr>
          <w:lang w:val="fr-CA"/>
        </w:rPr>
        <w:t>PNUD</w:t>
      </w:r>
      <w:r w:rsidR="00387175" w:rsidRPr="00ED22D1">
        <w:rPr>
          <w:lang w:val="fr-CA"/>
        </w:rPr>
        <w:t>.</w:t>
      </w:r>
    </w:p>
    <w:sectPr w:rsidR="00387175" w:rsidSect="000325DF">
      <w:footerReference w:type="default" r:id="rId45"/>
      <w:headerReference w:type="first" r:id="rId46"/>
      <w:footerReference w:type="first" r:id="rId47"/>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77" w:rsidRDefault="00BF6877">
      <w:r>
        <w:separator/>
      </w:r>
    </w:p>
  </w:endnote>
  <w:endnote w:type="continuationSeparator" w:id="0">
    <w:p w:rsidR="00BF6877" w:rsidRDefault="00BF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2</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C80221">
      <w:rPr>
        <w:noProof/>
      </w:rPr>
      <w:t>28</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29</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BF7D63" w:rsidRDefault="00BF6877" w:rsidP="00D26EF9">
    <w:pPr>
      <w:pBdr>
        <w:top w:val="single" w:sz="4" w:space="1" w:color="auto"/>
        <w:left w:val="single" w:sz="4" w:space="4" w:color="auto"/>
        <w:bottom w:val="single" w:sz="4" w:space="1" w:color="auto"/>
        <w:right w:val="single" w:sz="4" w:space="4" w:color="auto"/>
      </w:pBdr>
      <w:jc w:val="center"/>
      <w:rPr>
        <w:sz w:val="18"/>
        <w:szCs w:val="18"/>
        <w:lang w:val="fr-FR"/>
      </w:rPr>
    </w:pPr>
    <w:r w:rsidRPr="00BF7D63">
      <w:rPr>
        <w:sz w:val="18"/>
        <w:szCs w:val="18"/>
        <w:lang w:val="fr-FR"/>
      </w:rPr>
      <w:t>Pre-session documents du Comité exécutif du Fonds multilatéral pour la mise en oeuvre du Protocole de Montréal sont without prejudice to any décision that le Comité exécutif might take following issuance of the document.</w:t>
    </w:r>
  </w:p>
  <w:p w:rsidR="00BF6877" w:rsidRPr="00BF7D63" w:rsidRDefault="00BF6877" w:rsidP="00D26EF9">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40</w:t>
    </w:r>
    <w:r>
      <w:rPr>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39</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8419"/>
      <w:docPartObj>
        <w:docPartGallery w:val="Page Numbers (Bottom of Page)"/>
        <w:docPartUnique/>
      </w:docPartObj>
    </w:sdtPr>
    <w:sdtEndPr>
      <w:rPr>
        <w:noProof/>
      </w:rPr>
    </w:sdtEndPr>
    <w:sdtContent>
      <w:p w:rsidR="00BF6877" w:rsidRDefault="00BF6877">
        <w:pPr>
          <w:pStyle w:val="Footer"/>
          <w:jc w:val="center"/>
        </w:pPr>
        <w:r>
          <w:fldChar w:fldCharType="begin"/>
        </w:r>
        <w:r>
          <w:instrText xml:space="preserve"> PAGE   \* MERGEFORMAT </w:instrText>
        </w:r>
        <w:r>
          <w:fldChar w:fldCharType="separate"/>
        </w:r>
        <w:r w:rsidR="00510E9D">
          <w:rPr>
            <w:noProof/>
          </w:rPr>
          <w:t>41</w:t>
        </w:r>
        <w:r>
          <w:rPr>
            <w:noProof/>
          </w:rPr>
          <w:fldChar w:fldCharType="end"/>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54</w:t>
    </w:r>
    <w:r>
      <w:rPr>
        <w:noProof/>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47</w:t>
    </w:r>
    <w:r>
      <w:rPr>
        <w:noProof/>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336877"/>
      <w:docPartObj>
        <w:docPartGallery w:val="Page Numbers (Bottom of Page)"/>
        <w:docPartUnique/>
      </w:docPartObj>
    </w:sdtPr>
    <w:sdtEndPr>
      <w:rPr>
        <w:noProof/>
      </w:rPr>
    </w:sdtEndPr>
    <w:sdtContent>
      <w:p w:rsidR="00BF6877" w:rsidRDefault="00BF6877">
        <w:pPr>
          <w:pStyle w:val="Footer"/>
          <w:jc w:val="center"/>
        </w:pPr>
        <w:r>
          <w:fldChar w:fldCharType="begin"/>
        </w:r>
        <w:r>
          <w:instrText xml:space="preserve"> PAGE   \* MERGEFORMAT </w:instrText>
        </w:r>
        <w:r>
          <w:fldChar w:fldCharType="separate"/>
        </w:r>
        <w:r w:rsidR="00510E9D">
          <w:rPr>
            <w:noProof/>
          </w:rPr>
          <w:t>48</w:t>
        </w:r>
        <w:r>
          <w:rPr>
            <w:noProof/>
          </w:rPr>
          <w:fldChar w:fldCharType="end"/>
        </w:r>
      </w:p>
    </w:sdtContent>
  </w:sdt>
  <w:p w:rsidR="00BF6877" w:rsidRDefault="00BF6877" w:rsidP="00BF6877">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23928"/>
      <w:docPartObj>
        <w:docPartGallery w:val="Page Numbers (Bottom of Page)"/>
        <w:docPartUnique/>
      </w:docPartObj>
    </w:sdtPr>
    <w:sdtEndPr>
      <w:rPr>
        <w:noProof/>
      </w:rPr>
    </w:sdtEndPr>
    <w:sdtContent>
      <w:p w:rsidR="000325DF" w:rsidRPr="0033525D" w:rsidRDefault="000325DF" w:rsidP="000325DF">
        <w:pPr>
          <w:pStyle w:val="Footer"/>
          <w:jc w:val="center"/>
        </w:pPr>
        <w:r>
          <w:fldChar w:fldCharType="begin"/>
        </w:r>
        <w:r>
          <w:instrText xml:space="preserve"> PAGE   \* MERGEFORMAT </w:instrText>
        </w:r>
        <w:r>
          <w:fldChar w:fldCharType="separate"/>
        </w:r>
        <w:r w:rsidR="00510E9D">
          <w:rPr>
            <w:noProof/>
          </w:rPr>
          <w:t>53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21</w:t>
    </w:r>
    <w:r>
      <w:rPr>
        <w:noProof/>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217509"/>
      <w:docPartObj>
        <w:docPartGallery w:val="Page Numbers (Bottom of Page)"/>
        <w:docPartUnique/>
      </w:docPartObj>
    </w:sdtPr>
    <w:sdtEndPr>
      <w:rPr>
        <w:noProof/>
      </w:rPr>
    </w:sdtEndPr>
    <w:sdtContent>
      <w:p w:rsidR="00BF6877" w:rsidRPr="00BF6877" w:rsidRDefault="000325DF" w:rsidP="00BF6877">
        <w:pPr>
          <w:pStyle w:val="Footer"/>
          <w:jc w:val="center"/>
        </w:pPr>
        <w:r>
          <w:t>49</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69276"/>
      <w:docPartObj>
        <w:docPartGallery w:val="Page Numbers (Bottom of Page)"/>
        <w:docPartUnique/>
      </w:docPartObj>
    </w:sdtPr>
    <w:sdtEndPr>
      <w:rPr>
        <w:noProof/>
      </w:rPr>
    </w:sdtEndPr>
    <w:sdtContent>
      <w:sdt>
        <w:sdtPr>
          <w:id w:val="32848723"/>
          <w:docPartObj>
            <w:docPartGallery w:val="Page Numbers (Bottom of Page)"/>
            <w:docPartUnique/>
          </w:docPartObj>
        </w:sdtPr>
        <w:sdtEndPr>
          <w:rPr>
            <w:noProof/>
          </w:rPr>
        </w:sdtEndPr>
        <w:sdtContent>
          <w:p w:rsidR="00BF6877" w:rsidRDefault="00BF6877" w:rsidP="00DD185D">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BF6877" w:rsidRDefault="00BF6877" w:rsidP="00DD185D">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rsidR="00BF6877" w:rsidRDefault="00510E9D" w:rsidP="00DD185D">
            <w:pPr>
              <w:pStyle w:val="Footer"/>
              <w:jc w:val="center"/>
              <w:rPr>
                <w:noProof/>
              </w:rPr>
            </w:pP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876820"/>
      <w:docPartObj>
        <w:docPartGallery w:val="Page Numbers (Bottom of Page)"/>
        <w:docPartUnique/>
      </w:docPartObj>
    </w:sdtPr>
    <w:sdtEndPr>
      <w:rPr>
        <w:noProof/>
      </w:rPr>
    </w:sdtEndPr>
    <w:sdtContent>
      <w:p w:rsidR="00BF6877" w:rsidRPr="00177F59" w:rsidRDefault="00BF6877" w:rsidP="00D26EF9">
        <w:pPr>
          <w:pStyle w:val="Footer"/>
          <w:jc w:val="center"/>
        </w:pPr>
        <w:r>
          <w:fldChar w:fldCharType="begin"/>
        </w:r>
        <w:r>
          <w:instrText xml:space="preserve"> PAGE   \* MERGEFORMAT </w:instrText>
        </w:r>
        <w:r>
          <w:fldChar w:fldCharType="separate"/>
        </w:r>
        <w:r w:rsidR="00510E9D">
          <w:rPr>
            <w:noProof/>
          </w:rPr>
          <w:t>22</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28</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Pr>
      <w:jc w:val="center"/>
    </w:pPr>
    <w:r>
      <w:fldChar w:fldCharType="begin"/>
    </w:r>
    <w:r>
      <w:instrText xml:space="preserve"> PAGE </w:instrText>
    </w:r>
    <w:r>
      <w:fldChar w:fldCharType="separate"/>
    </w:r>
    <w:r w:rsidR="00510E9D">
      <w:rPr>
        <w:noProof/>
      </w:rPr>
      <w:t>27</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BF68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77" w:rsidRDefault="00BF6877">
      <w:r>
        <w:separator/>
      </w:r>
    </w:p>
  </w:footnote>
  <w:footnote w:type="continuationSeparator" w:id="0">
    <w:p w:rsidR="00BF6877" w:rsidRDefault="00BF6877">
      <w:r>
        <w:continuationSeparator/>
      </w:r>
    </w:p>
  </w:footnote>
  <w:footnote w:id="1">
    <w:p w:rsidR="00BF6877" w:rsidRPr="00616B46" w:rsidRDefault="00BF6877" w:rsidP="0085675A">
      <w:pPr>
        <w:pStyle w:val="FootnoteText"/>
        <w:rPr>
          <w:lang w:val="fr-CA"/>
        </w:rPr>
      </w:pPr>
      <w:r w:rsidRPr="00616B46">
        <w:rPr>
          <w:rStyle w:val="FootnoteReference"/>
          <w:lang w:val="fr-CA"/>
        </w:rPr>
        <w:footnoteRef/>
      </w:r>
      <w:r w:rsidRPr="00616B46">
        <w:rPr>
          <w:lang w:val="fr-CA"/>
        </w:rPr>
        <w:t xml:space="preserve"> Décisions 75/29 a), 75/54 b), 75/55 b), 75/56 b) et 75/57 b). </w:t>
      </w:r>
    </w:p>
  </w:footnote>
  <w:footnote w:id="2">
    <w:p w:rsidR="00BF6877" w:rsidRPr="00616B46" w:rsidRDefault="00BF6877" w:rsidP="0085675A">
      <w:pPr>
        <w:pStyle w:val="FootnoteText"/>
        <w:rPr>
          <w:lang w:val="fr-CA"/>
        </w:rPr>
      </w:pPr>
      <w:r w:rsidRPr="00616B46">
        <w:rPr>
          <w:rStyle w:val="FootnoteReference"/>
          <w:lang w:val="fr-CA"/>
        </w:rPr>
        <w:footnoteRef/>
      </w:r>
      <w:r w:rsidRPr="00616B46">
        <w:rPr>
          <w:lang w:val="fr-CA"/>
        </w:rPr>
        <w:t xml:space="preserve"> Une norme d’efficacité énergétique pour les climatiseurs résidentiels est actuellement en place en Chine (GB 4706.32).</w:t>
      </w:r>
    </w:p>
  </w:footnote>
  <w:footnote w:id="3">
    <w:p w:rsidR="00BF6877" w:rsidRPr="002D2C34" w:rsidRDefault="00BF6877" w:rsidP="0085675A">
      <w:pPr>
        <w:pStyle w:val="FootnoteText"/>
        <w:rPr>
          <w:lang w:val="fr-CA"/>
        </w:rPr>
      </w:pPr>
      <w:r w:rsidRPr="002D2C34">
        <w:rPr>
          <w:rStyle w:val="FootnoteReference"/>
          <w:lang w:val="fr-CA"/>
        </w:rPr>
        <w:footnoteRef/>
      </w:r>
      <w:r w:rsidRPr="002D2C34">
        <w:rPr>
          <w:lang w:val="fr-CA"/>
        </w:rPr>
        <w:t xml:space="preserve"> Bas</w:t>
      </w:r>
      <w:r>
        <w:rPr>
          <w:lang w:val="fr-CA"/>
        </w:rPr>
        <w:t>é</w:t>
      </w:r>
      <w:r w:rsidRPr="002D2C34">
        <w:rPr>
          <w:lang w:val="fr-CA"/>
        </w:rPr>
        <w:t xml:space="preserve"> </w:t>
      </w:r>
      <w:r>
        <w:rPr>
          <w:lang w:val="fr-CA"/>
        </w:rPr>
        <w:t xml:space="preserve">sur le taux de change au moment de la </w:t>
      </w:r>
      <w:r w:rsidRPr="002D2C34">
        <w:rPr>
          <w:lang w:val="fr-CA"/>
        </w:rPr>
        <w:t>finali</w:t>
      </w:r>
      <w:r>
        <w:rPr>
          <w:lang w:val="fr-CA"/>
        </w:rPr>
        <w:t>s</w:t>
      </w:r>
      <w:r w:rsidRPr="002D2C34">
        <w:rPr>
          <w:lang w:val="fr-CA"/>
        </w:rPr>
        <w:t xml:space="preserve">ation du présent document, et </w:t>
      </w:r>
      <w:r>
        <w:rPr>
          <w:lang w:val="fr-CA"/>
        </w:rPr>
        <w:t>une charge</w:t>
      </w:r>
      <w:r w:rsidRPr="002D2C34">
        <w:rPr>
          <w:lang w:val="fr-CA"/>
        </w:rPr>
        <w:t xml:space="preserve"> moyenne </w:t>
      </w:r>
      <w:r>
        <w:rPr>
          <w:lang w:val="fr-CA"/>
        </w:rPr>
        <w:t>de </w:t>
      </w:r>
      <w:r w:rsidRPr="002D2C34">
        <w:rPr>
          <w:lang w:val="fr-CA"/>
        </w:rPr>
        <w:t>1,15</w:t>
      </w:r>
      <w:r>
        <w:rPr>
          <w:lang w:val="fr-CA"/>
        </w:rPr>
        <w:t> </w:t>
      </w:r>
      <w:r w:rsidRPr="002D2C34">
        <w:rPr>
          <w:lang w:val="fr-CA"/>
        </w:rPr>
        <w:t>kg/unit</w:t>
      </w:r>
      <w:r>
        <w:rPr>
          <w:lang w:val="fr-CA"/>
        </w:rPr>
        <w:t>é.</w:t>
      </w:r>
    </w:p>
  </w:footnote>
  <w:footnote w:id="4">
    <w:p w:rsidR="00BF6877" w:rsidRPr="007A6DB7" w:rsidRDefault="00BF6877" w:rsidP="0085675A">
      <w:pPr>
        <w:pStyle w:val="FootnoteText"/>
        <w:rPr>
          <w:lang w:val="fr-CA"/>
        </w:rPr>
      </w:pPr>
      <w:r w:rsidRPr="007A6DB7">
        <w:rPr>
          <w:rStyle w:val="FootnoteReference"/>
          <w:lang w:val="fr-CA"/>
        </w:rPr>
        <w:footnoteRef/>
      </w:r>
      <w:r w:rsidRPr="007A6DB7">
        <w:rPr>
          <w:lang w:val="fr-CA"/>
        </w:rPr>
        <w:t xml:space="preserve"> L’objectif national de consommation de HCFC, ainsi que les objectifs pour les secteurs de la climatisation résidentielle et de la réfrigération industrielle et commerciale pour la période de 2021 à 2026 seront déterminés pendant la présentation de la phase III du PGEH.</w:t>
      </w:r>
    </w:p>
  </w:footnote>
  <w:footnote w:id="5">
    <w:p w:rsidR="00BF6877" w:rsidRPr="005A6C23" w:rsidRDefault="00BF6877" w:rsidP="0085675A">
      <w:pPr>
        <w:pStyle w:val="FootnoteText"/>
        <w:rPr>
          <w:lang w:val="fr-CA"/>
        </w:rPr>
      </w:pPr>
      <w:r w:rsidRPr="005A6C23">
        <w:rPr>
          <w:rStyle w:val="FootnoteReference"/>
          <w:lang w:val="fr-CA"/>
        </w:rPr>
        <w:footnoteRef/>
      </w:r>
      <w:r w:rsidRPr="005A6C23">
        <w:rPr>
          <w:lang w:val="fr-CA"/>
        </w:rPr>
        <w:t xml:space="preserve"> </w:t>
      </w:r>
      <w:r>
        <w:rPr>
          <w:lang w:val="fr-CA"/>
        </w:rPr>
        <w:t>La demande</w:t>
      </w:r>
      <w:r w:rsidRPr="005A6C23">
        <w:rPr>
          <w:lang w:val="fr-CA"/>
        </w:rPr>
        <w:t xml:space="preserve"> </w:t>
      </w:r>
      <w:r>
        <w:rPr>
          <w:lang w:val="fr-CA"/>
        </w:rPr>
        <w:t>pour la</w:t>
      </w:r>
      <w:r w:rsidRPr="005A6C23">
        <w:rPr>
          <w:lang w:val="fr-CA"/>
        </w:rPr>
        <w:t xml:space="preserve"> troisième tranche </w:t>
      </w:r>
      <w:r>
        <w:rPr>
          <w:lang w:val="fr-CA"/>
        </w:rPr>
        <w:t>du</w:t>
      </w:r>
      <w:r w:rsidRPr="005A6C23">
        <w:rPr>
          <w:lang w:val="fr-CA"/>
        </w:rPr>
        <w:t xml:space="preserve"> </w:t>
      </w:r>
      <w:r>
        <w:rPr>
          <w:lang w:val="fr-CA"/>
        </w:rPr>
        <w:t xml:space="preserve">plan du </w:t>
      </w:r>
      <w:r w:rsidRPr="005A6C23">
        <w:rPr>
          <w:lang w:val="fr-CA"/>
        </w:rPr>
        <w:t xml:space="preserve">secteur des climatiseurs résidentiels (18 millions $US) </w:t>
      </w:r>
      <w:r>
        <w:rPr>
          <w:lang w:val="fr-CA"/>
        </w:rPr>
        <w:t>n’a pas été présentée à la 8</w:t>
      </w:r>
      <w:r w:rsidRPr="005A6C23">
        <w:rPr>
          <w:lang w:val="fr-CA"/>
        </w:rPr>
        <w:t>2</w:t>
      </w:r>
      <w:r w:rsidRPr="00393F6B">
        <w:rPr>
          <w:vertAlign w:val="superscript"/>
          <w:lang w:val="fr-CA"/>
        </w:rPr>
        <w:t>e</w:t>
      </w:r>
      <w:r>
        <w:rPr>
          <w:lang w:val="fr-CA"/>
        </w:rPr>
        <w:t xml:space="preserve"> </w:t>
      </w:r>
      <w:r w:rsidRPr="005A6C23">
        <w:rPr>
          <w:lang w:val="fr-CA"/>
        </w:rPr>
        <w:t>réunion</w:t>
      </w:r>
      <w:r>
        <w:rPr>
          <w:lang w:val="fr-CA"/>
        </w:rPr>
        <w:t xml:space="preserve">, parce que le niveau de </w:t>
      </w:r>
      <w:r w:rsidRPr="005A6C23">
        <w:rPr>
          <w:lang w:val="fr-CA"/>
        </w:rPr>
        <w:t xml:space="preserve">décaissement </w:t>
      </w:r>
      <w:r>
        <w:rPr>
          <w:lang w:val="fr-CA"/>
        </w:rPr>
        <w:t>du</w:t>
      </w:r>
      <w:r w:rsidRPr="005A6C23">
        <w:rPr>
          <w:lang w:val="fr-CA"/>
        </w:rPr>
        <w:t xml:space="preserve"> financement approuvé </w:t>
      </w:r>
      <w:r>
        <w:rPr>
          <w:lang w:val="fr-CA"/>
        </w:rPr>
        <w:t xml:space="preserve">pour la </w:t>
      </w:r>
      <w:r w:rsidRPr="005A6C23">
        <w:rPr>
          <w:lang w:val="fr-CA"/>
        </w:rPr>
        <w:t xml:space="preserve">deuxième tranche </w:t>
      </w:r>
      <w:r>
        <w:rPr>
          <w:lang w:val="fr-CA"/>
        </w:rPr>
        <w:t xml:space="preserve">n’avait pas atteint </w:t>
      </w:r>
      <w:r w:rsidRPr="005A6C23">
        <w:rPr>
          <w:lang w:val="fr-CA"/>
        </w:rPr>
        <w:t>20 pour cent.</w:t>
      </w:r>
    </w:p>
  </w:footnote>
  <w:footnote w:id="6">
    <w:p w:rsidR="00BF6877" w:rsidRPr="00616B46" w:rsidRDefault="00BF6877" w:rsidP="0085675A">
      <w:pPr>
        <w:pStyle w:val="FootnoteText"/>
        <w:rPr>
          <w:lang w:val="fr-CA"/>
        </w:rPr>
      </w:pPr>
      <w:r w:rsidRPr="00616B46">
        <w:rPr>
          <w:rStyle w:val="FootnoteReference"/>
          <w:lang w:val="fr-CA"/>
        </w:rPr>
        <w:footnoteRef/>
      </w:r>
      <w:r w:rsidRPr="00616B46">
        <w:rPr>
          <w:lang w:val="fr-CA"/>
        </w:rPr>
        <w:t xml:space="preserve"> Les étapes comprennent : signature du contrat de reconversion (versement de 30 pour cent); achèvement de la conception et du contrat d’approvisionnement (versement de 20 pour cent); achèvement du prototype de fabrication, reconversion des circuits et essai de rendement (versement de 30 pour cent); et essais de production, formation, et disposition des équipements lors de l’acceptation du projet (versement de 20 pour cent).</w:t>
      </w:r>
    </w:p>
  </w:footnote>
  <w:footnote w:id="7">
    <w:p w:rsidR="00BF6877" w:rsidRPr="00B03403" w:rsidRDefault="00BF6877" w:rsidP="00C1026B">
      <w:pPr>
        <w:pStyle w:val="FootnoteText"/>
        <w:rPr>
          <w:sz w:val="18"/>
          <w:szCs w:val="18"/>
          <w:lang w:val="fr-CA"/>
        </w:rPr>
      </w:pPr>
      <w:r w:rsidRPr="00B03403">
        <w:rPr>
          <w:rStyle w:val="FootnoteReference"/>
          <w:sz w:val="18"/>
          <w:szCs w:val="18"/>
          <w:lang w:val="fr-CA"/>
        </w:rPr>
        <w:footnoteRef/>
      </w:r>
      <w:r w:rsidRPr="00B03403">
        <w:rPr>
          <w:sz w:val="18"/>
          <w:szCs w:val="18"/>
          <w:lang w:val="fr-CA"/>
        </w:rPr>
        <w:t xml:space="preserve"> Initialement présenté pour examen à la 82</w:t>
      </w:r>
      <w:r w:rsidRPr="00B03403">
        <w:rPr>
          <w:sz w:val="18"/>
          <w:szCs w:val="18"/>
          <w:vertAlign w:val="superscript"/>
          <w:lang w:val="fr-CA"/>
        </w:rPr>
        <w:t>e</w:t>
      </w:r>
      <w:r w:rsidRPr="00B03403">
        <w:rPr>
          <w:sz w:val="18"/>
          <w:szCs w:val="18"/>
          <w:lang w:val="fr-CA"/>
        </w:rPr>
        <w:t xml:space="preserve"> réunion, le Comité exécutif a décidé de reporter l’examen à la 83</w:t>
      </w:r>
      <w:r w:rsidRPr="00B03403">
        <w:rPr>
          <w:sz w:val="18"/>
          <w:szCs w:val="18"/>
          <w:vertAlign w:val="superscript"/>
          <w:lang w:val="fr-CA"/>
        </w:rPr>
        <w:t>e </w:t>
      </w:r>
      <w:r w:rsidRPr="00B03403">
        <w:rPr>
          <w:sz w:val="18"/>
          <w:szCs w:val="18"/>
          <w:lang w:val="fr-CA"/>
        </w:rPr>
        <w:t>réunion (décision 82/71 b)).</w:t>
      </w:r>
    </w:p>
  </w:footnote>
  <w:footnote w:id="8">
    <w:p w:rsidR="00BF6877" w:rsidRPr="00B03403" w:rsidRDefault="00BF6877" w:rsidP="00C1026B">
      <w:pPr>
        <w:rPr>
          <w:color w:val="1F497D"/>
          <w:sz w:val="18"/>
          <w:szCs w:val="18"/>
          <w:lang w:val="fr-CA"/>
        </w:rPr>
      </w:pPr>
      <w:r w:rsidRPr="00B03403">
        <w:rPr>
          <w:rStyle w:val="FootnoteReference"/>
          <w:color w:val="000000" w:themeColor="text1"/>
          <w:sz w:val="18"/>
          <w:szCs w:val="18"/>
          <w:lang w:val="fr-CA"/>
        </w:rPr>
        <w:footnoteRef/>
      </w:r>
      <w:r w:rsidRPr="00B03403">
        <w:rPr>
          <w:color w:val="000000" w:themeColor="text1"/>
          <w:sz w:val="18"/>
          <w:szCs w:val="18"/>
          <w:lang w:val="fr-CA"/>
        </w:rPr>
        <w:t xml:space="preserve"> Selon la lettre du 25 février 2019 du ministère de l’Écologie et de l’Environnement de la Chine à l’ONUDI.</w:t>
      </w:r>
    </w:p>
  </w:footnote>
  <w:footnote w:id="9">
    <w:p w:rsidR="00BF6877" w:rsidRPr="00BF7D63" w:rsidRDefault="00BF6877" w:rsidP="00C1026B">
      <w:pPr>
        <w:pStyle w:val="FootnoteText"/>
        <w:rPr>
          <w:lang w:val="fr-FR"/>
        </w:rPr>
      </w:pPr>
      <w:r w:rsidRPr="00B03403">
        <w:rPr>
          <w:rStyle w:val="FootnoteReference"/>
          <w:sz w:val="18"/>
          <w:szCs w:val="18"/>
          <w:lang w:val="fr-CA"/>
        </w:rPr>
        <w:footnoteRef/>
      </w:r>
      <w:r w:rsidRPr="00B03403">
        <w:rPr>
          <w:sz w:val="18"/>
          <w:szCs w:val="18"/>
          <w:lang w:val="fr-CA"/>
        </w:rPr>
        <w:t xml:space="preserve"> Alcool pour une épaisseur de plaque de mousses extrudées inférieure à 60 mm; CO</w:t>
      </w:r>
      <w:r w:rsidRPr="00B03403">
        <w:rPr>
          <w:sz w:val="18"/>
          <w:szCs w:val="18"/>
          <w:vertAlign w:val="subscript"/>
          <w:lang w:val="fr-CA"/>
        </w:rPr>
        <w:t>2</w:t>
      </w:r>
      <w:r w:rsidRPr="00B03403">
        <w:rPr>
          <w:sz w:val="18"/>
          <w:szCs w:val="18"/>
          <w:lang w:val="fr-CA"/>
        </w:rPr>
        <w:t xml:space="preserve"> et petites quantités de HFC-152a (GWP&lt;200) pour une épaisseur de plaque de mousses extrudées de plus de 60 mm.</w:t>
      </w:r>
    </w:p>
  </w:footnote>
  <w:footnote w:id="10">
    <w:p w:rsidR="00BF6877" w:rsidRPr="00DB7C5D" w:rsidRDefault="00BF6877" w:rsidP="007738F0">
      <w:pPr>
        <w:pStyle w:val="FootnoteText"/>
        <w:rPr>
          <w:lang w:val="fr-CA"/>
        </w:rPr>
      </w:pPr>
      <w:r w:rsidRPr="00DB7C5D">
        <w:rPr>
          <w:rStyle w:val="FootnoteReference"/>
          <w:lang w:val="fr-CA"/>
        </w:rPr>
        <w:footnoteRef/>
      </w:r>
      <w:r w:rsidRPr="00DB7C5D">
        <w:rPr>
          <w:lang w:val="fr-CA"/>
        </w:rPr>
        <w:t xml:space="preserve"> Annex</w:t>
      </w:r>
      <w:r>
        <w:rPr>
          <w:lang w:val="fr-CA"/>
        </w:rPr>
        <w:t>e</w:t>
      </w:r>
      <w:r w:rsidRPr="00DB7C5D">
        <w:rPr>
          <w:lang w:val="fr-CA"/>
        </w:rPr>
        <w:t xml:space="preserve"> X </w:t>
      </w:r>
      <w:r>
        <w:rPr>
          <w:lang w:val="fr-CA"/>
        </w:rPr>
        <w:t>du</w:t>
      </w:r>
      <w:r w:rsidRPr="00DB7C5D">
        <w:rPr>
          <w:lang w:val="fr-CA"/>
        </w:rPr>
        <w:t xml:space="preserve"> document UNEP/OzL.Pro/ExCom/81/58</w:t>
      </w:r>
      <w:r>
        <w:rPr>
          <w:lang w:val="fr-CA"/>
        </w:rPr>
        <w:t>.</w:t>
      </w:r>
    </w:p>
  </w:footnote>
  <w:footnote w:id="11">
    <w:p w:rsidR="00BF6877" w:rsidRPr="00DC2D8C" w:rsidRDefault="00BF6877" w:rsidP="0085675A">
      <w:pPr>
        <w:pStyle w:val="FootnoteText"/>
        <w:rPr>
          <w:lang w:val="en-CA"/>
        </w:rPr>
      </w:pPr>
      <w:r w:rsidRPr="00DB7C5D">
        <w:rPr>
          <w:rStyle w:val="FootnoteReference"/>
          <w:lang w:val="fr-CA"/>
        </w:rPr>
        <w:footnoteRef/>
      </w:r>
      <w:r w:rsidRPr="00BF7D63">
        <w:rPr>
          <w:lang w:val="en-CA"/>
        </w:rPr>
        <w:t xml:space="preserve"> UNEP/OzL.Pro/ExCom/83/11/Add.1.</w:t>
      </w:r>
    </w:p>
  </w:footnote>
  <w:footnote w:id="12">
    <w:p w:rsidR="00BF6877" w:rsidRPr="00B67AA6" w:rsidRDefault="00BF6877" w:rsidP="00D002F4">
      <w:pPr>
        <w:pStyle w:val="FootnoteText"/>
        <w:rPr>
          <w:sz w:val="18"/>
          <w:szCs w:val="18"/>
          <w:lang w:val="fr-CA"/>
        </w:rPr>
      </w:pPr>
      <w:r w:rsidRPr="00B67AA6">
        <w:rPr>
          <w:rStyle w:val="FootnoteReference"/>
          <w:sz w:val="18"/>
          <w:szCs w:val="18"/>
        </w:rPr>
        <w:footnoteRef/>
      </w:r>
      <w:r w:rsidRPr="00BF7D63">
        <w:rPr>
          <w:sz w:val="18"/>
          <w:szCs w:val="18"/>
          <w:lang w:val="fr-FR"/>
        </w:rPr>
        <w:t xml:space="preserve"> </w:t>
      </w:r>
      <w:r w:rsidRPr="00B67AA6">
        <w:rPr>
          <w:sz w:val="18"/>
          <w:szCs w:val="18"/>
          <w:lang w:val="fr-CA"/>
        </w:rPr>
        <w:t>Initialement présenté pour examen à la 82</w:t>
      </w:r>
      <w:r w:rsidRPr="00B67AA6">
        <w:rPr>
          <w:sz w:val="18"/>
          <w:szCs w:val="18"/>
          <w:vertAlign w:val="superscript"/>
          <w:lang w:val="fr-CA"/>
        </w:rPr>
        <w:t>e</w:t>
      </w:r>
      <w:r w:rsidRPr="00B67AA6">
        <w:rPr>
          <w:sz w:val="18"/>
          <w:szCs w:val="18"/>
          <w:lang w:val="fr-CA"/>
        </w:rPr>
        <w:t xml:space="preserve"> réunion, le Comité exécutif a décidé de reporter l’examen à la 83</w:t>
      </w:r>
      <w:r w:rsidRPr="00B67AA6">
        <w:rPr>
          <w:sz w:val="18"/>
          <w:szCs w:val="18"/>
          <w:vertAlign w:val="superscript"/>
          <w:lang w:val="fr-CA"/>
        </w:rPr>
        <w:t>e </w:t>
      </w:r>
      <w:r w:rsidRPr="00B67AA6">
        <w:rPr>
          <w:sz w:val="18"/>
          <w:szCs w:val="18"/>
          <w:lang w:val="fr-CA"/>
        </w:rPr>
        <w:t>réunion (décision 82/71 b)).</w:t>
      </w:r>
    </w:p>
  </w:footnote>
  <w:footnote w:id="13">
    <w:p w:rsidR="00BF6877" w:rsidRPr="00B67AA6" w:rsidRDefault="00BF6877" w:rsidP="00D002F4">
      <w:pPr>
        <w:pStyle w:val="FootnoteText"/>
        <w:rPr>
          <w:sz w:val="18"/>
          <w:szCs w:val="18"/>
          <w:lang w:val="fr-CA"/>
        </w:rPr>
      </w:pPr>
      <w:r w:rsidRPr="00B67AA6">
        <w:rPr>
          <w:rStyle w:val="FootnoteReference"/>
          <w:sz w:val="18"/>
          <w:szCs w:val="18"/>
          <w:lang w:val="fr-CA"/>
        </w:rPr>
        <w:footnoteRef/>
      </w:r>
      <w:r w:rsidRPr="00B67AA6">
        <w:rPr>
          <w:sz w:val="18"/>
          <w:szCs w:val="18"/>
          <w:lang w:val="fr-CA"/>
        </w:rPr>
        <w:t xml:space="preserve"> Selon la lettre du 27 février 2019 de l’International Environmental Cooperation Center (IECO) du ministère de l’Écologie et de</w:t>
      </w:r>
      <w:r>
        <w:rPr>
          <w:sz w:val="18"/>
          <w:szCs w:val="18"/>
          <w:lang w:val="fr-CA"/>
        </w:rPr>
        <w:t> </w:t>
      </w:r>
      <w:r w:rsidRPr="00B67AA6">
        <w:rPr>
          <w:sz w:val="18"/>
          <w:szCs w:val="18"/>
          <w:lang w:val="fr-CA"/>
        </w:rPr>
        <w:t>l’Environnement en Chine au PNUD.</w:t>
      </w:r>
    </w:p>
  </w:footnote>
  <w:footnote w:id="14">
    <w:p w:rsidR="00BF6877" w:rsidRPr="00BF7D63" w:rsidRDefault="00BF6877" w:rsidP="00D002F4">
      <w:pPr>
        <w:pStyle w:val="FootnoteText"/>
        <w:rPr>
          <w:lang w:val="fr-FR"/>
        </w:rPr>
      </w:pPr>
      <w:r w:rsidRPr="00B67AA6">
        <w:rPr>
          <w:rStyle w:val="FootnoteReference"/>
          <w:sz w:val="18"/>
          <w:szCs w:val="18"/>
          <w:lang w:val="fr-CA"/>
        </w:rPr>
        <w:footnoteRef/>
      </w:r>
      <w:r w:rsidRPr="00B67AA6">
        <w:rPr>
          <w:sz w:val="18"/>
          <w:szCs w:val="18"/>
          <w:lang w:val="fr-CA"/>
        </w:rPr>
        <w:t xml:space="preserve"> Les jalons comprennent</w:t>
      </w:r>
      <w:r>
        <w:rPr>
          <w:sz w:val="18"/>
          <w:szCs w:val="18"/>
          <w:lang w:val="fr-CA"/>
        </w:rPr>
        <w:t> :</w:t>
      </w:r>
      <w:r w:rsidRPr="00B67AA6">
        <w:rPr>
          <w:sz w:val="18"/>
          <w:szCs w:val="18"/>
          <w:lang w:val="fr-CA"/>
        </w:rPr>
        <w:t xml:space="preserve"> signature du contrat de reconversion (versement de 30 pour cent); achèvement du contrat de</w:t>
      </w:r>
      <w:r>
        <w:rPr>
          <w:sz w:val="18"/>
          <w:szCs w:val="18"/>
          <w:lang w:val="fr-CA"/>
        </w:rPr>
        <w:t> </w:t>
      </w:r>
      <w:r w:rsidRPr="00B67AA6">
        <w:rPr>
          <w:sz w:val="18"/>
          <w:szCs w:val="18"/>
          <w:lang w:val="fr-CA"/>
        </w:rPr>
        <w:t>conception et d’approvisionnement (versement de 20 pour cent); achèvement de la fabrication du prototype, reconversion des</w:t>
      </w:r>
      <w:r>
        <w:rPr>
          <w:sz w:val="18"/>
          <w:szCs w:val="18"/>
          <w:lang w:val="fr-CA"/>
        </w:rPr>
        <w:t> </w:t>
      </w:r>
      <w:r w:rsidRPr="00B67AA6">
        <w:rPr>
          <w:sz w:val="18"/>
          <w:szCs w:val="18"/>
          <w:lang w:val="fr-CA"/>
        </w:rPr>
        <w:t>circuits et essai de rendement (versement de 30 pour cent); et production d’essai, formation, et disposition des équipements lors de l’acceptation du projet (versement de 20 pour cent).</w:t>
      </w:r>
    </w:p>
  </w:footnote>
  <w:footnote w:id="15">
    <w:p w:rsidR="00BF6877" w:rsidRPr="00BF7D63" w:rsidRDefault="00BF6877" w:rsidP="00D002F4">
      <w:pPr>
        <w:pStyle w:val="FootnoteText"/>
        <w:rPr>
          <w:lang w:val="en-CA"/>
        </w:rPr>
      </w:pPr>
      <w:r w:rsidRPr="00DC2912">
        <w:rPr>
          <w:rStyle w:val="FootnoteReference"/>
          <w:lang w:val="fr-CA"/>
        </w:rPr>
        <w:footnoteRef/>
      </w:r>
      <w:r w:rsidRPr="00BF7D63">
        <w:rPr>
          <w:lang w:val="en-CA"/>
        </w:rPr>
        <w:t xml:space="preserve"> UNEP/OzL.Pro/ExCom/83/11/Add.1.</w:t>
      </w:r>
    </w:p>
  </w:footnote>
  <w:footnote w:id="16">
    <w:p w:rsidR="00BF6877" w:rsidRPr="00F12D89" w:rsidRDefault="00BF6877" w:rsidP="000A787F">
      <w:pPr>
        <w:pStyle w:val="FootnoteText"/>
        <w:rPr>
          <w:lang w:val="fr-CA"/>
        </w:rPr>
      </w:pPr>
      <w:r w:rsidRPr="00F12D89">
        <w:rPr>
          <w:rStyle w:val="FootnoteReference"/>
          <w:lang w:val="fr-CA"/>
        </w:rPr>
        <w:footnoteRef/>
      </w:r>
      <w:r w:rsidRPr="00F12D89">
        <w:rPr>
          <w:lang w:val="fr-CA"/>
        </w:rPr>
        <w:t xml:space="preserve"> Initial</w:t>
      </w:r>
      <w:r>
        <w:rPr>
          <w:lang w:val="fr-CA"/>
        </w:rPr>
        <w:t>ement</w:t>
      </w:r>
      <w:r w:rsidRPr="00F12D89">
        <w:rPr>
          <w:lang w:val="fr-CA"/>
        </w:rPr>
        <w:t xml:space="preserve"> </w:t>
      </w:r>
      <w:r>
        <w:rPr>
          <w:lang w:val="fr-CA"/>
        </w:rPr>
        <w:t>présentée</w:t>
      </w:r>
      <w:r w:rsidRPr="00F12D89">
        <w:rPr>
          <w:lang w:val="fr-CA"/>
        </w:rPr>
        <w:t xml:space="preserve"> </w:t>
      </w:r>
      <w:r>
        <w:rPr>
          <w:lang w:val="fr-CA"/>
        </w:rPr>
        <w:t>pour examen à la 8</w:t>
      </w:r>
      <w:r w:rsidRPr="00F12D89">
        <w:rPr>
          <w:lang w:val="fr-CA"/>
        </w:rPr>
        <w:t>2</w:t>
      </w:r>
      <w:r w:rsidRPr="00FE194D">
        <w:rPr>
          <w:vertAlign w:val="superscript"/>
          <w:lang w:val="fr-CA"/>
        </w:rPr>
        <w:t>e</w:t>
      </w:r>
      <w:r>
        <w:rPr>
          <w:lang w:val="fr-CA"/>
        </w:rPr>
        <w:t xml:space="preserve"> réunion</w:t>
      </w:r>
      <w:r w:rsidRPr="00F12D89">
        <w:rPr>
          <w:lang w:val="fr-CA"/>
        </w:rPr>
        <w:t xml:space="preserve">, </w:t>
      </w:r>
      <w:r>
        <w:rPr>
          <w:lang w:val="fr-CA"/>
        </w:rPr>
        <w:t>le Comité exécutif</w:t>
      </w:r>
      <w:r w:rsidRPr="00F12D89">
        <w:rPr>
          <w:lang w:val="fr-CA"/>
        </w:rPr>
        <w:t xml:space="preserve"> </w:t>
      </w:r>
      <w:r>
        <w:rPr>
          <w:lang w:val="fr-CA"/>
        </w:rPr>
        <w:t>a décidé</w:t>
      </w:r>
      <w:r w:rsidRPr="00F12D89">
        <w:rPr>
          <w:lang w:val="fr-CA"/>
        </w:rPr>
        <w:t xml:space="preserve"> </w:t>
      </w:r>
      <w:r>
        <w:rPr>
          <w:lang w:val="fr-CA"/>
        </w:rPr>
        <w:t>d’en reporter l’examen à la 83</w:t>
      </w:r>
      <w:r w:rsidRPr="00FE194D">
        <w:rPr>
          <w:vertAlign w:val="superscript"/>
          <w:lang w:val="fr-CA"/>
        </w:rPr>
        <w:t>e</w:t>
      </w:r>
      <w:r>
        <w:rPr>
          <w:vertAlign w:val="superscript"/>
          <w:lang w:val="fr-CA"/>
        </w:rPr>
        <w:t> </w:t>
      </w:r>
      <w:r>
        <w:rPr>
          <w:lang w:val="fr-CA"/>
        </w:rPr>
        <w:t>réunion</w:t>
      </w:r>
      <w:r w:rsidRPr="00F12D89">
        <w:rPr>
          <w:lang w:val="fr-CA"/>
        </w:rPr>
        <w:t xml:space="preserve"> (</w:t>
      </w:r>
      <w:r>
        <w:rPr>
          <w:lang w:val="fr-CA"/>
        </w:rPr>
        <w:t>décision</w:t>
      </w:r>
      <w:r w:rsidRPr="00F12D89">
        <w:rPr>
          <w:lang w:val="fr-CA"/>
        </w:rPr>
        <w:t> 82/7</w:t>
      </w:r>
      <w:r>
        <w:rPr>
          <w:lang w:val="fr-CA"/>
        </w:rPr>
        <w:t>1 </w:t>
      </w:r>
      <w:r w:rsidRPr="00F12D89">
        <w:rPr>
          <w:lang w:val="fr-CA"/>
        </w:rPr>
        <w:t>b)).</w:t>
      </w:r>
    </w:p>
  </w:footnote>
  <w:footnote w:id="17">
    <w:p w:rsidR="00BF6877" w:rsidRPr="00F12D89" w:rsidRDefault="00BF6877" w:rsidP="000A787F">
      <w:pPr>
        <w:pStyle w:val="FootnoteText"/>
        <w:rPr>
          <w:lang w:val="fr-CA"/>
        </w:rPr>
      </w:pPr>
      <w:r w:rsidRPr="00F12D89">
        <w:rPr>
          <w:rStyle w:val="FootnoteReference"/>
          <w:lang w:val="fr-CA"/>
        </w:rPr>
        <w:footnoteRef/>
      </w:r>
      <w:r w:rsidRPr="00F12D89">
        <w:rPr>
          <w:lang w:val="fr-CA"/>
        </w:rPr>
        <w:t xml:space="preserve"> Compr</w:t>
      </w:r>
      <w:r>
        <w:rPr>
          <w:lang w:val="fr-CA"/>
        </w:rPr>
        <w:t xml:space="preserve">end les tranches </w:t>
      </w:r>
      <w:r w:rsidRPr="00F12D89">
        <w:rPr>
          <w:lang w:val="fr-CA"/>
        </w:rPr>
        <w:t>2018</w:t>
      </w:r>
      <w:r>
        <w:rPr>
          <w:lang w:val="fr-CA"/>
        </w:rPr>
        <w:t xml:space="preserve"> et </w:t>
      </w:r>
      <w:r w:rsidRPr="00F12D89">
        <w:rPr>
          <w:lang w:val="fr-CA"/>
        </w:rPr>
        <w:t>2019,</w:t>
      </w:r>
      <w:r>
        <w:rPr>
          <w:lang w:val="fr-CA"/>
        </w:rPr>
        <w:t xml:space="preserve"> totalisant </w:t>
      </w:r>
      <w:r w:rsidRPr="00F12D89">
        <w:rPr>
          <w:lang w:val="fr-CA"/>
        </w:rPr>
        <w:t>300</w:t>
      </w:r>
      <w:r>
        <w:rPr>
          <w:lang w:val="fr-CA"/>
        </w:rPr>
        <w:t> 000 $US</w:t>
      </w:r>
      <w:r w:rsidRPr="00F12D89">
        <w:rPr>
          <w:lang w:val="fr-CA"/>
        </w:rPr>
        <w:t xml:space="preserve"> plus </w:t>
      </w:r>
      <w:r>
        <w:rPr>
          <w:lang w:val="fr-CA"/>
        </w:rPr>
        <w:t>des coûts d’appui d’agence de</w:t>
      </w:r>
      <w:r w:rsidRPr="00F12D89">
        <w:rPr>
          <w:lang w:val="fr-CA"/>
        </w:rPr>
        <w:t xml:space="preserve"> 36</w:t>
      </w:r>
      <w:r>
        <w:rPr>
          <w:lang w:val="fr-CA"/>
        </w:rPr>
        <w:t> 000 $US</w:t>
      </w:r>
      <w:r w:rsidRPr="00F12D89">
        <w:rPr>
          <w:lang w:val="fr-CA"/>
        </w:rPr>
        <w:t>,</w:t>
      </w:r>
      <w:r>
        <w:rPr>
          <w:lang w:val="fr-CA"/>
        </w:rPr>
        <w:t xml:space="preserve"> et </w:t>
      </w:r>
      <w:r w:rsidRPr="00F12D89">
        <w:rPr>
          <w:lang w:val="fr-CA"/>
        </w:rPr>
        <w:t>US $200</w:t>
      </w:r>
      <w:r>
        <w:rPr>
          <w:lang w:val="fr-CA"/>
        </w:rPr>
        <w:t> 000</w:t>
      </w:r>
      <w:r w:rsidRPr="00F12D89">
        <w:rPr>
          <w:lang w:val="fr-CA"/>
        </w:rPr>
        <w:t xml:space="preserve">, plus </w:t>
      </w:r>
      <w:r>
        <w:rPr>
          <w:lang w:val="fr-CA"/>
        </w:rPr>
        <w:t>des coûts d’appui d’agence de</w:t>
      </w:r>
      <w:r w:rsidRPr="00F12D89">
        <w:rPr>
          <w:lang w:val="fr-CA"/>
        </w:rPr>
        <w:t xml:space="preserve"> 24</w:t>
      </w:r>
      <w:r>
        <w:rPr>
          <w:lang w:val="fr-CA"/>
        </w:rPr>
        <w:t> 000 $US</w:t>
      </w:r>
      <w:r w:rsidRPr="00F12D89">
        <w:rPr>
          <w:lang w:val="fr-CA"/>
        </w:rPr>
        <w:t xml:space="preserve">, </w:t>
      </w:r>
      <w:r>
        <w:rPr>
          <w:lang w:val="fr-CA"/>
        </w:rPr>
        <w:t>respectivement</w:t>
      </w:r>
      <w:r w:rsidRPr="00F12D89">
        <w:rPr>
          <w:lang w:val="fr-CA"/>
        </w:rPr>
        <w:t>.</w:t>
      </w:r>
    </w:p>
  </w:footnote>
  <w:footnote w:id="18">
    <w:p w:rsidR="00BF6877" w:rsidRPr="00BF7D63" w:rsidRDefault="00BF6877" w:rsidP="000A787F">
      <w:pPr>
        <w:rPr>
          <w:sz w:val="20"/>
          <w:szCs w:val="20"/>
          <w:lang w:val="fr-FR"/>
        </w:rPr>
      </w:pPr>
      <w:r w:rsidRPr="00F12D89">
        <w:rPr>
          <w:rStyle w:val="FootnoteReference"/>
          <w:sz w:val="20"/>
          <w:szCs w:val="20"/>
          <w:lang w:val="fr-CA"/>
        </w:rPr>
        <w:footnoteRef/>
      </w:r>
      <w:r w:rsidRPr="00F12D89">
        <w:rPr>
          <w:sz w:val="20"/>
          <w:szCs w:val="20"/>
          <w:lang w:val="fr-CA"/>
        </w:rPr>
        <w:t xml:space="preserve"> </w:t>
      </w:r>
      <w:r>
        <w:rPr>
          <w:sz w:val="20"/>
          <w:szCs w:val="20"/>
          <w:lang w:val="fr-CA"/>
        </w:rPr>
        <w:t xml:space="preserve">Selon la lettre du </w:t>
      </w:r>
      <w:r w:rsidRPr="00F12D89">
        <w:rPr>
          <w:sz w:val="20"/>
          <w:szCs w:val="20"/>
          <w:lang w:val="fr-CA"/>
        </w:rPr>
        <w:t>28</w:t>
      </w:r>
      <w:r>
        <w:rPr>
          <w:sz w:val="20"/>
          <w:szCs w:val="20"/>
          <w:lang w:val="fr-CA"/>
        </w:rPr>
        <w:t xml:space="preserve"> février</w:t>
      </w:r>
      <w:r w:rsidRPr="00F12D89">
        <w:rPr>
          <w:sz w:val="20"/>
          <w:szCs w:val="20"/>
          <w:lang w:val="fr-CA"/>
        </w:rPr>
        <w:t xml:space="preserve"> 2019, </w:t>
      </w:r>
      <w:r>
        <w:rPr>
          <w:sz w:val="20"/>
          <w:szCs w:val="20"/>
          <w:lang w:val="fr-CA"/>
        </w:rPr>
        <w:t>de l’</w:t>
      </w:r>
      <w:r w:rsidRPr="00F12D89">
        <w:rPr>
          <w:sz w:val="20"/>
          <w:szCs w:val="20"/>
          <w:lang w:val="fr-CA"/>
        </w:rPr>
        <w:t xml:space="preserve">International Environmental Cooperation Center, </w:t>
      </w:r>
      <w:r>
        <w:rPr>
          <w:sz w:val="20"/>
          <w:szCs w:val="20"/>
          <w:lang w:val="fr-CA"/>
        </w:rPr>
        <w:t>Ministère de l’Écologie et de l’Environnement de la Chine</w:t>
      </w:r>
      <w:r w:rsidRPr="00F12D89">
        <w:rPr>
          <w:sz w:val="20"/>
          <w:szCs w:val="20"/>
          <w:lang w:val="fr-CA"/>
        </w:rPr>
        <w:t xml:space="preserve">, </w:t>
      </w:r>
      <w:r>
        <w:rPr>
          <w:sz w:val="20"/>
          <w:szCs w:val="20"/>
          <w:lang w:val="fr-CA"/>
        </w:rPr>
        <w:t>au</w:t>
      </w:r>
      <w:r w:rsidRPr="00F12D89">
        <w:rPr>
          <w:sz w:val="20"/>
          <w:szCs w:val="20"/>
          <w:lang w:val="fr-CA"/>
        </w:rPr>
        <w:t xml:space="preserve"> </w:t>
      </w:r>
      <w:r>
        <w:rPr>
          <w:sz w:val="20"/>
          <w:szCs w:val="20"/>
          <w:lang w:val="fr-CA"/>
        </w:rPr>
        <w:t>PNUE</w:t>
      </w:r>
      <w:r w:rsidRPr="00F12D89">
        <w:rPr>
          <w:sz w:val="20"/>
          <w:szCs w:val="20"/>
          <w:lang w:val="fr-CA"/>
        </w:rPr>
        <w:t>.</w:t>
      </w:r>
    </w:p>
  </w:footnote>
  <w:footnote w:id="19">
    <w:p w:rsidR="00BF6877" w:rsidRPr="00BF7D63" w:rsidRDefault="00BF6877" w:rsidP="00387175">
      <w:pPr>
        <w:pStyle w:val="FootnoteText"/>
        <w:rPr>
          <w:lang w:val="en-CA"/>
        </w:rPr>
      </w:pPr>
      <w:r w:rsidRPr="000C08D1">
        <w:rPr>
          <w:rStyle w:val="FootnoteReference"/>
          <w:lang w:val="fr-CA"/>
        </w:rPr>
        <w:footnoteRef/>
      </w:r>
      <w:r w:rsidRPr="00BF7D63">
        <w:rPr>
          <w:lang w:val="en-CA"/>
        </w:rPr>
        <w:t xml:space="preserve"> UNEP/OzL.Pro/ExCom/83/11/Add.1</w:t>
      </w:r>
    </w:p>
  </w:footnote>
  <w:footnote w:id="20">
    <w:p w:rsidR="00BF6877" w:rsidRPr="00EB650F" w:rsidRDefault="00BF6877" w:rsidP="00387175">
      <w:pPr>
        <w:pStyle w:val="FootnoteText"/>
        <w:rPr>
          <w:lang w:val="fr-CA"/>
        </w:rPr>
      </w:pPr>
      <w:r w:rsidRPr="00EB650F">
        <w:rPr>
          <w:rStyle w:val="FootnoteReference"/>
          <w:lang w:val="fr-CA"/>
        </w:rPr>
        <w:footnoteRef/>
      </w:r>
      <w:r w:rsidRPr="00EB650F">
        <w:rPr>
          <w:lang w:val="fr-CA"/>
        </w:rPr>
        <w:t xml:space="preserve"> </w:t>
      </w:r>
      <w:r>
        <w:rPr>
          <w:lang w:val="fr-CA"/>
        </w:rPr>
        <w:t>Demande i</w:t>
      </w:r>
      <w:r w:rsidRPr="00EB650F">
        <w:rPr>
          <w:lang w:val="fr-CA"/>
        </w:rPr>
        <w:t>nitial</w:t>
      </w:r>
      <w:r>
        <w:rPr>
          <w:lang w:val="fr-CA"/>
        </w:rPr>
        <w:t>ement présentée pour examen à la 8</w:t>
      </w:r>
      <w:r w:rsidRPr="00EB650F">
        <w:rPr>
          <w:lang w:val="fr-CA"/>
        </w:rPr>
        <w:t>2</w:t>
      </w:r>
      <w:r w:rsidRPr="00343CE4">
        <w:rPr>
          <w:vertAlign w:val="superscript"/>
          <w:lang w:val="fr-CA"/>
        </w:rPr>
        <w:t>e</w:t>
      </w:r>
      <w:r>
        <w:rPr>
          <w:lang w:val="fr-CA"/>
        </w:rPr>
        <w:t xml:space="preserve"> </w:t>
      </w:r>
      <w:r w:rsidRPr="00EB650F">
        <w:rPr>
          <w:lang w:val="fr-CA"/>
        </w:rPr>
        <w:t xml:space="preserve">réunion, le Comité exécutif </w:t>
      </w:r>
      <w:r>
        <w:rPr>
          <w:lang w:val="fr-CA"/>
        </w:rPr>
        <w:t>a décidé</w:t>
      </w:r>
      <w:r w:rsidRPr="00EB650F">
        <w:rPr>
          <w:lang w:val="fr-CA"/>
        </w:rPr>
        <w:t xml:space="preserve"> </w:t>
      </w:r>
      <w:r>
        <w:rPr>
          <w:lang w:val="fr-CA"/>
        </w:rPr>
        <w:t>de reporter l’examen à la 83</w:t>
      </w:r>
      <w:r w:rsidRPr="00343CE4">
        <w:rPr>
          <w:vertAlign w:val="superscript"/>
          <w:lang w:val="fr-CA"/>
        </w:rPr>
        <w:t>e</w:t>
      </w:r>
      <w:r>
        <w:rPr>
          <w:vertAlign w:val="superscript"/>
          <w:lang w:val="fr-CA"/>
        </w:rPr>
        <w:t> </w:t>
      </w:r>
      <w:r w:rsidRPr="00EB650F">
        <w:rPr>
          <w:lang w:val="fr-CA"/>
        </w:rPr>
        <w:t>réunion (décision 82/71(b)).</w:t>
      </w:r>
    </w:p>
  </w:footnote>
  <w:footnote w:id="21">
    <w:p w:rsidR="00BF6877" w:rsidRPr="00EB650F" w:rsidRDefault="00BF6877" w:rsidP="00387175">
      <w:pPr>
        <w:rPr>
          <w:sz w:val="20"/>
          <w:szCs w:val="20"/>
          <w:lang w:val="fr-CA"/>
        </w:rPr>
      </w:pPr>
      <w:r w:rsidRPr="00EB650F">
        <w:rPr>
          <w:rStyle w:val="FootnoteReference"/>
          <w:sz w:val="20"/>
          <w:szCs w:val="20"/>
          <w:lang w:val="fr-CA"/>
        </w:rPr>
        <w:footnoteRef/>
      </w:r>
      <w:r w:rsidRPr="00EB650F">
        <w:rPr>
          <w:sz w:val="20"/>
          <w:szCs w:val="20"/>
          <w:lang w:val="fr-CA"/>
        </w:rPr>
        <w:t xml:space="preserve"> </w:t>
      </w:r>
      <w:r>
        <w:rPr>
          <w:sz w:val="20"/>
          <w:szCs w:val="20"/>
          <w:lang w:val="fr-CA"/>
        </w:rPr>
        <w:t xml:space="preserve">Selon la lettre du </w:t>
      </w:r>
      <w:r w:rsidRPr="00EB650F">
        <w:rPr>
          <w:sz w:val="20"/>
          <w:szCs w:val="20"/>
          <w:lang w:val="fr-CA"/>
        </w:rPr>
        <w:t>25</w:t>
      </w:r>
      <w:r>
        <w:rPr>
          <w:sz w:val="20"/>
          <w:szCs w:val="20"/>
          <w:lang w:val="fr-CA"/>
        </w:rPr>
        <w:t xml:space="preserve"> février</w:t>
      </w:r>
      <w:r w:rsidRPr="00EB650F">
        <w:rPr>
          <w:sz w:val="20"/>
          <w:szCs w:val="20"/>
          <w:lang w:val="fr-CA"/>
        </w:rPr>
        <w:t xml:space="preserve"> 2019 </w:t>
      </w:r>
      <w:r>
        <w:rPr>
          <w:sz w:val="20"/>
          <w:szCs w:val="20"/>
          <w:lang w:val="fr-CA"/>
        </w:rPr>
        <w:t>du Ministère de l’Écologie et de l’</w:t>
      </w:r>
      <w:r w:rsidRPr="00EB650F">
        <w:rPr>
          <w:sz w:val="20"/>
          <w:szCs w:val="20"/>
          <w:lang w:val="fr-CA"/>
        </w:rPr>
        <w:t>Environ</w:t>
      </w:r>
      <w:r>
        <w:rPr>
          <w:sz w:val="20"/>
          <w:szCs w:val="20"/>
          <w:lang w:val="fr-CA"/>
        </w:rPr>
        <w:t>ne</w:t>
      </w:r>
      <w:r w:rsidRPr="00EB650F">
        <w:rPr>
          <w:sz w:val="20"/>
          <w:szCs w:val="20"/>
          <w:lang w:val="fr-CA"/>
        </w:rPr>
        <w:t xml:space="preserve">ment </w:t>
      </w:r>
      <w:r>
        <w:rPr>
          <w:sz w:val="20"/>
          <w:szCs w:val="20"/>
          <w:lang w:val="fr-CA"/>
        </w:rPr>
        <w:t>de la</w:t>
      </w:r>
      <w:r w:rsidRPr="00EB650F">
        <w:rPr>
          <w:sz w:val="20"/>
          <w:szCs w:val="20"/>
          <w:lang w:val="fr-CA"/>
        </w:rPr>
        <w:t xml:space="preserve"> Chine </w:t>
      </w:r>
      <w:r>
        <w:rPr>
          <w:sz w:val="20"/>
          <w:szCs w:val="20"/>
          <w:lang w:val="fr-CA"/>
        </w:rPr>
        <w:t>au</w:t>
      </w:r>
      <w:r w:rsidRPr="00EB650F">
        <w:rPr>
          <w:sz w:val="20"/>
          <w:szCs w:val="20"/>
          <w:lang w:val="fr-CA"/>
        </w:rPr>
        <w:t xml:space="preserve"> PNUD. </w:t>
      </w:r>
      <w:r>
        <w:rPr>
          <w:sz w:val="20"/>
          <w:szCs w:val="20"/>
          <w:lang w:val="fr-CA"/>
        </w:rPr>
        <w:t xml:space="preserve">Le montant demandé pour cette </w:t>
      </w:r>
      <w:r w:rsidRPr="00EB650F">
        <w:rPr>
          <w:sz w:val="20"/>
          <w:szCs w:val="20"/>
          <w:lang w:val="fr-CA"/>
        </w:rPr>
        <w:t>tranche</w:t>
      </w:r>
      <w:r>
        <w:rPr>
          <w:sz w:val="20"/>
          <w:szCs w:val="20"/>
          <w:lang w:val="fr-CA"/>
        </w:rPr>
        <w:t xml:space="preserve"> est plus élevé que celui qui avait été initialement</w:t>
      </w:r>
      <w:r w:rsidRPr="00EB650F">
        <w:rPr>
          <w:sz w:val="20"/>
          <w:szCs w:val="20"/>
          <w:lang w:val="fr-CA"/>
        </w:rPr>
        <w:t xml:space="preserve"> </w:t>
      </w:r>
      <w:r>
        <w:rPr>
          <w:sz w:val="20"/>
          <w:szCs w:val="20"/>
          <w:lang w:val="fr-CA"/>
        </w:rPr>
        <w:t>convenu</w:t>
      </w:r>
      <w:r w:rsidRPr="00EB650F">
        <w:rPr>
          <w:sz w:val="20"/>
          <w:szCs w:val="20"/>
          <w:lang w:val="fr-CA"/>
        </w:rPr>
        <w:t xml:space="preserve"> (</w:t>
      </w:r>
      <w:r>
        <w:rPr>
          <w:sz w:val="20"/>
          <w:szCs w:val="20"/>
          <w:lang w:val="fr-CA"/>
        </w:rPr>
        <w:t>soit </w:t>
      </w:r>
      <w:r w:rsidRPr="00EB650F">
        <w:rPr>
          <w:sz w:val="20"/>
          <w:szCs w:val="20"/>
          <w:lang w:val="fr-CA"/>
        </w:rPr>
        <w:t>2 959 930</w:t>
      </w:r>
      <w:r>
        <w:rPr>
          <w:sz w:val="20"/>
          <w:szCs w:val="20"/>
          <w:lang w:val="fr-CA"/>
        </w:rPr>
        <w:t> $US</w:t>
      </w:r>
      <w:r w:rsidRPr="00EB650F">
        <w:rPr>
          <w:sz w:val="20"/>
          <w:szCs w:val="20"/>
          <w:lang w:val="fr-CA"/>
        </w:rPr>
        <w:t> plus des coûts d’appui d’agence)</w:t>
      </w:r>
      <w:r>
        <w:rPr>
          <w:sz w:val="20"/>
          <w:szCs w:val="20"/>
          <w:lang w:val="fr-CA"/>
        </w:rPr>
        <w:t>. L</w:t>
      </w:r>
      <w:r w:rsidRPr="00EB650F">
        <w:rPr>
          <w:sz w:val="20"/>
          <w:szCs w:val="20"/>
          <w:lang w:val="fr-CA"/>
        </w:rPr>
        <w:t xml:space="preserve">e gouvernement de la Chine </w:t>
      </w:r>
      <w:r>
        <w:rPr>
          <w:sz w:val="20"/>
          <w:szCs w:val="20"/>
          <w:lang w:val="fr-CA"/>
        </w:rPr>
        <w:t xml:space="preserve">a demandé la </w:t>
      </w:r>
      <w:r w:rsidRPr="00EB650F">
        <w:rPr>
          <w:sz w:val="20"/>
          <w:szCs w:val="20"/>
          <w:lang w:val="fr-CA"/>
        </w:rPr>
        <w:t xml:space="preserve">redistribution </w:t>
      </w:r>
      <w:r>
        <w:rPr>
          <w:sz w:val="20"/>
          <w:szCs w:val="20"/>
          <w:lang w:val="fr-CA"/>
        </w:rPr>
        <w:t>des </w:t>
      </w:r>
      <w:r w:rsidRPr="00EB650F">
        <w:rPr>
          <w:sz w:val="20"/>
          <w:szCs w:val="20"/>
          <w:lang w:val="fr-CA"/>
        </w:rPr>
        <w:t xml:space="preserve">tranches </w:t>
      </w:r>
      <w:r>
        <w:rPr>
          <w:sz w:val="20"/>
          <w:szCs w:val="20"/>
          <w:lang w:val="fr-CA"/>
        </w:rPr>
        <w:t xml:space="preserve">pour le plan </w:t>
      </w:r>
      <w:r w:rsidRPr="00EB650F">
        <w:rPr>
          <w:sz w:val="20"/>
          <w:szCs w:val="20"/>
          <w:lang w:val="fr-CA"/>
        </w:rPr>
        <w:t>du secteur des solvants</w:t>
      </w:r>
      <w:r>
        <w:rPr>
          <w:sz w:val="20"/>
          <w:szCs w:val="20"/>
          <w:lang w:val="fr-CA"/>
        </w:rPr>
        <w:t xml:space="preserve">, tel que discuté aux </w:t>
      </w:r>
      <w:r w:rsidRPr="00EB650F">
        <w:rPr>
          <w:sz w:val="20"/>
          <w:szCs w:val="20"/>
          <w:lang w:val="fr-CA"/>
        </w:rPr>
        <w:t>paragraph</w:t>
      </w:r>
      <w:r>
        <w:rPr>
          <w:sz w:val="20"/>
          <w:szCs w:val="20"/>
          <w:lang w:val="fr-CA"/>
        </w:rPr>
        <w:t>e</w:t>
      </w:r>
      <w:r w:rsidRPr="00EB650F">
        <w:rPr>
          <w:sz w:val="20"/>
          <w:szCs w:val="20"/>
          <w:lang w:val="fr-CA"/>
        </w:rPr>
        <w:t xml:space="preserve">s 48 </w:t>
      </w:r>
      <w:r>
        <w:rPr>
          <w:sz w:val="20"/>
          <w:szCs w:val="20"/>
          <w:lang w:val="fr-CA"/>
        </w:rPr>
        <w:t>à</w:t>
      </w:r>
      <w:r w:rsidRPr="00EB650F">
        <w:rPr>
          <w:sz w:val="20"/>
          <w:szCs w:val="20"/>
          <w:lang w:val="fr-CA"/>
        </w:rPr>
        <w:t xml:space="preserve"> 55</w:t>
      </w:r>
      <w:r>
        <w:rPr>
          <w:sz w:val="20"/>
          <w:szCs w:val="20"/>
          <w:lang w:val="fr-CA"/>
        </w:rPr>
        <w:t>.</w:t>
      </w:r>
    </w:p>
  </w:footnote>
  <w:footnote w:id="22">
    <w:p w:rsidR="00BF6877" w:rsidRPr="00BF7D63" w:rsidRDefault="00BF6877" w:rsidP="00387175">
      <w:pPr>
        <w:pStyle w:val="FootnoteText"/>
        <w:rPr>
          <w:lang w:val="fr-FR"/>
        </w:rPr>
      </w:pPr>
      <w:r w:rsidRPr="00EB650F">
        <w:rPr>
          <w:rStyle w:val="FootnoteReference"/>
          <w:lang w:val="fr-CA"/>
        </w:rPr>
        <w:footnoteRef/>
      </w:r>
      <w:r w:rsidRPr="00EB650F">
        <w:rPr>
          <w:lang w:val="fr-CA"/>
        </w:rPr>
        <w:t xml:space="preserve"> KC-6</w:t>
      </w:r>
      <w:r>
        <w:rPr>
          <w:lang w:val="fr-CA"/>
        </w:rPr>
        <w:t>,</w:t>
      </w:r>
      <w:r w:rsidRPr="00EB650F">
        <w:rPr>
          <w:lang w:val="fr-CA"/>
        </w:rPr>
        <w:t> HC</w:t>
      </w:r>
      <w:r>
        <w:rPr>
          <w:lang w:val="fr-CA"/>
        </w:rPr>
        <w:t xml:space="preserve"> ou diluant</w:t>
      </w:r>
      <w:r w:rsidRPr="00EB650F">
        <w:rPr>
          <w:lang w:val="fr-CA"/>
        </w:rPr>
        <w:t>, trans-1</w:t>
      </w:r>
      <w:r>
        <w:rPr>
          <w:lang w:val="fr-CA"/>
        </w:rPr>
        <w:t>,</w:t>
      </w:r>
      <w:r w:rsidRPr="00EB650F">
        <w:rPr>
          <w:lang w:val="fr-CA"/>
        </w:rPr>
        <w:t>2-dichloro</w:t>
      </w:r>
      <w:r>
        <w:rPr>
          <w:lang w:val="fr-CA"/>
        </w:rPr>
        <w:t>é</w:t>
      </w:r>
      <w:r w:rsidRPr="00EB650F">
        <w:rPr>
          <w:lang w:val="fr-CA"/>
        </w:rPr>
        <w:t>th</w:t>
      </w:r>
      <w:r>
        <w:rPr>
          <w:lang w:val="fr-CA"/>
        </w:rPr>
        <w:t>è</w:t>
      </w:r>
      <w:r w:rsidRPr="00EB650F">
        <w:rPr>
          <w:lang w:val="fr-CA"/>
        </w:rPr>
        <w:t>ne et HFE</w:t>
      </w:r>
      <w:r>
        <w:rPr>
          <w:lang w:val="fr-CA"/>
        </w:rPr>
        <w:t xml:space="preserve"> (hydrofluoroéther)</w:t>
      </w:r>
      <w:r w:rsidRPr="00EB650F">
        <w:rPr>
          <w:lang w:val="fr-CA"/>
        </w:rPr>
        <w:t xml:space="preserve">, </w:t>
      </w:r>
      <w:r>
        <w:rPr>
          <w:lang w:val="fr-CA"/>
        </w:rPr>
        <w:t>agent de nettoyage à base d’eau</w:t>
      </w:r>
      <w:r w:rsidRPr="00EB650F">
        <w:rPr>
          <w:lang w:val="fr-CA"/>
        </w:rPr>
        <w:t xml:space="preserve">, </w:t>
      </w:r>
      <w:r>
        <w:rPr>
          <w:lang w:val="fr-CA"/>
        </w:rPr>
        <w:t>alcool modifié</w:t>
      </w:r>
      <w:r w:rsidRPr="00EB650F">
        <w:rPr>
          <w:lang w:val="fr-CA"/>
        </w:rPr>
        <w:t>, nano</w:t>
      </w:r>
      <w:r>
        <w:rPr>
          <w:lang w:val="fr-CA"/>
        </w:rPr>
        <w:t>particules de carbure de silicium</w:t>
      </w:r>
      <w:r w:rsidRPr="00EB650F">
        <w:rPr>
          <w:lang w:val="fr-CA"/>
        </w:rPr>
        <w:t xml:space="preserve">, F-solvants, et </w:t>
      </w:r>
      <w:r>
        <w:rPr>
          <w:lang w:val="fr-CA"/>
        </w:rPr>
        <w:t xml:space="preserve">aromatiques </w:t>
      </w:r>
      <w:r w:rsidRPr="00EB650F">
        <w:rPr>
          <w:lang w:val="fr-CA"/>
        </w:rPr>
        <w:t>naphté</w:t>
      </w:r>
      <w:r>
        <w:rPr>
          <w:lang w:val="fr-CA"/>
        </w:rPr>
        <w:t>niques</w:t>
      </w:r>
      <w:r w:rsidRPr="00EB650F">
        <w:rPr>
          <w:lang w:val="fr-CA"/>
        </w:rPr>
        <w:t>.</w:t>
      </w:r>
    </w:p>
  </w:footnote>
  <w:footnote w:id="23">
    <w:p w:rsidR="00BF6877" w:rsidRPr="00B53D8B" w:rsidRDefault="00BF6877" w:rsidP="00387175">
      <w:pPr>
        <w:pStyle w:val="FootnoteText"/>
        <w:rPr>
          <w:lang w:val="fr-CA"/>
        </w:rPr>
      </w:pPr>
      <w:r w:rsidRPr="00B53D8B">
        <w:rPr>
          <w:rStyle w:val="FootnoteReference"/>
          <w:lang w:val="fr-CA"/>
        </w:rPr>
        <w:footnoteRef/>
      </w:r>
      <w:r w:rsidRPr="00B53D8B">
        <w:rPr>
          <w:lang w:val="fr-CA"/>
        </w:rPr>
        <w:t xml:space="preserve"> Annex</w:t>
      </w:r>
      <w:r>
        <w:rPr>
          <w:lang w:val="fr-CA"/>
        </w:rPr>
        <w:t>e</w:t>
      </w:r>
      <w:r w:rsidRPr="00B53D8B">
        <w:rPr>
          <w:lang w:val="fr-CA"/>
        </w:rPr>
        <w:t xml:space="preserve"> X </w:t>
      </w:r>
      <w:r>
        <w:rPr>
          <w:lang w:val="fr-CA"/>
        </w:rPr>
        <w:t>du</w:t>
      </w:r>
      <w:r w:rsidRPr="00B53D8B">
        <w:rPr>
          <w:lang w:val="fr-CA"/>
        </w:rPr>
        <w:t xml:space="preserve"> document UNEP/OzL.Pro/ExCom/81/58</w:t>
      </w:r>
      <w:r>
        <w:rPr>
          <w:lang w:val="fr-CA"/>
        </w:rPr>
        <w:t>.</w:t>
      </w:r>
    </w:p>
  </w:footnote>
  <w:footnote w:id="24">
    <w:p w:rsidR="00BF6877" w:rsidRPr="000D19A6" w:rsidRDefault="00BF6877" w:rsidP="00387175">
      <w:pPr>
        <w:pStyle w:val="FootnoteText"/>
        <w:rPr>
          <w:lang w:val="en-CA"/>
        </w:rPr>
      </w:pPr>
      <w:r>
        <w:rPr>
          <w:rStyle w:val="FootnoteReference"/>
        </w:rPr>
        <w:footnoteRef/>
      </w:r>
      <w:r>
        <w:t xml:space="preserve"> </w:t>
      </w:r>
      <w:r w:rsidRPr="00BF7D63">
        <w:rPr>
          <w:lang w:val="en-CA"/>
        </w:rPr>
        <w:t>UNEP/OzL.Pro/ExCom/83/11/Add.1.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fldSimple w:instr=" DOCPROPERTY  &quot;Document number&quot;  \* MERGEFORMAT ">
      <w:r w:rsidR="00BF6877">
        <w:t>UNEP/OzL.Pro/ExCom/83/22</w:t>
      </w:r>
    </w:fldSimple>
  </w:p>
  <w:p w:rsidR="00BF6877" w:rsidRPr="0033525D" w:rsidRDefault="00BF6877"/>
  <w:p w:rsidR="00BF6877" w:rsidRPr="0033525D" w:rsidRDefault="00BF687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D10825">
    <w:pPr>
      <w:jc w:val="right"/>
    </w:pPr>
    <w:fldSimple w:instr=" DOCPROPERTY &quot;Document number&quot;  \* MERGEFORMAT ">
      <w:r w:rsidR="00BF6877">
        <w:rPr>
          <w:b/>
          <w:bCs/>
          <w:lang w:val="en-US"/>
        </w:rPr>
        <w:t>PNUE</w:t>
      </w:r>
      <w:r w:rsidR="00BF6877" w:rsidRPr="00DF55EF">
        <w:rPr>
          <w:b/>
          <w:bCs/>
          <w:lang w:val="en-US"/>
        </w:rPr>
        <w:t>/OzL.Pro/ExCom/83/22</w:t>
      </w:r>
    </w:fldSimple>
  </w:p>
  <w:p w:rsidR="00BF6877" w:rsidRPr="0033525D" w:rsidRDefault="00BF6877">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rsidP="00F12D89">
    <w:pPr>
      <w:jc w:val="right"/>
      <w:rPr>
        <w:lang w:val="en-CA"/>
      </w:rPr>
    </w:pPr>
    <w:fldSimple w:instr=" DOCPROPERTY &quot;Document number&quot;  \* MERGEFORMAT ">
      <w:r w:rsidR="00BF6877" w:rsidRPr="00DF55EF">
        <w:rPr>
          <w:lang w:val="en-CA"/>
        </w:rPr>
        <w:t>UNEP/OzL.Pro/ExCom/83/22</w:t>
      </w:r>
    </w:fldSimple>
  </w:p>
  <w:p w:rsidR="00BF6877" w:rsidRDefault="00BF6877" w:rsidP="00F12D89">
    <w:pP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rsidP="00F12D89">
    <w:pPr>
      <w:rPr>
        <w:lang w:val="en-CA"/>
      </w:rPr>
    </w:pPr>
    <w:fldSimple w:instr=" DOCPROPERTY &quot;Document number&quot;  \* MERGEFORMAT ">
      <w:r w:rsidR="00BF6877" w:rsidRPr="00DF55EF">
        <w:rPr>
          <w:lang w:val="en-CA"/>
        </w:rPr>
        <w:t>UNEP/OzL.Pro/ExCom/83/22</w:t>
      </w:r>
    </w:fldSimple>
  </w:p>
  <w:p w:rsidR="00BF6877" w:rsidRDefault="00BF6877" w:rsidP="00F12D89">
    <w:pPr>
      <w:pStyle w:val="Header"/>
      <w:jc w:val="left"/>
    </w:pPr>
  </w:p>
  <w:p w:rsidR="00BF6877" w:rsidRDefault="00BF6877">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rsidP="000325DF">
    <w:pPr>
      <w:jc w:val="left"/>
      <w:rPr>
        <w:lang w:val="en-CA"/>
      </w:rPr>
    </w:pPr>
    <w:fldSimple w:instr=" DOCPROPERTY &quot;Document number&quot;  \* MERGEFORMAT ">
      <w:r w:rsidR="00BF6877" w:rsidRPr="00DF55EF">
        <w:rPr>
          <w:lang w:val="en-CA"/>
        </w:rPr>
        <w:t>UNEP/OzL.Pro/ExCom/83/22</w:t>
      </w:r>
    </w:fldSimple>
  </w:p>
  <w:p w:rsidR="00BF6877" w:rsidRDefault="00BF6877" w:rsidP="00F12D89">
    <w:pPr>
      <w:pStyle w:val="Header"/>
      <w:jc w:val="left"/>
    </w:pPr>
  </w:p>
  <w:p w:rsidR="00BF6877" w:rsidRDefault="00BF6877">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DF" w:rsidRPr="00466BFE" w:rsidRDefault="00D10825" w:rsidP="000325DF">
    <w:pPr>
      <w:jc w:val="left"/>
      <w:rPr>
        <w:lang w:val="en-CA"/>
      </w:rPr>
    </w:pPr>
    <w:fldSimple w:instr=" DOCPROPERTY  &quot;Document number&quot;  \* MERGEFORMAT ">
      <w:r w:rsidR="000325DF" w:rsidRPr="00BF6877">
        <w:rPr>
          <w:lang w:val="en-CA"/>
        </w:rPr>
        <w:t>UNEP/OzL.Pro/ExCom/83/22</w:t>
      </w:r>
    </w:fldSimple>
    <w:r w:rsidR="000325DF" w:rsidRPr="00466BFE">
      <w:rPr>
        <w:lang w:val="en-CA"/>
      </w:rPr>
      <w:t xml:space="preserve"> </w:t>
    </w:r>
  </w:p>
  <w:p w:rsidR="000325DF" w:rsidRPr="00466BFE" w:rsidRDefault="000325DF" w:rsidP="00D26EF9">
    <w:pPr>
      <w:jc w:val="left"/>
      <w:rPr>
        <w:lang w:val="en-CA"/>
      </w:rPr>
    </w:pPr>
  </w:p>
  <w:p w:rsidR="000325DF" w:rsidRPr="00466BFE" w:rsidRDefault="000325DF">
    <w:pPr>
      <w:rPr>
        <w:lang w:val="en-CA"/>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FD163F" w:rsidRDefault="00D10825" w:rsidP="000325DF">
    <w:pPr>
      <w:jc w:val="right"/>
      <w:rPr>
        <w:lang w:val="en-CA"/>
      </w:rPr>
    </w:pPr>
    <w:fldSimple w:instr=" DOCPROPERTY &quot;Document number&quot;  \* MERGEFORMAT ">
      <w:r w:rsidR="00BF6877" w:rsidRPr="00BF6877">
        <w:rPr>
          <w:lang w:val="en-CA"/>
        </w:rPr>
        <w:t>UNEP/OzL.Pro/ExCom/83/22</w:t>
      </w:r>
    </w:fldSimple>
  </w:p>
  <w:p w:rsidR="00BF6877" w:rsidRPr="0033525D" w:rsidRDefault="00BF6877" w:rsidP="00387175">
    <w:pPr>
      <w:jc w:val="right"/>
    </w:pPr>
  </w:p>
  <w:p w:rsidR="00BF6877" w:rsidRPr="0033525D" w:rsidRDefault="00BF6877">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FD163F" w:rsidRDefault="00D10825" w:rsidP="00387175">
    <w:pPr>
      <w:jc w:val="left"/>
      <w:rPr>
        <w:lang w:val="en-CA"/>
      </w:rPr>
    </w:pPr>
    <w:fldSimple w:instr=" DOCPROPERTY &quot;Document number&quot;  \* MERGEFORMAT ">
      <w:r w:rsidR="00BF6877">
        <w:rPr>
          <w:lang w:val="en-CA"/>
        </w:rPr>
        <w:t>PNUE</w:t>
      </w:r>
      <w:r w:rsidR="00BF6877" w:rsidRPr="00DF55EF">
        <w:rPr>
          <w:lang w:val="en-CA"/>
        </w:rPr>
        <w:t>/OzL.Pro/ExCom/83/22</w:t>
      </w:r>
    </w:fldSimple>
  </w:p>
  <w:p w:rsidR="00BF6877" w:rsidRPr="0033525D" w:rsidRDefault="00BF6877" w:rsidP="00387175">
    <w:pPr>
      <w:jc w:val="left"/>
    </w:pPr>
  </w:p>
  <w:p w:rsidR="00BF6877" w:rsidRPr="0033525D" w:rsidRDefault="00BF6877" w:rsidP="00387175">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FD163F" w:rsidRDefault="00D10825" w:rsidP="000325DF">
    <w:pPr>
      <w:jc w:val="left"/>
      <w:rPr>
        <w:lang w:val="en-CA"/>
      </w:rPr>
    </w:pPr>
    <w:fldSimple w:instr=" DOCPROPERTY &quot;Document number&quot;  \* MERGEFORMAT ">
      <w:r w:rsidR="00BF6877">
        <w:rPr>
          <w:lang w:val="en-CA"/>
        </w:rPr>
        <w:t>PNUE</w:t>
      </w:r>
      <w:r w:rsidR="00BF6877" w:rsidRPr="00DF55EF">
        <w:rPr>
          <w:lang w:val="en-CA"/>
        </w:rPr>
        <w:t>/OzL.Pro/ExCom/83/22</w:t>
      </w:r>
    </w:fldSimple>
  </w:p>
  <w:p w:rsidR="00BF6877" w:rsidRPr="0033525D" w:rsidRDefault="00BF6877" w:rsidP="00387175">
    <w:pPr>
      <w:jc w:val="left"/>
    </w:pPr>
  </w:p>
  <w:p w:rsidR="00BF6877" w:rsidRPr="0033525D" w:rsidRDefault="00BF6877" w:rsidP="00387175">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rsidP="000325DF">
    <w:pPr>
      <w:jc w:val="right"/>
    </w:pPr>
    <w:fldSimple w:instr=" DOCPROPERTY &quot;Document number&quot;  \* MERGEFORMAT ">
      <w:r w:rsidR="00BF6877">
        <w:t>UNEP/OzL.Pro/ExCom/83/22</w:t>
      </w:r>
    </w:fldSimple>
  </w:p>
  <w:p w:rsidR="00BF6877" w:rsidRDefault="00BF6877">
    <w:pPr>
      <w:jc w:val="right"/>
    </w:pPr>
  </w:p>
  <w:p w:rsidR="00BF6877" w:rsidRDefault="00BF687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rsidP="00D26EF9">
    <w:pPr>
      <w:jc w:val="right"/>
    </w:pPr>
    <w:fldSimple w:instr=" DOCPROPERTY  &quot;Document number&quot;  \* MERGEFORMAT ">
      <w:r w:rsidR="00BF6877">
        <w:t>UNEP/OzL.Pro/ExCom/83/22</w:t>
      </w:r>
    </w:fldSimple>
  </w:p>
  <w:p w:rsidR="00BF6877" w:rsidRPr="0033525D" w:rsidRDefault="00BF6877"/>
  <w:p w:rsidR="00BF6877" w:rsidRPr="0033525D" w:rsidRDefault="00BF68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 w:rsidR="00BF6877" w:rsidRPr="0033525D" w:rsidRDefault="00BF687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33525D" w:rsidRDefault="00BF6877"/>
  <w:p w:rsidR="00BF6877" w:rsidRPr="0033525D" w:rsidRDefault="00BF687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Default="00D10825" w:rsidP="00D26EF9">
    <w:pPr>
      <w:pStyle w:val="Header"/>
      <w:jc w:val="right"/>
    </w:pPr>
    <w:fldSimple w:instr=" DOCPROPERTY  &quot;Document number&quot;  \* MERGEFORMAT ">
      <w:r w:rsidR="00BF6877">
        <w:t>PNUE/OzL.Pro/ExCom/83/22</w:t>
      </w:r>
    </w:fldSimple>
  </w:p>
  <w:p w:rsidR="00BF6877" w:rsidRDefault="00BF6877">
    <w:pPr>
      <w:pStyle w:val="Header"/>
    </w:pPr>
  </w:p>
  <w:p w:rsidR="00BF6877" w:rsidRDefault="00BF687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7D4E9C" w:rsidRDefault="00D10825">
    <w:fldSimple w:instr=" DOCPROPERTY  &quot;Document number&quot;  \* MERGEFORMAT ">
      <w:r w:rsidR="00BF6877">
        <w:rPr>
          <w:bCs/>
          <w:lang w:val="en-US"/>
        </w:rPr>
        <w:t>PNUE</w:t>
      </w:r>
      <w:r w:rsidR="00BF6877" w:rsidRPr="00DF55EF">
        <w:rPr>
          <w:bCs/>
          <w:lang w:val="en-US"/>
        </w:rPr>
        <w:t>/OzL.Pro/ExCom/83/22</w:t>
      </w:r>
    </w:fldSimple>
  </w:p>
  <w:p w:rsidR="00BF6877" w:rsidRPr="007D4E9C" w:rsidRDefault="00BF687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466BFE" w:rsidRDefault="00D10825" w:rsidP="00D26EF9">
    <w:pPr>
      <w:jc w:val="right"/>
      <w:rPr>
        <w:lang w:val="en-CA"/>
      </w:rPr>
    </w:pPr>
    <w:fldSimple w:instr=" DOCPROPERTY  &quot;Document number&quot;  \* MERGEFORMAT ">
      <w:r w:rsidR="00BF6877">
        <w:rPr>
          <w:lang w:val="en-CA"/>
        </w:rPr>
        <w:t>PNUE</w:t>
      </w:r>
      <w:r w:rsidR="00BF6877" w:rsidRPr="00DF55EF">
        <w:rPr>
          <w:lang w:val="en-CA"/>
        </w:rPr>
        <w:t>/OzL.Pro/ExCom/83/22</w:t>
      </w:r>
    </w:fldSimple>
  </w:p>
  <w:p w:rsidR="00BF6877" w:rsidRDefault="00BF6877">
    <w:pPr>
      <w:pStyle w:val="Header"/>
      <w:rPr>
        <w:lang w:val="en-CA"/>
      </w:rPr>
    </w:pPr>
  </w:p>
  <w:p w:rsidR="00BF6877" w:rsidRPr="00466BFE" w:rsidRDefault="00BF6877">
    <w:pPr>
      <w:pStyle w:val="Header"/>
      <w:rPr>
        <w:lang w:val="en-CA"/>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466BFE" w:rsidRDefault="00D10825" w:rsidP="00D26EF9">
    <w:pPr>
      <w:jc w:val="right"/>
      <w:rPr>
        <w:lang w:val="en-CA"/>
      </w:rPr>
    </w:pPr>
    <w:fldSimple w:instr=" DOCPROPERTY  &quot;Document number&quot;  \* MERGEFORMAT ">
      <w:r w:rsidR="00BF6877">
        <w:rPr>
          <w:lang w:val="en-CA"/>
        </w:rPr>
        <w:t>PNUE</w:t>
      </w:r>
      <w:r w:rsidR="00BF6877" w:rsidRPr="00DF55EF">
        <w:rPr>
          <w:lang w:val="en-CA"/>
        </w:rPr>
        <w:t>/OzL.Pro/ExCom/83/22</w:t>
      </w:r>
    </w:fldSimple>
    <w:r w:rsidR="00BF6877" w:rsidRPr="00466BFE">
      <w:rPr>
        <w:lang w:val="en-CA"/>
      </w:rPr>
      <w:t xml:space="preserve"> </w:t>
    </w:r>
  </w:p>
  <w:p w:rsidR="00BF6877" w:rsidRPr="00466BFE" w:rsidRDefault="00BF6877">
    <w:pPr>
      <w:pStyle w:val="Header"/>
      <w:rPr>
        <w:lang w:val="en-CA"/>
      </w:rPr>
    </w:pPr>
  </w:p>
  <w:p w:rsidR="00BF6877" w:rsidRPr="00466BFE" w:rsidRDefault="00BF6877">
    <w:pPr>
      <w:pStyle w:val="Header"/>
      <w:rPr>
        <w:lang w:val="en-CA"/>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77" w:rsidRPr="00466BFE" w:rsidRDefault="00D10825" w:rsidP="00D26EF9">
    <w:pPr>
      <w:jc w:val="left"/>
      <w:rPr>
        <w:lang w:val="en-CA"/>
      </w:rPr>
    </w:pPr>
    <w:fldSimple w:instr=" DOCPROPERTY  &quot;Document number&quot;  \* MERGEFORMAT ">
      <w:r w:rsidR="00BF6877" w:rsidRPr="00BF6877">
        <w:rPr>
          <w:lang w:val="en-CA"/>
        </w:rPr>
        <w:t>UNEP/OzL.Pro/ExCom/83/22</w:t>
      </w:r>
    </w:fldSimple>
    <w:r w:rsidR="00BF6877" w:rsidRPr="00466BFE">
      <w:rPr>
        <w:lang w:val="en-CA"/>
      </w:rPr>
      <w:t xml:space="preserve"> </w:t>
    </w:r>
  </w:p>
  <w:p w:rsidR="00BF6877" w:rsidRPr="00466BFE" w:rsidRDefault="00BF6877" w:rsidP="00D26EF9">
    <w:pPr>
      <w:jc w:val="left"/>
      <w:rPr>
        <w:lang w:val="en-CA"/>
      </w:rPr>
    </w:pPr>
  </w:p>
  <w:p w:rsidR="00BF6877" w:rsidRPr="00466BFE" w:rsidRDefault="00BF6877">
    <w:pP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F4C8E08"/>
    <w:lvl w:ilvl="0">
      <w:start w:val="1"/>
      <w:numFmt w:val="decimal"/>
      <w:pStyle w:val="Heading1"/>
      <w:lvlText w:val="%1."/>
      <w:lvlJc w:val="left"/>
      <w:pPr>
        <w:tabs>
          <w:tab w:val="num" w:pos="142"/>
        </w:tabs>
        <w:ind w:left="142"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210384"/>
    <w:multiLevelType w:val="hybridMultilevel"/>
    <w:tmpl w:val="E0688B02"/>
    <w:lvl w:ilvl="0" w:tplc="12440258">
      <w:start w:val="1"/>
      <w:numFmt w:val="bullet"/>
      <w:lvlText w:val="*"/>
      <w:lvlJc w:val="left"/>
      <w:pPr>
        <w:ind w:left="360" w:hanging="360"/>
      </w:pPr>
      <w:rPr>
        <w:rFonts w:ascii="Times New Roman" w:hAnsi="Times New Roman" w:cs="Times New Roman" w:hint="default"/>
        <w:b w:val="0"/>
        <w:color w:val="auto"/>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4B30C78"/>
    <w:multiLevelType w:val="hybridMultilevel"/>
    <w:tmpl w:val="0526B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4A1324"/>
    <w:multiLevelType w:val="hybridMultilevel"/>
    <w:tmpl w:val="88F4796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14C5C87"/>
    <w:multiLevelType w:val="hybridMultilevel"/>
    <w:tmpl w:val="D854C6A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62C316DE"/>
    <w:multiLevelType w:val="hybridMultilevel"/>
    <w:tmpl w:val="3698F39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AD259DA"/>
    <w:multiLevelType w:val="hybridMultilevel"/>
    <w:tmpl w:val="C1BE3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23"/>
  </w:num>
  <w:num w:numId="20">
    <w:abstractNumId w:val="15"/>
  </w:num>
  <w:num w:numId="21">
    <w:abstractNumId w:val="11"/>
  </w:num>
  <w:num w:numId="22">
    <w:abstractNumId w:val="13"/>
  </w:num>
  <w:num w:numId="23">
    <w:abstractNumId w:val="22"/>
  </w:num>
  <w:num w:numId="24">
    <w:abstractNumId w:val="10"/>
  </w:num>
  <w:num w:numId="25">
    <w:abstractNumId w:val="21"/>
  </w:num>
  <w:num w:numId="26">
    <w:abstractNumId w:val="12"/>
  </w:num>
  <w:num w:numId="27">
    <w:abstractNumId w:val="19"/>
  </w:num>
  <w:num w:numId="28">
    <w:abstractNumId w:val="18"/>
  </w:num>
  <w:num w:numId="29">
    <w:abstractNumId w:val="20"/>
  </w:num>
  <w:num w:numId="30">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6D3399"/>
    <w:rsid w:val="00002FF6"/>
    <w:rsid w:val="00005758"/>
    <w:rsid w:val="00007379"/>
    <w:rsid w:val="0001150D"/>
    <w:rsid w:val="0002005B"/>
    <w:rsid w:val="00021613"/>
    <w:rsid w:val="000249DD"/>
    <w:rsid w:val="000325DF"/>
    <w:rsid w:val="00046133"/>
    <w:rsid w:val="00053099"/>
    <w:rsid w:val="00055A09"/>
    <w:rsid w:val="00060212"/>
    <w:rsid w:val="00071E26"/>
    <w:rsid w:val="000768BB"/>
    <w:rsid w:val="00076D8A"/>
    <w:rsid w:val="0008020D"/>
    <w:rsid w:val="00080360"/>
    <w:rsid w:val="00084790"/>
    <w:rsid w:val="000940D5"/>
    <w:rsid w:val="00095295"/>
    <w:rsid w:val="00097BE3"/>
    <w:rsid w:val="000A507C"/>
    <w:rsid w:val="000A787F"/>
    <w:rsid w:val="000C08D1"/>
    <w:rsid w:val="000C69FD"/>
    <w:rsid w:val="000D1338"/>
    <w:rsid w:val="000D50A0"/>
    <w:rsid w:val="000D62EF"/>
    <w:rsid w:val="000D737E"/>
    <w:rsid w:val="000F1349"/>
    <w:rsid w:val="000F2831"/>
    <w:rsid w:val="000F7AD2"/>
    <w:rsid w:val="00103EB0"/>
    <w:rsid w:val="00104BF4"/>
    <w:rsid w:val="001279D7"/>
    <w:rsid w:val="00132823"/>
    <w:rsid w:val="00132AEA"/>
    <w:rsid w:val="001354A8"/>
    <w:rsid w:val="0014774E"/>
    <w:rsid w:val="001501A5"/>
    <w:rsid w:val="001517F9"/>
    <w:rsid w:val="001716CF"/>
    <w:rsid w:val="00175077"/>
    <w:rsid w:val="001767FB"/>
    <w:rsid w:val="001810CF"/>
    <w:rsid w:val="00181884"/>
    <w:rsid w:val="00195C10"/>
    <w:rsid w:val="001A012D"/>
    <w:rsid w:val="001A070F"/>
    <w:rsid w:val="001A0A20"/>
    <w:rsid w:val="001A5231"/>
    <w:rsid w:val="001B10D4"/>
    <w:rsid w:val="001B31BF"/>
    <w:rsid w:val="001B45EC"/>
    <w:rsid w:val="001C3D0C"/>
    <w:rsid w:val="001C69F9"/>
    <w:rsid w:val="001C722B"/>
    <w:rsid w:val="001D31F4"/>
    <w:rsid w:val="001D4CE7"/>
    <w:rsid w:val="001E00EE"/>
    <w:rsid w:val="001E32FC"/>
    <w:rsid w:val="001F19C1"/>
    <w:rsid w:val="001F38F8"/>
    <w:rsid w:val="001F6F17"/>
    <w:rsid w:val="00211FEC"/>
    <w:rsid w:val="00214A8E"/>
    <w:rsid w:val="002216EF"/>
    <w:rsid w:val="002218B7"/>
    <w:rsid w:val="0022203E"/>
    <w:rsid w:val="002230A6"/>
    <w:rsid w:val="00230A1A"/>
    <w:rsid w:val="00230D07"/>
    <w:rsid w:val="00232667"/>
    <w:rsid w:val="002523C2"/>
    <w:rsid w:val="00252F0E"/>
    <w:rsid w:val="002545C6"/>
    <w:rsid w:val="00260E33"/>
    <w:rsid w:val="0026316C"/>
    <w:rsid w:val="00265AF0"/>
    <w:rsid w:val="002748AC"/>
    <w:rsid w:val="00283D18"/>
    <w:rsid w:val="00293133"/>
    <w:rsid w:val="002950EB"/>
    <w:rsid w:val="002950F0"/>
    <w:rsid w:val="002A4FC3"/>
    <w:rsid w:val="002B5C0B"/>
    <w:rsid w:val="002B7FD8"/>
    <w:rsid w:val="002C1389"/>
    <w:rsid w:val="002C451C"/>
    <w:rsid w:val="002D2C0B"/>
    <w:rsid w:val="002D2C34"/>
    <w:rsid w:val="002D6976"/>
    <w:rsid w:val="002E0F1E"/>
    <w:rsid w:val="002F0B57"/>
    <w:rsid w:val="002F108D"/>
    <w:rsid w:val="002F155D"/>
    <w:rsid w:val="002F66FA"/>
    <w:rsid w:val="002F6D48"/>
    <w:rsid w:val="003014CD"/>
    <w:rsid w:val="0031390F"/>
    <w:rsid w:val="00316FD8"/>
    <w:rsid w:val="003226E4"/>
    <w:rsid w:val="00324A34"/>
    <w:rsid w:val="00325FA0"/>
    <w:rsid w:val="00335D11"/>
    <w:rsid w:val="00343CE4"/>
    <w:rsid w:val="00350E4F"/>
    <w:rsid w:val="00352A3F"/>
    <w:rsid w:val="0036650B"/>
    <w:rsid w:val="00381D85"/>
    <w:rsid w:val="00382F40"/>
    <w:rsid w:val="003834C0"/>
    <w:rsid w:val="00387175"/>
    <w:rsid w:val="00387A9A"/>
    <w:rsid w:val="0039028A"/>
    <w:rsid w:val="00393F6B"/>
    <w:rsid w:val="00394074"/>
    <w:rsid w:val="003A0EEB"/>
    <w:rsid w:val="003A499A"/>
    <w:rsid w:val="003A79A0"/>
    <w:rsid w:val="003B202B"/>
    <w:rsid w:val="003B2CAC"/>
    <w:rsid w:val="003E4959"/>
    <w:rsid w:val="003E4C4F"/>
    <w:rsid w:val="003F747F"/>
    <w:rsid w:val="00441083"/>
    <w:rsid w:val="004457CB"/>
    <w:rsid w:val="00451B0C"/>
    <w:rsid w:val="00457823"/>
    <w:rsid w:val="00470361"/>
    <w:rsid w:val="0047514A"/>
    <w:rsid w:val="004822BF"/>
    <w:rsid w:val="00483CCD"/>
    <w:rsid w:val="00485703"/>
    <w:rsid w:val="004922C3"/>
    <w:rsid w:val="0049740F"/>
    <w:rsid w:val="004A0974"/>
    <w:rsid w:val="004A1AF6"/>
    <w:rsid w:val="004A2F4C"/>
    <w:rsid w:val="004A6418"/>
    <w:rsid w:val="004A6828"/>
    <w:rsid w:val="004B666A"/>
    <w:rsid w:val="004C2C87"/>
    <w:rsid w:val="004C4937"/>
    <w:rsid w:val="004D1673"/>
    <w:rsid w:val="004E0510"/>
    <w:rsid w:val="004E1A20"/>
    <w:rsid w:val="004E3A36"/>
    <w:rsid w:val="004E617B"/>
    <w:rsid w:val="004E6D59"/>
    <w:rsid w:val="004F0823"/>
    <w:rsid w:val="004F182E"/>
    <w:rsid w:val="004F7ADB"/>
    <w:rsid w:val="00502C24"/>
    <w:rsid w:val="00504625"/>
    <w:rsid w:val="00510789"/>
    <w:rsid w:val="00510E9D"/>
    <w:rsid w:val="0052338F"/>
    <w:rsid w:val="005237D9"/>
    <w:rsid w:val="0052508A"/>
    <w:rsid w:val="0052712E"/>
    <w:rsid w:val="00527931"/>
    <w:rsid w:val="005302FC"/>
    <w:rsid w:val="005417A8"/>
    <w:rsid w:val="00542065"/>
    <w:rsid w:val="0055474B"/>
    <w:rsid w:val="00572798"/>
    <w:rsid w:val="0058010B"/>
    <w:rsid w:val="00580C6A"/>
    <w:rsid w:val="0058472B"/>
    <w:rsid w:val="005901C1"/>
    <w:rsid w:val="005950FA"/>
    <w:rsid w:val="005A3CE2"/>
    <w:rsid w:val="005A6A81"/>
    <w:rsid w:val="005A6C23"/>
    <w:rsid w:val="005C2D6A"/>
    <w:rsid w:val="00605093"/>
    <w:rsid w:val="00614F6B"/>
    <w:rsid w:val="00616B46"/>
    <w:rsid w:val="00621397"/>
    <w:rsid w:val="006267D0"/>
    <w:rsid w:val="006351FC"/>
    <w:rsid w:val="00637A8F"/>
    <w:rsid w:val="0064405D"/>
    <w:rsid w:val="00646A93"/>
    <w:rsid w:val="006572C0"/>
    <w:rsid w:val="00662ED1"/>
    <w:rsid w:val="00667145"/>
    <w:rsid w:val="006767C5"/>
    <w:rsid w:val="0068229A"/>
    <w:rsid w:val="00682981"/>
    <w:rsid w:val="006851F6"/>
    <w:rsid w:val="00690416"/>
    <w:rsid w:val="00697AF1"/>
    <w:rsid w:val="006A12E1"/>
    <w:rsid w:val="006D3399"/>
    <w:rsid w:val="006E1CB9"/>
    <w:rsid w:val="006E7977"/>
    <w:rsid w:val="006F1CF0"/>
    <w:rsid w:val="006F76DF"/>
    <w:rsid w:val="007034FA"/>
    <w:rsid w:val="00720696"/>
    <w:rsid w:val="00723994"/>
    <w:rsid w:val="00733306"/>
    <w:rsid w:val="0073505F"/>
    <w:rsid w:val="00743D99"/>
    <w:rsid w:val="00750BD0"/>
    <w:rsid w:val="0075750B"/>
    <w:rsid w:val="00764004"/>
    <w:rsid w:val="00765177"/>
    <w:rsid w:val="007724FA"/>
    <w:rsid w:val="00772DB5"/>
    <w:rsid w:val="007738F0"/>
    <w:rsid w:val="00777EC9"/>
    <w:rsid w:val="00782639"/>
    <w:rsid w:val="00791BF7"/>
    <w:rsid w:val="007A4DBF"/>
    <w:rsid w:val="007A6DB7"/>
    <w:rsid w:val="007A7142"/>
    <w:rsid w:val="007A7944"/>
    <w:rsid w:val="007B165C"/>
    <w:rsid w:val="007B1FF8"/>
    <w:rsid w:val="007B6A35"/>
    <w:rsid w:val="007D2C9E"/>
    <w:rsid w:val="007F0311"/>
    <w:rsid w:val="007F5115"/>
    <w:rsid w:val="00802F71"/>
    <w:rsid w:val="00803F9F"/>
    <w:rsid w:val="0080736A"/>
    <w:rsid w:val="00813533"/>
    <w:rsid w:val="008158B2"/>
    <w:rsid w:val="00832A0F"/>
    <w:rsid w:val="00837B0C"/>
    <w:rsid w:val="008430DA"/>
    <w:rsid w:val="00844AF6"/>
    <w:rsid w:val="008450A6"/>
    <w:rsid w:val="00846324"/>
    <w:rsid w:val="0085675A"/>
    <w:rsid w:val="00870603"/>
    <w:rsid w:val="00872A2F"/>
    <w:rsid w:val="00873769"/>
    <w:rsid w:val="00874624"/>
    <w:rsid w:val="00884920"/>
    <w:rsid w:val="008A1431"/>
    <w:rsid w:val="008A2445"/>
    <w:rsid w:val="008A7ACB"/>
    <w:rsid w:val="008B726B"/>
    <w:rsid w:val="008C29AC"/>
    <w:rsid w:val="008D5B5F"/>
    <w:rsid w:val="008F0C6D"/>
    <w:rsid w:val="00901C10"/>
    <w:rsid w:val="00903152"/>
    <w:rsid w:val="0090348E"/>
    <w:rsid w:val="00905638"/>
    <w:rsid w:val="00910666"/>
    <w:rsid w:val="0091161A"/>
    <w:rsid w:val="00913F11"/>
    <w:rsid w:val="00921BDE"/>
    <w:rsid w:val="00921C74"/>
    <w:rsid w:val="0092306A"/>
    <w:rsid w:val="00934B3A"/>
    <w:rsid w:val="00940415"/>
    <w:rsid w:val="00941F15"/>
    <w:rsid w:val="009436AC"/>
    <w:rsid w:val="00945536"/>
    <w:rsid w:val="009475F5"/>
    <w:rsid w:val="009510E6"/>
    <w:rsid w:val="0095112A"/>
    <w:rsid w:val="00957FE2"/>
    <w:rsid w:val="00962539"/>
    <w:rsid w:val="009713B7"/>
    <w:rsid w:val="00976A64"/>
    <w:rsid w:val="009779EC"/>
    <w:rsid w:val="009826CA"/>
    <w:rsid w:val="009827D2"/>
    <w:rsid w:val="00986C95"/>
    <w:rsid w:val="0099268B"/>
    <w:rsid w:val="00993F7A"/>
    <w:rsid w:val="009A23FD"/>
    <w:rsid w:val="009A5180"/>
    <w:rsid w:val="009A5740"/>
    <w:rsid w:val="009A6A82"/>
    <w:rsid w:val="009B07E6"/>
    <w:rsid w:val="009C0FC6"/>
    <w:rsid w:val="009C26C0"/>
    <w:rsid w:val="009C7324"/>
    <w:rsid w:val="009D1F46"/>
    <w:rsid w:val="009D5338"/>
    <w:rsid w:val="009E79C6"/>
    <w:rsid w:val="009F0E9F"/>
    <w:rsid w:val="009F3BCC"/>
    <w:rsid w:val="009F5E40"/>
    <w:rsid w:val="009F6106"/>
    <w:rsid w:val="00A17B5D"/>
    <w:rsid w:val="00A250FD"/>
    <w:rsid w:val="00A3290C"/>
    <w:rsid w:val="00A32A46"/>
    <w:rsid w:val="00A3722E"/>
    <w:rsid w:val="00A400A6"/>
    <w:rsid w:val="00A40269"/>
    <w:rsid w:val="00A44429"/>
    <w:rsid w:val="00A7575F"/>
    <w:rsid w:val="00AA30E6"/>
    <w:rsid w:val="00AA49F6"/>
    <w:rsid w:val="00AA6E77"/>
    <w:rsid w:val="00AB61C9"/>
    <w:rsid w:val="00AC27D1"/>
    <w:rsid w:val="00AD0203"/>
    <w:rsid w:val="00AE1617"/>
    <w:rsid w:val="00AE63A6"/>
    <w:rsid w:val="00AE63D8"/>
    <w:rsid w:val="00AF2593"/>
    <w:rsid w:val="00B00A6E"/>
    <w:rsid w:val="00B03403"/>
    <w:rsid w:val="00B11351"/>
    <w:rsid w:val="00B17CCB"/>
    <w:rsid w:val="00B20702"/>
    <w:rsid w:val="00B33582"/>
    <w:rsid w:val="00B4355E"/>
    <w:rsid w:val="00B52AE8"/>
    <w:rsid w:val="00B53B89"/>
    <w:rsid w:val="00B53D8B"/>
    <w:rsid w:val="00B57E67"/>
    <w:rsid w:val="00B615C2"/>
    <w:rsid w:val="00B62EB8"/>
    <w:rsid w:val="00B66E3F"/>
    <w:rsid w:val="00B67AA6"/>
    <w:rsid w:val="00B70069"/>
    <w:rsid w:val="00B811F2"/>
    <w:rsid w:val="00B84F94"/>
    <w:rsid w:val="00B86701"/>
    <w:rsid w:val="00B939C1"/>
    <w:rsid w:val="00BA1275"/>
    <w:rsid w:val="00BA24D6"/>
    <w:rsid w:val="00BA42C0"/>
    <w:rsid w:val="00BB4D0D"/>
    <w:rsid w:val="00BB7CCB"/>
    <w:rsid w:val="00BC3C7D"/>
    <w:rsid w:val="00BD2F3B"/>
    <w:rsid w:val="00BD30CC"/>
    <w:rsid w:val="00BD6EAB"/>
    <w:rsid w:val="00BF6877"/>
    <w:rsid w:val="00BF7D63"/>
    <w:rsid w:val="00C0522C"/>
    <w:rsid w:val="00C05580"/>
    <w:rsid w:val="00C07132"/>
    <w:rsid w:val="00C1026B"/>
    <w:rsid w:val="00C137DA"/>
    <w:rsid w:val="00C17EE0"/>
    <w:rsid w:val="00C219DB"/>
    <w:rsid w:val="00C2293E"/>
    <w:rsid w:val="00C33DEB"/>
    <w:rsid w:val="00C358B5"/>
    <w:rsid w:val="00C37FA9"/>
    <w:rsid w:val="00C40670"/>
    <w:rsid w:val="00C420BC"/>
    <w:rsid w:val="00C56077"/>
    <w:rsid w:val="00C567EA"/>
    <w:rsid w:val="00C57557"/>
    <w:rsid w:val="00C6443E"/>
    <w:rsid w:val="00C64530"/>
    <w:rsid w:val="00C7194D"/>
    <w:rsid w:val="00C77C84"/>
    <w:rsid w:val="00C80221"/>
    <w:rsid w:val="00C95F0F"/>
    <w:rsid w:val="00CA0808"/>
    <w:rsid w:val="00CA0C15"/>
    <w:rsid w:val="00CB2326"/>
    <w:rsid w:val="00CB276A"/>
    <w:rsid w:val="00CB51B2"/>
    <w:rsid w:val="00CC4CFB"/>
    <w:rsid w:val="00CD1A8F"/>
    <w:rsid w:val="00CD72DB"/>
    <w:rsid w:val="00CE151F"/>
    <w:rsid w:val="00CE3416"/>
    <w:rsid w:val="00CE4AC4"/>
    <w:rsid w:val="00CE4AD8"/>
    <w:rsid w:val="00CE7FEC"/>
    <w:rsid w:val="00CF1418"/>
    <w:rsid w:val="00D002F4"/>
    <w:rsid w:val="00D03416"/>
    <w:rsid w:val="00D0376A"/>
    <w:rsid w:val="00D05BD1"/>
    <w:rsid w:val="00D10825"/>
    <w:rsid w:val="00D11A65"/>
    <w:rsid w:val="00D15079"/>
    <w:rsid w:val="00D15A2F"/>
    <w:rsid w:val="00D211C8"/>
    <w:rsid w:val="00D21823"/>
    <w:rsid w:val="00D26EF9"/>
    <w:rsid w:val="00D26FF6"/>
    <w:rsid w:val="00D37BFE"/>
    <w:rsid w:val="00D40CEA"/>
    <w:rsid w:val="00D47B9E"/>
    <w:rsid w:val="00D50B9A"/>
    <w:rsid w:val="00D52FCE"/>
    <w:rsid w:val="00D535F6"/>
    <w:rsid w:val="00D554C4"/>
    <w:rsid w:val="00D64C02"/>
    <w:rsid w:val="00D720BA"/>
    <w:rsid w:val="00D77FEB"/>
    <w:rsid w:val="00D87C7D"/>
    <w:rsid w:val="00D90F32"/>
    <w:rsid w:val="00DA2788"/>
    <w:rsid w:val="00DB6962"/>
    <w:rsid w:val="00DB7C5D"/>
    <w:rsid w:val="00DC23B2"/>
    <w:rsid w:val="00DC24B6"/>
    <w:rsid w:val="00DC2912"/>
    <w:rsid w:val="00DC527F"/>
    <w:rsid w:val="00DD185D"/>
    <w:rsid w:val="00DE118B"/>
    <w:rsid w:val="00DE369D"/>
    <w:rsid w:val="00DE451B"/>
    <w:rsid w:val="00DF3D2F"/>
    <w:rsid w:val="00DF76A8"/>
    <w:rsid w:val="00E00F98"/>
    <w:rsid w:val="00E06684"/>
    <w:rsid w:val="00E110C3"/>
    <w:rsid w:val="00E11713"/>
    <w:rsid w:val="00E13E5C"/>
    <w:rsid w:val="00E54871"/>
    <w:rsid w:val="00E60D9C"/>
    <w:rsid w:val="00E6199D"/>
    <w:rsid w:val="00E71388"/>
    <w:rsid w:val="00E74548"/>
    <w:rsid w:val="00E74843"/>
    <w:rsid w:val="00E81764"/>
    <w:rsid w:val="00E842CA"/>
    <w:rsid w:val="00E8637D"/>
    <w:rsid w:val="00E86947"/>
    <w:rsid w:val="00E948D2"/>
    <w:rsid w:val="00E94F4A"/>
    <w:rsid w:val="00E97BAC"/>
    <w:rsid w:val="00EA12DE"/>
    <w:rsid w:val="00EA1D72"/>
    <w:rsid w:val="00EB068A"/>
    <w:rsid w:val="00EB64A9"/>
    <w:rsid w:val="00EB650F"/>
    <w:rsid w:val="00EC0327"/>
    <w:rsid w:val="00EC100C"/>
    <w:rsid w:val="00EC3CCA"/>
    <w:rsid w:val="00ED22D1"/>
    <w:rsid w:val="00ED7DBE"/>
    <w:rsid w:val="00EE5061"/>
    <w:rsid w:val="00EF2597"/>
    <w:rsid w:val="00F00D2D"/>
    <w:rsid w:val="00F0194A"/>
    <w:rsid w:val="00F12D89"/>
    <w:rsid w:val="00F206F2"/>
    <w:rsid w:val="00F26A58"/>
    <w:rsid w:val="00F320D6"/>
    <w:rsid w:val="00F327B2"/>
    <w:rsid w:val="00F34096"/>
    <w:rsid w:val="00F35FCC"/>
    <w:rsid w:val="00F37A42"/>
    <w:rsid w:val="00F45B87"/>
    <w:rsid w:val="00F51720"/>
    <w:rsid w:val="00F5397E"/>
    <w:rsid w:val="00F5455E"/>
    <w:rsid w:val="00F54BD3"/>
    <w:rsid w:val="00F557F5"/>
    <w:rsid w:val="00F72AF7"/>
    <w:rsid w:val="00F73F1B"/>
    <w:rsid w:val="00F76215"/>
    <w:rsid w:val="00F764BB"/>
    <w:rsid w:val="00F90AF2"/>
    <w:rsid w:val="00F90E40"/>
    <w:rsid w:val="00F93F14"/>
    <w:rsid w:val="00F9643B"/>
    <w:rsid w:val="00F96C70"/>
    <w:rsid w:val="00F9745C"/>
    <w:rsid w:val="00FB1DC4"/>
    <w:rsid w:val="00FB46BE"/>
    <w:rsid w:val="00FC289E"/>
    <w:rsid w:val="00FC5578"/>
    <w:rsid w:val="00FD22FE"/>
    <w:rsid w:val="00FD51A8"/>
    <w:rsid w:val="00FD6147"/>
    <w:rsid w:val="00FE194D"/>
    <w:rsid w:val="00FE308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5C9A4CF9-DCF4-424D-9546-69855CFC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95"/>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095295"/>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095295"/>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095295"/>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095295"/>
    <w:pPr>
      <w:keepNext/>
      <w:numPr>
        <w:ilvl w:val="3"/>
        <w:numId w:val="1"/>
      </w:numPr>
      <w:spacing w:before="240" w:after="60"/>
      <w:outlineLvl w:val="3"/>
    </w:pPr>
  </w:style>
  <w:style w:type="paragraph" w:styleId="Heading5">
    <w:name w:val="heading 5"/>
    <w:basedOn w:val="Normal"/>
    <w:next w:val="Normal"/>
    <w:qFormat/>
    <w:rsid w:val="00095295"/>
    <w:pPr>
      <w:keepNext/>
      <w:numPr>
        <w:numId w:val="20"/>
      </w:numPr>
      <w:spacing w:after="240"/>
      <w:ind w:left="3600" w:hanging="720"/>
      <w:outlineLvl w:val="4"/>
    </w:pPr>
  </w:style>
  <w:style w:type="paragraph" w:styleId="Heading6">
    <w:name w:val="heading 6"/>
    <w:basedOn w:val="Normal"/>
    <w:next w:val="Normal"/>
    <w:qFormat/>
    <w:rsid w:val="00095295"/>
    <w:pPr>
      <w:numPr>
        <w:ilvl w:val="5"/>
        <w:numId w:val="1"/>
      </w:numPr>
      <w:spacing w:before="240" w:after="60"/>
      <w:outlineLvl w:val="5"/>
    </w:pPr>
    <w:rPr>
      <w:rFonts w:ascii="Arial" w:hAnsi="Arial"/>
      <w:i/>
    </w:rPr>
  </w:style>
  <w:style w:type="paragraph" w:styleId="Heading7">
    <w:name w:val="heading 7"/>
    <w:basedOn w:val="Normal"/>
    <w:next w:val="Normal"/>
    <w:qFormat/>
    <w:rsid w:val="00095295"/>
    <w:pPr>
      <w:numPr>
        <w:ilvl w:val="6"/>
        <w:numId w:val="1"/>
      </w:numPr>
      <w:spacing w:before="240" w:after="60"/>
      <w:outlineLvl w:val="6"/>
    </w:pPr>
    <w:rPr>
      <w:rFonts w:ascii="Arial" w:hAnsi="Arial"/>
    </w:rPr>
  </w:style>
  <w:style w:type="paragraph" w:styleId="Heading8">
    <w:name w:val="heading 8"/>
    <w:basedOn w:val="Normal"/>
    <w:next w:val="Normal"/>
    <w:qFormat/>
    <w:rsid w:val="00095295"/>
    <w:pPr>
      <w:outlineLvl w:val="7"/>
    </w:pPr>
    <w:rPr>
      <w:b/>
    </w:rPr>
  </w:style>
  <w:style w:type="paragraph" w:styleId="Heading9">
    <w:name w:val="heading 9"/>
    <w:basedOn w:val="Normal"/>
    <w:next w:val="Normal"/>
    <w:qFormat/>
    <w:rsid w:val="0009529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95295"/>
    <w:pPr>
      <w:numPr>
        <w:numId w:val="16"/>
      </w:numPr>
    </w:pPr>
  </w:style>
  <w:style w:type="paragraph" w:styleId="Header">
    <w:name w:val="header"/>
    <w:basedOn w:val="Normal"/>
    <w:link w:val="HeaderChar"/>
    <w:rsid w:val="00095295"/>
    <w:pPr>
      <w:tabs>
        <w:tab w:val="center" w:pos="4320"/>
        <w:tab w:val="right" w:pos="8640"/>
      </w:tabs>
    </w:pPr>
  </w:style>
  <w:style w:type="paragraph" w:customStyle="1" w:styleId="sub-title">
    <w:name w:val="sub-title"/>
    <w:rsid w:val="00095295"/>
    <w:pPr>
      <w:jc w:val="both"/>
      <w:outlineLvl w:val="0"/>
    </w:pPr>
    <w:rPr>
      <w:b/>
      <w:noProof/>
      <w:sz w:val="22"/>
      <w:szCs w:val="22"/>
    </w:rPr>
  </w:style>
  <w:style w:type="paragraph" w:customStyle="1" w:styleId="Title1">
    <w:name w:val="Title1"/>
    <w:rsid w:val="00095295"/>
    <w:pPr>
      <w:jc w:val="center"/>
      <w:outlineLvl w:val="0"/>
    </w:pPr>
    <w:rPr>
      <w:b/>
      <w:caps/>
      <w:sz w:val="22"/>
      <w:szCs w:val="22"/>
      <w:lang w:val="en-GB"/>
    </w:rPr>
  </w:style>
  <w:style w:type="paragraph" w:customStyle="1" w:styleId="Decision">
    <w:name w:val="Decision"/>
    <w:basedOn w:val="Normal"/>
    <w:rsid w:val="00095295"/>
    <w:pPr>
      <w:keepLines/>
      <w:jc w:val="right"/>
    </w:pPr>
    <w:rPr>
      <w:b/>
    </w:rPr>
  </w:style>
  <w:style w:type="paragraph" w:customStyle="1" w:styleId="0Heading0">
    <w:name w:val="0 Heading 0"/>
    <w:rsid w:val="00095295"/>
    <w:rPr>
      <w:sz w:val="22"/>
      <w:szCs w:val="22"/>
      <w:lang w:val="en-GB"/>
    </w:rPr>
  </w:style>
  <w:style w:type="paragraph" w:styleId="Footer">
    <w:name w:val="footer"/>
    <w:basedOn w:val="Normal"/>
    <w:link w:val="FooterChar"/>
    <w:uiPriority w:val="99"/>
    <w:rsid w:val="00095295"/>
    <w:pPr>
      <w:tabs>
        <w:tab w:val="center" w:pos="4320"/>
        <w:tab w:val="right" w:pos="8640"/>
      </w:tabs>
    </w:pPr>
  </w:style>
  <w:style w:type="numbering" w:styleId="1ai">
    <w:name w:val="Outline List 1"/>
    <w:basedOn w:val="NoList"/>
    <w:semiHidden/>
    <w:rsid w:val="00095295"/>
    <w:pPr>
      <w:numPr>
        <w:numId w:val="17"/>
      </w:numPr>
    </w:pPr>
  </w:style>
  <w:style w:type="numbering" w:styleId="ArticleSection">
    <w:name w:val="Outline List 3"/>
    <w:basedOn w:val="NoList"/>
    <w:semiHidden/>
    <w:rsid w:val="00095295"/>
    <w:pPr>
      <w:numPr>
        <w:numId w:val="18"/>
      </w:numPr>
    </w:pPr>
  </w:style>
  <w:style w:type="paragraph" w:styleId="BlockText">
    <w:name w:val="Block Text"/>
    <w:basedOn w:val="Normal"/>
    <w:semiHidden/>
    <w:rsid w:val="00095295"/>
    <w:pPr>
      <w:spacing w:after="120"/>
      <w:ind w:left="1440" w:right="1440"/>
    </w:pPr>
  </w:style>
  <w:style w:type="paragraph" w:styleId="BodyText3">
    <w:name w:val="Body Text 3"/>
    <w:basedOn w:val="Normal"/>
    <w:semiHidden/>
    <w:rsid w:val="00095295"/>
    <w:pPr>
      <w:spacing w:after="120"/>
    </w:pPr>
    <w:rPr>
      <w:sz w:val="16"/>
      <w:szCs w:val="16"/>
    </w:rPr>
  </w:style>
  <w:style w:type="paragraph" w:styleId="BodyTextIndent3">
    <w:name w:val="Body Text Indent 3"/>
    <w:basedOn w:val="Normal"/>
    <w:semiHidden/>
    <w:rsid w:val="00095295"/>
    <w:pPr>
      <w:spacing w:after="120"/>
      <w:ind w:left="360"/>
    </w:pPr>
    <w:rPr>
      <w:sz w:val="16"/>
      <w:szCs w:val="16"/>
    </w:rPr>
  </w:style>
  <w:style w:type="paragraph" w:styleId="PlainText">
    <w:name w:val="Plain Text"/>
    <w:basedOn w:val="Normal"/>
    <w:semiHidden/>
    <w:rsid w:val="00095295"/>
    <w:rPr>
      <w:rFonts w:ascii="Courier New" w:hAnsi="Courier New" w:cs="Courier New"/>
      <w:sz w:val="20"/>
    </w:rPr>
  </w:style>
  <w:style w:type="table" w:styleId="Table3Deffects1">
    <w:name w:val="Table 3D effects 1"/>
    <w:basedOn w:val="TableNormal"/>
    <w:semiHidden/>
    <w:rsid w:val="0009529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529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529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529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529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529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529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529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529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529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529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529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529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529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529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529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529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0952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9529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529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529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529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529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529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529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529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529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529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529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529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529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529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529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529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529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529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529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529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529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529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52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529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529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529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095295"/>
    <w:rPr>
      <w:sz w:val="22"/>
      <w:szCs w:val="22"/>
      <w:lang w:val="en-GB"/>
    </w:rPr>
  </w:style>
  <w:style w:type="paragraph" w:customStyle="1" w:styleId="Header4">
    <w:name w:val="Header4"/>
    <w:aliases w:val="Para 4"/>
    <w:basedOn w:val="Normal"/>
    <w:next w:val="Normal"/>
    <w:rsid w:val="00095295"/>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095295"/>
    <w:rPr>
      <w:sz w:val="16"/>
      <w:szCs w:val="16"/>
    </w:rPr>
  </w:style>
  <w:style w:type="paragraph" w:styleId="Subtitle">
    <w:name w:val="Subtitle"/>
    <w:basedOn w:val="Normal"/>
    <w:qFormat/>
    <w:rsid w:val="00095295"/>
    <w:pPr>
      <w:spacing w:after="60"/>
      <w:jc w:val="center"/>
      <w:outlineLvl w:val="1"/>
    </w:pPr>
    <w:rPr>
      <w:rFonts w:ascii="Arial" w:hAnsi="Arial" w:cs="Arial"/>
    </w:rPr>
  </w:style>
  <w:style w:type="paragraph" w:styleId="Title">
    <w:name w:val="Title"/>
    <w:basedOn w:val="Normal"/>
    <w:qFormat/>
    <w:rsid w:val="00095295"/>
    <w:pPr>
      <w:spacing w:before="240" w:after="60"/>
      <w:jc w:val="center"/>
      <w:outlineLvl w:val="0"/>
    </w:pPr>
    <w:rPr>
      <w:rFonts w:ascii="Arial" w:hAnsi="Arial" w:cs="Arial"/>
      <w:b/>
      <w:bCs/>
      <w:kern w:val="28"/>
    </w:rPr>
  </w:style>
  <w:style w:type="paragraph" w:styleId="Date">
    <w:name w:val="Date"/>
    <w:basedOn w:val="Normal"/>
    <w:next w:val="Normal"/>
    <w:rsid w:val="00095295"/>
  </w:style>
  <w:style w:type="character" w:styleId="PlaceholderText">
    <w:name w:val="Placeholder Text"/>
    <w:basedOn w:val="DefaultParagraphFont"/>
    <w:uiPriority w:val="99"/>
    <w:semiHidden/>
    <w:rsid w:val="00095295"/>
    <w:rPr>
      <w:color w:val="808080"/>
    </w:rPr>
  </w:style>
  <w:style w:type="paragraph" w:styleId="BalloonText">
    <w:name w:val="Balloon Text"/>
    <w:basedOn w:val="Normal"/>
    <w:link w:val="BalloonTextChar"/>
    <w:uiPriority w:val="99"/>
    <w:semiHidden/>
    <w:unhideWhenUsed/>
    <w:rsid w:val="00095295"/>
    <w:rPr>
      <w:rFonts w:ascii="Tahoma" w:hAnsi="Tahoma" w:cs="Tahoma"/>
      <w:sz w:val="16"/>
      <w:szCs w:val="16"/>
    </w:rPr>
  </w:style>
  <w:style w:type="character" w:customStyle="1" w:styleId="BalloonTextChar">
    <w:name w:val="Balloon Text Char"/>
    <w:basedOn w:val="DefaultParagraphFont"/>
    <w:link w:val="BalloonText"/>
    <w:uiPriority w:val="99"/>
    <w:semiHidden/>
    <w:rsid w:val="00095295"/>
    <w:rPr>
      <w:rFonts w:ascii="Tahoma" w:hAnsi="Tahoma" w:cs="Tahoma"/>
      <w:sz w:val="16"/>
      <w:szCs w:val="16"/>
      <w:lang w:val="en-GB"/>
    </w:rPr>
  </w:style>
  <w:style w:type="paragraph" w:styleId="CommentText">
    <w:name w:val="annotation text"/>
    <w:basedOn w:val="Normal"/>
    <w:link w:val="CommentTextChar"/>
    <w:uiPriority w:val="99"/>
    <w:semiHidden/>
    <w:unhideWhenUsed/>
    <w:rsid w:val="00095295"/>
    <w:rPr>
      <w:sz w:val="20"/>
      <w:szCs w:val="20"/>
    </w:rPr>
  </w:style>
  <w:style w:type="character" w:customStyle="1" w:styleId="CommentTextChar">
    <w:name w:val="Comment Text Char"/>
    <w:basedOn w:val="DefaultParagraphFont"/>
    <w:link w:val="CommentText"/>
    <w:uiPriority w:val="99"/>
    <w:semiHidden/>
    <w:rsid w:val="00095295"/>
    <w:rPr>
      <w:lang w:val="en-GB"/>
    </w:rPr>
  </w:style>
  <w:style w:type="paragraph" w:styleId="CommentSubject">
    <w:name w:val="annotation subject"/>
    <w:basedOn w:val="CommentText"/>
    <w:next w:val="CommentText"/>
    <w:link w:val="CommentSubjectChar"/>
    <w:uiPriority w:val="99"/>
    <w:semiHidden/>
    <w:unhideWhenUsed/>
    <w:rsid w:val="00095295"/>
    <w:rPr>
      <w:b/>
      <w:bCs/>
    </w:rPr>
  </w:style>
  <w:style w:type="character" w:customStyle="1" w:styleId="CommentSubjectChar">
    <w:name w:val="Comment Subject Char"/>
    <w:basedOn w:val="CommentTextChar"/>
    <w:link w:val="CommentSubject"/>
    <w:uiPriority w:val="99"/>
    <w:semiHidden/>
    <w:rsid w:val="00095295"/>
    <w:rPr>
      <w:b/>
      <w:bCs/>
      <w:lang w:val="en-GB"/>
    </w:rPr>
  </w:style>
  <w:style w:type="paragraph" w:customStyle="1" w:styleId="StyleHeader4Para4Left0Firstline0">
    <w:name w:val="Style Header4Para 4 + Left:  0&quot; First line:  0&quot;"/>
    <w:basedOn w:val="Header4"/>
    <w:rsid w:val="00095295"/>
    <w:pPr>
      <w:ind w:left="0" w:firstLine="0"/>
    </w:pPr>
    <w:rPr>
      <w:sz w:val="20"/>
    </w:rPr>
  </w:style>
  <w:style w:type="paragraph" w:customStyle="1" w:styleId="StyleHeading1Para1Heading1CharHeading1Char3CharHeadin">
    <w:name w:val="Style Heading 1Para (1)Heading 1 CharHeading 1 Char3 CharHeadin..."/>
    <w:basedOn w:val="Heading1"/>
    <w:rsid w:val="00095295"/>
    <w:pPr>
      <w:numPr>
        <w:numId w:val="0"/>
      </w:numPr>
      <w:tabs>
        <w:tab w:val="left" w:pos="720"/>
      </w:tabs>
    </w:pPr>
    <w:rPr>
      <w:szCs w:val="20"/>
    </w:rPr>
  </w:style>
  <w:style w:type="character" w:customStyle="1" w:styleId="FooterChar">
    <w:name w:val="Footer Char"/>
    <w:basedOn w:val="DefaultParagraphFont"/>
    <w:link w:val="Footer"/>
    <w:uiPriority w:val="99"/>
    <w:rsid w:val="00095295"/>
    <w:rPr>
      <w:sz w:val="22"/>
      <w:szCs w:val="22"/>
      <w:lang w:val="en-GB"/>
    </w:rPr>
  </w:style>
  <w:style w:type="paragraph" w:styleId="ListParagraph">
    <w:name w:val="List Paragraph"/>
    <w:basedOn w:val="Normal"/>
    <w:uiPriority w:val="34"/>
    <w:qFormat/>
    <w:rsid w:val="0085675A"/>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5675A"/>
    <w:rPr>
      <w:sz w:val="22"/>
      <w:szCs w:val="22"/>
      <w:lang w:val="en-GB"/>
    </w:rPr>
  </w:style>
  <w:style w:type="paragraph" w:customStyle="1" w:styleId="Projecthead">
    <w:name w:val="Project head"/>
    <w:basedOn w:val="Normal"/>
    <w:qFormat/>
    <w:rsid w:val="0085675A"/>
    <w:pPr>
      <w:spacing w:after="240" w:line="360" w:lineRule="auto"/>
      <w:jc w:val="left"/>
    </w:pPr>
    <w:rPr>
      <w:i/>
      <w:sz w:val="24"/>
      <w:szCs w:val="24"/>
      <w:lang w:val="en-US"/>
    </w:rPr>
  </w:style>
  <w:style w:type="paragraph" w:styleId="FootnoteText">
    <w:name w:val="footnote text"/>
    <w:aliases w:val="Char1,Char1 Char Char, Char1, Char1 Char Char"/>
    <w:basedOn w:val="Normal"/>
    <w:link w:val="FootnoteTextChar"/>
    <w:uiPriority w:val="99"/>
    <w:unhideWhenUsed/>
    <w:qFormat/>
    <w:rsid w:val="0085675A"/>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85675A"/>
    <w:rPr>
      <w:lang w:val="en-GB"/>
    </w:rPr>
  </w:style>
  <w:style w:type="character" w:styleId="FootnoteReference">
    <w:name w:val="footnote reference"/>
    <w:basedOn w:val="DefaultParagraphFont"/>
    <w:uiPriority w:val="99"/>
    <w:unhideWhenUsed/>
    <w:rsid w:val="0085675A"/>
    <w:rPr>
      <w:vertAlign w:val="superscript"/>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rsid w:val="0085675A"/>
    <w:rPr>
      <w:sz w:val="22"/>
      <w:szCs w:val="22"/>
      <w:lang w:val="en-GB"/>
    </w:rPr>
  </w:style>
  <w:style w:type="character" w:customStyle="1" w:styleId="HeaderChar">
    <w:name w:val="Header Char"/>
    <w:basedOn w:val="DefaultParagraphFont"/>
    <w:link w:val="Header"/>
    <w:uiPriority w:val="99"/>
    <w:rsid w:val="0085675A"/>
    <w:rPr>
      <w:sz w:val="22"/>
      <w:szCs w:val="22"/>
      <w:lang w:val="en-GB"/>
    </w:rPr>
  </w:style>
  <w:style w:type="table" w:customStyle="1" w:styleId="TableGrid10">
    <w:name w:val="Table Grid1"/>
    <w:basedOn w:val="TableNormal"/>
    <w:next w:val="TableGrid"/>
    <w:qFormat/>
    <w:rsid w:val="00D002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qFormat/>
    <w:rsid w:val="00D002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qFormat/>
    <w:rsid w:val="00D002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qFormat/>
    <w:rsid w:val="00D002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qFormat/>
    <w:rsid w:val="00D720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qFormat/>
    <w:rsid w:val="00D720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47" Type="http://schemas.openxmlformats.org/officeDocument/2006/relationships/footer" Target="footer20.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20Descoteaux\AppData\Local\Microsoft\Windows\Temporary%20Internet%20Files\Content.Outlook\SF29SKYQ\F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UNEP/OzL.Pro/ExCom/83/22</Document_x0020_Number>
  </documentManagement>
</p:properties>
</file>

<file path=customXml/itemProps1.xml><?xml version="1.0" encoding="utf-8"?>
<ds:datastoreItem xmlns:ds="http://schemas.openxmlformats.org/officeDocument/2006/customXml" ds:itemID="{8D9E1E5B-8455-4718-8643-49BFA09CF864}"/>
</file>

<file path=customXml/itemProps2.xml><?xml version="1.0" encoding="utf-8"?>
<ds:datastoreItem xmlns:ds="http://schemas.openxmlformats.org/officeDocument/2006/customXml" ds:itemID="{F82B7120-A5CA-4341-8C19-D2CFC2B036EE}"/>
</file>

<file path=customXml/itemProps3.xml><?xml version="1.0" encoding="utf-8"?>
<ds:datastoreItem xmlns:ds="http://schemas.openxmlformats.org/officeDocument/2006/customXml" ds:itemID="{AF58C5F4-1F24-4457-8529-597D180F22B2}"/>
</file>

<file path=customXml/itemProps4.xml><?xml version="1.0" encoding="utf-8"?>
<ds:datastoreItem xmlns:ds="http://schemas.openxmlformats.org/officeDocument/2006/customXml" ds:itemID="{98B8A036-1C52-462C-9797-5D3151B979BA}"/>
</file>

<file path=docProps/app.xml><?xml version="1.0" encoding="utf-8"?>
<Properties xmlns="http://schemas.openxmlformats.org/officeDocument/2006/extended-properties" xmlns:vt="http://schemas.openxmlformats.org/officeDocument/2006/docPropsVTypes">
  <Template>F83-Template</Template>
  <TotalTime>195</TotalTime>
  <Pages>56</Pages>
  <Words>22579</Words>
  <Characters>128703</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Propositions de projects: Chine</vt:lpstr>
    </vt:vector>
  </TitlesOfParts>
  <Company>UNMFS</Company>
  <LinksUpToDate>false</LinksUpToDate>
  <CharactersWithSpaces>150981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projets: Chine</dc:title>
  <dc:creator>Diane Descoteaux</dc:creator>
  <cp:lastModifiedBy>HBE</cp:lastModifiedBy>
  <cp:revision>84</cp:revision>
  <cp:lastPrinted>2001-05-26T16:40:00Z</cp:lastPrinted>
  <dcterms:created xsi:type="dcterms:W3CDTF">2019-05-18T13:25:00Z</dcterms:created>
  <dcterms:modified xsi:type="dcterms:W3CDTF">2019-05-22T15:51:00Z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UNEP/OzL.Pro/ExCom/83/22</vt:lpwstr>
  </property>
  <property fmtid="{D5CDD505-2E9C-101B-9397-08002B2CF9AE}" pid="3" name="Revision date">
    <vt:lpwstr>5/3/2019</vt:lpwstr>
  </property>
  <property fmtid="{D5CDD505-2E9C-101B-9397-08002B2CF9AE}" pid="4" name="ContentTypeId">
    <vt:lpwstr>0x01010021E4441DB9763A4B9F4793D394AD28DA</vt:lpwstr>
  </property>
</Properties>
</file>