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4A0" w:firstRow="1" w:lastRow="0" w:firstColumn="1" w:lastColumn="0" w:noHBand="0" w:noVBand="1"/>
      </w:tblPr>
      <w:tblGrid>
        <w:gridCol w:w="2070"/>
        <w:gridCol w:w="4991"/>
        <w:gridCol w:w="3544"/>
      </w:tblGrid>
      <w:tr w:rsidR="00687557" w:rsidTr="00EF0B39">
        <w:trPr>
          <w:trHeight w:val="720"/>
        </w:trPr>
        <w:tc>
          <w:tcPr>
            <w:tcW w:w="7061" w:type="dxa"/>
            <w:gridSpan w:val="2"/>
            <w:tcBorders>
              <w:top w:val="nil"/>
              <w:left w:val="nil"/>
              <w:bottom w:val="single" w:sz="18" w:space="0" w:color="auto"/>
              <w:right w:val="nil"/>
            </w:tcBorders>
            <w:hideMark/>
          </w:tcPr>
          <w:p w:rsidR="00687557" w:rsidRDefault="0068755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rsidR="00687557" w:rsidRDefault="0068755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top w:val="nil"/>
              <w:left w:val="nil"/>
              <w:bottom w:val="single" w:sz="18" w:space="0" w:color="auto"/>
              <w:right w:val="nil"/>
            </w:tcBorders>
            <w:hideMark/>
          </w:tcPr>
          <w:p w:rsidR="00687557" w:rsidRDefault="00687557">
            <w:pPr>
              <w:tabs>
                <w:tab w:val="left" w:pos="3010"/>
              </w:tabs>
              <w:jc w:val="center"/>
              <w:rPr>
                <w:sz w:val="52"/>
                <w:szCs w:val="52"/>
              </w:rPr>
            </w:pPr>
            <w:r>
              <w:rPr>
                <w:rFonts w:ascii="Univers Bold" w:hAnsi="Univers Bold"/>
                <w:b/>
                <w:sz w:val="72"/>
              </w:rPr>
              <w:t xml:space="preserve">          EP</w:t>
            </w:r>
          </w:p>
        </w:tc>
      </w:tr>
      <w:tr w:rsidR="00687557" w:rsidTr="00EF0B39">
        <w:trPr>
          <w:trHeight w:val="2718"/>
        </w:trPr>
        <w:tc>
          <w:tcPr>
            <w:tcW w:w="2070" w:type="dxa"/>
            <w:tcBorders>
              <w:top w:val="nil"/>
              <w:left w:val="nil"/>
              <w:bottom w:val="single" w:sz="36" w:space="0" w:color="auto"/>
              <w:right w:val="nil"/>
            </w:tcBorders>
            <w:hideMark/>
          </w:tcPr>
          <w:p w:rsidR="00687557" w:rsidRDefault="00687557">
            <w:r>
              <w:rPr>
                <w:noProof/>
                <w:lang w:val="en-CA" w:eastAsia="en-CA"/>
              </w:rPr>
              <w:drawing>
                <wp:anchor distT="0" distB="0" distL="114300" distR="114300" simplePos="0" relativeHeight="251659264" behindDoc="0" locked="0" layoutInCell="1" allowOverlap="1" wp14:anchorId="1C4B1FC6" wp14:editId="237861CC">
                  <wp:simplePos x="0" y="0"/>
                  <wp:positionH relativeFrom="column">
                    <wp:posOffset>57785</wp:posOffset>
                  </wp:positionH>
                  <wp:positionV relativeFrom="paragraph">
                    <wp:posOffset>920115</wp:posOffset>
                  </wp:positionV>
                  <wp:extent cx="800100" cy="705485"/>
                  <wp:effectExtent l="0" t="0" r="0" b="0"/>
                  <wp:wrapNone/>
                  <wp:docPr id="4"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054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0288" behindDoc="1" locked="0" layoutInCell="0" allowOverlap="1" wp14:anchorId="090EBA76" wp14:editId="4A823AB3">
                  <wp:simplePos x="0" y="0"/>
                  <wp:positionH relativeFrom="column">
                    <wp:posOffset>72390</wp:posOffset>
                  </wp:positionH>
                  <wp:positionV relativeFrom="paragraph">
                    <wp:posOffset>112395</wp:posOffset>
                  </wp:positionV>
                  <wp:extent cx="760730" cy="676275"/>
                  <wp:effectExtent l="0" t="0" r="1270" b="952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730"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rsidR="00687557" w:rsidRDefault="0068755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Pr>
            </w:pPr>
          </w:p>
          <w:p w:rsidR="00687557" w:rsidRDefault="0068755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Pr>
            </w:pPr>
            <w:r>
              <w:rPr>
                <w:rFonts w:ascii="Univers" w:hAnsi="Univers"/>
                <w:b/>
                <w:sz w:val="32"/>
              </w:rPr>
              <w:t>Programme des</w:t>
            </w:r>
          </w:p>
          <w:p w:rsidR="00687557" w:rsidRDefault="00687557">
            <w:pPr>
              <w:rPr>
                <w:rFonts w:ascii="Univers" w:hAnsi="Univers"/>
                <w:b/>
                <w:sz w:val="32"/>
              </w:rPr>
            </w:pPr>
            <w:r>
              <w:rPr>
                <w:rFonts w:ascii="Univers" w:hAnsi="Univers"/>
                <w:b/>
                <w:sz w:val="32"/>
              </w:rPr>
              <w:t>Nations Unies pour</w:t>
            </w:r>
          </w:p>
          <w:p w:rsidR="00687557" w:rsidRDefault="00687557">
            <w:pPr>
              <w:rPr>
                <w:rFonts w:ascii="Univers" w:hAnsi="Univers"/>
                <w:b/>
                <w:sz w:val="32"/>
              </w:rPr>
            </w:pPr>
            <w:proofErr w:type="gramStart"/>
            <w:r>
              <w:rPr>
                <w:rFonts w:ascii="Univers" w:hAnsi="Univers"/>
                <w:b/>
                <w:sz w:val="32"/>
              </w:rPr>
              <w:t>l</w:t>
            </w:r>
            <w:r w:rsidR="00904A53">
              <w:rPr>
                <w:rFonts w:ascii="Univers" w:hAnsi="Univers"/>
                <w:b/>
                <w:sz w:val="32"/>
              </w:rPr>
              <w:t>’</w:t>
            </w:r>
            <w:r>
              <w:rPr>
                <w:rFonts w:ascii="Univers" w:hAnsi="Univers"/>
                <w:b/>
                <w:sz w:val="32"/>
              </w:rPr>
              <w:t>environnement</w:t>
            </w:r>
            <w:proofErr w:type="gramEnd"/>
          </w:p>
          <w:p w:rsidR="00687557" w:rsidRDefault="00687557">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rsidR="00687557" w:rsidRDefault="00687557">
            <w:pPr>
              <w:rPr>
                <w:lang w:val="fr-FR"/>
              </w:rPr>
            </w:pPr>
          </w:p>
          <w:p w:rsidR="00687557" w:rsidRDefault="00687557">
            <w:pPr>
              <w:rPr>
                <w:lang w:val="en-CA"/>
              </w:rPr>
            </w:pPr>
            <w:r>
              <w:rPr>
                <w:lang w:val="en-CA"/>
              </w:rPr>
              <w:t>Distr.</w:t>
            </w:r>
          </w:p>
          <w:p w:rsidR="00687557" w:rsidRDefault="00687557">
            <w:pPr>
              <w:rPr>
                <w:lang w:val="en-CA"/>
              </w:rPr>
            </w:pPr>
            <w:r>
              <w:rPr>
                <w:lang w:val="en-CA"/>
              </w:rPr>
              <w:t>GENERAL</w:t>
            </w:r>
          </w:p>
          <w:p w:rsidR="00687557" w:rsidRDefault="00687557">
            <w:pPr>
              <w:rPr>
                <w:lang w:val="en-CA"/>
              </w:rPr>
            </w:pPr>
          </w:p>
          <w:p w:rsidR="00687557" w:rsidRDefault="00687557">
            <w:pPr>
              <w:rPr>
                <w:lang w:val="en-CA"/>
              </w:rPr>
            </w:pPr>
            <w:r w:rsidRPr="003D3A7E">
              <w:fldChar w:fldCharType="begin"/>
            </w:r>
            <w:r w:rsidRPr="00687557">
              <w:rPr>
                <w:lang w:val="en-CA"/>
              </w:rPr>
              <w:instrText xml:space="preserve"> DOCPROPERTY "Document number"  \* MERGEFORMAT </w:instrText>
            </w:r>
            <w:r w:rsidRPr="003D3A7E">
              <w:fldChar w:fldCharType="separate"/>
            </w:r>
            <w:r w:rsidRPr="00687557">
              <w:rPr>
                <w:lang w:val="en-CA"/>
              </w:rPr>
              <w:t>UNEP/</w:t>
            </w:r>
            <w:proofErr w:type="spellStart"/>
            <w:r w:rsidRPr="00687557">
              <w:rPr>
                <w:lang w:val="en-CA"/>
              </w:rPr>
              <w:t>OzL.Pro</w:t>
            </w:r>
            <w:proofErr w:type="spellEnd"/>
            <w:r w:rsidRPr="00687557">
              <w:rPr>
                <w:lang w:val="en-CA"/>
              </w:rPr>
              <w:t>/</w:t>
            </w:r>
            <w:proofErr w:type="spellStart"/>
            <w:r w:rsidRPr="00687557">
              <w:rPr>
                <w:lang w:val="en-CA"/>
              </w:rPr>
              <w:t>ExCom</w:t>
            </w:r>
            <w:proofErr w:type="spellEnd"/>
            <w:r w:rsidRPr="00687557">
              <w:rPr>
                <w:lang w:val="en-CA"/>
              </w:rPr>
              <w:t>/83/31</w:t>
            </w:r>
            <w:r w:rsidRPr="003D3A7E">
              <w:fldChar w:fldCharType="end"/>
            </w:r>
          </w:p>
          <w:p w:rsidR="00687557" w:rsidRDefault="00687557">
            <w:pPr>
              <w:rPr>
                <w:lang w:val="en-GB"/>
              </w:rPr>
            </w:pPr>
            <w:r>
              <w:fldChar w:fldCharType="begin"/>
            </w:r>
            <w:r w:rsidRPr="000017EA">
              <w:rPr>
                <w:lang w:val="en-CA"/>
              </w:rPr>
              <w:instrText xml:space="preserve"> DOCPROPERTY "Revision date" \@ "d MMMM YYYY"  \* MERGEFORMAT </w:instrText>
            </w:r>
            <w:r>
              <w:fldChar w:fldCharType="separate"/>
            </w:r>
            <w:r w:rsidRPr="000017EA">
              <w:rPr>
                <w:lang w:val="en-CA"/>
              </w:rPr>
              <w:t xml:space="preserve">2 </w:t>
            </w:r>
            <w:proofErr w:type="spellStart"/>
            <w:r w:rsidRPr="000017EA">
              <w:rPr>
                <w:lang w:val="en-CA"/>
              </w:rPr>
              <w:t>mai</w:t>
            </w:r>
            <w:proofErr w:type="spellEnd"/>
            <w:r w:rsidRPr="000017EA">
              <w:rPr>
                <w:lang w:val="en-CA"/>
              </w:rPr>
              <w:t xml:space="preserve"> 2019</w:t>
            </w:r>
            <w:r>
              <w:fldChar w:fldCharType="end"/>
            </w:r>
          </w:p>
          <w:p w:rsidR="00687557" w:rsidRDefault="00687557">
            <w:pPr>
              <w:rPr>
                <w:caps/>
                <w:lang w:val="fr-FR"/>
              </w:rPr>
            </w:pPr>
            <w:r>
              <w:rPr>
                <w:caps/>
                <w:lang w:val="en-CA"/>
              </w:rPr>
              <w:br/>
            </w:r>
            <w:r>
              <w:rPr>
                <w:caps/>
                <w:lang w:val="fr-FR"/>
              </w:rPr>
              <w:t>FRANÇAIS</w:t>
            </w:r>
          </w:p>
          <w:p w:rsidR="00687557" w:rsidRDefault="00687557">
            <w:pPr>
              <w:rPr>
                <w:lang w:val="en-GB"/>
              </w:rPr>
            </w:pPr>
            <w:r>
              <w:t>ORIGINAL: ANGLAIS</w:t>
            </w:r>
          </w:p>
        </w:tc>
      </w:tr>
    </w:tbl>
    <w:p w:rsidR="00687557" w:rsidRDefault="00687557" w:rsidP="00687557">
      <w:pPr>
        <w:jc w:val="left"/>
      </w:pPr>
      <w:r>
        <w:t xml:space="preserve">COMITE EXECUTIF </w:t>
      </w:r>
      <w:r>
        <w:br/>
        <w:t xml:space="preserve">  DU FONDS MULTILATERAL AUX FINS </w:t>
      </w:r>
      <w:r>
        <w:br/>
        <w:t xml:space="preserve">  D</w:t>
      </w:r>
      <w:r w:rsidR="00904A53">
        <w:t>’</w:t>
      </w:r>
      <w:r>
        <w:t>APPLICATION DU PROTOCOLE DE MONTREAL</w:t>
      </w:r>
      <w:r>
        <w:br/>
        <w:t>Quatre-vingt-troisième réunion</w:t>
      </w:r>
    </w:p>
    <w:p w:rsidR="00687557" w:rsidRDefault="00687557" w:rsidP="00687557">
      <w:pPr>
        <w:jc w:val="left"/>
      </w:pPr>
      <w:r>
        <w:t>Montr</w:t>
      </w:r>
      <w:r w:rsidRPr="000017EA">
        <w:t>é</w:t>
      </w:r>
      <w:r>
        <w:t>al, 27– 31 mai 2019</w:t>
      </w:r>
    </w:p>
    <w:p w:rsidR="00490BCB" w:rsidRPr="000017EA" w:rsidRDefault="00490BCB"/>
    <w:p w:rsidR="00C15867" w:rsidRPr="000017EA" w:rsidRDefault="00C15867" w:rsidP="009960E5">
      <w:pPr>
        <w:jc w:val="left"/>
      </w:pPr>
    </w:p>
    <w:p w:rsidR="00FE3307" w:rsidRPr="000017EA" w:rsidRDefault="00FE3307" w:rsidP="00FE3307"/>
    <w:p w:rsidR="00FE3307" w:rsidRDefault="00687557" w:rsidP="00FE3307">
      <w:pPr>
        <w:jc w:val="center"/>
        <w:rPr>
          <w:b/>
        </w:rPr>
      </w:pPr>
      <w:r>
        <w:rPr>
          <w:b/>
        </w:rPr>
        <w:t>PROPOSITION DE PROJET :</w:t>
      </w:r>
      <w:r w:rsidR="00FE3307">
        <w:rPr>
          <w:b/>
        </w:rPr>
        <w:t xml:space="preserve"> MONTÉNÉGRO</w:t>
      </w:r>
      <w:r w:rsidR="006805D5">
        <w:rPr>
          <w:b/>
        </w:rPr>
        <w:t xml:space="preserve"> (LE)</w:t>
      </w:r>
      <w:bookmarkStart w:id="0" w:name="_GoBack"/>
      <w:bookmarkEnd w:id="0"/>
    </w:p>
    <w:p w:rsidR="00FE3307" w:rsidRDefault="00FE3307" w:rsidP="00FE3307"/>
    <w:p w:rsidR="00A71B4A" w:rsidRPr="00687557" w:rsidRDefault="00A71B4A" w:rsidP="00FE3307"/>
    <w:p w:rsidR="00FE3307" w:rsidRPr="00687557" w:rsidRDefault="00FE3307" w:rsidP="00FE3307"/>
    <w:p w:rsidR="00FE3307" w:rsidRPr="003D3A7E" w:rsidRDefault="00FE3307" w:rsidP="00FE3307">
      <w:pPr>
        <w:ind w:firstLine="720"/>
      </w:pPr>
      <w:r>
        <w:t xml:space="preserve">Le présent document contient les commentaires et la recommandation du Secrétariat du Fonds sur la proposition de projet suivante : </w:t>
      </w:r>
    </w:p>
    <w:p w:rsidR="00FE3307" w:rsidRPr="00687557" w:rsidRDefault="00FE3307" w:rsidP="00FE3307"/>
    <w:p w:rsidR="00FE3307" w:rsidRPr="003D3A7E" w:rsidRDefault="00FE3307" w:rsidP="00FE3307">
      <w:pPr>
        <w:rPr>
          <w:u w:val="single"/>
        </w:rPr>
      </w:pPr>
      <w:r>
        <w:rPr>
          <w:u w:val="single"/>
        </w:rPr>
        <w:t>Élimination</w:t>
      </w:r>
    </w:p>
    <w:p w:rsidR="00FE3307" w:rsidRPr="003D3A7E" w:rsidRDefault="00FE3307" w:rsidP="00FE3307">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FE3307" w:rsidRPr="003D3A7E" w:rsidTr="00DD5EB6">
        <w:tc>
          <w:tcPr>
            <w:tcW w:w="6941" w:type="dxa"/>
          </w:tcPr>
          <w:p w:rsidR="00FE3307" w:rsidRPr="003D3A7E" w:rsidRDefault="00FE3307" w:rsidP="00E933E0">
            <w:pPr>
              <w:pStyle w:val="ListParagraph"/>
              <w:numPr>
                <w:ilvl w:val="0"/>
                <w:numId w:val="21"/>
              </w:numPr>
              <w:ind w:hanging="830"/>
            </w:pPr>
            <w:r>
              <w:t>Plan de gestion de l</w:t>
            </w:r>
            <w:r w:rsidR="00904A53">
              <w:t>’</w:t>
            </w:r>
            <w:r>
              <w:t>élimination des HCFC (phase I, quatrième tranche)</w:t>
            </w:r>
          </w:p>
        </w:tc>
        <w:tc>
          <w:tcPr>
            <w:tcW w:w="2409" w:type="dxa"/>
          </w:tcPr>
          <w:p w:rsidR="00FE3307" w:rsidRPr="003D3A7E" w:rsidRDefault="00E933E0" w:rsidP="00E933E0">
            <w:pPr>
              <w:jc w:val="right"/>
            </w:pPr>
            <w:r>
              <w:t>ONUDI</w:t>
            </w:r>
          </w:p>
        </w:tc>
      </w:tr>
    </w:tbl>
    <w:p w:rsidR="00FE3307" w:rsidRPr="003D3A7E" w:rsidRDefault="00FE3307" w:rsidP="00FE3307">
      <w:pPr>
        <w:rPr>
          <w:lang w:val="en-CA"/>
        </w:rPr>
      </w:pPr>
    </w:p>
    <w:p w:rsidR="00FE3307" w:rsidRPr="003D3A7E" w:rsidRDefault="00FE3307" w:rsidP="00FE3307">
      <w:pPr>
        <w:rPr>
          <w:lang w:val="en-CA"/>
        </w:rPr>
      </w:pPr>
    </w:p>
    <w:p w:rsidR="00FE3307" w:rsidRPr="003D3A7E" w:rsidRDefault="00FE3307" w:rsidP="00FE3307">
      <w:pPr>
        <w:rPr>
          <w:lang w:val="en-CA"/>
        </w:rPr>
      </w:pPr>
    </w:p>
    <w:p w:rsidR="00FE3307" w:rsidRPr="003D3A7E" w:rsidRDefault="00FE3307" w:rsidP="00FE3307">
      <w:r>
        <w:br w:type="page"/>
      </w:r>
    </w:p>
    <w:p w:rsidR="00DD5EB6" w:rsidRPr="000B7004" w:rsidRDefault="00DD5EB6" w:rsidP="000B7004">
      <w:pPr>
        <w:jc w:val="center"/>
        <w:rPr>
          <w:b/>
        </w:rPr>
      </w:pPr>
      <w:r w:rsidRPr="000B7004">
        <w:rPr>
          <w:b/>
        </w:rPr>
        <w:lastRenderedPageBreak/>
        <w:t>FEUILLE D</w:t>
      </w:r>
      <w:r w:rsidR="00904A53" w:rsidRPr="000B7004">
        <w:rPr>
          <w:b/>
        </w:rPr>
        <w:t>’</w:t>
      </w:r>
      <w:r w:rsidRPr="000B7004">
        <w:rPr>
          <w:b/>
        </w:rPr>
        <w:t>ÉVALUATION DU PROJET – PROJETS PLURIANNUELS</w:t>
      </w:r>
    </w:p>
    <w:p w:rsidR="00DD5EB6" w:rsidRPr="000B7004" w:rsidRDefault="00DD5EB6" w:rsidP="000B7004">
      <w:pPr>
        <w:jc w:val="center"/>
        <w:rPr>
          <w:b/>
        </w:rPr>
      </w:pPr>
      <w:r w:rsidRPr="000B7004">
        <w:rPr>
          <w:b/>
        </w:rPr>
        <w:t>Monténégro</w:t>
      </w:r>
    </w:p>
    <w:tbl>
      <w:tblPr>
        <w:tblStyle w:val="TableGrid"/>
        <w:tblW w:w="1046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865"/>
        <w:gridCol w:w="2160"/>
        <w:gridCol w:w="1710"/>
        <w:gridCol w:w="1725"/>
      </w:tblGrid>
      <w:tr w:rsidR="00DD5EB6" w:rsidRPr="00A71B4A" w:rsidTr="008E0D0F">
        <w:trPr>
          <w:trHeight w:val="240"/>
          <w:jc w:val="center"/>
        </w:trPr>
        <w:tc>
          <w:tcPr>
            <w:tcW w:w="4865"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80"/>
              <w:jc w:val="left"/>
              <w:rPr>
                <w:b/>
              </w:rPr>
            </w:pPr>
            <w:r w:rsidRPr="00A71B4A">
              <w:rPr>
                <w:b/>
              </w:rPr>
              <w:t>(I) TITRE DU PROJET</w:t>
            </w:r>
          </w:p>
        </w:tc>
        <w:tc>
          <w:tcPr>
            <w:tcW w:w="2160"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80"/>
              <w:jc w:val="center"/>
              <w:rPr>
                <w:b/>
              </w:rPr>
            </w:pPr>
            <w:r w:rsidRPr="00A71B4A">
              <w:rPr>
                <w:b/>
              </w:rPr>
              <w:t>AGENCE</w:t>
            </w:r>
          </w:p>
        </w:tc>
        <w:tc>
          <w:tcPr>
            <w:tcW w:w="1710"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80"/>
              <w:jc w:val="center"/>
              <w:rPr>
                <w:b/>
              </w:rPr>
            </w:pPr>
            <w:r w:rsidRPr="00A71B4A">
              <w:rPr>
                <w:b/>
              </w:rPr>
              <w:t>RÉUNION APPROUVÉE</w:t>
            </w:r>
          </w:p>
        </w:tc>
        <w:tc>
          <w:tcPr>
            <w:tcW w:w="1725"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80"/>
              <w:jc w:val="center"/>
              <w:rPr>
                <w:b/>
              </w:rPr>
            </w:pPr>
            <w:r w:rsidRPr="00A71B4A">
              <w:rPr>
                <w:b/>
              </w:rPr>
              <w:t>MESURE DE CONTRÔLE</w:t>
            </w:r>
          </w:p>
        </w:tc>
      </w:tr>
      <w:tr w:rsidR="00DD5EB6" w:rsidRPr="00A71B4A" w:rsidTr="008E0D0F">
        <w:trPr>
          <w:trHeight w:val="240"/>
          <w:jc w:val="center"/>
        </w:trPr>
        <w:tc>
          <w:tcPr>
            <w:tcW w:w="4865"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80"/>
              <w:jc w:val="center"/>
            </w:pPr>
            <w:r w:rsidRPr="00A71B4A">
              <w:t>Plan d</w:t>
            </w:r>
            <w:r w:rsidR="00904A53" w:rsidRPr="00A71B4A">
              <w:t>’</w:t>
            </w:r>
            <w:r w:rsidRPr="00A71B4A">
              <w:t>élimination des HCFC (phase I)</w:t>
            </w:r>
          </w:p>
        </w:tc>
        <w:tc>
          <w:tcPr>
            <w:tcW w:w="2160"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80"/>
              <w:jc w:val="center"/>
            </w:pPr>
            <w:r w:rsidRPr="00A71B4A">
              <w:t>ONUDI (principale)</w:t>
            </w:r>
          </w:p>
        </w:tc>
        <w:tc>
          <w:tcPr>
            <w:tcW w:w="1710"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80"/>
              <w:jc w:val="center"/>
            </w:pPr>
            <w:r w:rsidRPr="00A71B4A">
              <w:t>63</w:t>
            </w:r>
            <w:r w:rsidRPr="00A71B4A">
              <w:rPr>
                <w:vertAlign w:val="superscript"/>
              </w:rPr>
              <w:t>e</w:t>
            </w:r>
            <w:r w:rsidRPr="00A71B4A">
              <w:t xml:space="preserve"> </w:t>
            </w:r>
          </w:p>
        </w:tc>
        <w:tc>
          <w:tcPr>
            <w:tcW w:w="1725"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80"/>
              <w:jc w:val="center"/>
            </w:pPr>
            <w:r w:rsidRPr="00A71B4A">
              <w:t>35 % d</w:t>
            </w:r>
            <w:r w:rsidR="00904A53" w:rsidRPr="00A71B4A">
              <w:t>’</w:t>
            </w:r>
            <w:r w:rsidRPr="00A71B4A">
              <w:t>ici 2020</w:t>
            </w:r>
          </w:p>
        </w:tc>
      </w:tr>
    </w:tbl>
    <w:p w:rsidR="00DD5EB6" w:rsidRPr="00A71B4A" w:rsidRDefault="00DD5EB6" w:rsidP="00632DB6">
      <w:pPr>
        <w:spacing w:line="60" w:lineRule="exact"/>
        <w:jc w:val="center"/>
        <w:rPr>
          <w:sz w:val="32"/>
          <w:szCs w:val="32"/>
          <w:lang w:val="en-CA"/>
        </w:rPr>
      </w:pPr>
    </w:p>
    <w:p w:rsidR="000B7004" w:rsidRPr="00A71B4A" w:rsidRDefault="000B7004" w:rsidP="00632DB6">
      <w:pPr>
        <w:spacing w:line="60" w:lineRule="exact"/>
        <w:jc w:val="center"/>
        <w:rPr>
          <w:sz w:val="32"/>
          <w:szCs w:val="32"/>
          <w:lang w:val="en-CA"/>
        </w:rPr>
      </w:pPr>
    </w:p>
    <w:p w:rsidR="000B7004" w:rsidRPr="00A71B4A" w:rsidRDefault="000B7004" w:rsidP="00632DB6">
      <w:pPr>
        <w:spacing w:line="60" w:lineRule="exact"/>
        <w:jc w:val="center"/>
        <w:rPr>
          <w:sz w:val="32"/>
          <w:szCs w:val="32"/>
          <w:lang w:val="en-CA"/>
        </w:rPr>
      </w:pPr>
    </w:p>
    <w:p w:rsidR="00B443D4" w:rsidRPr="00A71B4A" w:rsidRDefault="00B443D4" w:rsidP="00632DB6">
      <w:pPr>
        <w:spacing w:line="60" w:lineRule="exact"/>
        <w:jc w:val="center"/>
        <w:rPr>
          <w:lang w:val="en-CA"/>
        </w:rPr>
      </w:pPr>
    </w:p>
    <w:p w:rsidR="000B7004" w:rsidRPr="00A71B4A" w:rsidRDefault="000B7004" w:rsidP="00632DB6">
      <w:pPr>
        <w:spacing w:line="60" w:lineRule="exact"/>
        <w:jc w:val="center"/>
        <w:rPr>
          <w:sz w:val="32"/>
          <w:szCs w:val="32"/>
          <w:lang w:val="en-CA"/>
        </w:rPr>
      </w:pPr>
    </w:p>
    <w:tbl>
      <w:tblPr>
        <w:tblStyle w:val="TableGrid"/>
        <w:tblW w:w="1046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6845"/>
        <w:gridCol w:w="1890"/>
        <w:gridCol w:w="1725"/>
      </w:tblGrid>
      <w:tr w:rsidR="00DD5EB6" w:rsidRPr="00A71B4A" w:rsidTr="008E0D0F">
        <w:trPr>
          <w:trHeight w:val="240"/>
          <w:jc w:val="center"/>
        </w:trPr>
        <w:tc>
          <w:tcPr>
            <w:tcW w:w="6845"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left"/>
              <w:rPr>
                <w:b/>
              </w:rPr>
            </w:pPr>
            <w:r w:rsidRPr="00A71B4A">
              <w:rPr>
                <w:b/>
              </w:rPr>
              <w:t>(II) DERNIÈRES DONNÉES DE L</w:t>
            </w:r>
            <w:r w:rsidR="00904A53" w:rsidRPr="00A71B4A">
              <w:rPr>
                <w:b/>
              </w:rPr>
              <w:t>’</w:t>
            </w:r>
            <w:r w:rsidRPr="00A71B4A">
              <w:rPr>
                <w:b/>
              </w:rPr>
              <w:t>ARTICLE 7 (Annexe C groupe l)</w:t>
            </w:r>
          </w:p>
        </w:tc>
        <w:tc>
          <w:tcPr>
            <w:tcW w:w="1890"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FA141E">
            <w:pPr>
              <w:spacing w:after="60"/>
              <w:jc w:val="center"/>
            </w:pPr>
            <w:r w:rsidRPr="00A71B4A">
              <w:t>Année : 2018</w:t>
            </w:r>
          </w:p>
        </w:tc>
        <w:tc>
          <w:tcPr>
            <w:tcW w:w="1725"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CF4416">
            <w:pPr>
              <w:spacing w:after="60"/>
              <w:jc w:val="right"/>
            </w:pPr>
            <w:r w:rsidRPr="00A71B4A">
              <w:t>0,17 (tonnes PAO)</w:t>
            </w:r>
          </w:p>
        </w:tc>
      </w:tr>
    </w:tbl>
    <w:p w:rsidR="00DD5EB6" w:rsidRPr="00A71B4A" w:rsidRDefault="00DD5EB6" w:rsidP="00A71B4A">
      <w:pPr>
        <w:spacing w:line="100" w:lineRule="exact"/>
        <w:jc w:val="center"/>
        <w:rPr>
          <w:lang w:val="en-CA"/>
        </w:rPr>
      </w:pPr>
    </w:p>
    <w:tbl>
      <w:tblPr>
        <w:tblStyle w:val="TableGrid"/>
        <w:tblW w:w="1000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121"/>
        <w:gridCol w:w="913"/>
        <w:gridCol w:w="901"/>
        <w:gridCol w:w="1047"/>
        <w:gridCol w:w="1218"/>
        <w:gridCol w:w="1023"/>
        <w:gridCol w:w="974"/>
        <w:gridCol w:w="1512"/>
        <w:gridCol w:w="1169"/>
        <w:gridCol w:w="1561"/>
      </w:tblGrid>
      <w:tr w:rsidR="00DD5EB6" w:rsidRPr="00A71B4A" w:rsidTr="00DD5EB6">
        <w:trPr>
          <w:trHeight w:val="240"/>
          <w:jc w:val="center"/>
        </w:trPr>
        <w:tc>
          <w:tcPr>
            <w:tcW w:w="0" w:type="auto"/>
            <w:gridSpan w:val="8"/>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left"/>
              <w:rPr>
                <w:b/>
              </w:rPr>
            </w:pPr>
            <w:r w:rsidRPr="00A71B4A">
              <w:rPr>
                <w:b/>
              </w:rPr>
              <w:t>(III) DERNIÈRES DONNÉES SECTORIELLES DU PROGRAMME DU PAYS (tonnes PAO)</w:t>
            </w:r>
          </w:p>
        </w:tc>
        <w:tc>
          <w:tcPr>
            <w:tcW w:w="0" w:type="auto"/>
            <w:gridSpan w:val="2"/>
            <w:tcBorders>
              <w:top w:val="single" w:sz="4" w:space="0" w:color="666699"/>
              <w:left w:val="single" w:sz="4" w:space="0" w:color="666699"/>
              <w:bottom w:val="single" w:sz="4" w:space="0" w:color="666699"/>
              <w:right w:val="single" w:sz="4" w:space="0" w:color="666699"/>
            </w:tcBorders>
            <w:hideMark/>
          </w:tcPr>
          <w:p w:rsidR="00DD5EB6" w:rsidRPr="00A71B4A" w:rsidRDefault="00DD5EB6" w:rsidP="001C2FB0">
            <w:pPr>
              <w:spacing w:after="60"/>
              <w:jc w:val="right"/>
              <w:rPr>
                <w:b/>
              </w:rPr>
            </w:pPr>
            <w:r w:rsidRPr="00A71B4A">
              <w:rPr>
                <w:b/>
              </w:rPr>
              <w:t>Année : 2018</w:t>
            </w:r>
          </w:p>
        </w:tc>
      </w:tr>
      <w:tr w:rsidR="00DD5EB6" w:rsidRPr="00A71B4A" w:rsidTr="00DD5EB6">
        <w:trPr>
          <w:trHeight w:val="240"/>
          <w:jc w:val="center"/>
        </w:trPr>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pPr>
            <w:r w:rsidRPr="00A71B4A">
              <w:t>Produits chimiques</w:t>
            </w: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pPr>
            <w:r w:rsidRPr="00A71B4A">
              <w:t>Aérosol</w:t>
            </w: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pPr>
            <w:r w:rsidRPr="00A71B4A">
              <w:t>Mousse</w:t>
            </w: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pPr>
            <w:r w:rsidRPr="00A71B4A">
              <w:t>Lutte contre les incendies</w:t>
            </w:r>
          </w:p>
        </w:tc>
        <w:tc>
          <w:tcPr>
            <w:tcW w:w="0" w:type="auto"/>
            <w:gridSpan w:val="2"/>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pPr>
            <w:r w:rsidRPr="00A71B4A">
              <w:t>Réfrigération</w:t>
            </w: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pPr>
            <w:r w:rsidRPr="00A71B4A">
              <w:t>Solvants</w:t>
            </w: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pPr>
            <w:r w:rsidRPr="00A71B4A">
              <w:t>Agent de transformation</w:t>
            </w: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pPr>
            <w:r w:rsidRPr="00A71B4A">
              <w:t>Utilisation en laboratoire</w:t>
            </w: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pPr>
            <w:r w:rsidRPr="00A71B4A">
              <w:t>Consommation totale pour le secteur</w:t>
            </w:r>
          </w:p>
        </w:tc>
      </w:tr>
      <w:tr w:rsidR="00DD5EB6" w:rsidRPr="00A71B4A" w:rsidTr="00DD5EB6">
        <w:trPr>
          <w:trHeight w:val="240"/>
          <w:jc w:val="center"/>
        </w:trPr>
        <w:tc>
          <w:tcPr>
            <w:tcW w:w="0" w:type="auto"/>
            <w:gridSpan w:val="4"/>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pPr>
            <w:r w:rsidRPr="00A71B4A">
              <w:t xml:space="preserve"> </w:t>
            </w: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pPr>
            <w:r w:rsidRPr="00A71B4A">
              <w:t>Fabrication</w:t>
            </w: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pPr>
            <w:r w:rsidRPr="00A71B4A">
              <w:t>Entretien</w:t>
            </w:r>
          </w:p>
        </w:tc>
        <w:tc>
          <w:tcPr>
            <w:tcW w:w="0" w:type="auto"/>
            <w:gridSpan w:val="4"/>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center"/>
              <w:rPr>
                <w:lang w:val="en-CA"/>
              </w:rPr>
            </w:pPr>
          </w:p>
        </w:tc>
      </w:tr>
      <w:tr w:rsidR="00DD5EB6" w:rsidRPr="00A71B4A" w:rsidTr="00DD5EB6">
        <w:trPr>
          <w:trHeight w:val="240"/>
          <w:jc w:val="center"/>
        </w:trPr>
        <w:tc>
          <w:tcPr>
            <w:tcW w:w="1200"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left"/>
            </w:pPr>
            <w:r w:rsidRPr="00A71B4A">
              <w:t>HCFC-22</w:t>
            </w:r>
          </w:p>
        </w:tc>
        <w:tc>
          <w:tcPr>
            <w:tcW w:w="0" w:type="auto"/>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rPr>
                <w:lang w:val="en-CA"/>
              </w:rPr>
            </w:pPr>
          </w:p>
        </w:tc>
        <w:tc>
          <w:tcPr>
            <w:tcW w:w="0" w:type="auto"/>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rPr>
                <w:lang w:val="en-CA"/>
              </w:rPr>
            </w:pPr>
          </w:p>
        </w:tc>
        <w:tc>
          <w:tcPr>
            <w:tcW w:w="0" w:type="auto"/>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rPr>
                <w:lang w:val="en-CA"/>
              </w:rPr>
            </w:pPr>
          </w:p>
        </w:tc>
        <w:tc>
          <w:tcPr>
            <w:tcW w:w="0" w:type="auto"/>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rPr>
                <w:lang w:val="en-CA"/>
              </w:rPr>
            </w:pP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25496B" w:rsidP="001C2FB0">
            <w:pPr>
              <w:spacing w:after="60"/>
              <w:jc w:val="right"/>
            </w:pPr>
            <w:r w:rsidRPr="00A71B4A">
              <w:t>0,17</w:t>
            </w:r>
          </w:p>
        </w:tc>
        <w:tc>
          <w:tcPr>
            <w:tcW w:w="0" w:type="auto"/>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rPr>
                <w:lang w:val="en-CA"/>
              </w:rPr>
            </w:pPr>
          </w:p>
        </w:tc>
        <w:tc>
          <w:tcPr>
            <w:tcW w:w="0" w:type="auto"/>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rPr>
                <w:lang w:val="en-CA"/>
              </w:rPr>
            </w:pPr>
          </w:p>
        </w:tc>
        <w:tc>
          <w:tcPr>
            <w:tcW w:w="0" w:type="auto"/>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rPr>
                <w:lang w:val="en-CA"/>
              </w:rPr>
            </w:pP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25496B" w:rsidP="001C2FB0">
            <w:pPr>
              <w:spacing w:after="60"/>
              <w:jc w:val="right"/>
            </w:pPr>
            <w:r w:rsidRPr="00A71B4A">
              <w:t>0,17</w:t>
            </w:r>
          </w:p>
        </w:tc>
      </w:tr>
    </w:tbl>
    <w:p w:rsidR="00DD5EB6" w:rsidRPr="00A71B4A" w:rsidRDefault="00DD5EB6" w:rsidP="00A71B4A">
      <w:pPr>
        <w:spacing w:line="100" w:lineRule="exact"/>
        <w:jc w:val="center"/>
        <w:rPr>
          <w:lang w:val="en-CA"/>
        </w:rPr>
      </w:pPr>
    </w:p>
    <w:tbl>
      <w:tblPr>
        <w:tblStyle w:val="TableGrid"/>
        <w:tblW w:w="1053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316"/>
        <w:gridCol w:w="638"/>
        <w:gridCol w:w="4857"/>
        <w:gridCol w:w="1724"/>
      </w:tblGrid>
      <w:tr w:rsidR="00DD5EB6" w:rsidRPr="00A71B4A" w:rsidTr="00555F91">
        <w:trPr>
          <w:trHeight w:val="240"/>
          <w:jc w:val="center"/>
        </w:trPr>
        <w:tc>
          <w:tcPr>
            <w:tcW w:w="10535" w:type="dxa"/>
            <w:gridSpan w:val="4"/>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left"/>
              <w:rPr>
                <w:b/>
              </w:rPr>
            </w:pPr>
            <w:r w:rsidRPr="00A71B4A">
              <w:rPr>
                <w:b/>
              </w:rPr>
              <w:t>(IV) DONNÉES SUR LA CONSOMMATION (tonnes PAO)</w:t>
            </w:r>
          </w:p>
        </w:tc>
      </w:tr>
      <w:tr w:rsidR="00DD5EB6" w:rsidRPr="00A71B4A" w:rsidTr="00555F91">
        <w:trPr>
          <w:trHeight w:val="240"/>
          <w:jc w:val="center"/>
        </w:trPr>
        <w:tc>
          <w:tcPr>
            <w:tcW w:w="3121" w:type="dxa"/>
            <w:tcBorders>
              <w:top w:val="single" w:sz="4" w:space="0" w:color="666699"/>
              <w:left w:val="single" w:sz="4" w:space="0" w:color="666699"/>
              <w:bottom w:val="single" w:sz="4" w:space="0" w:color="666699"/>
              <w:right w:val="single" w:sz="4" w:space="0" w:color="666699"/>
            </w:tcBorders>
            <w:hideMark/>
          </w:tcPr>
          <w:p w:rsidR="00DD5EB6" w:rsidRPr="00A71B4A" w:rsidRDefault="000F5527" w:rsidP="00DD5EB6">
            <w:pPr>
              <w:spacing w:after="60"/>
              <w:jc w:val="center"/>
            </w:pPr>
            <w:r w:rsidRPr="00A71B4A">
              <w:t>Référence 2009 – 2010 </w:t>
            </w:r>
            <w:r w:rsidR="00DD5EB6" w:rsidRPr="00A71B4A">
              <w:t>:</w:t>
            </w: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0,80</w:t>
            </w: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pPr>
            <w:r w:rsidRPr="00A71B4A">
              <w:t>Point de départ des réductions globales durables :</w:t>
            </w:r>
          </w:p>
        </w:tc>
        <w:tc>
          <w:tcPr>
            <w:tcW w:w="1623"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0,80</w:t>
            </w:r>
          </w:p>
        </w:tc>
      </w:tr>
      <w:tr w:rsidR="00DD5EB6" w:rsidRPr="00A71B4A" w:rsidTr="00555F91">
        <w:trPr>
          <w:trHeight w:val="240"/>
          <w:jc w:val="center"/>
        </w:trPr>
        <w:tc>
          <w:tcPr>
            <w:tcW w:w="10535" w:type="dxa"/>
            <w:gridSpan w:val="4"/>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rPr>
                <w:b/>
              </w:rPr>
            </w:pPr>
            <w:r w:rsidRPr="00A71B4A">
              <w:rPr>
                <w:b/>
              </w:rPr>
              <w:t>CONSOMMATION ADMISSIBLE AU FINANCEMENT (tonnes PAO)</w:t>
            </w:r>
          </w:p>
        </w:tc>
      </w:tr>
      <w:tr w:rsidR="00DD5EB6" w:rsidRPr="00A71B4A" w:rsidTr="00555F91">
        <w:trPr>
          <w:trHeight w:val="240"/>
          <w:jc w:val="center"/>
        </w:trPr>
        <w:tc>
          <w:tcPr>
            <w:tcW w:w="3121"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pPr>
            <w:r w:rsidRPr="00A71B4A">
              <w:t>Déjà approuvée :</w:t>
            </w: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0,28</w:t>
            </w: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pPr>
            <w:r w:rsidRPr="00A71B4A">
              <w:t>Restante :</w:t>
            </w:r>
          </w:p>
        </w:tc>
        <w:tc>
          <w:tcPr>
            <w:tcW w:w="1623" w:type="dxa"/>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pPr>
            <w:r w:rsidRPr="00A71B4A">
              <w:t>0,52</w:t>
            </w:r>
          </w:p>
        </w:tc>
      </w:tr>
    </w:tbl>
    <w:p w:rsidR="00DD5EB6" w:rsidRPr="00A71B4A" w:rsidRDefault="00DD5EB6" w:rsidP="00632DB6">
      <w:pPr>
        <w:spacing w:line="60" w:lineRule="exact"/>
        <w:jc w:val="center"/>
        <w:rPr>
          <w:sz w:val="32"/>
          <w:szCs w:val="32"/>
          <w:lang w:val="en-CA"/>
        </w:rPr>
      </w:pPr>
    </w:p>
    <w:p w:rsidR="00555F91" w:rsidRPr="00A71B4A" w:rsidRDefault="00555F91" w:rsidP="00632DB6">
      <w:pPr>
        <w:spacing w:line="60" w:lineRule="exact"/>
        <w:jc w:val="center"/>
        <w:rPr>
          <w:sz w:val="32"/>
          <w:szCs w:val="32"/>
          <w:lang w:val="en-CA"/>
        </w:rPr>
      </w:pPr>
    </w:p>
    <w:p w:rsidR="00555F91" w:rsidRPr="00A71B4A" w:rsidRDefault="00555F91" w:rsidP="00632DB6">
      <w:pPr>
        <w:spacing w:line="60" w:lineRule="exact"/>
        <w:jc w:val="center"/>
        <w:rPr>
          <w:lang w:val="en-CA"/>
        </w:rPr>
      </w:pPr>
    </w:p>
    <w:p w:rsidR="00555F91" w:rsidRPr="00A71B4A" w:rsidRDefault="00555F91" w:rsidP="00632DB6">
      <w:pPr>
        <w:spacing w:line="60" w:lineRule="exact"/>
        <w:jc w:val="center"/>
        <w:rPr>
          <w:sz w:val="32"/>
          <w:szCs w:val="32"/>
          <w:lang w:val="en-CA"/>
        </w:rPr>
      </w:pPr>
    </w:p>
    <w:p w:rsidR="00555F91" w:rsidRPr="00A71B4A" w:rsidRDefault="00555F91" w:rsidP="00632DB6">
      <w:pPr>
        <w:spacing w:line="60" w:lineRule="exact"/>
        <w:jc w:val="center"/>
        <w:rPr>
          <w:sz w:val="32"/>
          <w:szCs w:val="32"/>
          <w:lang w:val="en-CA"/>
        </w:rPr>
      </w:pPr>
    </w:p>
    <w:tbl>
      <w:tblPr>
        <w:tblStyle w:val="TableGrid"/>
        <w:tblW w:w="1054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736"/>
        <w:gridCol w:w="3754"/>
        <w:gridCol w:w="1683"/>
        <w:gridCol w:w="1683"/>
        <w:gridCol w:w="1684"/>
      </w:tblGrid>
      <w:tr w:rsidR="004007AB" w:rsidRPr="00A71B4A" w:rsidTr="00555F91">
        <w:trPr>
          <w:trHeight w:val="240"/>
          <w:jc w:val="center"/>
        </w:trPr>
        <w:tc>
          <w:tcPr>
            <w:tcW w:w="5490" w:type="dxa"/>
            <w:gridSpan w:val="2"/>
            <w:tcBorders>
              <w:top w:val="single" w:sz="4" w:space="0" w:color="666699"/>
              <w:left w:val="single" w:sz="4" w:space="0" w:color="666699"/>
              <w:bottom w:val="single" w:sz="4" w:space="0" w:color="666699"/>
              <w:right w:val="single" w:sz="4" w:space="0" w:color="666699"/>
            </w:tcBorders>
            <w:hideMark/>
          </w:tcPr>
          <w:p w:rsidR="004007AB" w:rsidRPr="00A71B4A" w:rsidRDefault="004007AB" w:rsidP="00DD5EB6">
            <w:pPr>
              <w:spacing w:after="60"/>
              <w:jc w:val="left"/>
              <w:rPr>
                <w:b/>
              </w:rPr>
            </w:pPr>
            <w:r w:rsidRPr="00A71B4A">
              <w:rPr>
                <w:b/>
              </w:rPr>
              <w:t>(V) PLAN D</w:t>
            </w:r>
            <w:r w:rsidR="00904A53" w:rsidRPr="00A71B4A">
              <w:rPr>
                <w:b/>
              </w:rPr>
              <w:t>’</w:t>
            </w:r>
            <w:r w:rsidRPr="00A71B4A">
              <w:rPr>
                <w:b/>
              </w:rPr>
              <w:t>ACTIVITÉS</w:t>
            </w:r>
          </w:p>
        </w:tc>
        <w:tc>
          <w:tcPr>
            <w:tcW w:w="1683" w:type="dxa"/>
            <w:tcBorders>
              <w:top w:val="single" w:sz="4" w:space="0" w:color="666699"/>
              <w:left w:val="single" w:sz="4" w:space="0" w:color="666699"/>
              <w:bottom w:val="single" w:sz="4" w:space="0" w:color="666699"/>
              <w:right w:val="single" w:sz="4" w:space="0" w:color="666699"/>
            </w:tcBorders>
            <w:hideMark/>
          </w:tcPr>
          <w:p w:rsidR="004007AB" w:rsidRPr="00A71B4A" w:rsidRDefault="004007AB" w:rsidP="00DD5EB6">
            <w:pPr>
              <w:spacing w:after="60"/>
              <w:jc w:val="center"/>
              <w:rPr>
                <w:b/>
              </w:rPr>
            </w:pPr>
            <w:r w:rsidRPr="00A71B4A">
              <w:rPr>
                <w:b/>
              </w:rPr>
              <w:t>2019</w:t>
            </w:r>
          </w:p>
        </w:tc>
        <w:tc>
          <w:tcPr>
            <w:tcW w:w="1683" w:type="dxa"/>
            <w:tcBorders>
              <w:top w:val="single" w:sz="4" w:space="0" w:color="666699"/>
              <w:left w:val="single" w:sz="4" w:space="0" w:color="666699"/>
              <w:bottom w:val="single" w:sz="4" w:space="0" w:color="666699"/>
              <w:right w:val="single" w:sz="4" w:space="0" w:color="666699"/>
            </w:tcBorders>
            <w:hideMark/>
          </w:tcPr>
          <w:p w:rsidR="004007AB" w:rsidRPr="00A71B4A" w:rsidRDefault="004007AB" w:rsidP="00DD5EB6">
            <w:pPr>
              <w:spacing w:after="60"/>
              <w:jc w:val="center"/>
              <w:rPr>
                <w:b/>
              </w:rPr>
            </w:pPr>
            <w:r w:rsidRPr="00A71B4A">
              <w:rPr>
                <w:b/>
              </w:rPr>
              <w:t>2020</w:t>
            </w:r>
          </w:p>
        </w:tc>
        <w:tc>
          <w:tcPr>
            <w:tcW w:w="1684" w:type="dxa"/>
            <w:tcBorders>
              <w:top w:val="single" w:sz="4" w:space="0" w:color="666699"/>
              <w:left w:val="single" w:sz="4" w:space="0" w:color="666699"/>
              <w:bottom w:val="single" w:sz="4" w:space="0" w:color="666699"/>
              <w:right w:val="single" w:sz="4" w:space="0" w:color="666699"/>
            </w:tcBorders>
            <w:hideMark/>
          </w:tcPr>
          <w:p w:rsidR="004007AB" w:rsidRPr="00A71B4A" w:rsidRDefault="004007AB" w:rsidP="00DD5EB6">
            <w:pPr>
              <w:spacing w:after="60"/>
              <w:jc w:val="center"/>
              <w:rPr>
                <w:b/>
              </w:rPr>
            </w:pPr>
            <w:r w:rsidRPr="00A71B4A">
              <w:rPr>
                <w:b/>
              </w:rPr>
              <w:t>Total</w:t>
            </w:r>
          </w:p>
        </w:tc>
      </w:tr>
      <w:tr w:rsidR="004007AB" w:rsidRPr="00A71B4A" w:rsidTr="00555F91">
        <w:trPr>
          <w:trHeight w:val="240"/>
          <w:jc w:val="center"/>
        </w:trPr>
        <w:tc>
          <w:tcPr>
            <w:tcW w:w="1736" w:type="dxa"/>
            <w:vMerge w:val="restart"/>
            <w:tcBorders>
              <w:top w:val="single" w:sz="4" w:space="0" w:color="666699"/>
              <w:left w:val="single" w:sz="4" w:space="0" w:color="666699"/>
              <w:bottom w:val="single" w:sz="4" w:space="0" w:color="666699"/>
              <w:right w:val="single" w:sz="4" w:space="0" w:color="666699"/>
            </w:tcBorders>
            <w:hideMark/>
          </w:tcPr>
          <w:p w:rsidR="004007AB" w:rsidRPr="00A71B4A" w:rsidRDefault="004007AB" w:rsidP="00DD5EB6">
            <w:pPr>
              <w:spacing w:after="60"/>
              <w:jc w:val="center"/>
            </w:pPr>
            <w:r w:rsidRPr="00A71B4A">
              <w:t>ONUDI</w:t>
            </w:r>
          </w:p>
        </w:tc>
        <w:tc>
          <w:tcPr>
            <w:tcW w:w="3754" w:type="dxa"/>
            <w:tcBorders>
              <w:top w:val="single" w:sz="4" w:space="0" w:color="666699"/>
              <w:left w:val="single" w:sz="4" w:space="0" w:color="666699"/>
              <w:bottom w:val="single" w:sz="4" w:space="0" w:color="666699"/>
              <w:right w:val="single" w:sz="4" w:space="0" w:color="666699"/>
            </w:tcBorders>
            <w:hideMark/>
          </w:tcPr>
          <w:p w:rsidR="004007AB" w:rsidRPr="00A71B4A" w:rsidRDefault="004007AB" w:rsidP="00DD5EB6">
            <w:pPr>
              <w:spacing w:after="60"/>
              <w:jc w:val="left"/>
            </w:pPr>
            <w:r w:rsidRPr="00A71B4A">
              <w:t>Élimination des SAO (tonnes PAO)</w:t>
            </w:r>
          </w:p>
        </w:tc>
        <w:tc>
          <w:tcPr>
            <w:tcW w:w="1683" w:type="dxa"/>
            <w:tcBorders>
              <w:top w:val="single" w:sz="4" w:space="0" w:color="666699"/>
              <w:left w:val="single" w:sz="4" w:space="0" w:color="666699"/>
              <w:bottom w:val="single" w:sz="4" w:space="0" w:color="666699"/>
              <w:right w:val="single" w:sz="4" w:space="0" w:color="666699"/>
            </w:tcBorders>
            <w:hideMark/>
          </w:tcPr>
          <w:p w:rsidR="004007AB" w:rsidRPr="00A71B4A" w:rsidRDefault="004007AB" w:rsidP="00DD5EB6">
            <w:pPr>
              <w:spacing w:after="60"/>
              <w:jc w:val="right"/>
            </w:pPr>
            <w:r w:rsidRPr="00A71B4A">
              <w:t>0,02</w:t>
            </w:r>
          </w:p>
        </w:tc>
        <w:tc>
          <w:tcPr>
            <w:tcW w:w="1683" w:type="dxa"/>
            <w:tcBorders>
              <w:top w:val="single" w:sz="4" w:space="0" w:color="666699"/>
              <w:left w:val="single" w:sz="4" w:space="0" w:color="666699"/>
              <w:bottom w:val="single" w:sz="4" w:space="0" w:color="666699"/>
              <w:right w:val="single" w:sz="4" w:space="0" w:color="666699"/>
            </w:tcBorders>
            <w:hideMark/>
          </w:tcPr>
          <w:p w:rsidR="004007AB" w:rsidRPr="00A71B4A" w:rsidRDefault="004007AB" w:rsidP="00DD5EB6">
            <w:pPr>
              <w:spacing w:after="60"/>
              <w:jc w:val="right"/>
            </w:pPr>
            <w:r w:rsidRPr="00A71B4A">
              <w:t>0,01</w:t>
            </w:r>
          </w:p>
        </w:tc>
        <w:tc>
          <w:tcPr>
            <w:tcW w:w="1684" w:type="dxa"/>
            <w:tcBorders>
              <w:top w:val="single" w:sz="4" w:space="0" w:color="666699"/>
              <w:left w:val="single" w:sz="4" w:space="0" w:color="666699"/>
              <w:bottom w:val="single" w:sz="4" w:space="0" w:color="666699"/>
              <w:right w:val="single" w:sz="4" w:space="0" w:color="666699"/>
            </w:tcBorders>
            <w:hideMark/>
          </w:tcPr>
          <w:p w:rsidR="004007AB" w:rsidRPr="00A71B4A" w:rsidRDefault="004007AB" w:rsidP="00DD5EB6">
            <w:pPr>
              <w:spacing w:after="60"/>
              <w:jc w:val="right"/>
            </w:pPr>
            <w:r w:rsidRPr="00A71B4A">
              <w:t>0,03</w:t>
            </w:r>
          </w:p>
        </w:tc>
      </w:tr>
      <w:tr w:rsidR="004007AB" w:rsidRPr="00A71B4A" w:rsidTr="00555F91">
        <w:trPr>
          <w:trHeight w:val="240"/>
          <w:jc w:val="center"/>
        </w:trPr>
        <w:tc>
          <w:tcPr>
            <w:tcW w:w="1736" w:type="dxa"/>
            <w:vMerge/>
            <w:tcBorders>
              <w:top w:val="single" w:sz="4" w:space="0" w:color="666699"/>
              <w:left w:val="single" w:sz="4" w:space="0" w:color="666699"/>
              <w:bottom w:val="single" w:sz="4" w:space="0" w:color="666699"/>
              <w:right w:val="single" w:sz="4" w:space="0" w:color="666699"/>
            </w:tcBorders>
            <w:vAlign w:val="center"/>
            <w:hideMark/>
          </w:tcPr>
          <w:p w:rsidR="004007AB" w:rsidRPr="00A71B4A" w:rsidRDefault="004007AB" w:rsidP="00DD5EB6">
            <w:pPr>
              <w:jc w:val="left"/>
              <w:rPr>
                <w:lang w:val="en-CA"/>
              </w:rPr>
            </w:pPr>
          </w:p>
        </w:tc>
        <w:tc>
          <w:tcPr>
            <w:tcW w:w="3754" w:type="dxa"/>
            <w:tcBorders>
              <w:top w:val="single" w:sz="4" w:space="0" w:color="666699"/>
              <w:left w:val="single" w:sz="4" w:space="0" w:color="666699"/>
              <w:bottom w:val="single" w:sz="4" w:space="0" w:color="666699"/>
              <w:right w:val="single" w:sz="4" w:space="0" w:color="666699"/>
            </w:tcBorders>
            <w:hideMark/>
          </w:tcPr>
          <w:p w:rsidR="004007AB" w:rsidRPr="00A71B4A" w:rsidRDefault="004007AB" w:rsidP="00DD5EB6">
            <w:pPr>
              <w:spacing w:after="60"/>
              <w:jc w:val="left"/>
            </w:pPr>
            <w:r w:rsidRPr="00A71B4A">
              <w:t>Financement ($ US)</w:t>
            </w:r>
          </w:p>
        </w:tc>
        <w:tc>
          <w:tcPr>
            <w:tcW w:w="1683" w:type="dxa"/>
            <w:tcBorders>
              <w:top w:val="single" w:sz="4" w:space="0" w:color="666699"/>
              <w:left w:val="single" w:sz="4" w:space="0" w:color="666699"/>
              <w:bottom w:val="single" w:sz="4" w:space="0" w:color="666699"/>
              <w:right w:val="single" w:sz="4" w:space="0" w:color="666699"/>
            </w:tcBorders>
            <w:hideMark/>
          </w:tcPr>
          <w:p w:rsidR="004007AB" w:rsidRPr="00A71B4A" w:rsidRDefault="004007AB" w:rsidP="00DD5EB6">
            <w:pPr>
              <w:spacing w:after="60"/>
              <w:jc w:val="right"/>
            </w:pPr>
            <w:r w:rsidRPr="00A71B4A">
              <w:t>32 250</w:t>
            </w:r>
          </w:p>
        </w:tc>
        <w:tc>
          <w:tcPr>
            <w:tcW w:w="1683" w:type="dxa"/>
            <w:tcBorders>
              <w:top w:val="single" w:sz="4" w:space="0" w:color="666699"/>
              <w:left w:val="single" w:sz="4" w:space="0" w:color="666699"/>
              <w:bottom w:val="single" w:sz="4" w:space="0" w:color="666699"/>
              <w:right w:val="single" w:sz="4" w:space="0" w:color="666699"/>
            </w:tcBorders>
            <w:hideMark/>
          </w:tcPr>
          <w:p w:rsidR="004007AB" w:rsidRPr="00A71B4A" w:rsidRDefault="004007AB" w:rsidP="00DD5EB6">
            <w:pPr>
              <w:spacing w:after="60"/>
              <w:jc w:val="right"/>
            </w:pPr>
            <w:r w:rsidRPr="00A71B4A">
              <w:t>22 575</w:t>
            </w:r>
          </w:p>
        </w:tc>
        <w:tc>
          <w:tcPr>
            <w:tcW w:w="1684" w:type="dxa"/>
            <w:tcBorders>
              <w:top w:val="single" w:sz="4" w:space="0" w:color="666699"/>
              <w:left w:val="single" w:sz="4" w:space="0" w:color="666699"/>
              <w:bottom w:val="single" w:sz="4" w:space="0" w:color="666699"/>
              <w:right w:val="single" w:sz="4" w:space="0" w:color="666699"/>
            </w:tcBorders>
            <w:hideMark/>
          </w:tcPr>
          <w:p w:rsidR="004007AB" w:rsidRPr="00A71B4A" w:rsidRDefault="00E12500" w:rsidP="00DD5EB6">
            <w:pPr>
              <w:spacing w:after="60"/>
              <w:jc w:val="right"/>
            </w:pPr>
            <w:r w:rsidRPr="00A71B4A">
              <w:fldChar w:fldCharType="begin"/>
            </w:r>
            <w:r w:rsidRPr="00A71B4A">
              <w:instrText xml:space="preserve"> =SUM(left) </w:instrText>
            </w:r>
            <w:r w:rsidRPr="00A71B4A">
              <w:fldChar w:fldCharType="separate"/>
            </w:r>
            <w:r w:rsidRPr="00A71B4A">
              <w:t>54</w:t>
            </w:r>
            <w:r w:rsidR="002A000F" w:rsidRPr="00A71B4A">
              <w:t> </w:t>
            </w:r>
            <w:r w:rsidRPr="00A71B4A">
              <w:t>825</w:t>
            </w:r>
            <w:r w:rsidRPr="00A71B4A">
              <w:fldChar w:fldCharType="end"/>
            </w:r>
          </w:p>
        </w:tc>
      </w:tr>
    </w:tbl>
    <w:p w:rsidR="00DD5EB6" w:rsidRPr="00A71B4A" w:rsidRDefault="00DD5EB6" w:rsidP="00DD5EB6">
      <w:pPr>
        <w:spacing w:after="60"/>
        <w:jc w:val="center"/>
        <w:rPr>
          <w:lang w:val="en-CA"/>
        </w:rPr>
      </w:pPr>
    </w:p>
    <w:tbl>
      <w:tblPr>
        <w:tblStyle w:val="TableGrid"/>
        <w:tblW w:w="10547"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353"/>
        <w:gridCol w:w="925"/>
        <w:gridCol w:w="1016"/>
        <w:gridCol w:w="959"/>
        <w:gridCol w:w="931"/>
        <w:gridCol w:w="821"/>
        <w:gridCol w:w="656"/>
        <w:gridCol w:w="656"/>
        <w:gridCol w:w="657"/>
        <w:gridCol w:w="821"/>
        <w:gridCol w:w="821"/>
        <w:gridCol w:w="931"/>
      </w:tblGrid>
      <w:tr w:rsidR="00DD5EB6" w:rsidRPr="00A71B4A" w:rsidTr="008E0D0F">
        <w:trPr>
          <w:jc w:val="center"/>
        </w:trPr>
        <w:tc>
          <w:tcPr>
            <w:tcW w:w="3559" w:type="dxa"/>
            <w:gridSpan w:val="3"/>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left"/>
              <w:rPr>
                <w:b/>
              </w:rPr>
            </w:pPr>
            <w:r w:rsidRPr="00A71B4A">
              <w:rPr>
                <w:b/>
              </w:rPr>
              <w:t>(VI) DONNÉES DU PROJET</w:t>
            </w:r>
          </w:p>
        </w:tc>
        <w:tc>
          <w:tcPr>
            <w:tcW w:w="10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rPr>
                <w:b/>
              </w:rPr>
            </w:pPr>
            <w:r w:rsidRPr="00A71B4A">
              <w:rPr>
                <w:b/>
              </w:rPr>
              <w:t>2011</w:t>
            </w:r>
          </w:p>
        </w:tc>
        <w:tc>
          <w:tcPr>
            <w:tcW w:w="8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rPr>
                <w:b/>
              </w:rPr>
            </w:pPr>
            <w:r w:rsidRPr="00A71B4A">
              <w:rPr>
                <w:b/>
              </w:rPr>
              <w:t>2013</w:t>
            </w:r>
          </w:p>
        </w:tc>
        <w:tc>
          <w:tcPr>
            <w:tcW w:w="7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rPr>
                <w:b/>
              </w:rPr>
            </w:pPr>
            <w:r w:rsidRPr="00A71B4A">
              <w:rPr>
                <w:b/>
              </w:rPr>
              <w:t>2015</w:t>
            </w:r>
          </w:p>
        </w:tc>
        <w:tc>
          <w:tcPr>
            <w:tcW w:w="61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rPr>
                <w:b/>
              </w:rPr>
            </w:pPr>
            <w:r w:rsidRPr="00A71B4A">
              <w:rPr>
                <w:b/>
              </w:rPr>
              <w:t>2016</w:t>
            </w:r>
          </w:p>
        </w:tc>
        <w:tc>
          <w:tcPr>
            <w:tcW w:w="61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rPr>
                <w:b/>
              </w:rPr>
            </w:pPr>
            <w:r w:rsidRPr="00A71B4A">
              <w:rPr>
                <w:b/>
              </w:rPr>
              <w:t>2017</w:t>
            </w:r>
          </w:p>
        </w:tc>
        <w:tc>
          <w:tcPr>
            <w:tcW w:w="660"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rPr>
                <w:b/>
              </w:rPr>
            </w:pPr>
            <w:r w:rsidRPr="00A71B4A">
              <w:rPr>
                <w:b/>
              </w:rPr>
              <w:t>2018</w:t>
            </w:r>
          </w:p>
        </w:tc>
        <w:tc>
          <w:tcPr>
            <w:tcW w:w="7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rPr>
                <w:b/>
              </w:rPr>
            </w:pPr>
            <w:r w:rsidRPr="00A71B4A">
              <w:rPr>
                <w:b/>
              </w:rPr>
              <w:t>2019</w:t>
            </w: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rPr>
                <w:b/>
              </w:rPr>
            </w:pPr>
            <w:r w:rsidRPr="00A71B4A">
              <w:rPr>
                <w:b/>
              </w:rPr>
              <w:t>2020</w:t>
            </w: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rPr>
                <w:b/>
              </w:rPr>
            </w:pPr>
            <w:r w:rsidRPr="00A71B4A">
              <w:rPr>
                <w:b/>
              </w:rPr>
              <w:t>Total</w:t>
            </w:r>
          </w:p>
        </w:tc>
      </w:tr>
      <w:tr w:rsidR="00DD5EB6" w:rsidRPr="00A71B4A" w:rsidTr="008E0D0F">
        <w:trPr>
          <w:jc w:val="center"/>
        </w:trPr>
        <w:tc>
          <w:tcPr>
            <w:tcW w:w="3559" w:type="dxa"/>
            <w:gridSpan w:val="3"/>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left"/>
            </w:pPr>
            <w:r w:rsidRPr="00A71B4A">
              <w:t>Limites de consommation en vertu du Protocole de Montréal</w:t>
            </w:r>
          </w:p>
        </w:tc>
        <w:tc>
          <w:tcPr>
            <w:tcW w:w="10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8E0D0F">
            <w:pPr>
              <w:spacing w:after="60"/>
              <w:jc w:val="right"/>
            </w:pPr>
            <w:r w:rsidRPr="00A71B4A">
              <w:t>s. o.</w:t>
            </w:r>
          </w:p>
        </w:tc>
        <w:tc>
          <w:tcPr>
            <w:tcW w:w="8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8E0D0F">
            <w:pPr>
              <w:spacing w:after="60"/>
              <w:jc w:val="right"/>
            </w:pPr>
            <w:r w:rsidRPr="00A71B4A">
              <w:t>0,8</w:t>
            </w:r>
          </w:p>
        </w:tc>
        <w:tc>
          <w:tcPr>
            <w:tcW w:w="7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8E0D0F">
            <w:pPr>
              <w:spacing w:after="60"/>
              <w:jc w:val="right"/>
            </w:pPr>
            <w:r w:rsidRPr="00A71B4A">
              <w:t>0,72</w:t>
            </w:r>
          </w:p>
        </w:tc>
        <w:tc>
          <w:tcPr>
            <w:tcW w:w="61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8E0D0F">
            <w:pPr>
              <w:spacing w:after="60"/>
              <w:jc w:val="right"/>
            </w:pPr>
            <w:r w:rsidRPr="00A71B4A">
              <w:t>0,72</w:t>
            </w:r>
          </w:p>
        </w:tc>
        <w:tc>
          <w:tcPr>
            <w:tcW w:w="61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8E0D0F">
            <w:pPr>
              <w:spacing w:after="60"/>
              <w:jc w:val="right"/>
            </w:pPr>
            <w:r w:rsidRPr="00A71B4A">
              <w:t>0,72</w:t>
            </w:r>
          </w:p>
        </w:tc>
        <w:tc>
          <w:tcPr>
            <w:tcW w:w="660"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8E0D0F">
            <w:pPr>
              <w:spacing w:after="60"/>
              <w:jc w:val="right"/>
            </w:pPr>
            <w:r w:rsidRPr="00A71B4A">
              <w:t>0,72</w:t>
            </w:r>
          </w:p>
        </w:tc>
        <w:tc>
          <w:tcPr>
            <w:tcW w:w="7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8E0D0F">
            <w:pPr>
              <w:spacing w:after="60"/>
              <w:jc w:val="right"/>
            </w:pPr>
            <w:r w:rsidRPr="00A71B4A">
              <w:t>0,72</w:t>
            </w: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8E0D0F">
            <w:pPr>
              <w:spacing w:after="60"/>
              <w:jc w:val="right"/>
            </w:pPr>
            <w:r w:rsidRPr="00A71B4A">
              <w:t>0,52</w:t>
            </w:r>
          </w:p>
        </w:tc>
        <w:tc>
          <w:tcPr>
            <w:tcW w:w="0" w:type="auto"/>
            <w:tcBorders>
              <w:top w:val="single" w:sz="4" w:space="0" w:color="666699"/>
              <w:left w:val="single" w:sz="4" w:space="0" w:color="666699"/>
              <w:bottom w:val="single" w:sz="4" w:space="0" w:color="666699"/>
              <w:right w:val="single" w:sz="4" w:space="0" w:color="666699"/>
            </w:tcBorders>
          </w:tcPr>
          <w:p w:rsidR="00DD5EB6" w:rsidRPr="00A71B4A" w:rsidRDefault="00DD5EB6" w:rsidP="008E0D0F">
            <w:pPr>
              <w:spacing w:after="60"/>
              <w:jc w:val="right"/>
            </w:pPr>
            <w:r w:rsidRPr="00A71B4A">
              <w:t>s. o.</w:t>
            </w:r>
          </w:p>
        </w:tc>
      </w:tr>
      <w:tr w:rsidR="00DD5EB6" w:rsidRPr="00A71B4A" w:rsidTr="008E0D0F">
        <w:trPr>
          <w:jc w:val="center"/>
        </w:trPr>
        <w:tc>
          <w:tcPr>
            <w:tcW w:w="3559" w:type="dxa"/>
            <w:gridSpan w:val="3"/>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left"/>
            </w:pPr>
            <w:r w:rsidRPr="00A71B4A">
              <w:t>Consommation maximale autorisée (tonnes PAO)</w:t>
            </w:r>
          </w:p>
        </w:tc>
        <w:tc>
          <w:tcPr>
            <w:tcW w:w="10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8E0D0F">
            <w:pPr>
              <w:spacing w:after="60"/>
              <w:jc w:val="right"/>
            </w:pPr>
            <w:r w:rsidRPr="00A71B4A">
              <w:t>s. o.</w:t>
            </w:r>
          </w:p>
        </w:tc>
        <w:tc>
          <w:tcPr>
            <w:tcW w:w="8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8E0D0F">
            <w:pPr>
              <w:spacing w:after="60"/>
              <w:jc w:val="right"/>
            </w:pPr>
            <w:r w:rsidRPr="00A71B4A">
              <w:t>0,8</w:t>
            </w:r>
          </w:p>
        </w:tc>
        <w:tc>
          <w:tcPr>
            <w:tcW w:w="7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8E0D0F">
            <w:pPr>
              <w:spacing w:after="60"/>
              <w:jc w:val="right"/>
            </w:pPr>
            <w:r w:rsidRPr="00A71B4A">
              <w:t>0,72</w:t>
            </w:r>
          </w:p>
        </w:tc>
        <w:tc>
          <w:tcPr>
            <w:tcW w:w="61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8E0D0F">
            <w:pPr>
              <w:spacing w:after="60"/>
              <w:jc w:val="right"/>
            </w:pPr>
            <w:r w:rsidRPr="00A71B4A">
              <w:t>0,72</w:t>
            </w:r>
          </w:p>
        </w:tc>
        <w:tc>
          <w:tcPr>
            <w:tcW w:w="61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8E0D0F">
            <w:pPr>
              <w:spacing w:after="60"/>
              <w:jc w:val="right"/>
            </w:pPr>
            <w:r w:rsidRPr="00A71B4A">
              <w:t>0,72</w:t>
            </w:r>
          </w:p>
        </w:tc>
        <w:tc>
          <w:tcPr>
            <w:tcW w:w="660"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8E0D0F">
            <w:pPr>
              <w:spacing w:after="60"/>
              <w:jc w:val="right"/>
            </w:pPr>
            <w:r w:rsidRPr="00A71B4A">
              <w:t>0,72</w:t>
            </w:r>
          </w:p>
        </w:tc>
        <w:tc>
          <w:tcPr>
            <w:tcW w:w="7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8E0D0F">
            <w:pPr>
              <w:spacing w:after="60"/>
              <w:jc w:val="right"/>
            </w:pPr>
            <w:r w:rsidRPr="00A71B4A">
              <w:t>0,72</w:t>
            </w: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8E0D0F">
            <w:pPr>
              <w:spacing w:after="60"/>
              <w:jc w:val="right"/>
            </w:pPr>
            <w:r w:rsidRPr="00A71B4A">
              <w:t>0,52</w:t>
            </w:r>
          </w:p>
        </w:tc>
        <w:tc>
          <w:tcPr>
            <w:tcW w:w="0" w:type="auto"/>
            <w:tcBorders>
              <w:top w:val="single" w:sz="4" w:space="0" w:color="666699"/>
              <w:left w:val="single" w:sz="4" w:space="0" w:color="666699"/>
              <w:bottom w:val="single" w:sz="4" w:space="0" w:color="666699"/>
              <w:right w:val="single" w:sz="4" w:space="0" w:color="666699"/>
            </w:tcBorders>
          </w:tcPr>
          <w:p w:rsidR="00DD5EB6" w:rsidRPr="00A71B4A" w:rsidRDefault="00DD5EB6" w:rsidP="008E0D0F">
            <w:pPr>
              <w:spacing w:after="60"/>
              <w:jc w:val="right"/>
            </w:pPr>
            <w:r w:rsidRPr="00A71B4A">
              <w:t>s. o.</w:t>
            </w:r>
          </w:p>
        </w:tc>
      </w:tr>
      <w:tr w:rsidR="00DD5EB6" w:rsidRPr="00A71B4A" w:rsidTr="008E0D0F">
        <w:trPr>
          <w:trHeight w:val="377"/>
          <w:jc w:val="center"/>
        </w:trPr>
        <w:tc>
          <w:tcPr>
            <w:tcW w:w="1250" w:type="dxa"/>
            <w:vMerge w:val="restart"/>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left"/>
            </w:pPr>
            <w:r w:rsidRPr="00A71B4A">
              <w:t>Financement convenu ($</w:t>
            </w:r>
            <w:r w:rsidR="009F3F6F" w:rsidRPr="00A71B4A">
              <w:t> </w:t>
            </w:r>
            <w:r w:rsidRPr="00A71B4A">
              <w:t>US)</w:t>
            </w:r>
          </w:p>
        </w:tc>
        <w:tc>
          <w:tcPr>
            <w:tcW w:w="815" w:type="dxa"/>
            <w:vMerge w:val="restart"/>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center"/>
            </w:pPr>
            <w:r w:rsidRPr="00A71B4A">
              <w:t>ONUDI</w:t>
            </w:r>
          </w:p>
        </w:tc>
        <w:tc>
          <w:tcPr>
            <w:tcW w:w="1494"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left"/>
            </w:pPr>
            <w:r w:rsidRPr="00A71B4A">
              <w:t>Coûts du projet</w:t>
            </w:r>
          </w:p>
        </w:tc>
        <w:tc>
          <w:tcPr>
            <w:tcW w:w="10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155 000</w:t>
            </w:r>
          </w:p>
        </w:tc>
        <w:tc>
          <w:tcPr>
            <w:tcW w:w="8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100 000</w:t>
            </w:r>
          </w:p>
        </w:tc>
        <w:tc>
          <w:tcPr>
            <w:tcW w:w="7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98 500</w:t>
            </w:r>
          </w:p>
        </w:tc>
        <w:tc>
          <w:tcPr>
            <w:tcW w:w="616" w:type="dxa"/>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pPr>
            <w:r w:rsidRPr="00A71B4A">
              <w:t>0</w:t>
            </w:r>
          </w:p>
        </w:tc>
        <w:tc>
          <w:tcPr>
            <w:tcW w:w="616" w:type="dxa"/>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pPr>
            <w:r w:rsidRPr="00A71B4A">
              <w:t>0</w:t>
            </w:r>
          </w:p>
        </w:tc>
        <w:tc>
          <w:tcPr>
            <w:tcW w:w="660" w:type="dxa"/>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pPr>
            <w:r w:rsidRPr="00A71B4A">
              <w:t>0</w:t>
            </w:r>
          </w:p>
        </w:tc>
        <w:tc>
          <w:tcPr>
            <w:tcW w:w="7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30 000</w:t>
            </w: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21 000</w:t>
            </w: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404 500</w:t>
            </w:r>
          </w:p>
        </w:tc>
      </w:tr>
      <w:tr w:rsidR="00DD5EB6" w:rsidRPr="00A71B4A" w:rsidTr="008E0D0F">
        <w:trPr>
          <w:jc w:val="center"/>
        </w:trPr>
        <w:tc>
          <w:tcPr>
            <w:tcW w:w="1250" w:type="dxa"/>
            <w:vMerge/>
            <w:tcBorders>
              <w:top w:val="single" w:sz="4" w:space="0" w:color="666699"/>
              <w:left w:val="single" w:sz="4" w:space="0" w:color="666699"/>
              <w:bottom w:val="single" w:sz="4" w:space="0" w:color="666699"/>
              <w:right w:val="single" w:sz="4" w:space="0" w:color="666699"/>
            </w:tcBorders>
            <w:vAlign w:val="center"/>
            <w:hideMark/>
          </w:tcPr>
          <w:p w:rsidR="00DD5EB6" w:rsidRPr="00A71B4A" w:rsidRDefault="00DD5EB6" w:rsidP="00DD5EB6">
            <w:pPr>
              <w:jc w:val="left"/>
              <w:rPr>
                <w:lang w:val="en-CA"/>
              </w:rPr>
            </w:pPr>
          </w:p>
        </w:tc>
        <w:tc>
          <w:tcPr>
            <w:tcW w:w="815" w:type="dxa"/>
            <w:vMerge/>
            <w:tcBorders>
              <w:top w:val="single" w:sz="4" w:space="0" w:color="666699"/>
              <w:left w:val="single" w:sz="4" w:space="0" w:color="666699"/>
              <w:bottom w:val="single" w:sz="4" w:space="0" w:color="666699"/>
              <w:right w:val="single" w:sz="4" w:space="0" w:color="666699"/>
            </w:tcBorders>
            <w:vAlign w:val="center"/>
            <w:hideMark/>
          </w:tcPr>
          <w:p w:rsidR="00DD5EB6" w:rsidRPr="00A71B4A" w:rsidRDefault="00DD5EB6" w:rsidP="00DD5EB6">
            <w:pPr>
              <w:jc w:val="left"/>
              <w:rPr>
                <w:lang w:val="en-CA"/>
              </w:rPr>
            </w:pPr>
          </w:p>
        </w:tc>
        <w:tc>
          <w:tcPr>
            <w:tcW w:w="1494"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left"/>
            </w:pPr>
            <w:r w:rsidRPr="00A71B4A">
              <w:t>Coûts d</w:t>
            </w:r>
            <w:r w:rsidR="00904A53" w:rsidRPr="00A71B4A">
              <w:t>’</w:t>
            </w:r>
            <w:r w:rsidRPr="00A71B4A">
              <w:t>appui</w:t>
            </w:r>
          </w:p>
        </w:tc>
        <w:tc>
          <w:tcPr>
            <w:tcW w:w="10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11 625</w:t>
            </w:r>
          </w:p>
        </w:tc>
        <w:tc>
          <w:tcPr>
            <w:tcW w:w="8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7 500</w:t>
            </w:r>
          </w:p>
        </w:tc>
        <w:tc>
          <w:tcPr>
            <w:tcW w:w="7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7 388</w:t>
            </w:r>
          </w:p>
        </w:tc>
        <w:tc>
          <w:tcPr>
            <w:tcW w:w="616" w:type="dxa"/>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pPr>
            <w:r w:rsidRPr="00A71B4A">
              <w:t>0</w:t>
            </w:r>
          </w:p>
        </w:tc>
        <w:tc>
          <w:tcPr>
            <w:tcW w:w="616" w:type="dxa"/>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pPr>
            <w:r w:rsidRPr="00A71B4A">
              <w:t>0</w:t>
            </w:r>
          </w:p>
        </w:tc>
        <w:tc>
          <w:tcPr>
            <w:tcW w:w="660" w:type="dxa"/>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pPr>
            <w:r w:rsidRPr="00A71B4A">
              <w:t>0</w:t>
            </w:r>
          </w:p>
        </w:tc>
        <w:tc>
          <w:tcPr>
            <w:tcW w:w="7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2 250</w:t>
            </w: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1 575</w:t>
            </w: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30 338</w:t>
            </w:r>
          </w:p>
        </w:tc>
      </w:tr>
      <w:tr w:rsidR="00DD5EB6" w:rsidRPr="00A71B4A" w:rsidTr="008E0D0F">
        <w:trPr>
          <w:jc w:val="center"/>
        </w:trPr>
        <w:tc>
          <w:tcPr>
            <w:tcW w:w="2065" w:type="dxa"/>
            <w:gridSpan w:val="2"/>
            <w:vMerge w:val="restart"/>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left"/>
            </w:pPr>
            <w:r w:rsidRPr="00A71B4A">
              <w:t xml:space="preserve">Fonds approuvés par </w:t>
            </w:r>
            <w:proofErr w:type="spellStart"/>
            <w:r w:rsidRPr="00A71B4A">
              <w:t>ExCom</w:t>
            </w:r>
            <w:proofErr w:type="spellEnd"/>
            <w:r w:rsidRPr="00A71B4A">
              <w:t xml:space="preserve"> ($ US)</w:t>
            </w:r>
          </w:p>
        </w:tc>
        <w:tc>
          <w:tcPr>
            <w:tcW w:w="1494"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left"/>
            </w:pPr>
            <w:r w:rsidRPr="00A71B4A">
              <w:t>Coûts du projet</w:t>
            </w:r>
          </w:p>
        </w:tc>
        <w:tc>
          <w:tcPr>
            <w:tcW w:w="10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155 000</w:t>
            </w:r>
          </w:p>
        </w:tc>
        <w:tc>
          <w:tcPr>
            <w:tcW w:w="8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100 000</w:t>
            </w:r>
          </w:p>
        </w:tc>
        <w:tc>
          <w:tcPr>
            <w:tcW w:w="7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98 500</w:t>
            </w:r>
          </w:p>
        </w:tc>
        <w:tc>
          <w:tcPr>
            <w:tcW w:w="61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0</w:t>
            </w:r>
          </w:p>
        </w:tc>
        <w:tc>
          <w:tcPr>
            <w:tcW w:w="61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0</w:t>
            </w:r>
          </w:p>
        </w:tc>
        <w:tc>
          <w:tcPr>
            <w:tcW w:w="660"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0</w:t>
            </w:r>
          </w:p>
        </w:tc>
        <w:tc>
          <w:tcPr>
            <w:tcW w:w="7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0</w:t>
            </w: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0</w:t>
            </w:r>
          </w:p>
        </w:tc>
        <w:tc>
          <w:tcPr>
            <w:tcW w:w="0" w:type="auto"/>
            <w:tcBorders>
              <w:top w:val="single" w:sz="4" w:space="0" w:color="666699"/>
              <w:left w:val="single" w:sz="4" w:space="0" w:color="666699"/>
              <w:bottom w:val="single" w:sz="4" w:space="0" w:color="666699"/>
              <w:right w:val="single" w:sz="4" w:space="0" w:color="666699"/>
            </w:tcBorders>
          </w:tcPr>
          <w:p w:rsidR="00DD5EB6" w:rsidRPr="00A71B4A" w:rsidRDefault="00E933E0" w:rsidP="00DD5EB6">
            <w:pPr>
              <w:spacing w:after="60"/>
              <w:jc w:val="right"/>
            </w:pPr>
            <w:r w:rsidRPr="00A71B4A">
              <w:fldChar w:fldCharType="begin"/>
            </w:r>
            <w:r w:rsidRPr="00A71B4A">
              <w:instrText xml:space="preserve"> =SUM(LEFT) </w:instrText>
            </w:r>
            <w:r w:rsidRPr="00A71B4A">
              <w:fldChar w:fldCharType="separate"/>
            </w:r>
            <w:r w:rsidRPr="00A71B4A">
              <w:t>353</w:t>
            </w:r>
            <w:r w:rsidR="009F3F6F" w:rsidRPr="00A71B4A">
              <w:t> </w:t>
            </w:r>
            <w:r w:rsidRPr="00A71B4A">
              <w:t>500</w:t>
            </w:r>
            <w:r w:rsidRPr="00A71B4A">
              <w:fldChar w:fldCharType="end"/>
            </w:r>
          </w:p>
        </w:tc>
      </w:tr>
      <w:tr w:rsidR="00DD5EB6" w:rsidRPr="00A71B4A" w:rsidTr="008E0D0F">
        <w:trPr>
          <w:jc w:val="center"/>
        </w:trPr>
        <w:tc>
          <w:tcPr>
            <w:tcW w:w="2065" w:type="dxa"/>
            <w:gridSpan w:val="2"/>
            <w:vMerge/>
            <w:tcBorders>
              <w:top w:val="single" w:sz="4" w:space="0" w:color="666699"/>
              <w:left w:val="single" w:sz="4" w:space="0" w:color="666699"/>
              <w:bottom w:val="single" w:sz="4" w:space="0" w:color="666699"/>
              <w:right w:val="single" w:sz="4" w:space="0" w:color="666699"/>
            </w:tcBorders>
            <w:vAlign w:val="center"/>
            <w:hideMark/>
          </w:tcPr>
          <w:p w:rsidR="00DD5EB6" w:rsidRPr="00A71B4A" w:rsidRDefault="00DD5EB6" w:rsidP="00DD5EB6">
            <w:pPr>
              <w:jc w:val="left"/>
              <w:rPr>
                <w:lang w:val="en-CA"/>
              </w:rPr>
            </w:pPr>
          </w:p>
        </w:tc>
        <w:tc>
          <w:tcPr>
            <w:tcW w:w="1494"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left"/>
            </w:pPr>
            <w:r w:rsidRPr="00A71B4A">
              <w:t>Coûts d</w:t>
            </w:r>
            <w:r w:rsidR="00904A53" w:rsidRPr="00A71B4A">
              <w:t>’</w:t>
            </w:r>
            <w:r w:rsidRPr="00A71B4A">
              <w:t>appui</w:t>
            </w:r>
          </w:p>
        </w:tc>
        <w:tc>
          <w:tcPr>
            <w:tcW w:w="10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11 625</w:t>
            </w:r>
          </w:p>
        </w:tc>
        <w:tc>
          <w:tcPr>
            <w:tcW w:w="8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7 500</w:t>
            </w:r>
          </w:p>
        </w:tc>
        <w:tc>
          <w:tcPr>
            <w:tcW w:w="7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7 388</w:t>
            </w:r>
          </w:p>
        </w:tc>
        <w:tc>
          <w:tcPr>
            <w:tcW w:w="61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0</w:t>
            </w:r>
          </w:p>
        </w:tc>
        <w:tc>
          <w:tcPr>
            <w:tcW w:w="61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0</w:t>
            </w:r>
          </w:p>
        </w:tc>
        <w:tc>
          <w:tcPr>
            <w:tcW w:w="660"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0</w:t>
            </w:r>
          </w:p>
        </w:tc>
        <w:tc>
          <w:tcPr>
            <w:tcW w:w="766"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0</w:t>
            </w: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0</w:t>
            </w:r>
          </w:p>
        </w:tc>
        <w:tc>
          <w:tcPr>
            <w:tcW w:w="0" w:type="auto"/>
            <w:tcBorders>
              <w:top w:val="single" w:sz="4" w:space="0" w:color="666699"/>
              <w:left w:val="single" w:sz="4" w:space="0" w:color="666699"/>
              <w:bottom w:val="single" w:sz="4" w:space="0" w:color="666699"/>
              <w:right w:val="single" w:sz="4" w:space="0" w:color="666699"/>
            </w:tcBorders>
          </w:tcPr>
          <w:p w:rsidR="00DD5EB6" w:rsidRPr="00A71B4A" w:rsidRDefault="00E933E0" w:rsidP="00DD5EB6">
            <w:pPr>
              <w:spacing w:after="60"/>
              <w:jc w:val="right"/>
            </w:pPr>
            <w:r w:rsidRPr="00A71B4A">
              <w:fldChar w:fldCharType="begin"/>
            </w:r>
            <w:r w:rsidRPr="00A71B4A">
              <w:instrText xml:space="preserve"> =SUM(LEFT) </w:instrText>
            </w:r>
            <w:r w:rsidRPr="00A71B4A">
              <w:fldChar w:fldCharType="separate"/>
            </w:r>
            <w:r w:rsidRPr="00A71B4A">
              <w:t>26</w:t>
            </w:r>
            <w:r w:rsidR="009F3F6F" w:rsidRPr="00A71B4A">
              <w:t> </w:t>
            </w:r>
            <w:r w:rsidRPr="00A71B4A">
              <w:t>513</w:t>
            </w:r>
            <w:r w:rsidRPr="00A71B4A">
              <w:fldChar w:fldCharType="end"/>
            </w:r>
          </w:p>
        </w:tc>
      </w:tr>
      <w:tr w:rsidR="00DD5EB6" w:rsidRPr="00A71B4A" w:rsidTr="008E0D0F">
        <w:trPr>
          <w:jc w:val="center"/>
        </w:trPr>
        <w:tc>
          <w:tcPr>
            <w:tcW w:w="2065" w:type="dxa"/>
            <w:gridSpan w:val="2"/>
            <w:vMerge w:val="restart"/>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left"/>
            </w:pPr>
            <w:r w:rsidRPr="00A71B4A">
              <w:t>Total des fonds demandés pour approbation à cette réunion ($ US)</w:t>
            </w:r>
          </w:p>
        </w:tc>
        <w:tc>
          <w:tcPr>
            <w:tcW w:w="1494"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left"/>
            </w:pPr>
            <w:r w:rsidRPr="00A71B4A">
              <w:t>Coûts du projet</w:t>
            </w:r>
          </w:p>
        </w:tc>
        <w:tc>
          <w:tcPr>
            <w:tcW w:w="1066" w:type="dxa"/>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rPr>
                <w:lang w:val="en-CA"/>
              </w:rPr>
            </w:pPr>
          </w:p>
        </w:tc>
        <w:tc>
          <w:tcPr>
            <w:tcW w:w="866" w:type="dxa"/>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rPr>
                <w:lang w:val="en-CA"/>
              </w:rPr>
            </w:pPr>
          </w:p>
        </w:tc>
        <w:tc>
          <w:tcPr>
            <w:tcW w:w="766" w:type="dxa"/>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rPr>
                <w:lang w:val="en-CA"/>
              </w:rPr>
            </w:pPr>
          </w:p>
        </w:tc>
        <w:tc>
          <w:tcPr>
            <w:tcW w:w="616" w:type="dxa"/>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rPr>
                <w:lang w:val="en-CA"/>
              </w:rPr>
            </w:pPr>
          </w:p>
        </w:tc>
        <w:tc>
          <w:tcPr>
            <w:tcW w:w="616" w:type="dxa"/>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rPr>
                <w:lang w:val="en-CA"/>
              </w:rPr>
            </w:pPr>
          </w:p>
        </w:tc>
        <w:tc>
          <w:tcPr>
            <w:tcW w:w="660" w:type="dxa"/>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rPr>
                <w:lang w:val="en-CA"/>
              </w:rPr>
            </w:pPr>
          </w:p>
        </w:tc>
        <w:tc>
          <w:tcPr>
            <w:tcW w:w="766" w:type="dxa"/>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pPr>
            <w:r w:rsidRPr="00A71B4A">
              <w:t>30 000</w:t>
            </w:r>
          </w:p>
        </w:tc>
        <w:tc>
          <w:tcPr>
            <w:tcW w:w="0" w:type="auto"/>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rPr>
                <w:lang w:val="en-CA"/>
              </w:rPr>
            </w:pP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30 000</w:t>
            </w:r>
          </w:p>
        </w:tc>
      </w:tr>
      <w:tr w:rsidR="00DD5EB6" w:rsidRPr="00A71B4A" w:rsidTr="008E0D0F">
        <w:trPr>
          <w:jc w:val="center"/>
        </w:trPr>
        <w:tc>
          <w:tcPr>
            <w:tcW w:w="2065" w:type="dxa"/>
            <w:gridSpan w:val="2"/>
            <w:vMerge/>
            <w:tcBorders>
              <w:top w:val="single" w:sz="4" w:space="0" w:color="666699"/>
              <w:left w:val="single" w:sz="4" w:space="0" w:color="666699"/>
              <w:bottom w:val="single" w:sz="4" w:space="0" w:color="666699"/>
              <w:right w:val="single" w:sz="4" w:space="0" w:color="666699"/>
            </w:tcBorders>
            <w:vAlign w:val="center"/>
            <w:hideMark/>
          </w:tcPr>
          <w:p w:rsidR="00DD5EB6" w:rsidRPr="00A71B4A" w:rsidRDefault="00DD5EB6" w:rsidP="00DD5EB6">
            <w:pPr>
              <w:jc w:val="left"/>
              <w:rPr>
                <w:lang w:val="en-CA"/>
              </w:rPr>
            </w:pPr>
          </w:p>
        </w:tc>
        <w:tc>
          <w:tcPr>
            <w:tcW w:w="1494"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left"/>
            </w:pPr>
            <w:r w:rsidRPr="00A71B4A">
              <w:t>Coûts d</w:t>
            </w:r>
            <w:r w:rsidR="00904A53" w:rsidRPr="00A71B4A">
              <w:t>’</w:t>
            </w:r>
            <w:r w:rsidRPr="00A71B4A">
              <w:t>appui</w:t>
            </w:r>
          </w:p>
        </w:tc>
        <w:tc>
          <w:tcPr>
            <w:tcW w:w="1066" w:type="dxa"/>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rPr>
                <w:lang w:val="en-CA"/>
              </w:rPr>
            </w:pPr>
          </w:p>
        </w:tc>
        <w:tc>
          <w:tcPr>
            <w:tcW w:w="866" w:type="dxa"/>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rPr>
                <w:lang w:val="en-CA"/>
              </w:rPr>
            </w:pPr>
          </w:p>
        </w:tc>
        <w:tc>
          <w:tcPr>
            <w:tcW w:w="766" w:type="dxa"/>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rPr>
                <w:lang w:val="en-CA"/>
              </w:rPr>
            </w:pPr>
          </w:p>
        </w:tc>
        <w:tc>
          <w:tcPr>
            <w:tcW w:w="616" w:type="dxa"/>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rPr>
                <w:lang w:val="en-CA"/>
              </w:rPr>
            </w:pPr>
          </w:p>
        </w:tc>
        <w:tc>
          <w:tcPr>
            <w:tcW w:w="616" w:type="dxa"/>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rPr>
                <w:lang w:val="en-CA"/>
              </w:rPr>
            </w:pPr>
          </w:p>
        </w:tc>
        <w:tc>
          <w:tcPr>
            <w:tcW w:w="660" w:type="dxa"/>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rPr>
                <w:lang w:val="en-CA"/>
              </w:rPr>
            </w:pPr>
          </w:p>
        </w:tc>
        <w:tc>
          <w:tcPr>
            <w:tcW w:w="766" w:type="dxa"/>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pPr>
            <w:r w:rsidRPr="00A71B4A">
              <w:t>2 250</w:t>
            </w:r>
          </w:p>
        </w:tc>
        <w:tc>
          <w:tcPr>
            <w:tcW w:w="0" w:type="auto"/>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right"/>
              <w:rPr>
                <w:lang w:val="en-CA"/>
              </w:rPr>
            </w:pPr>
          </w:p>
        </w:tc>
        <w:tc>
          <w:tcPr>
            <w:tcW w:w="0" w:type="auto"/>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right"/>
            </w:pPr>
            <w:r w:rsidRPr="00A71B4A">
              <w:t>2 250</w:t>
            </w:r>
          </w:p>
        </w:tc>
      </w:tr>
    </w:tbl>
    <w:p w:rsidR="00DD5EB6" w:rsidRPr="00A71B4A" w:rsidRDefault="00DD5EB6" w:rsidP="00DD5EB6">
      <w:pPr>
        <w:spacing w:after="60"/>
        <w:jc w:val="center"/>
        <w:rPr>
          <w:sz w:val="32"/>
          <w:szCs w:val="32"/>
          <w:lang w:val="en-CA"/>
        </w:rPr>
      </w:pPr>
    </w:p>
    <w:tbl>
      <w:tblPr>
        <w:tblStyle w:val="TableGrid"/>
        <w:tblW w:w="10461"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950"/>
        <w:gridCol w:w="5511"/>
      </w:tblGrid>
      <w:tr w:rsidR="00DD5EB6" w:rsidRPr="00A71B4A" w:rsidTr="008E0D0F">
        <w:trPr>
          <w:trHeight w:val="240"/>
          <w:jc w:val="center"/>
        </w:trPr>
        <w:tc>
          <w:tcPr>
            <w:tcW w:w="4950" w:type="dxa"/>
            <w:tcBorders>
              <w:top w:val="single" w:sz="4" w:space="0" w:color="666699"/>
              <w:left w:val="single" w:sz="4" w:space="0" w:color="666699"/>
              <w:bottom w:val="single" w:sz="4" w:space="0" w:color="666699"/>
              <w:right w:val="single" w:sz="4" w:space="0" w:color="666699"/>
            </w:tcBorders>
            <w:hideMark/>
          </w:tcPr>
          <w:p w:rsidR="00DD5EB6" w:rsidRPr="00A71B4A" w:rsidRDefault="00DD5EB6" w:rsidP="00DD5EB6">
            <w:pPr>
              <w:spacing w:after="60"/>
              <w:jc w:val="left"/>
              <w:rPr>
                <w:b/>
              </w:rPr>
            </w:pPr>
            <w:r w:rsidRPr="00A71B4A">
              <w:rPr>
                <w:b/>
              </w:rPr>
              <w:t>Recommandation du Secrétariat :</w:t>
            </w:r>
          </w:p>
        </w:tc>
        <w:tc>
          <w:tcPr>
            <w:tcW w:w="5511" w:type="dxa"/>
            <w:tcBorders>
              <w:top w:val="single" w:sz="4" w:space="0" w:color="666699"/>
              <w:left w:val="single" w:sz="4" w:space="0" w:color="666699"/>
              <w:bottom w:val="single" w:sz="4" w:space="0" w:color="666699"/>
              <w:right w:val="single" w:sz="4" w:space="0" w:color="666699"/>
            </w:tcBorders>
          </w:tcPr>
          <w:p w:rsidR="00DD5EB6" w:rsidRPr="00A71B4A" w:rsidRDefault="00DD5EB6" w:rsidP="00DD5EB6">
            <w:pPr>
              <w:spacing w:after="60"/>
              <w:jc w:val="center"/>
            </w:pPr>
            <w:r w:rsidRPr="00A71B4A">
              <w:t>Approbation générale</w:t>
            </w:r>
          </w:p>
        </w:tc>
      </w:tr>
    </w:tbl>
    <w:p w:rsidR="00A71B4A" w:rsidRDefault="00A71B4A" w:rsidP="008E0D0F">
      <w:pPr>
        <w:keepNext/>
        <w:keepLines/>
        <w:jc w:val="center"/>
        <w:rPr>
          <w:b/>
        </w:rPr>
      </w:pPr>
    </w:p>
    <w:p w:rsidR="00FE3307" w:rsidRPr="003D3A7E" w:rsidRDefault="00FE3307" w:rsidP="008E0D0F">
      <w:pPr>
        <w:keepNext/>
        <w:keepLines/>
        <w:jc w:val="center"/>
        <w:rPr>
          <w:b/>
        </w:rPr>
      </w:pPr>
      <w:r>
        <w:rPr>
          <w:b/>
        </w:rPr>
        <w:t>DESCRIPTION DU PROJET</w:t>
      </w:r>
    </w:p>
    <w:p w:rsidR="00FE3307" w:rsidRDefault="00FE3307" w:rsidP="008E0D0F">
      <w:pPr>
        <w:keepNext/>
        <w:keepLines/>
        <w:rPr>
          <w:lang w:val="en-CA"/>
        </w:rPr>
      </w:pPr>
    </w:p>
    <w:p w:rsidR="00632DB6" w:rsidRPr="003D3A7E" w:rsidRDefault="00632DB6" w:rsidP="008E0D0F">
      <w:pPr>
        <w:keepNext/>
        <w:keepLines/>
        <w:rPr>
          <w:lang w:val="en-CA"/>
        </w:rPr>
      </w:pPr>
    </w:p>
    <w:p w:rsidR="00FE3307" w:rsidRPr="003D3A7E" w:rsidRDefault="00FE3307" w:rsidP="008E0D0F">
      <w:pPr>
        <w:pStyle w:val="Heading1"/>
        <w:keepNext/>
        <w:keepLines/>
      </w:pPr>
      <w:r>
        <w:t>Au nom du gouvernement du Monténégro, l</w:t>
      </w:r>
      <w:r w:rsidR="00904A53">
        <w:t>’</w:t>
      </w:r>
      <w:r>
        <w:t>ONUDI, à titre d</w:t>
      </w:r>
      <w:r w:rsidR="00904A53">
        <w:t>’</w:t>
      </w:r>
      <w:r>
        <w:t>agence d</w:t>
      </w:r>
      <w:r w:rsidR="00904A53">
        <w:t>’</w:t>
      </w:r>
      <w:r>
        <w:t>exécution désignée, a présenté une demande de financement pour la quatrième tranche de la phase I du plan de gestion de l</w:t>
      </w:r>
      <w:r w:rsidR="00904A53">
        <w:t>’</w:t>
      </w:r>
      <w:r>
        <w:t>élimination des HCFC (PGEH), pour un montant de 30 000 $ US, plus des coûts d</w:t>
      </w:r>
      <w:r w:rsidR="00904A53">
        <w:t>’</w:t>
      </w:r>
      <w:r>
        <w:t>appui d</w:t>
      </w:r>
      <w:r w:rsidR="00904A53">
        <w:t>’</w:t>
      </w:r>
      <w:r>
        <w:t>agence de 2 250 $ US.</w:t>
      </w:r>
      <w:r w:rsidRPr="003D3A7E">
        <w:rPr>
          <w:rStyle w:val="FootnoteReference"/>
          <w:lang w:val="en-CA"/>
        </w:rPr>
        <w:footnoteReference w:id="1"/>
      </w:r>
      <w:r w:rsidR="000F5527">
        <w:t xml:space="preserve"> </w:t>
      </w:r>
      <w:r>
        <w:t>La présentation comprend un rapport périodique sur la mise en œuvre de la troisième tranche et le plan de mise en œuvre de la tranche pour 2019 à 2020.</w:t>
      </w:r>
    </w:p>
    <w:p w:rsidR="00FE3307" w:rsidRPr="003D3A7E" w:rsidRDefault="00FE3307" w:rsidP="00FE3307">
      <w:pPr>
        <w:rPr>
          <w:u w:val="single"/>
        </w:rPr>
      </w:pPr>
      <w:r>
        <w:rPr>
          <w:u w:val="single"/>
        </w:rPr>
        <w:t>Rapport sur la consommation de HCFC</w:t>
      </w:r>
    </w:p>
    <w:p w:rsidR="00FE3307" w:rsidRPr="00687557" w:rsidRDefault="00FE3307" w:rsidP="00FE3307"/>
    <w:p w:rsidR="00FE3307" w:rsidRPr="003D3A7E" w:rsidRDefault="00FE3307" w:rsidP="00FE3307">
      <w:pPr>
        <w:pStyle w:val="Heading1"/>
      </w:pPr>
      <w:r>
        <w:t xml:space="preserve">Le gouvernement du Monténégro a rapporté une consommation de 0,17 tonne PAO de HCFC en 2018, ce qui est environ 79 % inférieur à la valeur de référence pour la conformité. La consommation de HCFC pour 2014-2018 est indiquée dans le tableau 1.  </w:t>
      </w:r>
    </w:p>
    <w:p w:rsidR="00FE3307" w:rsidRPr="003D3A7E" w:rsidRDefault="00FE3307" w:rsidP="00FE3307">
      <w:pPr>
        <w:rPr>
          <w:b/>
        </w:rPr>
      </w:pPr>
      <w:r>
        <w:rPr>
          <w:b/>
        </w:rPr>
        <w:t>Tableau 1. Consommation de HCFC au Monténégro (2014-2018, données de l</w:t>
      </w:r>
      <w:r w:rsidR="00904A53">
        <w:rPr>
          <w:b/>
        </w:rPr>
        <w:t>’</w:t>
      </w:r>
      <w:r>
        <w:rPr>
          <w:b/>
        </w:rPr>
        <w:t>Article 7)</w:t>
      </w:r>
    </w:p>
    <w:tbl>
      <w:tblPr>
        <w:tblW w:w="4971" w:type="pct"/>
        <w:tblLook w:val="04A0" w:firstRow="1" w:lastRow="0" w:firstColumn="1" w:lastColumn="0" w:noHBand="0" w:noVBand="1"/>
      </w:tblPr>
      <w:tblGrid>
        <w:gridCol w:w="2936"/>
        <w:gridCol w:w="839"/>
        <w:gridCol w:w="840"/>
        <w:gridCol w:w="840"/>
        <w:gridCol w:w="841"/>
        <w:gridCol w:w="1096"/>
        <w:gridCol w:w="1904"/>
      </w:tblGrid>
      <w:tr w:rsidR="00FE3307" w:rsidRPr="003D3A7E" w:rsidTr="00DD5EB6">
        <w:trPr>
          <w:trHeight w:val="248"/>
          <w:tblHeader/>
        </w:trPr>
        <w:tc>
          <w:tcPr>
            <w:tcW w:w="164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E3307" w:rsidRPr="003D3A7E" w:rsidRDefault="00FE3307" w:rsidP="00DD5EB6">
            <w:pPr>
              <w:widowControl w:val="0"/>
              <w:jc w:val="left"/>
              <w:rPr>
                <w:b/>
                <w:bCs/>
                <w:color w:val="000000"/>
                <w:sz w:val="20"/>
                <w:szCs w:val="20"/>
              </w:rPr>
            </w:pPr>
            <w:r>
              <w:rPr>
                <w:b/>
                <w:bCs/>
                <w:color w:val="000000"/>
                <w:sz w:val="20"/>
                <w:szCs w:val="20"/>
              </w:rPr>
              <w:t>HCFC-22</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rsidR="00FE3307" w:rsidRPr="003D3A7E" w:rsidRDefault="00FE3307" w:rsidP="00DD5EB6">
            <w:pPr>
              <w:widowControl w:val="0"/>
              <w:jc w:val="center"/>
              <w:rPr>
                <w:b/>
                <w:bCs/>
                <w:color w:val="000000"/>
                <w:sz w:val="20"/>
                <w:szCs w:val="20"/>
              </w:rPr>
            </w:pPr>
            <w:r>
              <w:rPr>
                <w:b/>
                <w:bCs/>
                <w:color w:val="000000"/>
                <w:sz w:val="20"/>
                <w:szCs w:val="20"/>
              </w:rPr>
              <w:t>2014</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rsidR="00FE3307" w:rsidRPr="003D3A7E" w:rsidRDefault="00FE3307" w:rsidP="00DD5EB6">
            <w:pPr>
              <w:widowControl w:val="0"/>
              <w:jc w:val="center"/>
              <w:rPr>
                <w:b/>
                <w:bCs/>
                <w:color w:val="000000"/>
                <w:sz w:val="20"/>
                <w:szCs w:val="20"/>
              </w:rPr>
            </w:pPr>
            <w:r>
              <w:rPr>
                <w:b/>
                <w:bCs/>
                <w:color w:val="000000"/>
                <w:sz w:val="20"/>
                <w:szCs w:val="20"/>
              </w:rPr>
              <w:t>2015</w:t>
            </w:r>
          </w:p>
        </w:tc>
        <w:tc>
          <w:tcPr>
            <w:tcW w:w="514" w:type="pct"/>
            <w:tcBorders>
              <w:top w:val="single" w:sz="4" w:space="0" w:color="auto"/>
              <w:left w:val="nil"/>
              <w:bottom w:val="single" w:sz="4" w:space="0" w:color="auto"/>
              <w:right w:val="single" w:sz="4" w:space="0" w:color="auto"/>
            </w:tcBorders>
          </w:tcPr>
          <w:p w:rsidR="00FE3307" w:rsidRPr="003D3A7E" w:rsidRDefault="00FE3307" w:rsidP="00DD5EB6">
            <w:pPr>
              <w:widowControl w:val="0"/>
              <w:jc w:val="center"/>
              <w:rPr>
                <w:b/>
                <w:bCs/>
                <w:color w:val="000000"/>
                <w:sz w:val="20"/>
                <w:szCs w:val="20"/>
              </w:rPr>
            </w:pPr>
            <w:r>
              <w:rPr>
                <w:b/>
                <w:bCs/>
                <w:color w:val="000000"/>
                <w:sz w:val="20"/>
                <w:szCs w:val="20"/>
              </w:rPr>
              <w:t>2016</w:t>
            </w:r>
          </w:p>
        </w:tc>
        <w:tc>
          <w:tcPr>
            <w:tcW w:w="515" w:type="pct"/>
            <w:tcBorders>
              <w:top w:val="single" w:sz="4" w:space="0" w:color="auto"/>
              <w:left w:val="single" w:sz="4" w:space="0" w:color="auto"/>
              <w:bottom w:val="single" w:sz="4" w:space="0" w:color="auto"/>
              <w:right w:val="single" w:sz="4" w:space="0" w:color="auto"/>
            </w:tcBorders>
          </w:tcPr>
          <w:p w:rsidR="00FE3307" w:rsidRPr="003D3A7E" w:rsidRDefault="00FE3307" w:rsidP="00DD5EB6">
            <w:pPr>
              <w:widowControl w:val="0"/>
              <w:jc w:val="center"/>
              <w:rPr>
                <w:b/>
                <w:bCs/>
                <w:color w:val="000000"/>
                <w:sz w:val="20"/>
                <w:szCs w:val="20"/>
              </w:rPr>
            </w:pPr>
            <w:r>
              <w:rPr>
                <w:b/>
                <w:bCs/>
                <w:color w:val="000000"/>
                <w:sz w:val="20"/>
                <w:szCs w:val="20"/>
              </w:rPr>
              <w:t>2017</w:t>
            </w:r>
          </w:p>
        </w:tc>
        <w:tc>
          <w:tcPr>
            <w:tcW w:w="652" w:type="pct"/>
            <w:tcBorders>
              <w:top w:val="single" w:sz="4" w:space="0" w:color="auto"/>
              <w:left w:val="single" w:sz="4" w:space="0" w:color="auto"/>
              <w:bottom w:val="single" w:sz="4" w:space="0" w:color="auto"/>
              <w:right w:val="single" w:sz="4" w:space="0" w:color="auto"/>
            </w:tcBorders>
          </w:tcPr>
          <w:p w:rsidR="00FE3307" w:rsidRPr="003D3A7E" w:rsidRDefault="00FE3307" w:rsidP="00DD5EB6">
            <w:pPr>
              <w:widowControl w:val="0"/>
              <w:jc w:val="center"/>
              <w:rPr>
                <w:b/>
                <w:bCs/>
                <w:color w:val="000000"/>
                <w:sz w:val="20"/>
                <w:szCs w:val="20"/>
              </w:rPr>
            </w:pPr>
            <w:r>
              <w:rPr>
                <w:b/>
                <w:bCs/>
                <w:color w:val="000000"/>
                <w:sz w:val="20"/>
                <w:szCs w:val="20"/>
              </w:rPr>
              <w:t>2018</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307" w:rsidRPr="003D3A7E" w:rsidRDefault="00FE3307" w:rsidP="00DD5EB6">
            <w:pPr>
              <w:widowControl w:val="0"/>
              <w:jc w:val="center"/>
              <w:rPr>
                <w:b/>
                <w:bCs/>
                <w:color w:val="000000"/>
                <w:sz w:val="20"/>
                <w:szCs w:val="20"/>
              </w:rPr>
            </w:pPr>
            <w:r>
              <w:rPr>
                <w:b/>
                <w:bCs/>
                <w:color w:val="000000"/>
                <w:sz w:val="20"/>
                <w:szCs w:val="20"/>
              </w:rPr>
              <w:t>Valeur de référence</w:t>
            </w:r>
          </w:p>
        </w:tc>
      </w:tr>
      <w:tr w:rsidR="00E12500" w:rsidRPr="003D3A7E" w:rsidTr="00DD5EB6">
        <w:trPr>
          <w:trHeight w:val="240"/>
        </w:trPr>
        <w:tc>
          <w:tcPr>
            <w:tcW w:w="164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12500" w:rsidRPr="003D3A7E" w:rsidRDefault="00E12500" w:rsidP="00E12500">
            <w:pPr>
              <w:widowControl w:val="0"/>
              <w:jc w:val="left"/>
              <w:rPr>
                <w:bCs/>
                <w:color w:val="000000"/>
                <w:sz w:val="20"/>
                <w:szCs w:val="20"/>
              </w:rPr>
            </w:pPr>
            <w:r>
              <w:rPr>
                <w:bCs/>
                <w:color w:val="000000"/>
                <w:sz w:val="20"/>
                <w:szCs w:val="20"/>
              </w:rPr>
              <w:t>Tonnes métriques (</w:t>
            </w:r>
            <w:proofErr w:type="spellStart"/>
            <w:r>
              <w:rPr>
                <w:bCs/>
                <w:color w:val="000000"/>
                <w:sz w:val="20"/>
                <w:szCs w:val="20"/>
              </w:rPr>
              <w:t>tm</w:t>
            </w:r>
            <w:proofErr w:type="spellEnd"/>
            <w:r>
              <w:rPr>
                <w:bCs/>
                <w:color w:val="000000"/>
                <w:sz w:val="20"/>
                <w:szCs w:val="20"/>
              </w:rPr>
              <w:t>)</w:t>
            </w:r>
          </w:p>
        </w:tc>
        <w:tc>
          <w:tcPr>
            <w:tcW w:w="514" w:type="pct"/>
            <w:tcBorders>
              <w:top w:val="nil"/>
              <w:left w:val="nil"/>
              <w:bottom w:val="single" w:sz="4" w:space="0" w:color="auto"/>
              <w:right w:val="single" w:sz="4" w:space="0" w:color="auto"/>
            </w:tcBorders>
            <w:shd w:val="clear" w:color="auto" w:fill="auto"/>
            <w:noWrap/>
            <w:vAlign w:val="bottom"/>
          </w:tcPr>
          <w:p w:rsidR="00E12500" w:rsidRPr="003D3A7E" w:rsidRDefault="00E12500" w:rsidP="00E12500">
            <w:pPr>
              <w:jc w:val="right"/>
              <w:rPr>
                <w:color w:val="000000"/>
                <w:sz w:val="20"/>
                <w:szCs w:val="20"/>
              </w:rPr>
            </w:pPr>
            <w:r>
              <w:rPr>
                <w:color w:val="000000"/>
                <w:sz w:val="20"/>
                <w:szCs w:val="20"/>
              </w:rPr>
              <w:t>13,0</w:t>
            </w:r>
          </w:p>
        </w:tc>
        <w:tc>
          <w:tcPr>
            <w:tcW w:w="514" w:type="pct"/>
            <w:tcBorders>
              <w:top w:val="nil"/>
              <w:left w:val="nil"/>
              <w:bottom w:val="single" w:sz="4" w:space="0" w:color="auto"/>
              <w:right w:val="single" w:sz="4" w:space="0" w:color="auto"/>
            </w:tcBorders>
            <w:shd w:val="clear" w:color="auto" w:fill="auto"/>
            <w:noWrap/>
          </w:tcPr>
          <w:p w:rsidR="00E12500" w:rsidRPr="003D3A7E" w:rsidRDefault="00E12500" w:rsidP="00E12500">
            <w:pPr>
              <w:jc w:val="right"/>
              <w:rPr>
                <w:sz w:val="20"/>
                <w:szCs w:val="20"/>
              </w:rPr>
            </w:pPr>
            <w:r>
              <w:rPr>
                <w:sz w:val="20"/>
                <w:szCs w:val="20"/>
              </w:rPr>
              <w:t>12,16</w:t>
            </w:r>
          </w:p>
        </w:tc>
        <w:tc>
          <w:tcPr>
            <w:tcW w:w="514" w:type="pct"/>
            <w:tcBorders>
              <w:top w:val="single" w:sz="4" w:space="0" w:color="auto"/>
              <w:left w:val="nil"/>
              <w:bottom w:val="single" w:sz="4" w:space="0" w:color="auto"/>
              <w:right w:val="single" w:sz="4" w:space="0" w:color="auto"/>
            </w:tcBorders>
          </w:tcPr>
          <w:p w:rsidR="00E12500" w:rsidRPr="00060F85" w:rsidRDefault="00E12500" w:rsidP="00E12500">
            <w:pPr>
              <w:jc w:val="right"/>
              <w:rPr>
                <w:sz w:val="20"/>
                <w:szCs w:val="20"/>
              </w:rPr>
            </w:pPr>
            <w:r>
              <w:rPr>
                <w:sz w:val="20"/>
                <w:szCs w:val="20"/>
              </w:rPr>
              <w:t>11,29</w:t>
            </w:r>
          </w:p>
        </w:tc>
        <w:tc>
          <w:tcPr>
            <w:tcW w:w="515" w:type="pct"/>
            <w:tcBorders>
              <w:top w:val="nil"/>
              <w:left w:val="single" w:sz="4" w:space="0" w:color="auto"/>
              <w:bottom w:val="single" w:sz="4" w:space="0" w:color="auto"/>
              <w:right w:val="single" w:sz="4" w:space="0" w:color="auto"/>
            </w:tcBorders>
          </w:tcPr>
          <w:p w:rsidR="00E12500" w:rsidRPr="00060F85" w:rsidRDefault="00E12500" w:rsidP="00E12500">
            <w:pPr>
              <w:jc w:val="right"/>
              <w:rPr>
                <w:sz w:val="20"/>
                <w:szCs w:val="20"/>
              </w:rPr>
            </w:pPr>
            <w:r>
              <w:rPr>
                <w:sz w:val="20"/>
                <w:szCs w:val="20"/>
              </w:rPr>
              <w:t>3,54</w:t>
            </w:r>
          </w:p>
        </w:tc>
        <w:tc>
          <w:tcPr>
            <w:tcW w:w="652" w:type="pct"/>
            <w:tcBorders>
              <w:top w:val="nil"/>
              <w:left w:val="single" w:sz="4" w:space="0" w:color="auto"/>
              <w:bottom w:val="single" w:sz="4" w:space="0" w:color="auto"/>
              <w:right w:val="single" w:sz="4" w:space="0" w:color="auto"/>
            </w:tcBorders>
          </w:tcPr>
          <w:p w:rsidR="00E12500" w:rsidRPr="003D3A7E" w:rsidRDefault="009215F1" w:rsidP="00E12500">
            <w:pPr>
              <w:widowControl w:val="0"/>
              <w:jc w:val="right"/>
              <w:rPr>
                <w:rFonts w:eastAsiaTheme="minorHAnsi"/>
                <w:color w:val="000000"/>
                <w:sz w:val="20"/>
                <w:szCs w:val="20"/>
              </w:rPr>
            </w:pPr>
            <w:r>
              <w:rPr>
                <w:color w:val="000000"/>
                <w:sz w:val="20"/>
                <w:szCs w:val="20"/>
              </w:rPr>
              <w:t>3,09</w:t>
            </w:r>
          </w:p>
        </w:tc>
        <w:tc>
          <w:tcPr>
            <w:tcW w:w="649" w:type="pct"/>
            <w:tcBorders>
              <w:top w:val="nil"/>
              <w:left w:val="single" w:sz="4" w:space="0" w:color="auto"/>
              <w:bottom w:val="single" w:sz="4" w:space="0" w:color="auto"/>
              <w:right w:val="single" w:sz="4" w:space="0" w:color="auto"/>
            </w:tcBorders>
            <w:shd w:val="clear" w:color="auto" w:fill="auto"/>
            <w:noWrap/>
            <w:vAlign w:val="center"/>
          </w:tcPr>
          <w:p w:rsidR="00E12500" w:rsidRPr="003D3A7E" w:rsidRDefault="00E12500" w:rsidP="00E12500">
            <w:pPr>
              <w:widowControl w:val="0"/>
              <w:jc w:val="right"/>
              <w:rPr>
                <w:bCs/>
                <w:color w:val="000000"/>
                <w:sz w:val="20"/>
                <w:szCs w:val="20"/>
              </w:rPr>
            </w:pPr>
            <w:r>
              <w:rPr>
                <w:bCs/>
                <w:color w:val="000000"/>
                <w:sz w:val="20"/>
                <w:szCs w:val="20"/>
              </w:rPr>
              <w:t>13,9</w:t>
            </w:r>
          </w:p>
        </w:tc>
      </w:tr>
      <w:tr w:rsidR="00E12500" w:rsidRPr="003D3A7E" w:rsidTr="00DD5EB6">
        <w:trPr>
          <w:trHeight w:val="248"/>
        </w:trPr>
        <w:tc>
          <w:tcPr>
            <w:tcW w:w="164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12500" w:rsidRPr="003D3A7E" w:rsidRDefault="00E12500" w:rsidP="00E12500">
            <w:pPr>
              <w:widowControl w:val="0"/>
              <w:jc w:val="left"/>
              <w:rPr>
                <w:color w:val="000000"/>
                <w:sz w:val="20"/>
                <w:szCs w:val="20"/>
              </w:rPr>
            </w:pPr>
            <w:r>
              <w:rPr>
                <w:bCs/>
                <w:color w:val="000000"/>
                <w:sz w:val="20"/>
                <w:szCs w:val="20"/>
              </w:rPr>
              <w:t>Tonnes PAO</w:t>
            </w:r>
          </w:p>
        </w:tc>
        <w:tc>
          <w:tcPr>
            <w:tcW w:w="514" w:type="pct"/>
            <w:tcBorders>
              <w:top w:val="nil"/>
              <w:left w:val="nil"/>
              <w:bottom w:val="single" w:sz="4" w:space="0" w:color="auto"/>
              <w:right w:val="single" w:sz="4" w:space="0" w:color="auto"/>
            </w:tcBorders>
            <w:shd w:val="clear" w:color="auto" w:fill="auto"/>
            <w:noWrap/>
          </w:tcPr>
          <w:p w:rsidR="00E12500" w:rsidRPr="003D3A7E" w:rsidRDefault="00E12500" w:rsidP="00E12500">
            <w:pPr>
              <w:jc w:val="right"/>
              <w:rPr>
                <w:rFonts w:eastAsiaTheme="minorHAnsi"/>
                <w:color w:val="000000"/>
                <w:sz w:val="20"/>
                <w:szCs w:val="20"/>
              </w:rPr>
            </w:pPr>
            <w:r>
              <w:rPr>
                <w:color w:val="000000"/>
                <w:sz w:val="20"/>
                <w:szCs w:val="20"/>
              </w:rPr>
              <w:t>0,72</w:t>
            </w:r>
          </w:p>
        </w:tc>
        <w:tc>
          <w:tcPr>
            <w:tcW w:w="514" w:type="pct"/>
            <w:tcBorders>
              <w:top w:val="nil"/>
              <w:left w:val="nil"/>
              <w:bottom w:val="single" w:sz="4" w:space="0" w:color="auto"/>
              <w:right w:val="single" w:sz="4" w:space="0" w:color="auto"/>
            </w:tcBorders>
            <w:shd w:val="clear" w:color="auto" w:fill="auto"/>
            <w:noWrap/>
          </w:tcPr>
          <w:p w:rsidR="00E12500" w:rsidRPr="003D3A7E" w:rsidRDefault="00E12500" w:rsidP="00E12500">
            <w:pPr>
              <w:jc w:val="right"/>
              <w:rPr>
                <w:sz w:val="20"/>
                <w:szCs w:val="20"/>
              </w:rPr>
            </w:pPr>
            <w:r>
              <w:rPr>
                <w:sz w:val="20"/>
                <w:szCs w:val="20"/>
              </w:rPr>
              <w:t>0,67</w:t>
            </w:r>
          </w:p>
        </w:tc>
        <w:tc>
          <w:tcPr>
            <w:tcW w:w="514" w:type="pct"/>
            <w:tcBorders>
              <w:top w:val="single" w:sz="4" w:space="0" w:color="auto"/>
              <w:left w:val="nil"/>
              <w:bottom w:val="single" w:sz="4" w:space="0" w:color="auto"/>
              <w:right w:val="single" w:sz="4" w:space="0" w:color="auto"/>
            </w:tcBorders>
          </w:tcPr>
          <w:p w:rsidR="00E12500" w:rsidRPr="003D3A7E" w:rsidRDefault="00E12500" w:rsidP="00E12500">
            <w:pPr>
              <w:jc w:val="right"/>
              <w:rPr>
                <w:sz w:val="20"/>
                <w:szCs w:val="20"/>
              </w:rPr>
            </w:pPr>
            <w:r>
              <w:rPr>
                <w:sz w:val="20"/>
                <w:szCs w:val="20"/>
              </w:rPr>
              <w:t>0,62</w:t>
            </w:r>
          </w:p>
        </w:tc>
        <w:tc>
          <w:tcPr>
            <w:tcW w:w="515" w:type="pct"/>
            <w:tcBorders>
              <w:top w:val="nil"/>
              <w:left w:val="single" w:sz="4" w:space="0" w:color="auto"/>
              <w:bottom w:val="single" w:sz="4" w:space="0" w:color="auto"/>
              <w:right w:val="single" w:sz="4" w:space="0" w:color="auto"/>
            </w:tcBorders>
          </w:tcPr>
          <w:p w:rsidR="00E12500" w:rsidRPr="003D3A7E" w:rsidRDefault="00E12500" w:rsidP="00E12500">
            <w:pPr>
              <w:jc w:val="right"/>
              <w:rPr>
                <w:sz w:val="20"/>
                <w:szCs w:val="20"/>
              </w:rPr>
            </w:pPr>
            <w:r>
              <w:rPr>
                <w:sz w:val="20"/>
                <w:szCs w:val="20"/>
              </w:rPr>
              <w:t>0,19</w:t>
            </w:r>
          </w:p>
        </w:tc>
        <w:tc>
          <w:tcPr>
            <w:tcW w:w="652" w:type="pct"/>
            <w:tcBorders>
              <w:top w:val="nil"/>
              <w:left w:val="single" w:sz="4" w:space="0" w:color="auto"/>
              <w:bottom w:val="single" w:sz="4" w:space="0" w:color="auto"/>
              <w:right w:val="single" w:sz="4" w:space="0" w:color="auto"/>
            </w:tcBorders>
          </w:tcPr>
          <w:p w:rsidR="00E12500" w:rsidRPr="003D3A7E" w:rsidRDefault="009215F1" w:rsidP="00E12500">
            <w:pPr>
              <w:jc w:val="right"/>
              <w:rPr>
                <w:rFonts w:eastAsiaTheme="minorHAnsi"/>
                <w:color w:val="000000"/>
                <w:sz w:val="20"/>
                <w:szCs w:val="20"/>
              </w:rPr>
            </w:pPr>
            <w:r>
              <w:rPr>
                <w:color w:val="000000"/>
                <w:sz w:val="20"/>
                <w:szCs w:val="20"/>
              </w:rPr>
              <w:t>0,17</w:t>
            </w:r>
          </w:p>
        </w:tc>
        <w:tc>
          <w:tcPr>
            <w:tcW w:w="649" w:type="pct"/>
            <w:tcBorders>
              <w:top w:val="nil"/>
              <w:left w:val="single" w:sz="4" w:space="0" w:color="auto"/>
              <w:bottom w:val="single" w:sz="4" w:space="0" w:color="auto"/>
              <w:right w:val="single" w:sz="4" w:space="0" w:color="auto"/>
            </w:tcBorders>
            <w:shd w:val="clear" w:color="auto" w:fill="auto"/>
            <w:noWrap/>
          </w:tcPr>
          <w:p w:rsidR="00E12500" w:rsidRPr="003D3A7E" w:rsidRDefault="00E12500" w:rsidP="00E12500">
            <w:pPr>
              <w:jc w:val="right"/>
              <w:rPr>
                <w:rFonts w:eastAsiaTheme="minorHAnsi"/>
                <w:color w:val="000000"/>
                <w:sz w:val="20"/>
                <w:szCs w:val="20"/>
              </w:rPr>
            </w:pPr>
            <w:r>
              <w:rPr>
                <w:color w:val="000000"/>
                <w:sz w:val="20"/>
                <w:szCs w:val="20"/>
              </w:rPr>
              <w:t>0,8</w:t>
            </w:r>
          </w:p>
        </w:tc>
      </w:tr>
    </w:tbl>
    <w:p w:rsidR="00FE3307" w:rsidRPr="003D3A7E" w:rsidRDefault="00FE3307" w:rsidP="00FE3307">
      <w:pPr>
        <w:rPr>
          <w:lang w:val="en-CA"/>
        </w:rPr>
      </w:pPr>
    </w:p>
    <w:p w:rsidR="00FE3307" w:rsidRPr="003D3A7E" w:rsidRDefault="00B04925" w:rsidP="0095742D">
      <w:pPr>
        <w:pStyle w:val="Heading1"/>
      </w:pPr>
      <w:r>
        <w:t xml:space="preserve">Le Monténégro </w:t>
      </w:r>
      <w:r w:rsidR="00524597">
        <w:t xml:space="preserve">ne </w:t>
      </w:r>
      <w:r>
        <w:t>consomme le HCFC-22 que dans le secteur de l</w:t>
      </w:r>
      <w:r w:rsidR="00904A53">
        <w:t>’</w:t>
      </w:r>
      <w:r>
        <w:t>entretien. Cette consommation a culminé en 2012 (0,94 tonne PAO) en raison des réserves accumulées pour anticiper le gel de 2013, puis a graduellement décliné jusqu</w:t>
      </w:r>
      <w:r w:rsidR="00904A53">
        <w:t>’</w:t>
      </w:r>
      <w:r>
        <w:t>en 2017, lorsque la consommation a considérablement chuté. Cette baisse considérable est causée par la mise en œuvre des activités du PGEH, incluant la récupération et le recyclage des SAO qui contribuent à l</w:t>
      </w:r>
      <w:r w:rsidR="00904A53">
        <w:t>’</w:t>
      </w:r>
      <w:r>
        <w:t>amélioration des pratiques d</w:t>
      </w:r>
      <w:r w:rsidR="00904A53">
        <w:t>’</w:t>
      </w:r>
      <w:r>
        <w:t>entretien et l</w:t>
      </w:r>
      <w:r w:rsidR="00904A53">
        <w:t>’</w:t>
      </w:r>
      <w:r>
        <w:t>augmentation de l</w:t>
      </w:r>
      <w:r w:rsidR="00904A53">
        <w:t>’</w:t>
      </w:r>
      <w:r>
        <w:t xml:space="preserve">adoption des solutions de remplacement sur le marché, notamment les solutions à faible potentiel de réchauffement de la planète (PRG). </w:t>
      </w:r>
    </w:p>
    <w:p w:rsidR="00FE3307" w:rsidRPr="003D3A7E" w:rsidRDefault="00FE3307" w:rsidP="00FE3307">
      <w:pPr>
        <w:rPr>
          <w:i/>
        </w:rPr>
      </w:pPr>
      <w:r>
        <w:rPr>
          <w:i/>
        </w:rPr>
        <w:t>Rapport de la mise en œuvre du programme du pays</w:t>
      </w:r>
    </w:p>
    <w:p w:rsidR="00FE3307" w:rsidRPr="00687557" w:rsidRDefault="00FE3307" w:rsidP="00FE3307"/>
    <w:p w:rsidR="00FE3307" w:rsidRPr="003D3A7E" w:rsidRDefault="00FE3307" w:rsidP="009215F1">
      <w:pPr>
        <w:pStyle w:val="Heading1"/>
      </w:pPr>
      <w:r>
        <w:t>Le gouvernement du Monténégro a communiqué les données du secteur de la consommation des HCFC dans le cadre du rapport de mise en œuvre du programme du pays de 2018 et ces données correspondent aux données déclarées en vertu de l</w:t>
      </w:r>
      <w:r w:rsidR="00904A53">
        <w:t>’</w:t>
      </w:r>
      <w:r>
        <w:t xml:space="preserve">Article 7 du Protocole de Montréal. </w:t>
      </w:r>
    </w:p>
    <w:p w:rsidR="00FE3307" w:rsidRPr="003D3A7E" w:rsidRDefault="00FE3307" w:rsidP="00FE3307">
      <w:pPr>
        <w:rPr>
          <w:u w:val="single"/>
        </w:rPr>
      </w:pPr>
      <w:r>
        <w:rPr>
          <w:u w:val="single"/>
        </w:rPr>
        <w:t>Rapport périodique sur la mise en œuvre de la troisième tranche du PGEH</w:t>
      </w:r>
    </w:p>
    <w:p w:rsidR="00FE3307" w:rsidRPr="00687557" w:rsidRDefault="00FE3307" w:rsidP="00FE3307"/>
    <w:p w:rsidR="00FE3307" w:rsidRPr="003D3A7E" w:rsidRDefault="00FE3307" w:rsidP="00FE3307">
      <w:pPr>
        <w:rPr>
          <w:i/>
        </w:rPr>
      </w:pPr>
      <w:r>
        <w:rPr>
          <w:i/>
        </w:rPr>
        <w:t>Cadre juridique</w:t>
      </w:r>
    </w:p>
    <w:p w:rsidR="00FE3307" w:rsidRPr="003D3A7E" w:rsidRDefault="00FE3307" w:rsidP="00FE3307">
      <w:pPr>
        <w:rPr>
          <w:lang w:val="en-CA"/>
        </w:rPr>
      </w:pPr>
    </w:p>
    <w:p w:rsidR="00F059A3" w:rsidRPr="003D3A7E" w:rsidRDefault="00833D77" w:rsidP="003D3A7E">
      <w:pPr>
        <w:pStyle w:val="Heading1"/>
      </w:pPr>
      <w:r>
        <w:t>Le gouvernement du Monténégro possède un système national exécutoire de permis et de quotas pour l</w:t>
      </w:r>
      <w:r w:rsidR="00904A53">
        <w:t>’</w:t>
      </w:r>
      <w:r>
        <w:t>importation et l</w:t>
      </w:r>
      <w:r w:rsidR="00904A53">
        <w:t>’</w:t>
      </w:r>
      <w:r>
        <w:t>exportation de HCFC. Le système de permis établi en 2014 comprenait déjà des dispositions pour les HCFC et le système de quotas a été introduit en 2011. Les importations et exportations des SAO sont administrées par l</w:t>
      </w:r>
      <w:r w:rsidR="00904A53">
        <w:t>’</w:t>
      </w:r>
      <w:r>
        <w:t>Agence de la nature et de la protection environnementale (ANEP) par le biais d</w:t>
      </w:r>
      <w:r w:rsidR="00904A53">
        <w:t>’</w:t>
      </w:r>
      <w:r>
        <w:t xml:space="preserve">un système de permis, qui sont </w:t>
      </w:r>
      <w:r w:rsidR="00524597">
        <w:t>délivré</w:t>
      </w:r>
      <w:r>
        <w:t>s pour chaque cargaison. Conformément à la législation de l</w:t>
      </w:r>
      <w:r w:rsidR="00904A53">
        <w:t>’</w:t>
      </w:r>
      <w:r>
        <w:t xml:space="preserve">Union européenne (UE), seuls les équipements ne fonctionnant pas au HCFC-22 peuvent être importés au pays. </w:t>
      </w:r>
    </w:p>
    <w:p w:rsidR="00FE3307" w:rsidRPr="003D3A7E" w:rsidRDefault="00FE3307" w:rsidP="003D3A7E">
      <w:pPr>
        <w:keepNext/>
        <w:keepLines/>
        <w:rPr>
          <w:i/>
        </w:rPr>
      </w:pPr>
      <w:r>
        <w:rPr>
          <w:i/>
        </w:rPr>
        <w:lastRenderedPageBreak/>
        <w:t>Secteur de l</w:t>
      </w:r>
      <w:r w:rsidR="00904A53">
        <w:rPr>
          <w:i/>
        </w:rPr>
        <w:t>’</w:t>
      </w:r>
      <w:r>
        <w:rPr>
          <w:i/>
        </w:rPr>
        <w:t>entretien en réfrigération</w:t>
      </w:r>
    </w:p>
    <w:p w:rsidR="00FE3307" w:rsidRPr="00904A53" w:rsidRDefault="00FE3307" w:rsidP="003D3A7E">
      <w:pPr>
        <w:keepNext/>
        <w:keepLines/>
      </w:pPr>
    </w:p>
    <w:p w:rsidR="0095742D" w:rsidRPr="003D3A7E" w:rsidRDefault="0095742D" w:rsidP="003D3A7E">
      <w:pPr>
        <w:pStyle w:val="Heading1"/>
        <w:keepNext/>
        <w:keepLines/>
      </w:pPr>
      <w:r>
        <w:t xml:space="preserve">Les activités suivantes ont été mises en œuvre : </w:t>
      </w:r>
    </w:p>
    <w:p w:rsidR="00F330D0" w:rsidRPr="003D3A7E" w:rsidRDefault="00F330D0" w:rsidP="003D3A7E">
      <w:pPr>
        <w:pStyle w:val="Heading2"/>
        <w:keepNext/>
        <w:keepLines/>
        <w:numPr>
          <w:ilvl w:val="1"/>
          <w:numId w:val="1"/>
        </w:numPr>
      </w:pPr>
      <w:r>
        <w:t>L</w:t>
      </w:r>
      <w:r w:rsidR="00904A53">
        <w:t>’</w:t>
      </w:r>
      <w:r>
        <w:t>association en réfrigération et climatisation a été établie;</w:t>
      </w:r>
    </w:p>
    <w:p w:rsidR="002E19D8" w:rsidRPr="003D3A7E" w:rsidRDefault="00F330D0" w:rsidP="003D3A7E">
      <w:pPr>
        <w:pStyle w:val="Heading2"/>
        <w:keepNext/>
        <w:keepLines/>
        <w:numPr>
          <w:ilvl w:val="1"/>
          <w:numId w:val="1"/>
        </w:numPr>
      </w:pPr>
      <w:r>
        <w:t xml:space="preserve">Quatre ateliers offerts à 65 techniciens sur les bonnes pratiques en matière de réfrigération, incluant un axe sur la manipulation sûre des solutions de remplacement à faible PRG, et la certification des techniciens formés; </w:t>
      </w:r>
    </w:p>
    <w:p w:rsidR="0095742D" w:rsidRPr="003D3A7E" w:rsidRDefault="00C9012F" w:rsidP="0095742D">
      <w:pPr>
        <w:pStyle w:val="Heading2"/>
        <w:numPr>
          <w:ilvl w:val="1"/>
          <w:numId w:val="1"/>
        </w:numPr>
      </w:pPr>
      <w:r>
        <w:t xml:space="preserve">Acquisition </w:t>
      </w:r>
      <w:r w:rsidR="002E19D8">
        <w:t xml:space="preserve">des équipements de récupération </w:t>
      </w:r>
      <w:r>
        <w:t>et d’</w:t>
      </w:r>
      <w:r w:rsidR="002E19D8">
        <w:t xml:space="preserve">entreposage des </w:t>
      </w:r>
      <w:proofErr w:type="gramStart"/>
      <w:r w:rsidR="002E19D8">
        <w:t>frigorigènes;</w:t>
      </w:r>
      <w:proofErr w:type="gramEnd"/>
      <w:r w:rsidR="008E0D0F">
        <w:t xml:space="preserve"> et</w:t>
      </w:r>
    </w:p>
    <w:p w:rsidR="0095742D" w:rsidRPr="003D3A7E" w:rsidRDefault="00263148" w:rsidP="0095742D">
      <w:pPr>
        <w:pStyle w:val="Heading2"/>
        <w:numPr>
          <w:ilvl w:val="1"/>
          <w:numId w:val="1"/>
        </w:numPr>
      </w:pPr>
      <w:r>
        <w:t>En vertu du projet de renforcement institutionnel (RI) (qui est inclus dans la phase I du PGEH), participation à des réunions d</w:t>
      </w:r>
      <w:r w:rsidR="00904A53">
        <w:t>’</w:t>
      </w:r>
      <w:r>
        <w:t>experts, à des réunions au programme d</w:t>
      </w:r>
      <w:r w:rsidR="00904A53">
        <w:t>’</w:t>
      </w:r>
      <w:r>
        <w:t>aide à la conformité régional du PNUE, à des groupes de travail ouverts et aux réunions des parties; activités au sein des écoles primaires et secondaires, ainsi qu</w:t>
      </w:r>
      <w:r w:rsidR="00904A53">
        <w:t>’</w:t>
      </w:r>
      <w:r>
        <w:t>à la télévision nationale afin de sensibiliser la population au Protocole de Montréal et à l</w:t>
      </w:r>
      <w:r w:rsidR="00904A53">
        <w:t>’</w:t>
      </w:r>
      <w:r>
        <w:t>appauvrissement de la couche d</w:t>
      </w:r>
      <w:r w:rsidR="00904A53">
        <w:t>’</w:t>
      </w:r>
      <w:r>
        <w:t>ozone; surveillance et rapport continus des données sur les frigorigènes récupérés et recyclés, incluant celles en accord avec l</w:t>
      </w:r>
      <w:r w:rsidR="00904A53">
        <w:t>’</w:t>
      </w:r>
      <w:r>
        <w:t>Article 7 du Protocole de Montréal et du programme du pays, et mise à jour de l</w:t>
      </w:r>
      <w:r w:rsidR="00904A53">
        <w:t>’</w:t>
      </w:r>
      <w:r>
        <w:t>inventaire des équipements fonctionnant au HFC.</w:t>
      </w:r>
    </w:p>
    <w:p w:rsidR="00FE3307" w:rsidRPr="003D3A7E" w:rsidRDefault="00FE3307" w:rsidP="00FE3307">
      <w:pPr>
        <w:rPr>
          <w:i/>
        </w:rPr>
      </w:pPr>
      <w:r>
        <w:rPr>
          <w:i/>
        </w:rPr>
        <w:t>Mise en œuvre et suivi du projet</w:t>
      </w:r>
    </w:p>
    <w:p w:rsidR="00FE3307" w:rsidRPr="00687557" w:rsidRDefault="00FE3307" w:rsidP="00FE3307"/>
    <w:p w:rsidR="0095742D" w:rsidRPr="003D3A7E" w:rsidRDefault="0095742D" w:rsidP="00F77B6D">
      <w:pPr>
        <w:pStyle w:val="Heading1"/>
        <w:keepNext/>
      </w:pPr>
      <w:r>
        <w:t>L</w:t>
      </w:r>
      <w:r w:rsidR="00904A53">
        <w:t>’</w:t>
      </w:r>
      <w:r>
        <w:t>Unité nationale de l</w:t>
      </w:r>
      <w:r w:rsidR="00904A53">
        <w:t>’</w:t>
      </w:r>
      <w:r>
        <w:t>ozone (UNO), aidée de deux experts en réfrigération, a surveillé les activités du PGEH et a recueilli les données pertinentes.</w:t>
      </w:r>
    </w:p>
    <w:p w:rsidR="00FE3307" w:rsidRPr="003D3A7E" w:rsidRDefault="00FE3307" w:rsidP="00FE3307">
      <w:pPr>
        <w:rPr>
          <w:u w:val="single"/>
        </w:rPr>
      </w:pPr>
      <w:r>
        <w:rPr>
          <w:u w:val="single"/>
        </w:rPr>
        <w:t>État du décaissement des fonds</w:t>
      </w:r>
    </w:p>
    <w:p w:rsidR="00FE3307" w:rsidRPr="003D3A7E" w:rsidRDefault="00FE3307" w:rsidP="00FE3307">
      <w:pPr>
        <w:rPr>
          <w:lang w:val="en-CA"/>
        </w:rPr>
      </w:pPr>
    </w:p>
    <w:p w:rsidR="00FE3307" w:rsidRPr="003D3A7E" w:rsidRDefault="00FE3307" w:rsidP="00FE3307">
      <w:pPr>
        <w:pStyle w:val="Heading1"/>
      </w:pPr>
      <w:r>
        <w:t>En mars 2019, sur le montant de 353 500 $ US approuvé jusqu</w:t>
      </w:r>
      <w:r w:rsidR="00904A53">
        <w:t>’</w:t>
      </w:r>
      <w:r>
        <w:t>ici, 353 343 $ US avaient été décaissés comme l</w:t>
      </w:r>
      <w:r w:rsidR="00904A53">
        <w:t>’</w:t>
      </w:r>
      <w:r>
        <w:t>indique le Tableau 2. Le solde de 157 $ US sera décaissé en 2019.</w:t>
      </w:r>
    </w:p>
    <w:p w:rsidR="00FE3307" w:rsidRPr="003D3A7E" w:rsidRDefault="00FE3307" w:rsidP="00FE3307">
      <w:pPr>
        <w:rPr>
          <w:b/>
        </w:rPr>
      </w:pPr>
      <w:r>
        <w:rPr>
          <w:b/>
        </w:rPr>
        <w:t>Tableau 2. Rapport financier de la phase I du PGEH pour le Monténégro ($ US)</w:t>
      </w: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260"/>
        <w:gridCol w:w="2835"/>
        <w:gridCol w:w="2835"/>
      </w:tblGrid>
      <w:tr w:rsidR="00E933E0" w:rsidRPr="003D3A7E" w:rsidTr="00970434">
        <w:trPr>
          <w:trHeight w:val="206"/>
        </w:trPr>
        <w:tc>
          <w:tcPr>
            <w:tcW w:w="3667" w:type="dxa"/>
            <w:gridSpan w:val="2"/>
            <w:shd w:val="clear" w:color="auto" w:fill="auto"/>
            <w:noWrap/>
            <w:vAlign w:val="center"/>
            <w:hideMark/>
          </w:tcPr>
          <w:p w:rsidR="00E933E0" w:rsidRPr="003D3A7E" w:rsidRDefault="00E933E0" w:rsidP="00DD5EB6">
            <w:pPr>
              <w:rPr>
                <w:b/>
                <w:bCs/>
                <w:color w:val="000000"/>
                <w:sz w:val="20"/>
                <w:szCs w:val="20"/>
              </w:rPr>
            </w:pPr>
            <w:r>
              <w:rPr>
                <w:b/>
                <w:bCs/>
                <w:color w:val="000000"/>
                <w:sz w:val="20"/>
                <w:szCs w:val="20"/>
              </w:rPr>
              <w:t>Tranche</w:t>
            </w:r>
          </w:p>
        </w:tc>
        <w:tc>
          <w:tcPr>
            <w:tcW w:w="2835" w:type="dxa"/>
            <w:shd w:val="clear" w:color="auto" w:fill="auto"/>
            <w:noWrap/>
            <w:vAlign w:val="center"/>
            <w:hideMark/>
          </w:tcPr>
          <w:p w:rsidR="00E933E0" w:rsidRPr="003D3A7E" w:rsidRDefault="00E933E0" w:rsidP="00DD5EB6">
            <w:pPr>
              <w:jc w:val="center"/>
              <w:rPr>
                <w:b/>
                <w:color w:val="000000"/>
                <w:sz w:val="20"/>
                <w:szCs w:val="20"/>
              </w:rPr>
            </w:pPr>
            <w:r>
              <w:rPr>
                <w:b/>
                <w:color w:val="000000"/>
                <w:sz w:val="20"/>
                <w:szCs w:val="20"/>
              </w:rPr>
              <w:t>Total</w:t>
            </w:r>
          </w:p>
        </w:tc>
        <w:tc>
          <w:tcPr>
            <w:tcW w:w="2835" w:type="dxa"/>
            <w:shd w:val="clear" w:color="auto" w:fill="auto"/>
            <w:noWrap/>
            <w:vAlign w:val="center"/>
            <w:hideMark/>
          </w:tcPr>
          <w:p w:rsidR="00E933E0" w:rsidRPr="003D3A7E" w:rsidRDefault="00E933E0" w:rsidP="00DD5EB6">
            <w:pPr>
              <w:jc w:val="center"/>
              <w:rPr>
                <w:b/>
                <w:color w:val="000000"/>
                <w:sz w:val="20"/>
                <w:szCs w:val="20"/>
              </w:rPr>
            </w:pPr>
            <w:r>
              <w:rPr>
                <w:b/>
                <w:color w:val="000000"/>
                <w:sz w:val="20"/>
                <w:szCs w:val="20"/>
              </w:rPr>
              <w:t>Taux de décaissement (en %)</w:t>
            </w:r>
          </w:p>
        </w:tc>
      </w:tr>
      <w:tr w:rsidR="00E933E0" w:rsidRPr="003D3A7E" w:rsidTr="00F77C8F">
        <w:trPr>
          <w:trHeight w:val="179"/>
        </w:trPr>
        <w:tc>
          <w:tcPr>
            <w:tcW w:w="2407" w:type="dxa"/>
            <w:vMerge w:val="restart"/>
            <w:shd w:val="clear" w:color="auto" w:fill="auto"/>
            <w:noWrap/>
            <w:vAlign w:val="center"/>
            <w:hideMark/>
          </w:tcPr>
          <w:p w:rsidR="00E933E0" w:rsidRPr="003D3A7E" w:rsidRDefault="00E933E0" w:rsidP="00DD5EB6">
            <w:pPr>
              <w:jc w:val="left"/>
              <w:rPr>
                <w:bCs/>
                <w:color w:val="000000"/>
                <w:sz w:val="20"/>
                <w:szCs w:val="20"/>
              </w:rPr>
            </w:pPr>
            <w:r>
              <w:rPr>
                <w:bCs/>
                <w:color w:val="000000"/>
                <w:sz w:val="20"/>
                <w:szCs w:val="20"/>
              </w:rPr>
              <w:t>Première tranche</w:t>
            </w:r>
          </w:p>
        </w:tc>
        <w:tc>
          <w:tcPr>
            <w:tcW w:w="1260" w:type="dxa"/>
            <w:shd w:val="clear" w:color="auto" w:fill="auto"/>
            <w:noWrap/>
            <w:vAlign w:val="center"/>
            <w:hideMark/>
          </w:tcPr>
          <w:p w:rsidR="00E933E0" w:rsidRPr="003D3A7E" w:rsidRDefault="00E933E0" w:rsidP="00DD5EB6">
            <w:pPr>
              <w:rPr>
                <w:bCs/>
                <w:color w:val="000000"/>
                <w:sz w:val="20"/>
                <w:szCs w:val="20"/>
              </w:rPr>
            </w:pPr>
            <w:r>
              <w:rPr>
                <w:bCs/>
                <w:color w:val="000000"/>
                <w:sz w:val="20"/>
                <w:szCs w:val="20"/>
              </w:rPr>
              <w:t xml:space="preserve">Approuvé </w:t>
            </w:r>
          </w:p>
        </w:tc>
        <w:tc>
          <w:tcPr>
            <w:tcW w:w="2835" w:type="dxa"/>
            <w:shd w:val="clear" w:color="auto" w:fill="auto"/>
            <w:noWrap/>
            <w:vAlign w:val="center"/>
          </w:tcPr>
          <w:p w:rsidR="00E933E0" w:rsidRPr="003D3A7E" w:rsidRDefault="00E933E0" w:rsidP="00DD5EB6">
            <w:pPr>
              <w:jc w:val="right"/>
              <w:rPr>
                <w:color w:val="000000"/>
                <w:sz w:val="20"/>
                <w:szCs w:val="20"/>
              </w:rPr>
            </w:pPr>
            <w:r>
              <w:rPr>
                <w:color w:val="000000"/>
                <w:sz w:val="20"/>
                <w:szCs w:val="20"/>
              </w:rPr>
              <w:t>155 000</w:t>
            </w:r>
          </w:p>
        </w:tc>
        <w:tc>
          <w:tcPr>
            <w:tcW w:w="2835" w:type="dxa"/>
            <w:vMerge w:val="restart"/>
            <w:shd w:val="clear" w:color="auto" w:fill="auto"/>
            <w:noWrap/>
            <w:vAlign w:val="center"/>
          </w:tcPr>
          <w:p w:rsidR="00E933E0" w:rsidRPr="003D3A7E" w:rsidRDefault="008D3F90" w:rsidP="00E933E0">
            <w:pPr>
              <w:jc w:val="right"/>
              <w:rPr>
                <w:color w:val="000000"/>
                <w:sz w:val="20"/>
                <w:szCs w:val="20"/>
              </w:rPr>
            </w:pPr>
            <w:r>
              <w:rPr>
                <w:color w:val="000000"/>
                <w:sz w:val="20"/>
                <w:szCs w:val="20"/>
              </w:rPr>
              <w:t>100</w:t>
            </w:r>
          </w:p>
        </w:tc>
      </w:tr>
      <w:tr w:rsidR="00E933E0" w:rsidRPr="003D3A7E" w:rsidTr="00970434">
        <w:trPr>
          <w:trHeight w:val="179"/>
        </w:trPr>
        <w:tc>
          <w:tcPr>
            <w:tcW w:w="2407" w:type="dxa"/>
            <w:vMerge/>
            <w:vAlign w:val="center"/>
            <w:hideMark/>
          </w:tcPr>
          <w:p w:rsidR="00E933E0" w:rsidRPr="003D3A7E" w:rsidRDefault="00E933E0" w:rsidP="00DD5EB6">
            <w:pPr>
              <w:jc w:val="left"/>
              <w:rPr>
                <w:bCs/>
                <w:color w:val="000000"/>
                <w:sz w:val="20"/>
                <w:szCs w:val="20"/>
                <w:lang w:val="en-CA" w:eastAsia="en-CA"/>
              </w:rPr>
            </w:pPr>
          </w:p>
        </w:tc>
        <w:tc>
          <w:tcPr>
            <w:tcW w:w="1260" w:type="dxa"/>
            <w:shd w:val="clear" w:color="auto" w:fill="auto"/>
            <w:noWrap/>
            <w:vAlign w:val="center"/>
            <w:hideMark/>
          </w:tcPr>
          <w:p w:rsidR="00E933E0" w:rsidRPr="003D3A7E" w:rsidRDefault="00E933E0" w:rsidP="00DD5EB6">
            <w:pPr>
              <w:rPr>
                <w:bCs/>
                <w:color w:val="000000"/>
                <w:sz w:val="20"/>
                <w:szCs w:val="20"/>
              </w:rPr>
            </w:pPr>
            <w:r>
              <w:rPr>
                <w:bCs/>
                <w:color w:val="000000"/>
                <w:sz w:val="20"/>
                <w:szCs w:val="20"/>
              </w:rPr>
              <w:t xml:space="preserve">Décaissé </w:t>
            </w:r>
          </w:p>
        </w:tc>
        <w:tc>
          <w:tcPr>
            <w:tcW w:w="2835" w:type="dxa"/>
            <w:shd w:val="clear" w:color="auto" w:fill="auto"/>
            <w:noWrap/>
            <w:vAlign w:val="center"/>
          </w:tcPr>
          <w:p w:rsidR="00E933E0" w:rsidRPr="003D3A7E" w:rsidRDefault="008D3F90" w:rsidP="00DD5EB6">
            <w:pPr>
              <w:jc w:val="right"/>
              <w:rPr>
                <w:color w:val="000000"/>
                <w:sz w:val="20"/>
                <w:szCs w:val="20"/>
              </w:rPr>
            </w:pPr>
            <w:r>
              <w:rPr>
                <w:color w:val="000000"/>
                <w:sz w:val="20"/>
                <w:szCs w:val="20"/>
              </w:rPr>
              <w:t>155 000</w:t>
            </w:r>
          </w:p>
        </w:tc>
        <w:tc>
          <w:tcPr>
            <w:tcW w:w="2835" w:type="dxa"/>
            <w:vMerge/>
            <w:vAlign w:val="center"/>
          </w:tcPr>
          <w:p w:rsidR="00E933E0" w:rsidRPr="003D3A7E" w:rsidRDefault="00E933E0" w:rsidP="00E933E0">
            <w:pPr>
              <w:jc w:val="right"/>
              <w:rPr>
                <w:color w:val="000000"/>
                <w:sz w:val="20"/>
                <w:szCs w:val="20"/>
                <w:lang w:val="en-CA" w:eastAsia="en-CA"/>
              </w:rPr>
            </w:pPr>
          </w:p>
        </w:tc>
      </w:tr>
      <w:tr w:rsidR="00E933E0" w:rsidRPr="003D3A7E" w:rsidTr="00F77C8F">
        <w:trPr>
          <w:trHeight w:val="152"/>
        </w:trPr>
        <w:tc>
          <w:tcPr>
            <w:tcW w:w="2407" w:type="dxa"/>
            <w:vMerge w:val="restart"/>
            <w:shd w:val="clear" w:color="auto" w:fill="auto"/>
            <w:noWrap/>
            <w:vAlign w:val="center"/>
            <w:hideMark/>
          </w:tcPr>
          <w:p w:rsidR="00E933E0" w:rsidRPr="003D3A7E" w:rsidRDefault="00E933E0" w:rsidP="00DD5EB6">
            <w:pPr>
              <w:jc w:val="left"/>
              <w:rPr>
                <w:bCs/>
                <w:color w:val="000000"/>
                <w:sz w:val="20"/>
                <w:szCs w:val="20"/>
              </w:rPr>
            </w:pPr>
            <w:r>
              <w:rPr>
                <w:bCs/>
                <w:color w:val="000000"/>
                <w:sz w:val="20"/>
                <w:szCs w:val="20"/>
              </w:rPr>
              <w:t>Deuxième tranche</w:t>
            </w:r>
          </w:p>
        </w:tc>
        <w:tc>
          <w:tcPr>
            <w:tcW w:w="1260" w:type="dxa"/>
            <w:shd w:val="clear" w:color="auto" w:fill="auto"/>
            <w:noWrap/>
            <w:vAlign w:val="center"/>
            <w:hideMark/>
          </w:tcPr>
          <w:p w:rsidR="00E933E0" w:rsidRPr="003D3A7E" w:rsidRDefault="00E933E0" w:rsidP="00DD5EB6">
            <w:pPr>
              <w:rPr>
                <w:bCs/>
                <w:color w:val="000000"/>
                <w:sz w:val="20"/>
                <w:szCs w:val="20"/>
              </w:rPr>
            </w:pPr>
            <w:r>
              <w:rPr>
                <w:bCs/>
                <w:color w:val="000000"/>
                <w:sz w:val="20"/>
                <w:szCs w:val="20"/>
              </w:rPr>
              <w:t xml:space="preserve">Approuvé </w:t>
            </w:r>
          </w:p>
        </w:tc>
        <w:tc>
          <w:tcPr>
            <w:tcW w:w="2835" w:type="dxa"/>
            <w:shd w:val="clear" w:color="auto" w:fill="auto"/>
            <w:noWrap/>
            <w:vAlign w:val="center"/>
          </w:tcPr>
          <w:p w:rsidR="00E933E0" w:rsidRPr="003D3A7E" w:rsidRDefault="00E933E0" w:rsidP="00DD5EB6">
            <w:pPr>
              <w:jc w:val="right"/>
              <w:rPr>
                <w:color w:val="000000"/>
                <w:sz w:val="20"/>
                <w:szCs w:val="20"/>
              </w:rPr>
            </w:pPr>
            <w:r>
              <w:rPr>
                <w:color w:val="000000"/>
                <w:sz w:val="20"/>
                <w:szCs w:val="20"/>
              </w:rPr>
              <w:t>100 000</w:t>
            </w:r>
          </w:p>
        </w:tc>
        <w:tc>
          <w:tcPr>
            <w:tcW w:w="2835" w:type="dxa"/>
            <w:vMerge w:val="restart"/>
            <w:shd w:val="clear" w:color="auto" w:fill="auto"/>
            <w:noWrap/>
            <w:vAlign w:val="center"/>
          </w:tcPr>
          <w:p w:rsidR="00E933E0" w:rsidRPr="003D3A7E" w:rsidRDefault="008D3F90" w:rsidP="00E933E0">
            <w:pPr>
              <w:jc w:val="right"/>
              <w:rPr>
                <w:color w:val="000000"/>
                <w:sz w:val="20"/>
                <w:szCs w:val="20"/>
              </w:rPr>
            </w:pPr>
            <w:r>
              <w:rPr>
                <w:color w:val="000000"/>
                <w:sz w:val="20"/>
                <w:szCs w:val="20"/>
              </w:rPr>
              <w:t>100</w:t>
            </w:r>
          </w:p>
        </w:tc>
      </w:tr>
      <w:tr w:rsidR="00E933E0" w:rsidRPr="003D3A7E" w:rsidTr="00F77C8F">
        <w:trPr>
          <w:trHeight w:val="179"/>
        </w:trPr>
        <w:tc>
          <w:tcPr>
            <w:tcW w:w="2407" w:type="dxa"/>
            <w:vMerge/>
            <w:vAlign w:val="center"/>
            <w:hideMark/>
          </w:tcPr>
          <w:p w:rsidR="00E933E0" w:rsidRPr="003D3A7E" w:rsidRDefault="00E933E0" w:rsidP="00DD5EB6">
            <w:pPr>
              <w:jc w:val="left"/>
              <w:rPr>
                <w:bCs/>
                <w:color w:val="000000"/>
                <w:sz w:val="20"/>
                <w:szCs w:val="20"/>
                <w:lang w:val="en-CA" w:eastAsia="en-CA"/>
              </w:rPr>
            </w:pPr>
          </w:p>
        </w:tc>
        <w:tc>
          <w:tcPr>
            <w:tcW w:w="1260" w:type="dxa"/>
            <w:shd w:val="clear" w:color="auto" w:fill="auto"/>
            <w:noWrap/>
            <w:vAlign w:val="center"/>
            <w:hideMark/>
          </w:tcPr>
          <w:p w:rsidR="00E933E0" w:rsidRPr="003D3A7E" w:rsidRDefault="00E933E0" w:rsidP="00DD5EB6">
            <w:pPr>
              <w:rPr>
                <w:bCs/>
                <w:color w:val="000000"/>
                <w:sz w:val="20"/>
                <w:szCs w:val="20"/>
              </w:rPr>
            </w:pPr>
            <w:r>
              <w:rPr>
                <w:bCs/>
                <w:color w:val="000000"/>
                <w:sz w:val="20"/>
                <w:szCs w:val="20"/>
              </w:rPr>
              <w:t xml:space="preserve">Décaissé </w:t>
            </w:r>
          </w:p>
        </w:tc>
        <w:tc>
          <w:tcPr>
            <w:tcW w:w="2835" w:type="dxa"/>
            <w:shd w:val="clear" w:color="auto" w:fill="auto"/>
            <w:noWrap/>
            <w:vAlign w:val="center"/>
          </w:tcPr>
          <w:p w:rsidR="00E933E0" w:rsidRPr="003D3A7E" w:rsidRDefault="008D3F90" w:rsidP="00DD5EB6">
            <w:pPr>
              <w:jc w:val="right"/>
              <w:rPr>
                <w:color w:val="000000"/>
                <w:sz w:val="20"/>
                <w:szCs w:val="20"/>
              </w:rPr>
            </w:pPr>
            <w:r>
              <w:rPr>
                <w:color w:val="000000"/>
                <w:sz w:val="20"/>
                <w:szCs w:val="20"/>
              </w:rPr>
              <w:t>100 000</w:t>
            </w:r>
          </w:p>
        </w:tc>
        <w:tc>
          <w:tcPr>
            <w:tcW w:w="2835" w:type="dxa"/>
            <w:vMerge/>
            <w:vAlign w:val="center"/>
          </w:tcPr>
          <w:p w:rsidR="00E933E0" w:rsidRPr="003D3A7E" w:rsidRDefault="00E933E0" w:rsidP="00E933E0">
            <w:pPr>
              <w:jc w:val="right"/>
              <w:rPr>
                <w:color w:val="000000"/>
                <w:sz w:val="20"/>
                <w:szCs w:val="20"/>
                <w:lang w:val="en-CA" w:eastAsia="en-CA"/>
              </w:rPr>
            </w:pPr>
          </w:p>
        </w:tc>
      </w:tr>
      <w:tr w:rsidR="00E933E0" w:rsidRPr="003D3A7E" w:rsidTr="00F77C8F">
        <w:trPr>
          <w:trHeight w:val="125"/>
        </w:trPr>
        <w:tc>
          <w:tcPr>
            <w:tcW w:w="2407" w:type="dxa"/>
            <w:vMerge w:val="restart"/>
            <w:shd w:val="clear" w:color="auto" w:fill="auto"/>
            <w:noWrap/>
            <w:vAlign w:val="center"/>
            <w:hideMark/>
          </w:tcPr>
          <w:p w:rsidR="00E933E0" w:rsidRPr="003D3A7E" w:rsidRDefault="00E933E0" w:rsidP="00DD5EB6">
            <w:pPr>
              <w:jc w:val="left"/>
              <w:rPr>
                <w:bCs/>
                <w:color w:val="000000"/>
                <w:sz w:val="20"/>
                <w:szCs w:val="20"/>
              </w:rPr>
            </w:pPr>
            <w:r>
              <w:rPr>
                <w:bCs/>
                <w:color w:val="000000"/>
                <w:sz w:val="20"/>
                <w:szCs w:val="20"/>
              </w:rPr>
              <w:t>Troisième tranche</w:t>
            </w:r>
          </w:p>
        </w:tc>
        <w:tc>
          <w:tcPr>
            <w:tcW w:w="1260" w:type="dxa"/>
            <w:shd w:val="clear" w:color="auto" w:fill="auto"/>
            <w:noWrap/>
            <w:vAlign w:val="center"/>
            <w:hideMark/>
          </w:tcPr>
          <w:p w:rsidR="00E933E0" w:rsidRPr="003D3A7E" w:rsidRDefault="00E933E0" w:rsidP="00DD5EB6">
            <w:pPr>
              <w:rPr>
                <w:bCs/>
                <w:color w:val="000000"/>
                <w:sz w:val="20"/>
                <w:szCs w:val="20"/>
              </w:rPr>
            </w:pPr>
            <w:r>
              <w:rPr>
                <w:bCs/>
                <w:color w:val="000000"/>
                <w:sz w:val="20"/>
                <w:szCs w:val="20"/>
              </w:rPr>
              <w:t xml:space="preserve">Approuvé </w:t>
            </w:r>
          </w:p>
        </w:tc>
        <w:tc>
          <w:tcPr>
            <w:tcW w:w="2835" w:type="dxa"/>
            <w:shd w:val="clear" w:color="auto" w:fill="auto"/>
            <w:noWrap/>
            <w:vAlign w:val="center"/>
          </w:tcPr>
          <w:p w:rsidR="00E933E0" w:rsidRPr="003D3A7E" w:rsidRDefault="00E933E0" w:rsidP="00DD5EB6">
            <w:pPr>
              <w:jc w:val="right"/>
              <w:rPr>
                <w:color w:val="000000"/>
                <w:sz w:val="20"/>
                <w:szCs w:val="20"/>
              </w:rPr>
            </w:pPr>
            <w:r>
              <w:rPr>
                <w:color w:val="000000"/>
                <w:sz w:val="20"/>
                <w:szCs w:val="20"/>
              </w:rPr>
              <w:t>98 500</w:t>
            </w:r>
          </w:p>
        </w:tc>
        <w:tc>
          <w:tcPr>
            <w:tcW w:w="2835" w:type="dxa"/>
            <w:vMerge w:val="restart"/>
            <w:shd w:val="clear" w:color="auto" w:fill="auto"/>
            <w:noWrap/>
            <w:vAlign w:val="center"/>
          </w:tcPr>
          <w:p w:rsidR="00E933E0" w:rsidRPr="003D3A7E" w:rsidRDefault="008B3E49" w:rsidP="00E933E0">
            <w:pPr>
              <w:jc w:val="right"/>
              <w:rPr>
                <w:color w:val="000000"/>
                <w:sz w:val="20"/>
                <w:szCs w:val="20"/>
              </w:rPr>
            </w:pPr>
            <w:r>
              <w:rPr>
                <w:color w:val="000000"/>
                <w:sz w:val="20"/>
                <w:szCs w:val="20"/>
              </w:rPr>
              <w:t>99,8</w:t>
            </w:r>
          </w:p>
        </w:tc>
      </w:tr>
      <w:tr w:rsidR="00E933E0" w:rsidRPr="003D3A7E" w:rsidTr="00F77C8F">
        <w:trPr>
          <w:trHeight w:val="58"/>
        </w:trPr>
        <w:tc>
          <w:tcPr>
            <w:tcW w:w="2407" w:type="dxa"/>
            <w:vMerge/>
            <w:vAlign w:val="center"/>
            <w:hideMark/>
          </w:tcPr>
          <w:p w:rsidR="00E933E0" w:rsidRPr="003D3A7E" w:rsidRDefault="00E933E0" w:rsidP="00DD5EB6">
            <w:pPr>
              <w:jc w:val="left"/>
              <w:rPr>
                <w:bCs/>
                <w:color w:val="000000"/>
                <w:sz w:val="20"/>
                <w:szCs w:val="20"/>
                <w:lang w:val="en-CA" w:eastAsia="en-CA"/>
              </w:rPr>
            </w:pPr>
          </w:p>
        </w:tc>
        <w:tc>
          <w:tcPr>
            <w:tcW w:w="1260" w:type="dxa"/>
            <w:shd w:val="clear" w:color="auto" w:fill="auto"/>
            <w:noWrap/>
            <w:vAlign w:val="center"/>
            <w:hideMark/>
          </w:tcPr>
          <w:p w:rsidR="00E933E0" w:rsidRPr="003D3A7E" w:rsidRDefault="00E933E0" w:rsidP="00DD5EB6">
            <w:pPr>
              <w:rPr>
                <w:bCs/>
                <w:color w:val="000000"/>
                <w:sz w:val="20"/>
                <w:szCs w:val="20"/>
              </w:rPr>
            </w:pPr>
            <w:r>
              <w:rPr>
                <w:bCs/>
                <w:color w:val="000000"/>
                <w:sz w:val="20"/>
                <w:szCs w:val="20"/>
              </w:rPr>
              <w:t xml:space="preserve">Décaissé </w:t>
            </w:r>
          </w:p>
        </w:tc>
        <w:tc>
          <w:tcPr>
            <w:tcW w:w="2835" w:type="dxa"/>
            <w:shd w:val="clear" w:color="auto" w:fill="auto"/>
            <w:noWrap/>
            <w:vAlign w:val="center"/>
          </w:tcPr>
          <w:p w:rsidR="00E933E0" w:rsidRPr="003D3A7E" w:rsidRDefault="008D3F90" w:rsidP="00DD5EB6">
            <w:pPr>
              <w:jc w:val="right"/>
              <w:rPr>
                <w:color w:val="000000"/>
                <w:sz w:val="20"/>
                <w:szCs w:val="20"/>
              </w:rPr>
            </w:pPr>
            <w:r>
              <w:rPr>
                <w:color w:val="000000"/>
                <w:sz w:val="20"/>
                <w:szCs w:val="20"/>
              </w:rPr>
              <w:t>98 343</w:t>
            </w:r>
          </w:p>
        </w:tc>
        <w:tc>
          <w:tcPr>
            <w:tcW w:w="2835" w:type="dxa"/>
            <w:vMerge/>
            <w:vAlign w:val="center"/>
          </w:tcPr>
          <w:p w:rsidR="00E933E0" w:rsidRPr="003D3A7E" w:rsidRDefault="00E933E0" w:rsidP="00E933E0">
            <w:pPr>
              <w:jc w:val="right"/>
              <w:rPr>
                <w:color w:val="000000"/>
                <w:sz w:val="20"/>
                <w:szCs w:val="20"/>
                <w:lang w:val="en-CA" w:eastAsia="en-CA"/>
              </w:rPr>
            </w:pPr>
          </w:p>
        </w:tc>
      </w:tr>
      <w:tr w:rsidR="00E933E0" w:rsidRPr="003D3A7E" w:rsidTr="00F77C8F">
        <w:trPr>
          <w:trHeight w:val="58"/>
        </w:trPr>
        <w:tc>
          <w:tcPr>
            <w:tcW w:w="2407" w:type="dxa"/>
            <w:vMerge w:val="restart"/>
            <w:shd w:val="clear" w:color="auto" w:fill="auto"/>
            <w:vAlign w:val="center"/>
            <w:hideMark/>
          </w:tcPr>
          <w:p w:rsidR="00E933E0" w:rsidRPr="003D3A7E" w:rsidRDefault="00E933E0" w:rsidP="00DD5EB6">
            <w:pPr>
              <w:jc w:val="left"/>
              <w:rPr>
                <w:bCs/>
                <w:color w:val="000000"/>
                <w:sz w:val="20"/>
                <w:szCs w:val="20"/>
              </w:rPr>
            </w:pPr>
            <w:r>
              <w:rPr>
                <w:bCs/>
                <w:color w:val="000000"/>
                <w:sz w:val="20"/>
                <w:szCs w:val="20"/>
              </w:rPr>
              <w:t>Total</w:t>
            </w:r>
          </w:p>
        </w:tc>
        <w:tc>
          <w:tcPr>
            <w:tcW w:w="1260" w:type="dxa"/>
            <w:shd w:val="clear" w:color="auto" w:fill="auto"/>
            <w:vAlign w:val="center"/>
            <w:hideMark/>
          </w:tcPr>
          <w:p w:rsidR="00E933E0" w:rsidRPr="003D3A7E" w:rsidRDefault="00E933E0" w:rsidP="00DD5EB6">
            <w:pPr>
              <w:rPr>
                <w:bCs/>
                <w:color w:val="000000"/>
                <w:sz w:val="20"/>
                <w:szCs w:val="20"/>
              </w:rPr>
            </w:pPr>
            <w:r>
              <w:rPr>
                <w:bCs/>
                <w:color w:val="000000"/>
                <w:sz w:val="20"/>
                <w:szCs w:val="20"/>
              </w:rPr>
              <w:t xml:space="preserve">Approuvé </w:t>
            </w:r>
          </w:p>
        </w:tc>
        <w:tc>
          <w:tcPr>
            <w:tcW w:w="2835" w:type="dxa"/>
            <w:shd w:val="clear" w:color="auto" w:fill="auto"/>
            <w:vAlign w:val="center"/>
          </w:tcPr>
          <w:p w:rsidR="00E933E0" w:rsidRPr="003D3A7E" w:rsidRDefault="00E933E0" w:rsidP="00DD5EB6">
            <w:pPr>
              <w:jc w:val="right"/>
              <w:rPr>
                <w:color w:val="000000"/>
                <w:sz w:val="20"/>
                <w:szCs w:val="20"/>
              </w:rPr>
            </w:pPr>
            <w:r>
              <w:rPr>
                <w:color w:val="000000"/>
                <w:sz w:val="20"/>
                <w:szCs w:val="20"/>
              </w:rPr>
              <w:t>353 500</w:t>
            </w:r>
          </w:p>
        </w:tc>
        <w:tc>
          <w:tcPr>
            <w:tcW w:w="2835" w:type="dxa"/>
            <w:vMerge w:val="restart"/>
            <w:shd w:val="clear" w:color="auto" w:fill="auto"/>
            <w:vAlign w:val="center"/>
          </w:tcPr>
          <w:p w:rsidR="00E933E0" w:rsidRPr="003D3A7E" w:rsidRDefault="008B3E49" w:rsidP="00E933E0">
            <w:pPr>
              <w:jc w:val="right"/>
              <w:rPr>
                <w:color w:val="000000"/>
                <w:sz w:val="20"/>
                <w:szCs w:val="20"/>
              </w:rPr>
            </w:pPr>
            <w:r>
              <w:rPr>
                <w:color w:val="000000"/>
                <w:sz w:val="20"/>
                <w:szCs w:val="20"/>
              </w:rPr>
              <w:t>99,9</w:t>
            </w:r>
          </w:p>
        </w:tc>
      </w:tr>
      <w:tr w:rsidR="00E933E0" w:rsidRPr="003D3A7E" w:rsidTr="00F77C8F">
        <w:trPr>
          <w:trHeight w:val="179"/>
        </w:trPr>
        <w:tc>
          <w:tcPr>
            <w:tcW w:w="2407" w:type="dxa"/>
            <w:vMerge/>
            <w:shd w:val="clear" w:color="auto" w:fill="auto"/>
            <w:vAlign w:val="center"/>
          </w:tcPr>
          <w:p w:rsidR="00E933E0" w:rsidRPr="003D3A7E" w:rsidRDefault="00E933E0" w:rsidP="00DD5EB6">
            <w:pPr>
              <w:jc w:val="left"/>
              <w:rPr>
                <w:b/>
                <w:bCs/>
                <w:color w:val="000000"/>
                <w:sz w:val="20"/>
                <w:szCs w:val="20"/>
                <w:lang w:val="en-CA" w:eastAsia="en-CA"/>
              </w:rPr>
            </w:pPr>
          </w:p>
        </w:tc>
        <w:tc>
          <w:tcPr>
            <w:tcW w:w="1260" w:type="dxa"/>
            <w:shd w:val="clear" w:color="auto" w:fill="auto"/>
            <w:vAlign w:val="center"/>
          </w:tcPr>
          <w:p w:rsidR="00E933E0" w:rsidRPr="003D3A7E" w:rsidRDefault="00E933E0" w:rsidP="00DD5EB6">
            <w:pPr>
              <w:rPr>
                <w:bCs/>
                <w:color w:val="000000"/>
                <w:sz w:val="20"/>
                <w:szCs w:val="20"/>
              </w:rPr>
            </w:pPr>
            <w:r>
              <w:rPr>
                <w:bCs/>
                <w:color w:val="000000"/>
                <w:sz w:val="20"/>
                <w:szCs w:val="20"/>
              </w:rPr>
              <w:t xml:space="preserve">Décaissé </w:t>
            </w:r>
          </w:p>
        </w:tc>
        <w:tc>
          <w:tcPr>
            <w:tcW w:w="2835" w:type="dxa"/>
            <w:shd w:val="clear" w:color="auto" w:fill="auto"/>
            <w:vAlign w:val="center"/>
          </w:tcPr>
          <w:p w:rsidR="00E933E0" w:rsidRPr="003D3A7E" w:rsidRDefault="008D3F90" w:rsidP="00DD5EB6">
            <w:pPr>
              <w:jc w:val="right"/>
              <w:rPr>
                <w:color w:val="000000"/>
                <w:sz w:val="20"/>
                <w:szCs w:val="20"/>
              </w:rPr>
            </w:pPr>
            <w:r>
              <w:rPr>
                <w:color w:val="000000"/>
                <w:sz w:val="20"/>
                <w:szCs w:val="20"/>
              </w:rPr>
              <w:t>353 343</w:t>
            </w:r>
          </w:p>
        </w:tc>
        <w:tc>
          <w:tcPr>
            <w:tcW w:w="2835" w:type="dxa"/>
            <w:vMerge/>
            <w:shd w:val="clear" w:color="auto" w:fill="auto"/>
            <w:vAlign w:val="center"/>
          </w:tcPr>
          <w:p w:rsidR="00E933E0" w:rsidRPr="003D3A7E" w:rsidRDefault="00E933E0" w:rsidP="00DD5EB6">
            <w:pPr>
              <w:jc w:val="center"/>
              <w:rPr>
                <w:color w:val="000000"/>
                <w:sz w:val="20"/>
                <w:szCs w:val="20"/>
                <w:lang w:val="en-CA" w:eastAsia="en-CA"/>
              </w:rPr>
            </w:pPr>
          </w:p>
        </w:tc>
      </w:tr>
    </w:tbl>
    <w:p w:rsidR="00FE3307" w:rsidRPr="003D3A7E" w:rsidRDefault="00FE3307" w:rsidP="00E933E0">
      <w:pPr>
        <w:rPr>
          <w:lang w:val="en-CA"/>
        </w:rPr>
      </w:pPr>
    </w:p>
    <w:p w:rsidR="00FE3307" w:rsidRPr="003D3A7E" w:rsidRDefault="00FE3307" w:rsidP="00FE3307">
      <w:pPr>
        <w:rPr>
          <w:u w:val="single"/>
        </w:rPr>
      </w:pPr>
      <w:r>
        <w:rPr>
          <w:u w:val="single"/>
        </w:rPr>
        <w:t>Plan de mise en œuvre de la quatrième tranche du PGEH</w:t>
      </w:r>
    </w:p>
    <w:p w:rsidR="00FE3307" w:rsidRPr="00687557" w:rsidRDefault="00FE3307" w:rsidP="00FE3307"/>
    <w:p w:rsidR="00FE3307" w:rsidRPr="003D3A7E" w:rsidRDefault="00FE3307" w:rsidP="00FE3307">
      <w:pPr>
        <w:pStyle w:val="Heading1"/>
      </w:pPr>
      <w:r>
        <w:t>Les activités suivantes seront mises en œuvre entr</w:t>
      </w:r>
      <w:r w:rsidR="00524597">
        <w:t>e janvier 2019 et décembre 2020 </w:t>
      </w:r>
      <w:r>
        <w:t>:</w:t>
      </w:r>
    </w:p>
    <w:p w:rsidR="00BC5EA5" w:rsidRPr="003D3A7E" w:rsidRDefault="00BC5EA5" w:rsidP="00BC5EA5">
      <w:pPr>
        <w:pStyle w:val="Heading2"/>
        <w:numPr>
          <w:ilvl w:val="1"/>
          <w:numId w:val="1"/>
        </w:numPr>
      </w:pPr>
      <w:r>
        <w:t>Soutien de l</w:t>
      </w:r>
      <w:r w:rsidR="00904A53">
        <w:t>’</w:t>
      </w:r>
      <w:r>
        <w:t>UNO, dans le cadre de la composante de RI (25 000 $ US</w:t>
      </w:r>
      <w:proofErr w:type="gramStart"/>
      <w:r>
        <w:t>);</w:t>
      </w:r>
      <w:proofErr w:type="gramEnd"/>
      <w:r w:rsidR="008E0D0F">
        <w:t xml:space="preserve"> et</w:t>
      </w:r>
    </w:p>
    <w:p w:rsidR="00E933E0" w:rsidRPr="003D3A7E" w:rsidRDefault="00BC5EA5" w:rsidP="00A37CFD">
      <w:pPr>
        <w:pStyle w:val="Heading2"/>
        <w:numPr>
          <w:ilvl w:val="1"/>
          <w:numId w:val="1"/>
        </w:numPr>
      </w:pPr>
      <w:r>
        <w:t>Surveillance de la mise en œuvre du PGEH, incluant les déplacements, les conseils et les stratégies de communication (5 000 $ US).</w:t>
      </w:r>
      <w:r>
        <w:rPr>
          <w:highlight w:val="yellow"/>
        </w:rPr>
        <w:t xml:space="preserve"> </w:t>
      </w:r>
    </w:p>
    <w:p w:rsidR="00FE3307" w:rsidRPr="00687557" w:rsidRDefault="00FE3307" w:rsidP="00FE3307"/>
    <w:p w:rsidR="003D3A7E" w:rsidRPr="00687557" w:rsidRDefault="003D3A7E" w:rsidP="004D4D55">
      <w:pPr>
        <w:keepNext/>
        <w:keepLines/>
        <w:jc w:val="center"/>
        <w:rPr>
          <w:b/>
        </w:rPr>
      </w:pPr>
    </w:p>
    <w:p w:rsidR="00FE3307" w:rsidRPr="003D3A7E" w:rsidRDefault="00FE3307" w:rsidP="004D4D55">
      <w:pPr>
        <w:keepNext/>
        <w:keepLines/>
        <w:jc w:val="center"/>
        <w:rPr>
          <w:b/>
        </w:rPr>
      </w:pPr>
      <w:r>
        <w:rPr>
          <w:b/>
        </w:rPr>
        <w:t>OBSERVATIONS ET RECOMMANDATION DU SECRÉTARIAT</w:t>
      </w:r>
    </w:p>
    <w:p w:rsidR="00FE3307" w:rsidRPr="00687557" w:rsidRDefault="00FE3307" w:rsidP="004D4D55">
      <w:pPr>
        <w:keepNext/>
        <w:keepLines/>
      </w:pPr>
    </w:p>
    <w:p w:rsidR="00FE3307" w:rsidRPr="003D3A7E" w:rsidRDefault="00FE3307" w:rsidP="004D4D55">
      <w:pPr>
        <w:keepNext/>
        <w:keepLines/>
        <w:rPr>
          <w:b/>
        </w:rPr>
      </w:pPr>
      <w:r>
        <w:rPr>
          <w:b/>
        </w:rPr>
        <w:t>OBSERVATIONS</w:t>
      </w:r>
    </w:p>
    <w:p w:rsidR="00FE3307" w:rsidRPr="00687557" w:rsidRDefault="00FE3307" w:rsidP="004D4D55">
      <w:pPr>
        <w:keepNext/>
        <w:keepLines/>
      </w:pPr>
    </w:p>
    <w:p w:rsidR="00FE3307" w:rsidRPr="003D3A7E" w:rsidRDefault="00FE3307" w:rsidP="004D4D55">
      <w:pPr>
        <w:keepNext/>
        <w:keepLines/>
        <w:rPr>
          <w:u w:val="single"/>
        </w:rPr>
      </w:pPr>
      <w:r>
        <w:rPr>
          <w:u w:val="single"/>
        </w:rPr>
        <w:t>Rapport périodique sur la mise en œuvre de la troisième tranche du PGEH</w:t>
      </w:r>
    </w:p>
    <w:p w:rsidR="00FE3307" w:rsidRPr="00687557" w:rsidRDefault="00FE3307" w:rsidP="004D4D55">
      <w:pPr>
        <w:keepNext/>
        <w:keepLines/>
      </w:pPr>
    </w:p>
    <w:p w:rsidR="00FE3307" w:rsidRPr="003D3A7E" w:rsidRDefault="00FE3307" w:rsidP="004D4D55">
      <w:pPr>
        <w:keepNext/>
        <w:keepLines/>
        <w:rPr>
          <w:i/>
        </w:rPr>
      </w:pPr>
      <w:r>
        <w:rPr>
          <w:i/>
        </w:rPr>
        <w:t>Cadre juridique</w:t>
      </w:r>
    </w:p>
    <w:p w:rsidR="00FE3307" w:rsidRPr="003D3A7E" w:rsidRDefault="00FE3307" w:rsidP="004D4D55">
      <w:pPr>
        <w:keepNext/>
        <w:keepLines/>
        <w:rPr>
          <w:lang w:val="en-CA"/>
        </w:rPr>
      </w:pPr>
    </w:p>
    <w:p w:rsidR="00FE3307" w:rsidRPr="009278AC" w:rsidRDefault="00FE3307" w:rsidP="004D4D55">
      <w:pPr>
        <w:pStyle w:val="Heading1"/>
        <w:keepNext/>
        <w:keepLines/>
      </w:pPr>
      <w:r>
        <w:t>Le gouvernement de la Géorgie a déjà émis des quotas d</w:t>
      </w:r>
      <w:r w:rsidR="00904A53">
        <w:t>’</w:t>
      </w:r>
      <w:r>
        <w:t>imp</w:t>
      </w:r>
      <w:r w:rsidR="008E0D0F">
        <w:t>ortation pour 2019 à 0,44 tonne </w:t>
      </w:r>
      <w:r>
        <w:t>PAO, ce qui est</w:t>
      </w:r>
      <w:r w:rsidR="00524597">
        <w:t xml:space="preserve"> de </w:t>
      </w:r>
      <w:r>
        <w:t>45 % inférieur à la valeur de référence de consommation de HCFC.</w:t>
      </w:r>
    </w:p>
    <w:p w:rsidR="00C424C0" w:rsidRPr="009278AC" w:rsidRDefault="00C424C0" w:rsidP="005C6F9D">
      <w:pPr>
        <w:pStyle w:val="Heading1"/>
      </w:pPr>
      <w:r>
        <w:t>Le pays a confirmé que le système de permis et de quotas inclut des SAO qui ont déjà été éliminés, pour lesquels aucun permis ni quota n</w:t>
      </w:r>
      <w:r w:rsidR="00904A53">
        <w:t>’</w:t>
      </w:r>
      <w:r>
        <w:t>est offert, et que l</w:t>
      </w:r>
      <w:r w:rsidR="00904A53">
        <w:t>’</w:t>
      </w:r>
      <w:r>
        <w:t>ANEP demande chaque année des informations provenant de l</w:t>
      </w:r>
      <w:r w:rsidR="00904A53">
        <w:t>’</w:t>
      </w:r>
      <w:r>
        <w:t>administration des douanes concernant l</w:t>
      </w:r>
      <w:r w:rsidR="00904A53">
        <w:t>’</w:t>
      </w:r>
      <w:r>
        <w:t>importation et l</w:t>
      </w:r>
      <w:r w:rsidR="00904A53">
        <w:t>’</w:t>
      </w:r>
      <w:r>
        <w:t>exportation de tous les SAO, incluant les SAO qui ont été éliminés, qu</w:t>
      </w:r>
      <w:r w:rsidR="00904A53">
        <w:t>’</w:t>
      </w:r>
      <w:r>
        <w:t>il n</w:t>
      </w:r>
      <w:r w:rsidR="00904A53">
        <w:t>’</w:t>
      </w:r>
      <w:r>
        <w:t>y avait aucun cas d</w:t>
      </w:r>
      <w:r w:rsidR="00904A53">
        <w:t>’</w:t>
      </w:r>
      <w:r>
        <w:t>importation illégale de SAO déjà éliminés; et qu</w:t>
      </w:r>
      <w:r w:rsidR="00904A53">
        <w:t>’</w:t>
      </w:r>
      <w:r>
        <w:t>il y a eu une interdiction depuis 2011 concernant tous les équipements contenant des SAO, incluant des équi</w:t>
      </w:r>
      <w:r w:rsidR="00524597">
        <w:t>pements fonctionnant au HCFC. Le</w:t>
      </w:r>
      <w:r>
        <w:t xml:space="preserve"> pays n</w:t>
      </w:r>
      <w:r w:rsidR="00904A53">
        <w:t>’</w:t>
      </w:r>
      <w:r>
        <w:t xml:space="preserve">était </w:t>
      </w:r>
      <w:r w:rsidR="00F1598A">
        <w:t xml:space="preserve">pas </w:t>
      </w:r>
      <w:r>
        <w:t>au courant de l</w:t>
      </w:r>
      <w:r w:rsidR="00904A53">
        <w:t>’</w:t>
      </w:r>
      <w:r>
        <w:t>usage dans son marché de SAO déjà éliminés ni de l</w:t>
      </w:r>
      <w:r w:rsidR="00904A53">
        <w:t>’</w:t>
      </w:r>
      <w:r>
        <w:t xml:space="preserve">existence de réserves de ces produits. </w:t>
      </w:r>
    </w:p>
    <w:p w:rsidR="00E44C7A" w:rsidRPr="003D3A7E" w:rsidRDefault="00E44C7A" w:rsidP="00EE5A28">
      <w:pPr>
        <w:pStyle w:val="Heading1"/>
      </w:pPr>
      <w:r>
        <w:t>En 2018, le Monténégro a mis en œuvre une décision</w:t>
      </w:r>
      <w:r w:rsidRPr="009278AC">
        <w:rPr>
          <w:rStyle w:val="FootnoteReference"/>
          <w:lang w:val="en-CA"/>
        </w:rPr>
        <w:footnoteReference w:id="2"/>
      </w:r>
      <w:r>
        <w:t xml:space="preserve"> qui règlemente entre autres l</w:t>
      </w:r>
      <w:r w:rsidR="00904A53">
        <w:t>’</w:t>
      </w:r>
      <w:r>
        <w:t>importation et l</w:t>
      </w:r>
      <w:r w:rsidR="00904A53">
        <w:t>’</w:t>
      </w:r>
      <w:r>
        <w:t>exportation des HFC et qui harmonise les numéros tarifaires à ceux du système tarifaire de l</w:t>
      </w:r>
      <w:r w:rsidR="00904A53">
        <w:t>’</w:t>
      </w:r>
      <w:r>
        <w:t>UE. Cette décision mettait à jour des décisions antérieures qui concernaient les importations et exportations de SAO, incluant les HCFC. La nouvelle décision règlemente l</w:t>
      </w:r>
      <w:r w:rsidR="00904A53">
        <w:t>’</w:t>
      </w:r>
      <w:r>
        <w:t>importation et l</w:t>
      </w:r>
      <w:r w:rsidR="00904A53">
        <w:t>’</w:t>
      </w:r>
      <w:r>
        <w:t>exportation des HFC, mais n</w:t>
      </w:r>
      <w:r w:rsidR="00904A53">
        <w:t>’</w:t>
      </w:r>
      <w:r>
        <w:t xml:space="preserve">aborde pas les équipements contenant des HFC. </w:t>
      </w:r>
    </w:p>
    <w:p w:rsidR="00CF4416" w:rsidRDefault="00A243FC" w:rsidP="00FE3307">
      <w:pPr>
        <w:rPr>
          <w:i/>
        </w:rPr>
      </w:pPr>
      <w:r>
        <w:rPr>
          <w:i/>
        </w:rPr>
        <w:t>Consommation de HFC</w:t>
      </w:r>
    </w:p>
    <w:p w:rsidR="00CF4416" w:rsidRDefault="00CF4416" w:rsidP="00FE3307">
      <w:pPr>
        <w:rPr>
          <w:i/>
          <w:lang w:val="en-CA"/>
        </w:rPr>
      </w:pPr>
    </w:p>
    <w:p w:rsidR="00284480" w:rsidRPr="003D3A7E" w:rsidRDefault="00284480" w:rsidP="00284480">
      <w:pPr>
        <w:pStyle w:val="Heading1"/>
      </w:pPr>
      <w:r>
        <w:t>En rappelant qu</w:t>
      </w:r>
      <w:r w:rsidR="00904A53">
        <w:t>’</w:t>
      </w:r>
      <w:r>
        <w:t>une étude sur les solutions de remplacement pour les SAO avait été entreprise au Monténégro, le Secrétariat a demandé si des informations supplémentaires étaient disponibles en ce qui concerne les importations de HFC et de leurs solutions de remplacement. Le Tableau 3 montre les importations de HFC et de leurs solutions de remplacement, dont les données de 2012-2015 proviennent de l</w:t>
      </w:r>
      <w:r w:rsidR="00904A53">
        <w:t>’</w:t>
      </w:r>
      <w:r>
        <w:t>étude sur les solutions de remplacement pour les SAO. La consommation des trois types de HFC les plus fréquemment consommés au Monténégro (HFC-134a, R-404A et R-410A) continue d</w:t>
      </w:r>
      <w:r w:rsidR="00904A53">
        <w:t>’</w:t>
      </w:r>
      <w:r>
        <w:t xml:space="preserve">augmenter rapidement; en 2018, une petite quantité de HFC-32 a été importée. </w:t>
      </w:r>
    </w:p>
    <w:p w:rsidR="00284480" w:rsidRPr="003D3A7E" w:rsidRDefault="00284480" w:rsidP="00284480">
      <w:pPr>
        <w:rPr>
          <w:b/>
        </w:rPr>
      </w:pPr>
      <w:r>
        <w:rPr>
          <w:b/>
        </w:rPr>
        <w:t>Tableau 3. Estimation des importations de HFC et des solutions de remplacement (</w:t>
      </w:r>
      <w:proofErr w:type="spellStart"/>
      <w:r>
        <w:rPr>
          <w:b/>
        </w:rPr>
        <w:t>tm</w:t>
      </w:r>
      <w:proofErr w:type="spellEnd"/>
      <w:r>
        <w:rPr>
          <w:b/>
        </w:rPr>
        <w:t>)</w:t>
      </w:r>
    </w:p>
    <w:tbl>
      <w:tblPr>
        <w:tblW w:w="5000" w:type="pct"/>
        <w:tblLook w:val="04A0" w:firstRow="1" w:lastRow="0" w:firstColumn="1" w:lastColumn="0" w:noHBand="0" w:noVBand="1"/>
      </w:tblPr>
      <w:tblGrid>
        <w:gridCol w:w="1458"/>
        <w:gridCol w:w="1127"/>
        <w:gridCol w:w="1127"/>
        <w:gridCol w:w="1128"/>
        <w:gridCol w:w="1128"/>
        <w:gridCol w:w="1128"/>
        <w:gridCol w:w="1128"/>
        <w:gridCol w:w="1126"/>
      </w:tblGrid>
      <w:tr w:rsidR="00284480" w:rsidRPr="003D3A7E" w:rsidTr="003D3A7E">
        <w:trPr>
          <w:trHeight w:val="116"/>
          <w:tblHeader/>
        </w:trPr>
        <w:tc>
          <w:tcPr>
            <w:tcW w:w="780" w:type="pct"/>
            <w:tcBorders>
              <w:top w:val="single" w:sz="4" w:space="0" w:color="auto"/>
              <w:left w:val="single" w:sz="4" w:space="0" w:color="auto"/>
              <w:bottom w:val="single" w:sz="4" w:space="0" w:color="auto"/>
              <w:right w:val="single" w:sz="4" w:space="0" w:color="auto"/>
            </w:tcBorders>
            <w:shd w:val="clear" w:color="auto" w:fill="auto"/>
            <w:noWrap/>
            <w:hideMark/>
          </w:tcPr>
          <w:p w:rsidR="00284480" w:rsidRPr="003F2FB8" w:rsidRDefault="00284480" w:rsidP="003D3A7E">
            <w:pPr>
              <w:jc w:val="center"/>
              <w:rPr>
                <w:b/>
                <w:sz w:val="20"/>
                <w:szCs w:val="20"/>
              </w:rPr>
            </w:pPr>
            <w:r>
              <w:rPr>
                <w:b/>
                <w:sz w:val="20"/>
                <w:szCs w:val="20"/>
              </w:rPr>
              <w:t>Substance</w:t>
            </w:r>
          </w:p>
        </w:tc>
        <w:tc>
          <w:tcPr>
            <w:tcW w:w="603" w:type="pct"/>
            <w:tcBorders>
              <w:top w:val="single" w:sz="4" w:space="0" w:color="auto"/>
              <w:left w:val="nil"/>
              <w:bottom w:val="single" w:sz="4" w:space="0" w:color="auto"/>
              <w:right w:val="single" w:sz="4" w:space="0" w:color="auto"/>
            </w:tcBorders>
            <w:shd w:val="clear" w:color="auto" w:fill="auto"/>
            <w:noWrap/>
            <w:hideMark/>
          </w:tcPr>
          <w:p w:rsidR="00284480" w:rsidRPr="003F2FB8" w:rsidRDefault="00284480" w:rsidP="003D3A7E">
            <w:pPr>
              <w:jc w:val="center"/>
              <w:rPr>
                <w:b/>
                <w:sz w:val="20"/>
                <w:szCs w:val="20"/>
              </w:rPr>
            </w:pPr>
            <w:r>
              <w:rPr>
                <w:b/>
                <w:sz w:val="20"/>
                <w:szCs w:val="20"/>
              </w:rPr>
              <w:t>2012</w:t>
            </w:r>
          </w:p>
        </w:tc>
        <w:tc>
          <w:tcPr>
            <w:tcW w:w="603" w:type="pct"/>
            <w:tcBorders>
              <w:top w:val="single" w:sz="4" w:space="0" w:color="auto"/>
              <w:left w:val="nil"/>
              <w:bottom w:val="single" w:sz="4" w:space="0" w:color="auto"/>
              <w:right w:val="single" w:sz="4" w:space="0" w:color="auto"/>
            </w:tcBorders>
            <w:shd w:val="clear" w:color="auto" w:fill="auto"/>
            <w:noWrap/>
            <w:hideMark/>
          </w:tcPr>
          <w:p w:rsidR="00284480" w:rsidRPr="003F2FB8" w:rsidRDefault="00284480" w:rsidP="003D3A7E">
            <w:pPr>
              <w:jc w:val="center"/>
              <w:rPr>
                <w:b/>
                <w:sz w:val="20"/>
                <w:szCs w:val="20"/>
              </w:rPr>
            </w:pPr>
            <w:r>
              <w:rPr>
                <w:b/>
                <w:sz w:val="20"/>
                <w:szCs w:val="20"/>
              </w:rPr>
              <w:t>2013</w:t>
            </w:r>
          </w:p>
        </w:tc>
        <w:tc>
          <w:tcPr>
            <w:tcW w:w="603" w:type="pct"/>
            <w:tcBorders>
              <w:top w:val="single" w:sz="4" w:space="0" w:color="auto"/>
              <w:left w:val="nil"/>
              <w:bottom w:val="single" w:sz="4" w:space="0" w:color="auto"/>
              <w:right w:val="single" w:sz="4" w:space="0" w:color="auto"/>
            </w:tcBorders>
            <w:shd w:val="clear" w:color="auto" w:fill="auto"/>
            <w:noWrap/>
            <w:hideMark/>
          </w:tcPr>
          <w:p w:rsidR="00284480" w:rsidRPr="003F2FB8" w:rsidRDefault="00284480" w:rsidP="003D3A7E">
            <w:pPr>
              <w:jc w:val="center"/>
              <w:rPr>
                <w:b/>
                <w:sz w:val="20"/>
                <w:szCs w:val="20"/>
              </w:rPr>
            </w:pPr>
            <w:r>
              <w:rPr>
                <w:b/>
                <w:sz w:val="20"/>
                <w:szCs w:val="20"/>
              </w:rPr>
              <w:t>2014</w:t>
            </w:r>
          </w:p>
        </w:tc>
        <w:tc>
          <w:tcPr>
            <w:tcW w:w="603" w:type="pct"/>
            <w:tcBorders>
              <w:top w:val="single" w:sz="4" w:space="0" w:color="auto"/>
              <w:left w:val="nil"/>
              <w:bottom w:val="single" w:sz="4" w:space="0" w:color="auto"/>
              <w:right w:val="single" w:sz="4" w:space="0" w:color="auto"/>
            </w:tcBorders>
            <w:shd w:val="clear" w:color="auto" w:fill="auto"/>
            <w:noWrap/>
            <w:hideMark/>
          </w:tcPr>
          <w:p w:rsidR="00284480" w:rsidRPr="003F2FB8" w:rsidRDefault="00284480" w:rsidP="003D3A7E">
            <w:pPr>
              <w:jc w:val="center"/>
              <w:rPr>
                <w:b/>
                <w:sz w:val="20"/>
                <w:szCs w:val="20"/>
              </w:rPr>
            </w:pPr>
            <w:r>
              <w:rPr>
                <w:b/>
                <w:sz w:val="20"/>
                <w:szCs w:val="20"/>
              </w:rPr>
              <w:t>2015</w:t>
            </w:r>
          </w:p>
        </w:tc>
        <w:tc>
          <w:tcPr>
            <w:tcW w:w="603" w:type="pct"/>
            <w:tcBorders>
              <w:top w:val="single" w:sz="4" w:space="0" w:color="auto"/>
              <w:left w:val="nil"/>
              <w:bottom w:val="single" w:sz="4" w:space="0" w:color="auto"/>
              <w:right w:val="single" w:sz="4" w:space="0" w:color="auto"/>
            </w:tcBorders>
            <w:shd w:val="clear" w:color="auto" w:fill="auto"/>
            <w:noWrap/>
            <w:hideMark/>
          </w:tcPr>
          <w:p w:rsidR="00284480" w:rsidRPr="003F2FB8" w:rsidRDefault="00284480" w:rsidP="003D3A7E">
            <w:pPr>
              <w:jc w:val="center"/>
              <w:rPr>
                <w:b/>
                <w:sz w:val="20"/>
                <w:szCs w:val="20"/>
              </w:rPr>
            </w:pPr>
            <w:r>
              <w:rPr>
                <w:b/>
                <w:sz w:val="20"/>
                <w:szCs w:val="20"/>
              </w:rPr>
              <w:t>2016</w:t>
            </w:r>
          </w:p>
        </w:tc>
        <w:tc>
          <w:tcPr>
            <w:tcW w:w="603" w:type="pct"/>
            <w:tcBorders>
              <w:top w:val="single" w:sz="4" w:space="0" w:color="auto"/>
              <w:left w:val="nil"/>
              <w:bottom w:val="single" w:sz="4" w:space="0" w:color="auto"/>
              <w:right w:val="single" w:sz="4" w:space="0" w:color="auto"/>
            </w:tcBorders>
            <w:shd w:val="clear" w:color="auto" w:fill="auto"/>
            <w:noWrap/>
            <w:hideMark/>
          </w:tcPr>
          <w:p w:rsidR="00284480" w:rsidRPr="003F2FB8" w:rsidRDefault="00284480" w:rsidP="003D3A7E">
            <w:pPr>
              <w:jc w:val="center"/>
              <w:rPr>
                <w:b/>
                <w:sz w:val="20"/>
                <w:szCs w:val="20"/>
              </w:rPr>
            </w:pPr>
            <w:r>
              <w:rPr>
                <w:b/>
                <w:sz w:val="20"/>
                <w:szCs w:val="20"/>
              </w:rPr>
              <w:t>2017</w:t>
            </w:r>
          </w:p>
        </w:tc>
        <w:tc>
          <w:tcPr>
            <w:tcW w:w="603" w:type="pct"/>
            <w:tcBorders>
              <w:top w:val="single" w:sz="4" w:space="0" w:color="auto"/>
              <w:left w:val="nil"/>
              <w:bottom w:val="single" w:sz="4" w:space="0" w:color="auto"/>
              <w:right w:val="single" w:sz="4" w:space="0" w:color="auto"/>
            </w:tcBorders>
            <w:shd w:val="clear" w:color="auto" w:fill="auto"/>
            <w:noWrap/>
            <w:hideMark/>
          </w:tcPr>
          <w:p w:rsidR="00284480" w:rsidRPr="003F2FB8" w:rsidRDefault="00284480" w:rsidP="003D3A7E">
            <w:pPr>
              <w:jc w:val="center"/>
              <w:rPr>
                <w:b/>
                <w:sz w:val="20"/>
                <w:szCs w:val="20"/>
              </w:rPr>
            </w:pPr>
            <w:r>
              <w:rPr>
                <w:b/>
                <w:sz w:val="20"/>
                <w:szCs w:val="20"/>
              </w:rPr>
              <w:t>2018</w:t>
            </w:r>
          </w:p>
        </w:tc>
      </w:tr>
      <w:tr w:rsidR="00284480" w:rsidRPr="003D3A7E" w:rsidTr="003D3A7E">
        <w:trPr>
          <w:trHeight w:val="152"/>
        </w:trPr>
        <w:tc>
          <w:tcPr>
            <w:tcW w:w="780" w:type="pct"/>
            <w:tcBorders>
              <w:top w:val="nil"/>
              <w:left w:val="single" w:sz="4" w:space="0" w:color="auto"/>
              <w:bottom w:val="single" w:sz="4" w:space="0" w:color="auto"/>
              <w:right w:val="single" w:sz="4" w:space="0" w:color="auto"/>
            </w:tcBorders>
            <w:shd w:val="clear" w:color="auto" w:fill="auto"/>
            <w:noWrap/>
            <w:hideMark/>
          </w:tcPr>
          <w:p w:rsidR="00284480" w:rsidRPr="003D3A7E" w:rsidRDefault="00284480" w:rsidP="003D3A7E">
            <w:pPr>
              <w:rPr>
                <w:sz w:val="20"/>
                <w:szCs w:val="20"/>
              </w:rPr>
            </w:pPr>
            <w:r>
              <w:rPr>
                <w:sz w:val="20"/>
                <w:szCs w:val="20"/>
              </w:rPr>
              <w:t>HFC-134a</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17,76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17,07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13,97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17,68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21,49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22,44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52,06 </w:t>
            </w:r>
          </w:p>
        </w:tc>
      </w:tr>
      <w:tr w:rsidR="00284480" w:rsidRPr="003D3A7E" w:rsidTr="003D3A7E">
        <w:trPr>
          <w:trHeight w:val="89"/>
        </w:trPr>
        <w:tc>
          <w:tcPr>
            <w:tcW w:w="780" w:type="pct"/>
            <w:tcBorders>
              <w:top w:val="nil"/>
              <w:left w:val="single" w:sz="4" w:space="0" w:color="auto"/>
              <w:bottom w:val="single" w:sz="4" w:space="0" w:color="auto"/>
              <w:right w:val="single" w:sz="4" w:space="0" w:color="auto"/>
            </w:tcBorders>
            <w:shd w:val="clear" w:color="auto" w:fill="auto"/>
            <w:noWrap/>
            <w:hideMark/>
          </w:tcPr>
          <w:p w:rsidR="00284480" w:rsidRPr="003D3A7E" w:rsidRDefault="00284480" w:rsidP="003D3A7E">
            <w:pPr>
              <w:rPr>
                <w:sz w:val="20"/>
                <w:szCs w:val="20"/>
              </w:rPr>
            </w:pPr>
            <w:r>
              <w:rPr>
                <w:sz w:val="20"/>
                <w:szCs w:val="20"/>
              </w:rPr>
              <w:t>HFC-227ea</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0,60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0,04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0,57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  0,04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  0,31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     -   </w:t>
            </w:r>
          </w:p>
        </w:tc>
      </w:tr>
      <w:tr w:rsidR="00284480" w:rsidRPr="003D3A7E" w:rsidTr="003D3A7E">
        <w:trPr>
          <w:trHeight w:val="116"/>
        </w:trPr>
        <w:tc>
          <w:tcPr>
            <w:tcW w:w="780" w:type="pct"/>
            <w:tcBorders>
              <w:top w:val="nil"/>
              <w:left w:val="single" w:sz="4" w:space="0" w:color="auto"/>
              <w:bottom w:val="single" w:sz="4" w:space="0" w:color="auto"/>
              <w:right w:val="single" w:sz="4" w:space="0" w:color="auto"/>
            </w:tcBorders>
            <w:shd w:val="clear" w:color="auto" w:fill="auto"/>
            <w:noWrap/>
            <w:hideMark/>
          </w:tcPr>
          <w:p w:rsidR="00284480" w:rsidRPr="003D3A7E" w:rsidRDefault="00284480" w:rsidP="003D3A7E">
            <w:pPr>
              <w:rPr>
                <w:sz w:val="20"/>
                <w:szCs w:val="20"/>
              </w:rPr>
            </w:pPr>
            <w:r>
              <w:rPr>
                <w:sz w:val="20"/>
                <w:szCs w:val="20"/>
              </w:rPr>
              <w:t>R-404A</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14,82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15,20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18,82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14,73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25,83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16,99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41,15 </w:t>
            </w:r>
          </w:p>
        </w:tc>
      </w:tr>
      <w:tr w:rsidR="00284480" w:rsidRPr="003D3A7E" w:rsidTr="003D3A7E">
        <w:trPr>
          <w:trHeight w:val="152"/>
        </w:trPr>
        <w:tc>
          <w:tcPr>
            <w:tcW w:w="780" w:type="pct"/>
            <w:tcBorders>
              <w:top w:val="nil"/>
              <w:left w:val="single" w:sz="4" w:space="0" w:color="auto"/>
              <w:bottom w:val="single" w:sz="4" w:space="0" w:color="auto"/>
              <w:right w:val="single" w:sz="4" w:space="0" w:color="auto"/>
            </w:tcBorders>
            <w:shd w:val="clear" w:color="auto" w:fill="auto"/>
            <w:noWrap/>
            <w:hideMark/>
          </w:tcPr>
          <w:p w:rsidR="00284480" w:rsidRPr="003D3A7E" w:rsidRDefault="00284480" w:rsidP="003D3A7E">
            <w:pPr>
              <w:rPr>
                <w:sz w:val="20"/>
                <w:szCs w:val="20"/>
              </w:rPr>
            </w:pPr>
            <w:r>
              <w:rPr>
                <w:sz w:val="20"/>
                <w:szCs w:val="20"/>
              </w:rPr>
              <w:t>R-407C</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4,72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3,56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3,23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2,49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  6,80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  4,76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  3,28 </w:t>
            </w:r>
          </w:p>
        </w:tc>
      </w:tr>
      <w:tr w:rsidR="00284480" w:rsidRPr="003D3A7E" w:rsidTr="003D3A7E">
        <w:trPr>
          <w:trHeight w:val="89"/>
        </w:trPr>
        <w:tc>
          <w:tcPr>
            <w:tcW w:w="780" w:type="pct"/>
            <w:tcBorders>
              <w:top w:val="nil"/>
              <w:left w:val="single" w:sz="4" w:space="0" w:color="auto"/>
              <w:bottom w:val="single" w:sz="4" w:space="0" w:color="auto"/>
              <w:right w:val="single" w:sz="4" w:space="0" w:color="auto"/>
            </w:tcBorders>
            <w:shd w:val="clear" w:color="auto" w:fill="auto"/>
            <w:noWrap/>
            <w:hideMark/>
          </w:tcPr>
          <w:p w:rsidR="00284480" w:rsidRPr="003D3A7E" w:rsidRDefault="00284480" w:rsidP="003D3A7E">
            <w:pPr>
              <w:rPr>
                <w:sz w:val="20"/>
                <w:szCs w:val="20"/>
              </w:rPr>
            </w:pPr>
            <w:r>
              <w:rPr>
                <w:sz w:val="20"/>
                <w:szCs w:val="20"/>
              </w:rPr>
              <w:t>R-410A</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6,39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7,52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6,39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5,20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16,80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10,81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22,15 </w:t>
            </w:r>
          </w:p>
        </w:tc>
      </w:tr>
      <w:tr w:rsidR="00284480" w:rsidRPr="003D3A7E" w:rsidTr="003D3A7E">
        <w:trPr>
          <w:trHeight w:val="50"/>
        </w:trPr>
        <w:tc>
          <w:tcPr>
            <w:tcW w:w="780" w:type="pct"/>
            <w:tcBorders>
              <w:top w:val="nil"/>
              <w:left w:val="single" w:sz="4" w:space="0" w:color="auto"/>
              <w:bottom w:val="single" w:sz="4" w:space="0" w:color="auto"/>
              <w:right w:val="single" w:sz="4" w:space="0" w:color="auto"/>
            </w:tcBorders>
            <w:shd w:val="clear" w:color="auto" w:fill="auto"/>
            <w:noWrap/>
            <w:hideMark/>
          </w:tcPr>
          <w:p w:rsidR="00284480" w:rsidRPr="003D3A7E" w:rsidRDefault="00284480" w:rsidP="003D3A7E">
            <w:pPr>
              <w:rPr>
                <w:sz w:val="20"/>
                <w:szCs w:val="20"/>
              </w:rPr>
            </w:pPr>
            <w:r>
              <w:rPr>
                <w:sz w:val="20"/>
                <w:szCs w:val="20"/>
              </w:rPr>
              <w:t>R-507A</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4,28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  1,60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     -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     -   </w:t>
            </w:r>
          </w:p>
        </w:tc>
      </w:tr>
      <w:tr w:rsidR="00284480" w:rsidRPr="003D3A7E" w:rsidTr="003D3A7E">
        <w:trPr>
          <w:trHeight w:val="161"/>
        </w:trPr>
        <w:tc>
          <w:tcPr>
            <w:tcW w:w="780" w:type="pct"/>
            <w:tcBorders>
              <w:top w:val="nil"/>
              <w:left w:val="single" w:sz="4" w:space="0" w:color="auto"/>
              <w:bottom w:val="single" w:sz="4" w:space="0" w:color="auto"/>
              <w:right w:val="single" w:sz="4" w:space="0" w:color="auto"/>
            </w:tcBorders>
            <w:shd w:val="clear" w:color="auto" w:fill="auto"/>
            <w:noWrap/>
            <w:hideMark/>
          </w:tcPr>
          <w:p w:rsidR="00284480" w:rsidRPr="003D3A7E" w:rsidRDefault="00284480" w:rsidP="003D3A7E">
            <w:pPr>
              <w:rPr>
                <w:sz w:val="20"/>
                <w:szCs w:val="20"/>
              </w:rPr>
            </w:pPr>
            <w:r>
              <w:rPr>
                <w:sz w:val="20"/>
                <w:szCs w:val="20"/>
              </w:rPr>
              <w:t>R-717</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5,32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6,42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2,00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3,30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  2,70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  0,85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  1,40 </w:t>
            </w:r>
          </w:p>
        </w:tc>
      </w:tr>
      <w:tr w:rsidR="00284480" w:rsidRPr="003D3A7E" w:rsidTr="003D3A7E">
        <w:trPr>
          <w:trHeight w:val="98"/>
        </w:trPr>
        <w:tc>
          <w:tcPr>
            <w:tcW w:w="780" w:type="pct"/>
            <w:tcBorders>
              <w:top w:val="nil"/>
              <w:left w:val="single" w:sz="4" w:space="0" w:color="auto"/>
              <w:bottom w:val="single" w:sz="4" w:space="0" w:color="auto"/>
              <w:right w:val="single" w:sz="4" w:space="0" w:color="auto"/>
            </w:tcBorders>
            <w:shd w:val="clear" w:color="auto" w:fill="auto"/>
            <w:noWrap/>
            <w:hideMark/>
          </w:tcPr>
          <w:p w:rsidR="00284480" w:rsidRPr="003D3A7E" w:rsidRDefault="00284480" w:rsidP="003D3A7E">
            <w:pPr>
              <w:rPr>
                <w:sz w:val="20"/>
                <w:szCs w:val="20"/>
              </w:rPr>
            </w:pPr>
            <w:r>
              <w:rPr>
                <w:sz w:val="20"/>
                <w:szCs w:val="20"/>
              </w:rPr>
              <w:t>R-600a</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0,23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0,14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0,21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s. o.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s. o.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s. o. </w:t>
            </w:r>
          </w:p>
        </w:tc>
      </w:tr>
      <w:tr w:rsidR="00284480" w:rsidRPr="003D3A7E" w:rsidTr="003D3A7E">
        <w:trPr>
          <w:trHeight w:val="80"/>
        </w:trPr>
        <w:tc>
          <w:tcPr>
            <w:tcW w:w="780" w:type="pct"/>
            <w:tcBorders>
              <w:top w:val="nil"/>
              <w:left w:val="single" w:sz="4" w:space="0" w:color="auto"/>
              <w:bottom w:val="single" w:sz="4" w:space="0" w:color="auto"/>
              <w:right w:val="single" w:sz="4" w:space="0" w:color="auto"/>
            </w:tcBorders>
            <w:shd w:val="clear" w:color="auto" w:fill="auto"/>
            <w:noWrap/>
            <w:hideMark/>
          </w:tcPr>
          <w:p w:rsidR="00284480" w:rsidRPr="003D3A7E" w:rsidRDefault="00284480" w:rsidP="003D3A7E">
            <w:pPr>
              <w:rPr>
                <w:sz w:val="20"/>
                <w:szCs w:val="20"/>
              </w:rPr>
            </w:pPr>
            <w:r>
              <w:rPr>
                <w:sz w:val="20"/>
                <w:szCs w:val="20"/>
              </w:rPr>
              <w:t>HFC-32</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   </w:t>
            </w:r>
          </w:p>
        </w:tc>
        <w:tc>
          <w:tcPr>
            <w:tcW w:w="603" w:type="pct"/>
            <w:tcBorders>
              <w:top w:val="nil"/>
              <w:left w:val="nil"/>
              <w:bottom w:val="single" w:sz="4" w:space="0" w:color="auto"/>
              <w:right w:val="single" w:sz="4" w:space="0" w:color="auto"/>
            </w:tcBorders>
            <w:shd w:val="clear" w:color="auto" w:fill="auto"/>
            <w:noWrap/>
            <w:hideMark/>
          </w:tcPr>
          <w:p w:rsidR="00284480" w:rsidRPr="003D3A7E" w:rsidRDefault="00284480" w:rsidP="003D3A7E">
            <w:pPr>
              <w:jc w:val="right"/>
              <w:rPr>
                <w:sz w:val="20"/>
                <w:szCs w:val="20"/>
              </w:rPr>
            </w:pPr>
            <w:r>
              <w:rPr>
                <w:sz w:val="20"/>
                <w:szCs w:val="20"/>
              </w:rPr>
              <w:t xml:space="preserve">     -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     -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     -   </w:t>
            </w:r>
          </w:p>
        </w:tc>
        <w:tc>
          <w:tcPr>
            <w:tcW w:w="603" w:type="pct"/>
            <w:tcBorders>
              <w:top w:val="nil"/>
              <w:left w:val="nil"/>
              <w:bottom w:val="single" w:sz="4" w:space="0" w:color="auto"/>
              <w:right w:val="single" w:sz="4" w:space="0" w:color="auto"/>
            </w:tcBorders>
            <w:shd w:val="clear" w:color="auto" w:fill="auto"/>
            <w:hideMark/>
          </w:tcPr>
          <w:p w:rsidR="00284480" w:rsidRPr="003D3A7E" w:rsidRDefault="00284480" w:rsidP="003D3A7E">
            <w:pPr>
              <w:jc w:val="right"/>
              <w:rPr>
                <w:sz w:val="20"/>
                <w:szCs w:val="20"/>
              </w:rPr>
            </w:pPr>
            <w:r>
              <w:rPr>
                <w:sz w:val="20"/>
                <w:szCs w:val="20"/>
              </w:rPr>
              <w:t xml:space="preserve">  2,34 </w:t>
            </w:r>
          </w:p>
        </w:tc>
      </w:tr>
    </w:tbl>
    <w:p w:rsidR="00E933E0" w:rsidRDefault="00E933E0" w:rsidP="003D3A7E">
      <w:pPr>
        <w:rPr>
          <w:highlight w:val="yellow"/>
          <w:lang w:val="en-CA"/>
        </w:rPr>
      </w:pPr>
    </w:p>
    <w:p w:rsidR="00CF4416" w:rsidRPr="003D3A7E" w:rsidRDefault="00CF4416" w:rsidP="008E0D0F">
      <w:pPr>
        <w:keepNext/>
        <w:keepLines/>
        <w:rPr>
          <w:i/>
        </w:rPr>
      </w:pPr>
      <w:r>
        <w:rPr>
          <w:i/>
        </w:rPr>
        <w:lastRenderedPageBreak/>
        <w:t>Secteur de l</w:t>
      </w:r>
      <w:r w:rsidR="00904A53">
        <w:rPr>
          <w:i/>
        </w:rPr>
        <w:t>’</w:t>
      </w:r>
      <w:r>
        <w:rPr>
          <w:i/>
        </w:rPr>
        <w:t>entretien en réfrigération</w:t>
      </w:r>
    </w:p>
    <w:p w:rsidR="00CF4416" w:rsidRPr="00904A53" w:rsidRDefault="00CF4416" w:rsidP="008E0D0F">
      <w:pPr>
        <w:keepNext/>
        <w:keepLines/>
      </w:pPr>
    </w:p>
    <w:p w:rsidR="00CF4416" w:rsidRPr="003D3A7E" w:rsidRDefault="00CF4416" w:rsidP="008E0D0F">
      <w:pPr>
        <w:pStyle w:val="Heading1"/>
        <w:keepNext/>
        <w:keepLines/>
      </w:pPr>
      <w:r>
        <w:t>L</w:t>
      </w:r>
      <w:r w:rsidR="00904A53">
        <w:t>’</w:t>
      </w:r>
      <w:r>
        <w:t>Accord entre le gouvernement du Monténégro et le Comité exécutif a été mis à jour à la 71</w:t>
      </w:r>
      <w:r>
        <w:rPr>
          <w:vertAlign w:val="superscript"/>
        </w:rPr>
        <w:t>e</w:t>
      </w:r>
      <w:r w:rsidR="00555F91">
        <w:rPr>
          <w:vertAlign w:val="superscript"/>
        </w:rPr>
        <w:t> </w:t>
      </w:r>
      <w:r>
        <w:t xml:space="preserve">réunion afin </w:t>
      </w:r>
      <w:r w:rsidR="009C14B8">
        <w:t xml:space="preserve">de </w:t>
      </w:r>
      <w:r>
        <w:t>refléter la valeur de référence établie pour la conformité du HCFC et, par conséquent, le niveau de financement a été révisé. Étant donné la réduction du financement convenu lors de la 71</w:t>
      </w:r>
      <w:r>
        <w:rPr>
          <w:vertAlign w:val="superscript"/>
        </w:rPr>
        <w:t>e</w:t>
      </w:r>
      <w:r w:rsidR="00555F91">
        <w:rPr>
          <w:vertAlign w:val="superscript"/>
        </w:rPr>
        <w:t> </w:t>
      </w:r>
      <w:r>
        <w:t>réunion, les deux dernières tranches du PGEH n</w:t>
      </w:r>
      <w:r w:rsidR="00904A53">
        <w:t>’</w:t>
      </w:r>
      <w:r>
        <w:t>incluent que le financement pour le RI. Par conséquent, aucune formation supplémentaire des techniciens et des agents douaniers n</w:t>
      </w:r>
      <w:r w:rsidR="00904A53">
        <w:t>’</w:t>
      </w:r>
      <w:r>
        <w:t>est prévue pour les quatrième et cinquième tranches. Le financement pour la préparation de la phase II du PGEH a été approuvé lors de la 82</w:t>
      </w:r>
      <w:r>
        <w:rPr>
          <w:vertAlign w:val="superscript"/>
        </w:rPr>
        <w:t>e</w:t>
      </w:r>
      <w:r>
        <w:t xml:space="preserve"> réunion et elle devrait être présentée en 2020. Le Secrétariat a encouragé l</w:t>
      </w:r>
      <w:r w:rsidR="00904A53">
        <w:t>’</w:t>
      </w:r>
      <w:r>
        <w:t>ONUDI à présenter la proposition pour la phase II aussitôt que possible, de façon à ce que les activités dans le secteur de l</w:t>
      </w:r>
      <w:r w:rsidR="00904A53">
        <w:t>’</w:t>
      </w:r>
      <w:r>
        <w:t>entretien puissent se poursuivre.</w:t>
      </w:r>
    </w:p>
    <w:p w:rsidR="00FE3307" w:rsidRPr="003D3A7E" w:rsidRDefault="00FE3307" w:rsidP="00FE3307">
      <w:pPr>
        <w:rPr>
          <w:u w:val="single"/>
        </w:rPr>
      </w:pPr>
      <w:r>
        <w:rPr>
          <w:u w:val="single"/>
        </w:rPr>
        <w:t xml:space="preserve">Conclusion </w:t>
      </w:r>
    </w:p>
    <w:p w:rsidR="00FE3307" w:rsidRPr="003D3A7E" w:rsidRDefault="00FE3307" w:rsidP="00FE3307">
      <w:pPr>
        <w:rPr>
          <w:lang w:val="en-CA"/>
        </w:rPr>
      </w:pPr>
    </w:p>
    <w:p w:rsidR="00943465" w:rsidRPr="003D3A7E" w:rsidRDefault="00943465" w:rsidP="007416E2">
      <w:pPr>
        <w:pStyle w:val="Heading1"/>
      </w:pPr>
      <w:r>
        <w:t>La mise en œuvre du PGEH progresse bien et le pays est en conformité avec le Protocole de Montréal et avec l</w:t>
      </w:r>
      <w:r w:rsidR="00904A53">
        <w:t>’</w:t>
      </w:r>
      <w:r>
        <w:t>Accord conclu avec le Comité exécutif. Le système de permis et de quotas du pays est opérationnel, et la consommation de HCFC rapportée pour 2018 de 0,17 tonne PAO était déjà de 79 % inférieure à la valeur de référence du pays. Le niveau de décaissement est près de 100 pour cent. Le pays assure la durabilité des éliminations antérieures de SAO grâce à son système de permis et de quotas, ainsi que par ses règlementations. Les activités mises en œuvre jusqu</w:t>
      </w:r>
      <w:r w:rsidR="00904A53">
        <w:t>’</w:t>
      </w:r>
      <w:r>
        <w:t>ici, incluant l</w:t>
      </w:r>
      <w:r w:rsidR="00904A53">
        <w:t>’</w:t>
      </w:r>
      <w:r>
        <w:t>établissement de l</w:t>
      </w:r>
      <w:r w:rsidR="00904A53">
        <w:t>’</w:t>
      </w:r>
      <w:r>
        <w:t>association en réfrigération et climatisation, assureront la durabilité à long terme de l</w:t>
      </w:r>
      <w:r w:rsidR="00904A53">
        <w:t>’</w:t>
      </w:r>
      <w:r>
        <w:t>élimination du HCFC. La présentation de la phase II du PGEH aussitôt que possible facilitera la mise en œuvre continue des activités dans le secteur de l</w:t>
      </w:r>
      <w:r w:rsidR="00904A53">
        <w:t>’</w:t>
      </w:r>
      <w:r>
        <w:t xml:space="preserve">entretien. </w:t>
      </w:r>
    </w:p>
    <w:p w:rsidR="00FE3307" w:rsidRPr="003D3A7E" w:rsidRDefault="00FE3307" w:rsidP="00FE3307">
      <w:r>
        <w:rPr>
          <w:b/>
        </w:rPr>
        <w:t xml:space="preserve">RECOMMANDATION </w:t>
      </w:r>
    </w:p>
    <w:p w:rsidR="00FE3307" w:rsidRPr="003D3A7E" w:rsidRDefault="00FE3307" w:rsidP="00FE3307">
      <w:pPr>
        <w:rPr>
          <w:lang w:val="en-CA"/>
        </w:rPr>
      </w:pPr>
    </w:p>
    <w:p w:rsidR="00FE3307" w:rsidRPr="003D3A7E" w:rsidRDefault="00FE3307" w:rsidP="00E933E0">
      <w:pPr>
        <w:pStyle w:val="Heading1"/>
      </w:pPr>
      <w:r>
        <w:t>Le Secrétariat du Fonds recommande que le Comité exécutif prenne note du rapport périodique sur la mise en œuvre de la troisième tranche de la phase I du plan de gestion de l</w:t>
      </w:r>
      <w:r w:rsidR="00904A53">
        <w:t>’</w:t>
      </w:r>
      <w:r>
        <w:t>élimination des HCFC (PGEH) au Monténégro, et recommande en outre l</w:t>
      </w:r>
      <w:r w:rsidR="00904A53">
        <w:t>’</w:t>
      </w:r>
      <w:r>
        <w:t xml:space="preserve">approbation générale de la quatrième tranche de la phase I du PGEH pour la Géorgie, ainsi que le plan de mise en œuvre de la tranche correspondante pour 2019-2020 au niveau de financement indiqué dans le tableau ci-dessous :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FE3307" w:rsidRPr="003D3A7E" w:rsidTr="00DD5EB6">
        <w:tc>
          <w:tcPr>
            <w:tcW w:w="540" w:type="dxa"/>
          </w:tcPr>
          <w:p w:rsidR="00FE3307" w:rsidRPr="00687557" w:rsidRDefault="00FE3307" w:rsidP="00DD5EB6">
            <w:pPr>
              <w:jc w:val="center"/>
              <w:rPr>
                <w:b/>
                <w:bCs/>
                <w:sz w:val="20"/>
                <w:szCs w:val="20"/>
              </w:rPr>
            </w:pPr>
          </w:p>
        </w:tc>
        <w:tc>
          <w:tcPr>
            <w:tcW w:w="4320" w:type="dxa"/>
          </w:tcPr>
          <w:p w:rsidR="00FE3307" w:rsidRPr="003D3A7E" w:rsidRDefault="00FE3307" w:rsidP="00DD5EB6">
            <w:pPr>
              <w:jc w:val="center"/>
              <w:rPr>
                <w:b/>
                <w:bCs/>
                <w:sz w:val="20"/>
                <w:szCs w:val="20"/>
              </w:rPr>
            </w:pPr>
            <w:r>
              <w:rPr>
                <w:b/>
                <w:bCs/>
                <w:sz w:val="20"/>
                <w:szCs w:val="20"/>
              </w:rPr>
              <w:t>Titre du projet</w:t>
            </w:r>
          </w:p>
        </w:tc>
        <w:tc>
          <w:tcPr>
            <w:tcW w:w="1461" w:type="dxa"/>
            <w:tcMar>
              <w:left w:w="29" w:type="dxa"/>
              <w:right w:w="29" w:type="dxa"/>
            </w:tcMar>
          </w:tcPr>
          <w:p w:rsidR="00FE3307" w:rsidRPr="003D3A7E" w:rsidRDefault="00FE3307" w:rsidP="00DD5EB6">
            <w:pPr>
              <w:jc w:val="center"/>
              <w:rPr>
                <w:b/>
                <w:bCs/>
                <w:sz w:val="20"/>
                <w:szCs w:val="20"/>
              </w:rPr>
            </w:pPr>
            <w:r>
              <w:rPr>
                <w:b/>
                <w:bCs/>
                <w:sz w:val="20"/>
                <w:szCs w:val="20"/>
              </w:rPr>
              <w:t>Financement du projet ($ US)</w:t>
            </w:r>
          </w:p>
        </w:tc>
        <w:tc>
          <w:tcPr>
            <w:tcW w:w="1461" w:type="dxa"/>
            <w:tcMar>
              <w:left w:w="29" w:type="dxa"/>
              <w:right w:w="29" w:type="dxa"/>
            </w:tcMar>
          </w:tcPr>
          <w:p w:rsidR="00FE3307" w:rsidRPr="003D3A7E" w:rsidRDefault="00FE3307" w:rsidP="00DD5EB6">
            <w:pPr>
              <w:jc w:val="center"/>
              <w:rPr>
                <w:b/>
                <w:bCs/>
                <w:sz w:val="20"/>
                <w:szCs w:val="20"/>
              </w:rPr>
            </w:pPr>
            <w:r>
              <w:rPr>
                <w:b/>
                <w:bCs/>
                <w:sz w:val="20"/>
                <w:szCs w:val="20"/>
              </w:rPr>
              <w:t>Coûts d</w:t>
            </w:r>
            <w:r w:rsidR="00904A53">
              <w:rPr>
                <w:b/>
                <w:bCs/>
                <w:sz w:val="20"/>
                <w:szCs w:val="20"/>
              </w:rPr>
              <w:t>’</w:t>
            </w:r>
            <w:r>
              <w:rPr>
                <w:b/>
                <w:bCs/>
                <w:sz w:val="20"/>
                <w:szCs w:val="20"/>
              </w:rPr>
              <w:t>appui ($ US)</w:t>
            </w:r>
          </w:p>
        </w:tc>
        <w:tc>
          <w:tcPr>
            <w:tcW w:w="1461" w:type="dxa"/>
            <w:tcMar>
              <w:left w:w="29" w:type="dxa"/>
              <w:right w:w="29" w:type="dxa"/>
            </w:tcMar>
          </w:tcPr>
          <w:p w:rsidR="00FE3307" w:rsidRPr="003D3A7E" w:rsidRDefault="00FE3307" w:rsidP="00DD5EB6">
            <w:pPr>
              <w:jc w:val="center"/>
              <w:rPr>
                <w:b/>
                <w:bCs/>
                <w:sz w:val="20"/>
                <w:szCs w:val="20"/>
              </w:rPr>
            </w:pPr>
            <w:r>
              <w:rPr>
                <w:b/>
                <w:bCs/>
                <w:sz w:val="20"/>
                <w:szCs w:val="20"/>
              </w:rPr>
              <w:t>Agence d</w:t>
            </w:r>
            <w:r w:rsidR="00904A53">
              <w:rPr>
                <w:b/>
                <w:bCs/>
                <w:sz w:val="20"/>
                <w:szCs w:val="20"/>
              </w:rPr>
              <w:t>’</w:t>
            </w:r>
            <w:r>
              <w:rPr>
                <w:b/>
                <w:bCs/>
                <w:sz w:val="20"/>
                <w:szCs w:val="20"/>
              </w:rPr>
              <w:t>exécution</w:t>
            </w:r>
          </w:p>
        </w:tc>
      </w:tr>
      <w:tr w:rsidR="00FE3307" w:rsidRPr="003D3A7E" w:rsidTr="00DD5EB6">
        <w:tc>
          <w:tcPr>
            <w:tcW w:w="540" w:type="dxa"/>
          </w:tcPr>
          <w:p w:rsidR="00FE3307" w:rsidRPr="003D3A7E" w:rsidRDefault="00FE3307" w:rsidP="00DD5EB6">
            <w:pPr>
              <w:rPr>
                <w:sz w:val="20"/>
                <w:szCs w:val="20"/>
              </w:rPr>
            </w:pPr>
            <w:r>
              <w:rPr>
                <w:sz w:val="20"/>
                <w:szCs w:val="20"/>
              </w:rPr>
              <w:t>(a)</w:t>
            </w:r>
          </w:p>
        </w:tc>
        <w:tc>
          <w:tcPr>
            <w:tcW w:w="4320" w:type="dxa"/>
          </w:tcPr>
          <w:p w:rsidR="00FE3307" w:rsidRPr="003D3A7E" w:rsidRDefault="00FE3307" w:rsidP="00555F91">
            <w:pPr>
              <w:rPr>
                <w:sz w:val="20"/>
                <w:szCs w:val="20"/>
              </w:rPr>
            </w:pPr>
            <w:r>
              <w:rPr>
                <w:sz w:val="20"/>
                <w:szCs w:val="20"/>
              </w:rPr>
              <w:t>Plan de gestion de l</w:t>
            </w:r>
            <w:r w:rsidR="00904A53">
              <w:rPr>
                <w:sz w:val="20"/>
                <w:szCs w:val="20"/>
              </w:rPr>
              <w:t>’</w:t>
            </w:r>
            <w:r>
              <w:rPr>
                <w:sz w:val="20"/>
                <w:szCs w:val="20"/>
              </w:rPr>
              <w:t>élimination des HCFC (phase</w:t>
            </w:r>
            <w:r w:rsidR="00555F91">
              <w:rPr>
                <w:sz w:val="20"/>
                <w:szCs w:val="20"/>
              </w:rPr>
              <w:t> </w:t>
            </w:r>
            <w:r>
              <w:rPr>
                <w:sz w:val="20"/>
                <w:szCs w:val="20"/>
              </w:rPr>
              <w:t>I, quatrième tranche)</w:t>
            </w:r>
          </w:p>
        </w:tc>
        <w:tc>
          <w:tcPr>
            <w:tcW w:w="1461" w:type="dxa"/>
          </w:tcPr>
          <w:p w:rsidR="00FE3307" w:rsidRPr="003D3A7E" w:rsidRDefault="005A331A" w:rsidP="00DD5EB6">
            <w:pPr>
              <w:jc w:val="right"/>
              <w:rPr>
                <w:sz w:val="20"/>
                <w:szCs w:val="20"/>
              </w:rPr>
            </w:pPr>
            <w:r>
              <w:rPr>
                <w:sz w:val="20"/>
                <w:szCs w:val="20"/>
              </w:rPr>
              <w:t>30 000</w:t>
            </w:r>
          </w:p>
        </w:tc>
        <w:tc>
          <w:tcPr>
            <w:tcW w:w="1461" w:type="dxa"/>
          </w:tcPr>
          <w:p w:rsidR="00FE3307" w:rsidRPr="003D3A7E" w:rsidRDefault="005A331A" w:rsidP="00DD5EB6">
            <w:pPr>
              <w:jc w:val="right"/>
            </w:pPr>
            <w:r>
              <w:rPr>
                <w:sz w:val="20"/>
                <w:szCs w:val="20"/>
              </w:rPr>
              <w:t>2 250</w:t>
            </w:r>
          </w:p>
        </w:tc>
        <w:tc>
          <w:tcPr>
            <w:tcW w:w="1461" w:type="dxa"/>
          </w:tcPr>
          <w:p w:rsidR="00FE3307" w:rsidRPr="003D3A7E" w:rsidRDefault="005A331A" w:rsidP="00DD5EB6">
            <w:pPr>
              <w:jc w:val="center"/>
              <w:rPr>
                <w:sz w:val="20"/>
                <w:szCs w:val="20"/>
              </w:rPr>
            </w:pPr>
            <w:r>
              <w:rPr>
                <w:sz w:val="20"/>
                <w:szCs w:val="20"/>
              </w:rPr>
              <w:t>ONUDI</w:t>
            </w:r>
          </w:p>
        </w:tc>
      </w:tr>
    </w:tbl>
    <w:p w:rsidR="00FE3307" w:rsidRPr="003D3A7E" w:rsidRDefault="00FE3307" w:rsidP="00FE3307">
      <w:pPr>
        <w:rPr>
          <w:lang w:val="en-CA"/>
        </w:rPr>
      </w:pPr>
    </w:p>
    <w:p w:rsidR="00970434" w:rsidRDefault="00970434" w:rsidP="00FE3307">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970434" w:rsidRPr="003D3A7E" w:rsidTr="00970434">
        <w:tc>
          <w:tcPr>
            <w:tcW w:w="1870" w:type="dxa"/>
          </w:tcPr>
          <w:p w:rsidR="00970434" w:rsidRPr="003D3A7E" w:rsidRDefault="00970434" w:rsidP="00FE3307">
            <w:pPr>
              <w:rPr>
                <w:lang w:val="en-CA"/>
              </w:rPr>
            </w:pPr>
          </w:p>
        </w:tc>
        <w:tc>
          <w:tcPr>
            <w:tcW w:w="1870" w:type="dxa"/>
          </w:tcPr>
          <w:p w:rsidR="00970434" w:rsidRPr="003D3A7E" w:rsidRDefault="00970434" w:rsidP="00FE3307">
            <w:pPr>
              <w:rPr>
                <w:lang w:val="en-CA"/>
              </w:rPr>
            </w:pPr>
          </w:p>
        </w:tc>
        <w:tc>
          <w:tcPr>
            <w:tcW w:w="1870" w:type="dxa"/>
            <w:tcBorders>
              <w:bottom w:val="single" w:sz="4" w:space="0" w:color="auto"/>
            </w:tcBorders>
          </w:tcPr>
          <w:p w:rsidR="00970434" w:rsidRPr="003D3A7E" w:rsidRDefault="00970434" w:rsidP="00FE3307">
            <w:pPr>
              <w:rPr>
                <w:lang w:val="en-CA"/>
              </w:rPr>
            </w:pPr>
          </w:p>
        </w:tc>
        <w:tc>
          <w:tcPr>
            <w:tcW w:w="1870" w:type="dxa"/>
          </w:tcPr>
          <w:p w:rsidR="00970434" w:rsidRPr="003D3A7E" w:rsidRDefault="00970434" w:rsidP="00FE3307">
            <w:pPr>
              <w:rPr>
                <w:lang w:val="en-CA"/>
              </w:rPr>
            </w:pPr>
          </w:p>
        </w:tc>
        <w:tc>
          <w:tcPr>
            <w:tcW w:w="1870" w:type="dxa"/>
          </w:tcPr>
          <w:p w:rsidR="00970434" w:rsidRPr="003D3A7E" w:rsidRDefault="00970434" w:rsidP="00FE3307">
            <w:pPr>
              <w:rPr>
                <w:lang w:val="en-CA"/>
              </w:rPr>
            </w:pPr>
          </w:p>
        </w:tc>
      </w:tr>
    </w:tbl>
    <w:p w:rsidR="00970434" w:rsidRPr="003D3A7E" w:rsidRDefault="00970434" w:rsidP="00FE3307">
      <w:pPr>
        <w:rPr>
          <w:lang w:val="en-CA"/>
        </w:rPr>
      </w:pPr>
    </w:p>
    <w:sectPr w:rsidR="00970434" w:rsidRPr="003D3A7E"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5F6" w:rsidRDefault="00A545F6" w:rsidP="004A504B">
      <w:r>
        <w:separator/>
      </w:r>
    </w:p>
  </w:endnote>
  <w:endnote w:type="continuationSeparator" w:id="0">
    <w:p w:rsidR="00A545F6" w:rsidRDefault="00A545F6"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EB6" w:rsidRPr="0033525D" w:rsidRDefault="00DD5EB6">
    <w:pPr>
      <w:jc w:val="center"/>
    </w:pPr>
    <w:r>
      <w:fldChar w:fldCharType="begin"/>
    </w:r>
    <w:r>
      <w:instrText xml:space="preserve"> PAGE </w:instrText>
    </w:r>
    <w:r>
      <w:fldChar w:fldCharType="separate"/>
    </w:r>
    <w:r w:rsidR="006805D5">
      <w:rPr>
        <w:noProof/>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EB6" w:rsidRPr="0033525D" w:rsidRDefault="00DD5EB6">
    <w:pPr>
      <w:jc w:val="center"/>
    </w:pPr>
    <w:r>
      <w:fldChar w:fldCharType="begin"/>
    </w:r>
    <w:r>
      <w:instrText xml:space="preserve"> PAGE </w:instrText>
    </w:r>
    <w:r>
      <w:fldChar w:fldCharType="separate"/>
    </w:r>
    <w:r w:rsidR="006805D5">
      <w:rPr>
        <w:noProof/>
      </w:rPr>
      <w:t>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EB6" w:rsidRDefault="00DD5EB6" w:rsidP="00687557">
    <w:pPr>
      <w:pBdr>
        <w:top w:val="single" w:sz="4" w:space="1" w:color="auto"/>
        <w:left w:val="single" w:sz="4" w:space="4" w:color="auto"/>
        <w:bottom w:val="single" w:sz="4" w:space="1" w:color="auto"/>
        <w:right w:val="single" w:sz="4" w:space="4" w:color="auto"/>
      </w:pBdr>
      <w:jc w:val="center"/>
      <w:rPr>
        <w:sz w:val="18"/>
        <w:szCs w:val="18"/>
      </w:rPr>
    </w:pPr>
    <w:r>
      <w:rPr>
        <w:sz w:val="18"/>
        <w:szCs w:val="18"/>
      </w:rPr>
      <w:t>Les documents de présession du Comité exécutif du Fonds multilatéral aux fins d</w:t>
    </w:r>
    <w:r w:rsidR="00904A53">
      <w:rPr>
        <w:sz w:val="18"/>
        <w:szCs w:val="18"/>
      </w:rPr>
      <w:t>’</w:t>
    </w:r>
    <w:r w:rsidR="00687557">
      <w:rPr>
        <w:sz w:val="18"/>
        <w:szCs w:val="18"/>
      </w:rPr>
      <w:t>application du Protocole de</w:t>
    </w:r>
    <w:r w:rsidR="00687557">
      <w:rPr>
        <w:sz w:val="18"/>
        <w:szCs w:val="18"/>
      </w:rPr>
      <w:br/>
    </w:r>
    <w:r>
      <w:rPr>
        <w:sz w:val="18"/>
        <w:szCs w:val="18"/>
      </w:rPr>
      <w:t>Montréal sont présentés sous réserve des décisions pouvant être prises par le Comité exécutif après leur publication.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5F6" w:rsidRDefault="00A545F6" w:rsidP="004A504B">
      <w:r>
        <w:separator/>
      </w:r>
    </w:p>
  </w:footnote>
  <w:footnote w:type="continuationSeparator" w:id="0">
    <w:p w:rsidR="00A545F6" w:rsidRDefault="00A545F6" w:rsidP="004A504B">
      <w:r>
        <w:continuationSeparator/>
      </w:r>
    </w:p>
  </w:footnote>
  <w:footnote w:id="1">
    <w:p w:rsidR="00DD5EB6" w:rsidRPr="00FE3307" w:rsidRDefault="00DD5EB6" w:rsidP="00FE3307">
      <w:pPr>
        <w:pStyle w:val="FootnoteText"/>
      </w:pPr>
      <w:r>
        <w:rPr>
          <w:rStyle w:val="FootnoteReference"/>
        </w:rPr>
        <w:footnoteRef/>
      </w:r>
      <w:r>
        <w:t xml:space="preserve"> Conformément à la lettre du 15 mars 2019 adressée à l</w:t>
      </w:r>
      <w:r w:rsidR="00904A53">
        <w:t>’</w:t>
      </w:r>
      <w:r>
        <w:t>ONUDI par l</w:t>
      </w:r>
      <w:r w:rsidR="00904A53">
        <w:t>’</w:t>
      </w:r>
      <w:r>
        <w:t>Agence de la nature et de la protection environnementale du Monténégro.</w:t>
      </w:r>
    </w:p>
  </w:footnote>
  <w:footnote w:id="2">
    <w:p w:rsidR="00E44C7A" w:rsidRPr="00E44C7A" w:rsidRDefault="00E44C7A">
      <w:pPr>
        <w:pStyle w:val="FootnoteText"/>
      </w:pPr>
      <w:r>
        <w:rPr>
          <w:rStyle w:val="FootnoteReference"/>
        </w:rPr>
        <w:footnoteRef/>
      </w:r>
      <w:r>
        <w:t xml:space="preserve"> Gazette officielle du Monténégro, n</w:t>
      </w:r>
      <w:r>
        <w:rPr>
          <w:vertAlign w:val="superscript"/>
        </w:rPr>
        <w:t>o</w:t>
      </w:r>
      <w:r>
        <w:t xml:space="preserve"> 35/18, Décision sur la liste de contrôle pour l</w:t>
      </w:r>
      <w:r w:rsidR="00904A53">
        <w:t>’</w:t>
      </w:r>
      <w:r>
        <w:t>exportation et l</w:t>
      </w:r>
      <w:r w:rsidR="00904A53">
        <w:t>’</w:t>
      </w:r>
      <w:r>
        <w:t>importation de marchandises.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EB6" w:rsidRPr="0033525D" w:rsidRDefault="00A545F6">
    <w:r>
      <w:fldChar w:fldCharType="begin"/>
    </w:r>
    <w:r>
      <w:instrText xml:space="preserve"> DOCPROPERTY "Document number"  \* MERGEFORMAT </w:instrText>
    </w:r>
    <w:r>
      <w:fldChar w:fldCharType="separate"/>
    </w:r>
    <w:r w:rsidR="002F79B3">
      <w:t>UNEP/</w:t>
    </w:r>
    <w:proofErr w:type="spellStart"/>
    <w:r w:rsidR="002F79B3">
      <w:t>OzL.Pro</w:t>
    </w:r>
    <w:proofErr w:type="spellEnd"/>
    <w:r w:rsidR="002F79B3">
      <w:t>/</w:t>
    </w:r>
    <w:proofErr w:type="spellStart"/>
    <w:r w:rsidR="002F79B3">
      <w:t>ExCom</w:t>
    </w:r>
    <w:proofErr w:type="spellEnd"/>
    <w:r w:rsidR="002F79B3">
      <w:t>/83/31</w:t>
    </w:r>
    <w:r>
      <w:fldChar w:fldCharType="end"/>
    </w:r>
  </w:p>
  <w:p w:rsidR="00DD5EB6" w:rsidRPr="0033525D" w:rsidRDefault="00DD5EB6"/>
  <w:p w:rsidR="00DD5EB6" w:rsidRPr="0033525D" w:rsidRDefault="00DD5EB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EB6" w:rsidRPr="0033525D" w:rsidRDefault="00A545F6">
    <w:pPr>
      <w:jc w:val="right"/>
    </w:pPr>
    <w:r>
      <w:fldChar w:fldCharType="begin"/>
    </w:r>
    <w:r>
      <w:instrText xml:space="preserve"> DOCPROPERTY "Document number"  \* MERGEFORMAT </w:instrText>
    </w:r>
    <w:r>
      <w:fldChar w:fldCharType="separate"/>
    </w:r>
    <w:r w:rsidR="002F79B3">
      <w:t>UNEP/</w:t>
    </w:r>
    <w:proofErr w:type="spellStart"/>
    <w:r w:rsidR="002F79B3">
      <w:t>OzL.Pro</w:t>
    </w:r>
    <w:proofErr w:type="spellEnd"/>
    <w:r w:rsidR="002F79B3">
      <w:t>/</w:t>
    </w:r>
    <w:proofErr w:type="spellStart"/>
    <w:r w:rsidR="002F79B3">
      <w:t>ExCom</w:t>
    </w:r>
    <w:proofErr w:type="spellEnd"/>
    <w:r w:rsidR="002F79B3">
      <w:t>/83/31</w:t>
    </w:r>
    <w:r>
      <w:fldChar w:fldCharType="end"/>
    </w:r>
  </w:p>
  <w:p w:rsidR="00DD5EB6" w:rsidRPr="0033525D" w:rsidRDefault="00DD5EB6"/>
  <w:p w:rsidR="00DD5EB6" w:rsidRPr="0033525D" w:rsidRDefault="00DD5E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BC1E52"/>
    <w:rsid w:val="00000FED"/>
    <w:rsid w:val="000017EA"/>
    <w:rsid w:val="0000434E"/>
    <w:rsid w:val="00012465"/>
    <w:rsid w:val="000211A9"/>
    <w:rsid w:val="00031260"/>
    <w:rsid w:val="0003681A"/>
    <w:rsid w:val="00040652"/>
    <w:rsid w:val="00060F85"/>
    <w:rsid w:val="00061EC2"/>
    <w:rsid w:val="000660D7"/>
    <w:rsid w:val="00067709"/>
    <w:rsid w:val="00080ED0"/>
    <w:rsid w:val="00085B8F"/>
    <w:rsid w:val="00090481"/>
    <w:rsid w:val="000A6C26"/>
    <w:rsid w:val="000B1BF9"/>
    <w:rsid w:val="000B7004"/>
    <w:rsid w:val="000D52A4"/>
    <w:rsid w:val="000E07BC"/>
    <w:rsid w:val="000F1CD4"/>
    <w:rsid w:val="000F4103"/>
    <w:rsid w:val="000F5527"/>
    <w:rsid w:val="000F70A7"/>
    <w:rsid w:val="00110CDA"/>
    <w:rsid w:val="00113CCA"/>
    <w:rsid w:val="00122F25"/>
    <w:rsid w:val="00135980"/>
    <w:rsid w:val="00164719"/>
    <w:rsid w:val="001650DE"/>
    <w:rsid w:val="00166FC4"/>
    <w:rsid w:val="001677AC"/>
    <w:rsid w:val="001804EA"/>
    <w:rsid w:val="00190A61"/>
    <w:rsid w:val="001A3342"/>
    <w:rsid w:val="001A3E3D"/>
    <w:rsid w:val="001A7049"/>
    <w:rsid w:val="001B1E40"/>
    <w:rsid w:val="001C2FB0"/>
    <w:rsid w:val="001C445B"/>
    <w:rsid w:val="001C4A43"/>
    <w:rsid w:val="001C764E"/>
    <w:rsid w:val="001D5916"/>
    <w:rsid w:val="001E1052"/>
    <w:rsid w:val="001E21B1"/>
    <w:rsid w:val="001E2F93"/>
    <w:rsid w:val="001E61E5"/>
    <w:rsid w:val="001F2159"/>
    <w:rsid w:val="00214863"/>
    <w:rsid w:val="002156B4"/>
    <w:rsid w:val="00222EEB"/>
    <w:rsid w:val="00253222"/>
    <w:rsid w:val="0025496B"/>
    <w:rsid w:val="002602D2"/>
    <w:rsid w:val="00262847"/>
    <w:rsid w:val="00263148"/>
    <w:rsid w:val="00281BB2"/>
    <w:rsid w:val="00284480"/>
    <w:rsid w:val="002A000F"/>
    <w:rsid w:val="002B72E9"/>
    <w:rsid w:val="002C7998"/>
    <w:rsid w:val="002E19D8"/>
    <w:rsid w:val="002F1E53"/>
    <w:rsid w:val="002F2720"/>
    <w:rsid w:val="002F2CAA"/>
    <w:rsid w:val="002F79B3"/>
    <w:rsid w:val="0030052C"/>
    <w:rsid w:val="00301F11"/>
    <w:rsid w:val="003306E1"/>
    <w:rsid w:val="003320E4"/>
    <w:rsid w:val="0033525D"/>
    <w:rsid w:val="003414F3"/>
    <w:rsid w:val="0035613E"/>
    <w:rsid w:val="003569B8"/>
    <w:rsid w:val="00363EE9"/>
    <w:rsid w:val="00376128"/>
    <w:rsid w:val="0037742E"/>
    <w:rsid w:val="00377D56"/>
    <w:rsid w:val="0038245A"/>
    <w:rsid w:val="003840E6"/>
    <w:rsid w:val="00385CFC"/>
    <w:rsid w:val="00387EDD"/>
    <w:rsid w:val="0039337A"/>
    <w:rsid w:val="003A3189"/>
    <w:rsid w:val="003A3CA7"/>
    <w:rsid w:val="003B1CDE"/>
    <w:rsid w:val="003B33BD"/>
    <w:rsid w:val="003B569D"/>
    <w:rsid w:val="003C3C0E"/>
    <w:rsid w:val="003D3A7E"/>
    <w:rsid w:val="003D4FAC"/>
    <w:rsid w:val="003E7906"/>
    <w:rsid w:val="003F2FB8"/>
    <w:rsid w:val="003F3C50"/>
    <w:rsid w:val="004007AB"/>
    <w:rsid w:val="00406A6A"/>
    <w:rsid w:val="00406B22"/>
    <w:rsid w:val="004174B4"/>
    <w:rsid w:val="00423D8D"/>
    <w:rsid w:val="00430658"/>
    <w:rsid w:val="004328A7"/>
    <w:rsid w:val="00434C74"/>
    <w:rsid w:val="00443875"/>
    <w:rsid w:val="00456EB4"/>
    <w:rsid w:val="004718F3"/>
    <w:rsid w:val="00475040"/>
    <w:rsid w:val="00490BCB"/>
    <w:rsid w:val="00493D40"/>
    <w:rsid w:val="004967B6"/>
    <w:rsid w:val="004A504B"/>
    <w:rsid w:val="004A6911"/>
    <w:rsid w:val="004B54E0"/>
    <w:rsid w:val="004B7384"/>
    <w:rsid w:val="004C4269"/>
    <w:rsid w:val="004D4D55"/>
    <w:rsid w:val="004D6236"/>
    <w:rsid w:val="004D7F90"/>
    <w:rsid w:val="004E4DBB"/>
    <w:rsid w:val="004E4E41"/>
    <w:rsid w:val="004E5E1F"/>
    <w:rsid w:val="004E7F9C"/>
    <w:rsid w:val="004F3493"/>
    <w:rsid w:val="004F5143"/>
    <w:rsid w:val="0050496F"/>
    <w:rsid w:val="00512B09"/>
    <w:rsid w:val="00517176"/>
    <w:rsid w:val="00520520"/>
    <w:rsid w:val="00524597"/>
    <w:rsid w:val="00533796"/>
    <w:rsid w:val="005449B3"/>
    <w:rsid w:val="00555D75"/>
    <w:rsid w:val="00555F91"/>
    <w:rsid w:val="005608D7"/>
    <w:rsid w:val="00560DF0"/>
    <w:rsid w:val="0056759C"/>
    <w:rsid w:val="0059513E"/>
    <w:rsid w:val="005A331A"/>
    <w:rsid w:val="005B41CC"/>
    <w:rsid w:val="005B48FF"/>
    <w:rsid w:val="005D70E3"/>
    <w:rsid w:val="00604C15"/>
    <w:rsid w:val="00614BE0"/>
    <w:rsid w:val="006158D5"/>
    <w:rsid w:val="00625D83"/>
    <w:rsid w:val="00632DB6"/>
    <w:rsid w:val="006472FA"/>
    <w:rsid w:val="006623E7"/>
    <w:rsid w:val="00662B80"/>
    <w:rsid w:val="00670F6C"/>
    <w:rsid w:val="006805D5"/>
    <w:rsid w:val="006852C7"/>
    <w:rsid w:val="006852CE"/>
    <w:rsid w:val="00687557"/>
    <w:rsid w:val="006C1727"/>
    <w:rsid w:val="006C32FD"/>
    <w:rsid w:val="006C39CE"/>
    <w:rsid w:val="006D0FCC"/>
    <w:rsid w:val="006D21B1"/>
    <w:rsid w:val="006E1FC3"/>
    <w:rsid w:val="0070616B"/>
    <w:rsid w:val="00706FDA"/>
    <w:rsid w:val="00711F9A"/>
    <w:rsid w:val="00713810"/>
    <w:rsid w:val="007303A5"/>
    <w:rsid w:val="00730B3E"/>
    <w:rsid w:val="0073420B"/>
    <w:rsid w:val="0074760E"/>
    <w:rsid w:val="00754ABA"/>
    <w:rsid w:val="00763ABE"/>
    <w:rsid w:val="007A1546"/>
    <w:rsid w:val="007A228C"/>
    <w:rsid w:val="007A368E"/>
    <w:rsid w:val="007A5868"/>
    <w:rsid w:val="007B04CE"/>
    <w:rsid w:val="007B6871"/>
    <w:rsid w:val="007B7A2F"/>
    <w:rsid w:val="007C3D33"/>
    <w:rsid w:val="007C617F"/>
    <w:rsid w:val="007D294A"/>
    <w:rsid w:val="007D47D2"/>
    <w:rsid w:val="007D6EC0"/>
    <w:rsid w:val="007D7E1D"/>
    <w:rsid w:val="008106B9"/>
    <w:rsid w:val="00831979"/>
    <w:rsid w:val="00833D77"/>
    <w:rsid w:val="008458FE"/>
    <w:rsid w:val="00846B53"/>
    <w:rsid w:val="00851352"/>
    <w:rsid w:val="00863230"/>
    <w:rsid w:val="008717D8"/>
    <w:rsid w:val="0087215C"/>
    <w:rsid w:val="0088041B"/>
    <w:rsid w:val="00880E35"/>
    <w:rsid w:val="008875FE"/>
    <w:rsid w:val="00887F8E"/>
    <w:rsid w:val="00896234"/>
    <w:rsid w:val="00897E43"/>
    <w:rsid w:val="008A2FB1"/>
    <w:rsid w:val="008B00C4"/>
    <w:rsid w:val="008B3E49"/>
    <w:rsid w:val="008B417A"/>
    <w:rsid w:val="008C06F0"/>
    <w:rsid w:val="008C23FF"/>
    <w:rsid w:val="008C5738"/>
    <w:rsid w:val="008C6B92"/>
    <w:rsid w:val="008C7EAD"/>
    <w:rsid w:val="008D0CFE"/>
    <w:rsid w:val="008D3F90"/>
    <w:rsid w:val="008D6152"/>
    <w:rsid w:val="008E0D0F"/>
    <w:rsid w:val="008F0F81"/>
    <w:rsid w:val="008F27BF"/>
    <w:rsid w:val="00903F5D"/>
    <w:rsid w:val="00904A53"/>
    <w:rsid w:val="009142EC"/>
    <w:rsid w:val="009154C3"/>
    <w:rsid w:val="009215F1"/>
    <w:rsid w:val="00923540"/>
    <w:rsid w:val="00926767"/>
    <w:rsid w:val="009278AC"/>
    <w:rsid w:val="009361D5"/>
    <w:rsid w:val="009428A4"/>
    <w:rsid w:val="00943465"/>
    <w:rsid w:val="00943D0C"/>
    <w:rsid w:val="0095742D"/>
    <w:rsid w:val="009659F4"/>
    <w:rsid w:val="00970434"/>
    <w:rsid w:val="00970D60"/>
    <w:rsid w:val="009960E5"/>
    <w:rsid w:val="009A7ADC"/>
    <w:rsid w:val="009C14B8"/>
    <w:rsid w:val="009C19B7"/>
    <w:rsid w:val="009D7C51"/>
    <w:rsid w:val="009E196C"/>
    <w:rsid w:val="009E6E5C"/>
    <w:rsid w:val="009F36BF"/>
    <w:rsid w:val="009F3F6F"/>
    <w:rsid w:val="00A00D21"/>
    <w:rsid w:val="00A111B6"/>
    <w:rsid w:val="00A17F94"/>
    <w:rsid w:val="00A243FC"/>
    <w:rsid w:val="00A26D27"/>
    <w:rsid w:val="00A376EE"/>
    <w:rsid w:val="00A37CFD"/>
    <w:rsid w:val="00A42A99"/>
    <w:rsid w:val="00A5151A"/>
    <w:rsid w:val="00A545F6"/>
    <w:rsid w:val="00A57E0A"/>
    <w:rsid w:val="00A71B4A"/>
    <w:rsid w:val="00A823F6"/>
    <w:rsid w:val="00A93BBA"/>
    <w:rsid w:val="00AA0A89"/>
    <w:rsid w:val="00AA6181"/>
    <w:rsid w:val="00AA6429"/>
    <w:rsid w:val="00AB39F5"/>
    <w:rsid w:val="00AC01AA"/>
    <w:rsid w:val="00AC4F72"/>
    <w:rsid w:val="00AD4089"/>
    <w:rsid w:val="00AF741A"/>
    <w:rsid w:val="00B01ADB"/>
    <w:rsid w:val="00B04161"/>
    <w:rsid w:val="00B04925"/>
    <w:rsid w:val="00B056F9"/>
    <w:rsid w:val="00B06C9A"/>
    <w:rsid w:val="00B11E3D"/>
    <w:rsid w:val="00B17012"/>
    <w:rsid w:val="00B17E82"/>
    <w:rsid w:val="00B443D4"/>
    <w:rsid w:val="00B4575A"/>
    <w:rsid w:val="00B575BA"/>
    <w:rsid w:val="00B76429"/>
    <w:rsid w:val="00B956D4"/>
    <w:rsid w:val="00B97446"/>
    <w:rsid w:val="00BA7432"/>
    <w:rsid w:val="00BC1AA0"/>
    <w:rsid w:val="00BC1E52"/>
    <w:rsid w:val="00BC2495"/>
    <w:rsid w:val="00BC5EA5"/>
    <w:rsid w:val="00BC7EB9"/>
    <w:rsid w:val="00BD2643"/>
    <w:rsid w:val="00BD56B1"/>
    <w:rsid w:val="00BD6558"/>
    <w:rsid w:val="00BF19EE"/>
    <w:rsid w:val="00BF3022"/>
    <w:rsid w:val="00BF3214"/>
    <w:rsid w:val="00BF5573"/>
    <w:rsid w:val="00C15867"/>
    <w:rsid w:val="00C2296D"/>
    <w:rsid w:val="00C23155"/>
    <w:rsid w:val="00C27E9F"/>
    <w:rsid w:val="00C329AE"/>
    <w:rsid w:val="00C40C41"/>
    <w:rsid w:val="00C424C0"/>
    <w:rsid w:val="00C45885"/>
    <w:rsid w:val="00C50F22"/>
    <w:rsid w:val="00C57971"/>
    <w:rsid w:val="00C57DFC"/>
    <w:rsid w:val="00C65BD7"/>
    <w:rsid w:val="00C76BA4"/>
    <w:rsid w:val="00C83A48"/>
    <w:rsid w:val="00C85865"/>
    <w:rsid w:val="00C85E85"/>
    <w:rsid w:val="00C9012F"/>
    <w:rsid w:val="00C9053B"/>
    <w:rsid w:val="00CA2EAE"/>
    <w:rsid w:val="00CA4AC1"/>
    <w:rsid w:val="00CB0316"/>
    <w:rsid w:val="00CB0B11"/>
    <w:rsid w:val="00CB5354"/>
    <w:rsid w:val="00CC6A14"/>
    <w:rsid w:val="00CC70A3"/>
    <w:rsid w:val="00CD4442"/>
    <w:rsid w:val="00CD53C3"/>
    <w:rsid w:val="00CD574E"/>
    <w:rsid w:val="00CE4C22"/>
    <w:rsid w:val="00CF41EC"/>
    <w:rsid w:val="00CF4416"/>
    <w:rsid w:val="00CF5D04"/>
    <w:rsid w:val="00CF7C08"/>
    <w:rsid w:val="00D04DE4"/>
    <w:rsid w:val="00D061A6"/>
    <w:rsid w:val="00D063F1"/>
    <w:rsid w:val="00D13CD0"/>
    <w:rsid w:val="00D14F22"/>
    <w:rsid w:val="00D4741C"/>
    <w:rsid w:val="00D57918"/>
    <w:rsid w:val="00D73DC6"/>
    <w:rsid w:val="00D74C1A"/>
    <w:rsid w:val="00D754C1"/>
    <w:rsid w:val="00D77393"/>
    <w:rsid w:val="00D77A35"/>
    <w:rsid w:val="00D81B3E"/>
    <w:rsid w:val="00D90C70"/>
    <w:rsid w:val="00D90E49"/>
    <w:rsid w:val="00D96ADE"/>
    <w:rsid w:val="00DA0CE2"/>
    <w:rsid w:val="00DC6A10"/>
    <w:rsid w:val="00DD5EB6"/>
    <w:rsid w:val="00DE657E"/>
    <w:rsid w:val="00DF4704"/>
    <w:rsid w:val="00E024AA"/>
    <w:rsid w:val="00E12500"/>
    <w:rsid w:val="00E250F1"/>
    <w:rsid w:val="00E3550D"/>
    <w:rsid w:val="00E44C7A"/>
    <w:rsid w:val="00E614E0"/>
    <w:rsid w:val="00E73F7F"/>
    <w:rsid w:val="00E85409"/>
    <w:rsid w:val="00E933E0"/>
    <w:rsid w:val="00EA429F"/>
    <w:rsid w:val="00EA4F9E"/>
    <w:rsid w:val="00EA63CA"/>
    <w:rsid w:val="00EA6D3B"/>
    <w:rsid w:val="00EB00AD"/>
    <w:rsid w:val="00EB136C"/>
    <w:rsid w:val="00EB480E"/>
    <w:rsid w:val="00EB5EC6"/>
    <w:rsid w:val="00EB7FC9"/>
    <w:rsid w:val="00ED27E8"/>
    <w:rsid w:val="00ED7137"/>
    <w:rsid w:val="00EF0B39"/>
    <w:rsid w:val="00F059A3"/>
    <w:rsid w:val="00F1598A"/>
    <w:rsid w:val="00F21088"/>
    <w:rsid w:val="00F327E7"/>
    <w:rsid w:val="00F330D0"/>
    <w:rsid w:val="00F35746"/>
    <w:rsid w:val="00F447C7"/>
    <w:rsid w:val="00F5211B"/>
    <w:rsid w:val="00F554A9"/>
    <w:rsid w:val="00F716FD"/>
    <w:rsid w:val="00F77C8F"/>
    <w:rsid w:val="00F80355"/>
    <w:rsid w:val="00F87C43"/>
    <w:rsid w:val="00F9376A"/>
    <w:rsid w:val="00FA141E"/>
    <w:rsid w:val="00FB0C81"/>
    <w:rsid w:val="00FC2200"/>
    <w:rsid w:val="00FC2540"/>
    <w:rsid w:val="00FE3307"/>
    <w:rsid w:val="00FF0204"/>
    <w:rsid w:val="00FF3AED"/>
    <w:rsid w:val="00FF61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13C66"/>
  <w15:docId w15:val="{2413CEF7-BB2B-4395-B419-3F4FF057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fr-CA"/>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fr-CA"/>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fr-CA"/>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fr-CA"/>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FE3307"/>
    <w:pPr>
      <w:ind w:left="720"/>
      <w:contextualSpacing/>
    </w:pPr>
  </w:style>
  <w:style w:type="paragraph" w:styleId="FootnoteText">
    <w:name w:val="footnote text"/>
    <w:basedOn w:val="Normal"/>
    <w:link w:val="FootnoteTextChar"/>
    <w:uiPriority w:val="99"/>
    <w:semiHidden/>
    <w:unhideWhenUsed/>
    <w:rsid w:val="00FE3307"/>
    <w:rPr>
      <w:sz w:val="20"/>
      <w:szCs w:val="20"/>
    </w:rPr>
  </w:style>
  <w:style w:type="character" w:customStyle="1" w:styleId="FootnoteTextChar">
    <w:name w:val="Footnote Text Char"/>
    <w:basedOn w:val="DefaultParagraphFont"/>
    <w:link w:val="FootnoteText"/>
    <w:uiPriority w:val="99"/>
    <w:semiHidden/>
    <w:rsid w:val="00FE3307"/>
    <w:rPr>
      <w:lang w:val="fr-CA"/>
    </w:rPr>
  </w:style>
  <w:style w:type="character" w:styleId="FootnoteReference">
    <w:name w:val="footnote reference"/>
    <w:basedOn w:val="DefaultParagraphFont"/>
    <w:uiPriority w:val="99"/>
    <w:semiHidden/>
    <w:unhideWhenUsed/>
    <w:rsid w:val="00FE3307"/>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95742D"/>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8160">
      <w:bodyDiv w:val="1"/>
      <w:marLeft w:val="0"/>
      <w:marRight w:val="0"/>
      <w:marTop w:val="0"/>
      <w:marBottom w:val="0"/>
      <w:divBdr>
        <w:top w:val="none" w:sz="0" w:space="0" w:color="auto"/>
        <w:left w:val="none" w:sz="0" w:space="0" w:color="auto"/>
        <w:bottom w:val="none" w:sz="0" w:space="0" w:color="auto"/>
        <w:right w:val="none" w:sz="0" w:space="0" w:color="auto"/>
      </w:divBdr>
    </w:div>
    <w:div w:id="1691493272">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3rd\Templates\Eec83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E4441DB9763A4B9F4793D394AD28DA" ma:contentTypeVersion="2" ma:contentTypeDescription="Create a new document." ma:contentTypeScope="" ma:versionID="171df64618d6dd1096111a941a4c869d">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UNEP/OzL.Pro/ExCom/83/31</Document_x0020_Number>
  </documentManagement>
</p:properties>
</file>

<file path=customXml/itemProps1.xml><?xml version="1.0" encoding="utf-8"?>
<ds:datastoreItem xmlns:ds="http://schemas.openxmlformats.org/officeDocument/2006/customXml" ds:itemID="{34602FFE-B038-4B37-AC2D-B9F84AC5D3DD}"/>
</file>

<file path=customXml/itemProps2.xml><?xml version="1.0" encoding="utf-8"?>
<ds:datastoreItem xmlns:ds="http://schemas.openxmlformats.org/officeDocument/2006/customXml" ds:itemID="{437B07B2-F1E2-402D-95DD-A09B1F166E3E}"/>
</file>

<file path=customXml/itemProps3.xml><?xml version="1.0" encoding="utf-8"?>
<ds:datastoreItem xmlns:ds="http://schemas.openxmlformats.org/officeDocument/2006/customXml" ds:itemID="{708D55E1-D202-4CF6-B962-F5CB6BAB57B3}"/>
</file>

<file path=customXml/itemProps4.xml><?xml version="1.0" encoding="utf-8"?>
<ds:datastoreItem xmlns:ds="http://schemas.openxmlformats.org/officeDocument/2006/customXml" ds:itemID="{A662AD87-41BD-4471-9867-BC4E904726A5}"/>
</file>

<file path=docProps/app.xml><?xml version="1.0" encoding="utf-8"?>
<Properties xmlns="http://schemas.openxmlformats.org/officeDocument/2006/extended-properties" xmlns:vt="http://schemas.openxmlformats.org/officeDocument/2006/docPropsVTypes">
  <Template>Eec83G</Template>
  <TotalTime>103</TotalTime>
  <Pages>6</Pages>
  <Words>2043</Words>
  <Characters>10674</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 de projet:  Monténégro</vt:lpstr>
      <vt:lpstr>Project Proposal:  Montenegro</vt:lpstr>
    </vt:vector>
  </TitlesOfParts>
  <Company>UNMFS</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Monténégro (Le)</dc:title>
  <dc:subject>83e</dc:subject>
  <dc:creator>Patricia Chau</dc:creator>
  <dc:description>FSM</dc:description>
  <cp:lastModifiedBy>HBE</cp:lastModifiedBy>
  <cp:revision>26</cp:revision>
  <cp:lastPrinted>2019-05-02T20:19:00Z</cp:lastPrinted>
  <dcterms:created xsi:type="dcterms:W3CDTF">2019-05-06T11:59:00Z</dcterms:created>
  <dcterms:modified xsi:type="dcterms:W3CDTF">2019-05-21T15:23:00Z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UNEP/OzL.Pro/ExCom/83/31</vt:lpwstr>
  </property>
  <property fmtid="{D5CDD505-2E9C-101B-9397-08002B2CF9AE}" pid="3" name="Revision date">
    <vt:lpwstr>05/02/2019</vt:lpwstr>
  </property>
  <property fmtid="{D5CDD505-2E9C-101B-9397-08002B2CF9AE}" pid="4" name="ContentTypeId">
    <vt:lpwstr>0x01010021E4441DB9763A4B9F4793D394AD28DA</vt:lpwstr>
  </property>
</Properties>
</file>