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05" w:type="dxa"/>
        <w:tblInd w:w="-432" w:type="dxa"/>
        <w:tblLayout w:type="fixed"/>
        <w:tblLook w:val="0000" w:firstRow="0" w:lastRow="0" w:firstColumn="0" w:lastColumn="0" w:noHBand="0" w:noVBand="0"/>
      </w:tblPr>
      <w:tblGrid>
        <w:gridCol w:w="2070"/>
        <w:gridCol w:w="4991"/>
        <w:gridCol w:w="3544"/>
      </w:tblGrid>
      <w:tr w:rsidR="00441083">
        <w:trPr>
          <w:trHeight w:val="720"/>
        </w:trPr>
        <w:tc>
          <w:tcPr>
            <w:tcW w:w="7061" w:type="dxa"/>
            <w:gridSpan w:val="2"/>
            <w:tcBorders>
              <w:bottom w:val="single" w:sz="18" w:space="0" w:color="auto"/>
            </w:tcBorders>
          </w:tcPr>
          <w:p w:rsidR="00441083" w:rsidRDefault="00E60D9C">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b/>
                <w:sz w:val="28"/>
                <w:szCs w:val="28"/>
              </w:rPr>
            </w:pPr>
            <w:r>
              <w:rPr>
                <w:rFonts w:ascii="Univers" w:hAnsi="Univers"/>
                <w:b/>
                <w:sz w:val="28"/>
                <w:szCs w:val="28"/>
              </w:rPr>
              <w:t>NATIONS</w:t>
            </w:r>
          </w:p>
          <w:p w:rsidR="00441083" w:rsidRDefault="00E60D9C">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sz w:val="28"/>
                <w:szCs w:val="28"/>
              </w:rPr>
            </w:pPr>
            <w:r>
              <w:rPr>
                <w:rFonts w:ascii="Univers" w:hAnsi="Univers"/>
                <w:b/>
                <w:sz w:val="28"/>
                <w:szCs w:val="28"/>
              </w:rPr>
              <w:t xml:space="preserve">UNIES </w:t>
            </w:r>
          </w:p>
        </w:tc>
        <w:tc>
          <w:tcPr>
            <w:tcW w:w="3544" w:type="dxa"/>
            <w:tcBorders>
              <w:bottom w:val="single" w:sz="18" w:space="0" w:color="auto"/>
            </w:tcBorders>
          </w:tcPr>
          <w:p w:rsidR="00441083" w:rsidRDefault="00E60D9C">
            <w:pPr>
              <w:tabs>
                <w:tab w:val="left" w:pos="3010"/>
              </w:tabs>
              <w:jc w:val="center"/>
              <w:rPr>
                <w:sz w:val="52"/>
                <w:szCs w:val="52"/>
              </w:rPr>
            </w:pPr>
            <w:r>
              <w:rPr>
                <w:rFonts w:ascii="Univers Bold" w:hAnsi="Univers Bold"/>
                <w:b/>
                <w:sz w:val="72"/>
                <w:lang w:val="fr-CA"/>
              </w:rPr>
              <w:t xml:space="preserve">          EP</w:t>
            </w:r>
          </w:p>
        </w:tc>
      </w:tr>
      <w:tr w:rsidR="004410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8"/>
        </w:trPr>
        <w:tc>
          <w:tcPr>
            <w:tcW w:w="2070" w:type="dxa"/>
            <w:tcBorders>
              <w:top w:val="nil"/>
              <w:left w:val="nil"/>
              <w:bottom w:val="single" w:sz="36" w:space="0" w:color="auto"/>
              <w:right w:val="nil"/>
            </w:tcBorders>
          </w:tcPr>
          <w:p w:rsidR="00441083" w:rsidRDefault="00C6443E">
            <w:pPr>
              <w:spacing w:before="120"/>
            </w:pPr>
            <w:r>
              <w:rPr>
                <w:noProof/>
                <w:lang w:val="en-CA" w:eastAsia="en-CA"/>
              </w:rPr>
              <w:drawing>
                <wp:anchor distT="0" distB="0" distL="114300" distR="114300" simplePos="0" relativeHeight="251660288" behindDoc="0" locked="0" layoutInCell="1" allowOverlap="1" wp14:anchorId="75D1E401" wp14:editId="1024F88C">
                  <wp:simplePos x="0" y="0"/>
                  <wp:positionH relativeFrom="column">
                    <wp:posOffset>346710</wp:posOffset>
                  </wp:positionH>
                  <wp:positionV relativeFrom="paragraph">
                    <wp:posOffset>861060</wp:posOffset>
                  </wp:positionV>
                  <wp:extent cx="800100" cy="705485"/>
                  <wp:effectExtent l="0" t="0" r="0" b="0"/>
                  <wp:wrapNone/>
                  <wp:docPr id="2" name="Picture 2"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
                          <pic:cNvPicPr>
                            <a:picLocks noChangeAspect="1" noChangeArrowheads="1"/>
                          </pic:cNvPicPr>
                        </pic:nvPicPr>
                        <pic:blipFill>
                          <a:blip r:embed="rId8" cstate="print"/>
                          <a:srcRect/>
                          <a:stretch>
                            <a:fillRect/>
                          </a:stretch>
                        </pic:blipFill>
                        <pic:spPr bwMode="auto">
                          <a:xfrm>
                            <a:off x="0" y="0"/>
                            <a:ext cx="800100" cy="705485"/>
                          </a:xfrm>
                          <a:prstGeom prst="rect">
                            <a:avLst/>
                          </a:prstGeom>
                          <a:noFill/>
                        </pic:spPr>
                      </pic:pic>
                    </a:graphicData>
                  </a:graphic>
                </wp:anchor>
              </w:drawing>
            </w:r>
            <w:r w:rsidR="001C3D0C">
              <w:rPr>
                <w:noProof/>
                <w:lang w:val="en-CA" w:eastAsia="en-CA"/>
              </w:rPr>
              <w:drawing>
                <wp:anchor distT="0" distB="0" distL="114300" distR="114300" simplePos="0" relativeHeight="251661312" behindDoc="1" locked="0" layoutInCell="0" allowOverlap="1" wp14:anchorId="244C4231" wp14:editId="1C9406B4">
                  <wp:simplePos x="0" y="0"/>
                  <wp:positionH relativeFrom="column">
                    <wp:posOffset>72390</wp:posOffset>
                  </wp:positionH>
                  <wp:positionV relativeFrom="paragraph">
                    <wp:posOffset>112395</wp:posOffset>
                  </wp:positionV>
                  <wp:extent cx="760809" cy="676275"/>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760809" cy="676275"/>
                          </a:xfrm>
                          <a:prstGeom prst="rect">
                            <a:avLst/>
                          </a:prstGeom>
                          <a:noFill/>
                        </pic:spPr>
                      </pic:pic>
                    </a:graphicData>
                  </a:graphic>
                  <wp14:sizeRelH relativeFrom="margin">
                    <wp14:pctWidth>0</wp14:pctWidth>
                  </wp14:sizeRelH>
                  <wp14:sizeRelV relativeFrom="margin">
                    <wp14:pctHeight>0</wp14:pctHeight>
                  </wp14:sizeRelV>
                </wp:anchor>
              </w:drawing>
            </w:r>
          </w:p>
        </w:tc>
        <w:tc>
          <w:tcPr>
            <w:tcW w:w="4991" w:type="dxa"/>
            <w:tcBorders>
              <w:top w:val="nil"/>
              <w:left w:val="nil"/>
              <w:bottom w:val="single" w:sz="36" w:space="0" w:color="auto"/>
              <w:right w:val="nil"/>
            </w:tcBorders>
          </w:tcPr>
          <w:p w:rsidR="00441083" w:rsidRDefault="00441083">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fr-CA"/>
              </w:rPr>
            </w:pPr>
          </w:p>
          <w:p w:rsidR="00441083" w:rsidRDefault="00E60D9C">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fr-CA"/>
              </w:rPr>
            </w:pPr>
            <w:r>
              <w:rPr>
                <w:rFonts w:ascii="Univers" w:hAnsi="Univers"/>
                <w:b/>
                <w:sz w:val="32"/>
                <w:lang w:val="fr-CA"/>
              </w:rPr>
              <w:t>Programme des</w:t>
            </w:r>
          </w:p>
          <w:p w:rsidR="00441083" w:rsidRDefault="00E60D9C">
            <w:pPr>
              <w:rPr>
                <w:rFonts w:ascii="Univers" w:hAnsi="Univers"/>
                <w:b/>
                <w:sz w:val="32"/>
                <w:lang w:val="fr-CA"/>
              </w:rPr>
            </w:pPr>
            <w:r>
              <w:rPr>
                <w:rFonts w:ascii="Univers" w:hAnsi="Univers"/>
                <w:b/>
                <w:sz w:val="32"/>
                <w:lang w:val="fr-CA"/>
              </w:rPr>
              <w:t>Nations Unies pour</w:t>
            </w:r>
          </w:p>
          <w:p w:rsidR="00441083" w:rsidRDefault="00E60D9C">
            <w:pPr>
              <w:rPr>
                <w:rFonts w:ascii="Univers" w:hAnsi="Univers"/>
                <w:b/>
                <w:sz w:val="32"/>
                <w:lang w:val="fr-CA"/>
              </w:rPr>
            </w:pPr>
            <w:r>
              <w:rPr>
                <w:rFonts w:ascii="Univers" w:hAnsi="Univers"/>
                <w:b/>
                <w:sz w:val="32"/>
                <w:lang w:val="fr-CA"/>
              </w:rPr>
              <w:t>l’environnement</w:t>
            </w:r>
          </w:p>
          <w:p w:rsidR="00441083" w:rsidRDefault="00E60D9C">
            <w:pPr>
              <w:spacing w:before="720"/>
              <w:ind w:left="158"/>
              <w:rPr>
                <w:lang w:val="fr-FR"/>
              </w:rPr>
            </w:pPr>
            <w:r>
              <w:rPr>
                <w:lang w:val="fr-FR"/>
              </w:rPr>
              <w:t xml:space="preserve"> </w:t>
            </w:r>
          </w:p>
        </w:tc>
        <w:tc>
          <w:tcPr>
            <w:tcW w:w="3544" w:type="dxa"/>
            <w:tcBorders>
              <w:top w:val="nil"/>
              <w:left w:val="nil"/>
              <w:bottom w:val="single" w:sz="36" w:space="0" w:color="auto"/>
              <w:right w:val="nil"/>
            </w:tcBorders>
          </w:tcPr>
          <w:p w:rsidR="00441083" w:rsidRDefault="00441083">
            <w:pPr>
              <w:rPr>
                <w:lang w:val="fr-FR"/>
              </w:rPr>
            </w:pPr>
          </w:p>
          <w:p w:rsidR="00441083" w:rsidRPr="001866A8" w:rsidRDefault="00E60D9C">
            <w:pPr>
              <w:rPr>
                <w:lang w:val="fr-CA"/>
              </w:rPr>
            </w:pPr>
            <w:r w:rsidRPr="001866A8">
              <w:rPr>
                <w:lang w:val="fr-CA"/>
              </w:rPr>
              <w:t>Distr.</w:t>
            </w:r>
          </w:p>
          <w:p w:rsidR="00441083" w:rsidRPr="001866A8" w:rsidRDefault="00E60D9C">
            <w:pPr>
              <w:rPr>
                <w:lang w:val="fr-CA"/>
              </w:rPr>
            </w:pPr>
            <w:r w:rsidRPr="001866A8">
              <w:rPr>
                <w:lang w:val="fr-CA"/>
              </w:rPr>
              <w:t>GENERAL</w:t>
            </w:r>
            <w:r w:rsidR="00085BCB" w:rsidRPr="001866A8">
              <w:rPr>
                <w:lang w:val="fr-CA"/>
              </w:rPr>
              <w:t>E</w:t>
            </w:r>
          </w:p>
          <w:p w:rsidR="00441083" w:rsidRPr="001866A8" w:rsidRDefault="00441083">
            <w:pPr>
              <w:rPr>
                <w:lang w:val="fr-CA"/>
              </w:rPr>
            </w:pPr>
          </w:p>
          <w:p w:rsidR="00441083" w:rsidRPr="001866A8" w:rsidRDefault="00E60D9C">
            <w:pPr>
              <w:rPr>
                <w:lang w:val="fr-CA"/>
              </w:rPr>
            </w:pPr>
            <w:r>
              <w:fldChar w:fldCharType="begin"/>
            </w:r>
            <w:r w:rsidRPr="001866A8">
              <w:rPr>
                <w:lang w:val="fr-CA"/>
              </w:rPr>
              <w:instrText xml:space="preserve"> DOCPROPERTY "Document number"  \* MERGEFORMAT </w:instrText>
            </w:r>
            <w:r>
              <w:fldChar w:fldCharType="separate"/>
            </w:r>
            <w:r w:rsidR="00042D82">
              <w:rPr>
                <w:lang w:val="fr-CA"/>
              </w:rPr>
              <w:t>UNEP/OzL.Pro/ExCom/83/37</w:t>
            </w:r>
            <w:r>
              <w:fldChar w:fldCharType="end"/>
            </w:r>
          </w:p>
          <w:p w:rsidR="002F0B57" w:rsidRPr="001866A8" w:rsidRDefault="002F0B57" w:rsidP="001D4CE7">
            <w:pPr>
              <w:rPr>
                <w:lang w:val="fr-CA"/>
              </w:rPr>
            </w:pPr>
            <w:r>
              <w:fldChar w:fldCharType="begin"/>
            </w:r>
            <w:r w:rsidRPr="001866A8">
              <w:rPr>
                <w:lang w:val="fr-CA"/>
              </w:rPr>
              <w:instrText xml:space="preserve"> DOCPROPERTY "Revision date" \@ "d MMMM YYYY"  \* MERGEFORMAT </w:instrText>
            </w:r>
            <w:r>
              <w:fldChar w:fldCharType="separate"/>
            </w:r>
            <w:r w:rsidR="000D0262" w:rsidRPr="001866A8">
              <w:rPr>
                <w:lang w:val="fr-CA"/>
              </w:rPr>
              <w:t>3</w:t>
            </w:r>
            <w:r w:rsidR="00220DA4" w:rsidRPr="001866A8">
              <w:rPr>
                <w:lang w:val="fr-CA"/>
              </w:rPr>
              <w:t xml:space="preserve"> </w:t>
            </w:r>
            <w:r w:rsidR="000D0262" w:rsidRPr="001866A8">
              <w:rPr>
                <w:lang w:val="fr-CA"/>
              </w:rPr>
              <w:t>mai </w:t>
            </w:r>
            <w:r w:rsidR="00220DA4" w:rsidRPr="001866A8">
              <w:rPr>
                <w:lang w:val="fr-CA"/>
              </w:rPr>
              <w:t>2019</w:t>
            </w:r>
            <w:r>
              <w:fldChar w:fldCharType="end"/>
            </w:r>
          </w:p>
          <w:p w:rsidR="00441083" w:rsidRDefault="00FC5578">
            <w:pPr>
              <w:rPr>
                <w:caps/>
                <w:lang w:val="fr-FR"/>
              </w:rPr>
            </w:pPr>
            <w:r w:rsidRPr="001866A8">
              <w:rPr>
                <w:caps/>
                <w:lang w:val="fr-CA"/>
              </w:rPr>
              <w:br/>
            </w:r>
            <w:r w:rsidR="00E60D9C">
              <w:rPr>
                <w:caps/>
                <w:lang w:val="fr-FR"/>
              </w:rPr>
              <w:t>FRANÇAIS</w:t>
            </w:r>
          </w:p>
          <w:p w:rsidR="00441083" w:rsidRDefault="00E60D9C">
            <w:r>
              <w:t xml:space="preserve">ORIGINAL: </w:t>
            </w:r>
            <w:r w:rsidR="0091161A">
              <w:t>ANGLAIS</w:t>
            </w:r>
          </w:p>
        </w:tc>
      </w:tr>
    </w:tbl>
    <w:p w:rsidR="00441083" w:rsidRDefault="00E60D9C" w:rsidP="004C2C87">
      <w:pPr>
        <w:jc w:val="left"/>
        <w:rPr>
          <w:lang w:val="fr-CA"/>
        </w:rPr>
      </w:pPr>
      <w:r>
        <w:rPr>
          <w:lang w:val="fr-CA"/>
        </w:rPr>
        <w:t xml:space="preserve">COMITE EXECUTIF </w:t>
      </w:r>
      <w:r>
        <w:rPr>
          <w:lang w:val="fr-CA"/>
        </w:rPr>
        <w:br/>
        <w:t xml:space="preserve">  DU FONDS MULTILATERAL AUX FINS </w:t>
      </w:r>
      <w:r>
        <w:rPr>
          <w:lang w:val="fr-CA"/>
        </w:rPr>
        <w:br/>
        <w:t xml:space="preserve">  D’APPLICATION DU PROTOCOLE DE MONTREAL</w:t>
      </w:r>
      <w:r>
        <w:rPr>
          <w:lang w:val="fr-CA"/>
        </w:rPr>
        <w:br/>
      </w:r>
      <w:r w:rsidR="00E54871">
        <w:rPr>
          <w:lang w:val="fr-CA"/>
        </w:rPr>
        <w:t>Quatre</w:t>
      </w:r>
      <w:r>
        <w:rPr>
          <w:lang w:val="fr-CA"/>
        </w:rPr>
        <w:t>-</w:t>
      </w:r>
      <w:r w:rsidR="00E54871">
        <w:rPr>
          <w:lang w:val="fr-CA"/>
        </w:rPr>
        <w:t>vingt</w:t>
      </w:r>
      <w:r w:rsidR="00AE63D8">
        <w:rPr>
          <w:lang w:val="fr-CA"/>
        </w:rPr>
        <w:t>-</w:t>
      </w:r>
      <w:r w:rsidR="004C2C87">
        <w:rPr>
          <w:lang w:val="fr-CA"/>
        </w:rPr>
        <w:t>troisi</w:t>
      </w:r>
      <w:r w:rsidR="00E54871">
        <w:rPr>
          <w:lang w:val="fr-CA"/>
        </w:rPr>
        <w:t>ème</w:t>
      </w:r>
      <w:r w:rsidR="00FC5578" w:rsidRPr="00FC5578">
        <w:rPr>
          <w:lang w:val="fr-CA"/>
        </w:rPr>
        <w:t xml:space="preserve"> </w:t>
      </w:r>
      <w:r>
        <w:rPr>
          <w:lang w:val="fr-CA"/>
        </w:rPr>
        <w:t>réunion</w:t>
      </w:r>
    </w:p>
    <w:p w:rsidR="00441083" w:rsidRDefault="00E54871" w:rsidP="004C2C87">
      <w:pPr>
        <w:jc w:val="left"/>
        <w:rPr>
          <w:lang w:val="fr-CA"/>
        </w:rPr>
      </w:pPr>
      <w:r>
        <w:rPr>
          <w:lang w:val="fr-CA"/>
        </w:rPr>
        <w:t>Montr</w:t>
      </w:r>
      <w:r w:rsidRPr="00264F4B">
        <w:rPr>
          <w:lang w:val="fr-CA"/>
        </w:rPr>
        <w:t>é</w:t>
      </w:r>
      <w:r>
        <w:rPr>
          <w:lang w:val="fr-CA"/>
        </w:rPr>
        <w:t>al,</w:t>
      </w:r>
      <w:r w:rsidR="00FC5578">
        <w:rPr>
          <w:lang w:val="fr-CA"/>
        </w:rPr>
        <w:t xml:space="preserve"> </w:t>
      </w:r>
      <w:r w:rsidR="004C2C87">
        <w:rPr>
          <w:lang w:val="fr-CA"/>
        </w:rPr>
        <w:t>27</w:t>
      </w:r>
      <w:r w:rsidR="00E60D9C">
        <w:rPr>
          <w:lang w:val="fr-CA"/>
        </w:rPr>
        <w:t xml:space="preserve">– </w:t>
      </w:r>
      <w:r w:rsidR="004C2C87">
        <w:rPr>
          <w:lang w:val="fr-CA"/>
        </w:rPr>
        <w:t>31</w:t>
      </w:r>
      <w:r w:rsidR="00E60D9C">
        <w:rPr>
          <w:lang w:val="fr-CA"/>
        </w:rPr>
        <w:t xml:space="preserve"> </w:t>
      </w:r>
      <w:r w:rsidR="004C2C87">
        <w:rPr>
          <w:lang w:val="fr-CA"/>
        </w:rPr>
        <w:t>mai 2019</w:t>
      </w:r>
    </w:p>
    <w:p w:rsidR="00441083" w:rsidRDefault="00441083">
      <w:pPr>
        <w:jc w:val="left"/>
        <w:rPr>
          <w:lang w:val="fr-CA"/>
        </w:rPr>
      </w:pPr>
    </w:p>
    <w:p w:rsidR="00441083" w:rsidRDefault="00441083">
      <w:pPr>
        <w:pStyle w:val="Heading3"/>
        <w:numPr>
          <w:ilvl w:val="0"/>
          <w:numId w:val="0"/>
        </w:numPr>
        <w:spacing w:after="0"/>
        <w:rPr>
          <w:lang w:val="fr-FR"/>
        </w:rPr>
      </w:pPr>
    </w:p>
    <w:p w:rsidR="00441083" w:rsidRDefault="00441083">
      <w:pPr>
        <w:pStyle w:val="Title1"/>
        <w:rPr>
          <w:lang w:val="fr-FR"/>
        </w:rPr>
      </w:pPr>
    </w:p>
    <w:p w:rsidR="00042D82" w:rsidRDefault="00264F4B" w:rsidP="009A7BCC">
      <w:pPr>
        <w:jc w:val="center"/>
        <w:rPr>
          <w:b/>
          <w:lang w:val="fr-CA"/>
        </w:rPr>
      </w:pPr>
      <w:r>
        <w:rPr>
          <w:b/>
          <w:lang w:val="fr-CA"/>
        </w:rPr>
        <w:t>PROPOSITION DE PROJET : TOGO</w:t>
      </w:r>
      <w:r w:rsidR="009A7BCC">
        <w:rPr>
          <w:b/>
          <w:lang w:val="fr-CA"/>
        </w:rPr>
        <w:t xml:space="preserve"> (LE)</w:t>
      </w:r>
    </w:p>
    <w:p w:rsidR="009A7BCC" w:rsidRDefault="009A7BCC" w:rsidP="009A7BCC">
      <w:pPr>
        <w:jc w:val="center"/>
        <w:rPr>
          <w:b/>
          <w:lang w:val="fr-CA"/>
        </w:rPr>
      </w:pPr>
      <w:bookmarkStart w:id="0" w:name="_GoBack"/>
      <w:bookmarkEnd w:id="0"/>
    </w:p>
    <w:p w:rsidR="00264F4B" w:rsidRDefault="00264F4B" w:rsidP="00264F4B">
      <w:pPr>
        <w:jc w:val="center"/>
        <w:rPr>
          <w:lang w:val="fr-CA"/>
        </w:rPr>
      </w:pPr>
    </w:p>
    <w:p w:rsidR="00264F4B" w:rsidRDefault="00264F4B" w:rsidP="00264F4B">
      <w:pPr>
        <w:rPr>
          <w:lang w:val="fr-CA"/>
        </w:rPr>
      </w:pPr>
    </w:p>
    <w:p w:rsidR="00264F4B" w:rsidRDefault="00264F4B" w:rsidP="00264F4B">
      <w:pPr>
        <w:ind w:firstLine="720"/>
        <w:rPr>
          <w:lang w:val="fr-CA"/>
        </w:rPr>
      </w:pPr>
      <w:r>
        <w:rPr>
          <w:lang w:val="fr-CA"/>
        </w:rPr>
        <w:t xml:space="preserve">Le présent document renferme les observations et la recommandation du Secrétariat sur la proposition de projet suivante : </w:t>
      </w:r>
    </w:p>
    <w:p w:rsidR="00264F4B" w:rsidRDefault="00264F4B" w:rsidP="00264F4B">
      <w:pPr>
        <w:rPr>
          <w:lang w:val="fr-CA"/>
        </w:rPr>
      </w:pPr>
    </w:p>
    <w:p w:rsidR="00264F4B" w:rsidRPr="00A4172F" w:rsidRDefault="00264F4B" w:rsidP="00264F4B">
      <w:pPr>
        <w:rPr>
          <w:lang w:val="en-CA"/>
        </w:rPr>
      </w:pPr>
      <w:r>
        <w:rPr>
          <w:u w:val="single"/>
          <w:lang w:val="en-CA"/>
        </w:rPr>
        <w:t>Élimination</w:t>
      </w:r>
    </w:p>
    <w:p w:rsidR="00264F4B" w:rsidRPr="00A4172F" w:rsidRDefault="00264F4B" w:rsidP="00264F4B">
      <w:pPr>
        <w:rPr>
          <w:lang w:val="en-CA"/>
        </w:rPr>
      </w:pPr>
    </w:p>
    <w:p w:rsidR="00264F4B" w:rsidRPr="00A4172F" w:rsidRDefault="00264F4B" w:rsidP="00264F4B">
      <w:pPr>
        <w:rPr>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1"/>
        <w:gridCol w:w="2409"/>
      </w:tblGrid>
      <w:tr w:rsidR="00264F4B" w:rsidRPr="00A4172F" w:rsidTr="007A66C5">
        <w:tc>
          <w:tcPr>
            <w:tcW w:w="6941" w:type="dxa"/>
          </w:tcPr>
          <w:p w:rsidR="00264F4B" w:rsidRPr="000F60BB" w:rsidRDefault="000F60BB" w:rsidP="00F63BD4">
            <w:pPr>
              <w:pStyle w:val="ListParagraph"/>
              <w:numPr>
                <w:ilvl w:val="0"/>
                <w:numId w:val="23"/>
              </w:numPr>
              <w:ind w:hanging="830"/>
              <w:rPr>
                <w:lang w:val="fr-CA"/>
              </w:rPr>
            </w:pPr>
            <w:r w:rsidRPr="000F60BB">
              <w:rPr>
                <w:lang w:val="fr-CA"/>
              </w:rPr>
              <w:t xml:space="preserve">Plan de gestion de l’élimination des </w:t>
            </w:r>
            <w:r w:rsidR="00264F4B" w:rsidRPr="000F60BB">
              <w:rPr>
                <w:lang w:val="fr-CA"/>
              </w:rPr>
              <w:t>HCFC</w:t>
            </w:r>
            <w:r w:rsidR="00F63BD4">
              <w:rPr>
                <w:lang w:val="fr-CA"/>
              </w:rPr>
              <w:t xml:space="preserve"> </w:t>
            </w:r>
            <w:r w:rsidR="00264F4B" w:rsidRPr="000F60BB">
              <w:rPr>
                <w:lang w:val="fr-CA"/>
              </w:rPr>
              <w:t>(</w:t>
            </w:r>
            <w:r w:rsidRPr="000F60BB">
              <w:rPr>
                <w:lang w:val="fr-CA"/>
              </w:rPr>
              <w:t>p</w:t>
            </w:r>
            <w:r>
              <w:rPr>
                <w:lang w:val="fr-CA"/>
              </w:rPr>
              <w:t>hase </w:t>
            </w:r>
            <w:r w:rsidR="00264F4B" w:rsidRPr="000F60BB">
              <w:rPr>
                <w:lang w:val="fr-CA"/>
              </w:rPr>
              <w:t xml:space="preserve">I, </w:t>
            </w:r>
            <w:r>
              <w:rPr>
                <w:lang w:val="fr-CA"/>
              </w:rPr>
              <w:t>quatrième tranche</w:t>
            </w:r>
            <w:r w:rsidR="00264F4B" w:rsidRPr="000F60BB">
              <w:rPr>
                <w:lang w:val="fr-CA"/>
              </w:rPr>
              <w:t>)</w:t>
            </w:r>
          </w:p>
        </w:tc>
        <w:tc>
          <w:tcPr>
            <w:tcW w:w="2409" w:type="dxa"/>
          </w:tcPr>
          <w:p w:rsidR="00264F4B" w:rsidRPr="00A4172F" w:rsidRDefault="00F655DE" w:rsidP="007A66C5">
            <w:pPr>
              <w:jc w:val="right"/>
              <w:rPr>
                <w:lang w:val="en-CA"/>
              </w:rPr>
            </w:pPr>
            <w:r>
              <w:rPr>
                <w:lang w:val="en-CA"/>
              </w:rPr>
              <w:t>PNUE et ONUDI</w:t>
            </w:r>
          </w:p>
        </w:tc>
      </w:tr>
    </w:tbl>
    <w:p w:rsidR="00441083" w:rsidRPr="00F655DE" w:rsidRDefault="00441083">
      <w:pPr>
        <w:jc w:val="center"/>
        <w:rPr>
          <w:lang w:val="en-CA"/>
        </w:rPr>
      </w:pPr>
    </w:p>
    <w:p w:rsidR="00441083" w:rsidRPr="00F655DE" w:rsidRDefault="00441083">
      <w:pPr>
        <w:jc w:val="center"/>
        <w:rPr>
          <w:lang w:val="en-CA"/>
        </w:rPr>
      </w:pPr>
    </w:p>
    <w:p w:rsidR="00441083" w:rsidRPr="00F655DE" w:rsidRDefault="00441083">
      <w:pPr>
        <w:jc w:val="center"/>
        <w:rPr>
          <w:lang w:val="en-CA"/>
        </w:rPr>
      </w:pPr>
    </w:p>
    <w:p w:rsidR="00441083" w:rsidRPr="00F655DE" w:rsidRDefault="00441083" w:rsidP="004E3A36">
      <w:pPr>
        <w:pStyle w:val="Heading1"/>
        <w:numPr>
          <w:ilvl w:val="0"/>
          <w:numId w:val="0"/>
        </w:numPr>
        <w:rPr>
          <w:lang w:val="en-CA"/>
        </w:rPr>
      </w:pPr>
    </w:p>
    <w:p w:rsidR="00441083" w:rsidRPr="00F655DE" w:rsidRDefault="00441083">
      <w:pPr>
        <w:pStyle w:val="StyleHeader4Para4Left0Firstline0"/>
        <w:numPr>
          <w:ilvl w:val="0"/>
          <w:numId w:val="0"/>
        </w:numPr>
        <w:rPr>
          <w:lang w:val="en-CA"/>
        </w:rPr>
      </w:pPr>
    </w:p>
    <w:p w:rsidR="00441083" w:rsidRPr="00F655DE" w:rsidRDefault="00E60D9C">
      <w:pPr>
        <w:pStyle w:val="StyleHeader4Para4Left0Firstline0"/>
        <w:numPr>
          <w:ilvl w:val="0"/>
          <w:numId w:val="0"/>
        </w:numPr>
        <w:rPr>
          <w:lang w:val="en-CA"/>
        </w:rPr>
      </w:pPr>
      <w:r w:rsidRPr="00F655DE">
        <w:rPr>
          <w:lang w:val="en-CA"/>
        </w:rPr>
        <w:br w:type="page"/>
      </w:r>
    </w:p>
    <w:p w:rsidR="00085BCB" w:rsidRPr="00F63BD4" w:rsidRDefault="00085BCB" w:rsidP="00F63BD4">
      <w:pPr>
        <w:jc w:val="center"/>
        <w:rPr>
          <w:b/>
          <w:lang w:val="fr-CA"/>
        </w:rPr>
      </w:pPr>
      <w:r w:rsidRPr="00F63BD4">
        <w:rPr>
          <w:b/>
          <w:lang w:val="fr-CA"/>
        </w:rPr>
        <w:lastRenderedPageBreak/>
        <w:t>FICHE D’ÉVALUATION DU PROJET – PROJETS PLURIANNUELS</w:t>
      </w:r>
    </w:p>
    <w:p w:rsidR="00F63BD4" w:rsidRPr="00F63BD4" w:rsidRDefault="00F63BD4" w:rsidP="00F63BD4">
      <w:pPr>
        <w:jc w:val="center"/>
        <w:rPr>
          <w:b/>
          <w:lang w:val="fr-CA"/>
        </w:rPr>
      </w:pPr>
    </w:p>
    <w:p w:rsidR="00085BCB" w:rsidRPr="00F63BD4" w:rsidRDefault="00F655DE" w:rsidP="00F63BD4">
      <w:pPr>
        <w:jc w:val="center"/>
        <w:rPr>
          <w:b/>
          <w:lang w:val="en-CA"/>
        </w:rPr>
      </w:pPr>
      <w:r w:rsidRPr="00F63BD4">
        <w:rPr>
          <w:b/>
          <w:lang w:val="en-CA"/>
        </w:rPr>
        <w:t>Togo</w:t>
      </w:r>
    </w:p>
    <w:p w:rsidR="00F63BD4" w:rsidRPr="00F63BD4" w:rsidRDefault="00F63BD4" w:rsidP="00F63BD4">
      <w:pPr>
        <w:jc w:val="center"/>
        <w:rPr>
          <w:b/>
          <w:lang w:val="en-CA"/>
        </w:rPr>
      </w:pPr>
    </w:p>
    <w:tbl>
      <w:tblPr>
        <w:tblStyle w:val="TableGrid"/>
        <w:tblW w:w="10948" w:type="dxa"/>
        <w:tblInd w:w="-856"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4564"/>
        <w:gridCol w:w="2610"/>
        <w:gridCol w:w="1788"/>
        <w:gridCol w:w="1986"/>
      </w:tblGrid>
      <w:tr w:rsidR="00085BCB" w:rsidRPr="00721EBF" w:rsidTr="00F63BD4">
        <w:trPr>
          <w:trHeight w:val="258"/>
        </w:trPr>
        <w:tc>
          <w:tcPr>
            <w:tcW w:w="4564" w:type="dxa"/>
            <w:shd w:val="clear" w:color="auto" w:fill="auto"/>
          </w:tcPr>
          <w:p w:rsidR="00085BCB" w:rsidRPr="00721EBF" w:rsidRDefault="00085BCB" w:rsidP="007A66C5">
            <w:pPr>
              <w:spacing w:after="80"/>
              <w:jc w:val="left"/>
              <w:rPr>
                <w:b/>
                <w:sz w:val="18"/>
                <w:lang w:val="en-CA"/>
              </w:rPr>
            </w:pPr>
            <w:bookmarkStart w:id="1" w:name="_Hlk7687031"/>
            <w:r w:rsidRPr="00721EBF">
              <w:rPr>
                <w:b/>
                <w:sz w:val="18"/>
                <w:lang w:val="en-CA"/>
              </w:rPr>
              <w:t xml:space="preserve">(I) </w:t>
            </w:r>
            <w:r>
              <w:rPr>
                <w:b/>
                <w:sz w:val="18"/>
                <w:lang w:val="en-CA"/>
              </w:rPr>
              <w:t>TITRE DU PROJET</w:t>
            </w:r>
          </w:p>
        </w:tc>
        <w:tc>
          <w:tcPr>
            <w:tcW w:w="2610" w:type="dxa"/>
            <w:shd w:val="clear" w:color="auto" w:fill="auto"/>
          </w:tcPr>
          <w:p w:rsidR="00085BCB" w:rsidRPr="00721EBF" w:rsidRDefault="00085BCB" w:rsidP="007A66C5">
            <w:pPr>
              <w:spacing w:after="80"/>
              <w:jc w:val="center"/>
              <w:rPr>
                <w:b/>
                <w:sz w:val="18"/>
                <w:lang w:val="en-CA"/>
              </w:rPr>
            </w:pPr>
            <w:r w:rsidRPr="00721EBF">
              <w:rPr>
                <w:b/>
                <w:sz w:val="18"/>
                <w:lang w:val="en-CA"/>
              </w:rPr>
              <w:t>AGENC</w:t>
            </w:r>
            <w:r>
              <w:rPr>
                <w:b/>
                <w:sz w:val="18"/>
                <w:lang w:val="en-CA"/>
              </w:rPr>
              <w:t>E</w:t>
            </w:r>
          </w:p>
        </w:tc>
        <w:tc>
          <w:tcPr>
            <w:tcW w:w="1788" w:type="dxa"/>
            <w:shd w:val="clear" w:color="auto" w:fill="auto"/>
          </w:tcPr>
          <w:p w:rsidR="00085BCB" w:rsidRPr="00721EBF" w:rsidRDefault="00085BCB" w:rsidP="007A66C5">
            <w:pPr>
              <w:spacing w:after="80"/>
              <w:jc w:val="center"/>
              <w:rPr>
                <w:b/>
                <w:sz w:val="18"/>
                <w:lang w:val="en-CA"/>
              </w:rPr>
            </w:pPr>
            <w:r>
              <w:rPr>
                <w:b/>
                <w:sz w:val="18"/>
                <w:lang w:val="en-CA"/>
              </w:rPr>
              <w:t>RÉUNION D’APPROBATION</w:t>
            </w:r>
          </w:p>
        </w:tc>
        <w:tc>
          <w:tcPr>
            <w:tcW w:w="1986" w:type="dxa"/>
            <w:shd w:val="clear" w:color="auto" w:fill="auto"/>
          </w:tcPr>
          <w:p w:rsidR="00085BCB" w:rsidRPr="00721EBF" w:rsidRDefault="00085BCB" w:rsidP="007A66C5">
            <w:pPr>
              <w:spacing w:after="80"/>
              <w:jc w:val="center"/>
              <w:rPr>
                <w:b/>
                <w:sz w:val="18"/>
                <w:lang w:val="en-CA"/>
              </w:rPr>
            </w:pPr>
            <w:r>
              <w:rPr>
                <w:b/>
                <w:sz w:val="18"/>
                <w:lang w:val="en-CA"/>
              </w:rPr>
              <w:t>MESURE DE RÉGLEMENTATION</w:t>
            </w:r>
          </w:p>
        </w:tc>
      </w:tr>
      <w:tr w:rsidR="00085BCB" w:rsidRPr="00721EBF" w:rsidTr="00F63BD4">
        <w:trPr>
          <w:trHeight w:val="258"/>
        </w:trPr>
        <w:tc>
          <w:tcPr>
            <w:tcW w:w="4564" w:type="dxa"/>
            <w:shd w:val="clear" w:color="auto" w:fill="auto"/>
          </w:tcPr>
          <w:p w:rsidR="00085BCB" w:rsidRPr="00DF2DA2" w:rsidRDefault="00085BCB" w:rsidP="007A66C5">
            <w:pPr>
              <w:spacing w:after="80"/>
              <w:jc w:val="center"/>
              <w:rPr>
                <w:sz w:val="18"/>
                <w:lang w:val="fr-CA"/>
              </w:rPr>
            </w:pPr>
            <w:r w:rsidRPr="00DF2DA2">
              <w:rPr>
                <w:sz w:val="18"/>
                <w:lang w:val="fr-CA"/>
              </w:rPr>
              <w:t>Plan de gestion de l’élimination des HCFC (Phase I)</w:t>
            </w:r>
          </w:p>
        </w:tc>
        <w:tc>
          <w:tcPr>
            <w:tcW w:w="2610" w:type="dxa"/>
            <w:shd w:val="clear" w:color="auto" w:fill="auto"/>
          </w:tcPr>
          <w:p w:rsidR="00085BCB" w:rsidRPr="00721EBF" w:rsidRDefault="00085BCB" w:rsidP="007A66C5">
            <w:pPr>
              <w:spacing w:after="80"/>
              <w:jc w:val="center"/>
              <w:rPr>
                <w:sz w:val="18"/>
                <w:lang w:val="en-CA"/>
              </w:rPr>
            </w:pPr>
            <w:r w:rsidRPr="00264F4B">
              <w:rPr>
                <w:sz w:val="18"/>
                <w:lang w:val="fr-CA"/>
              </w:rPr>
              <w:t xml:space="preserve"> </w:t>
            </w:r>
            <w:r w:rsidR="00F655DE">
              <w:rPr>
                <w:sz w:val="18"/>
                <w:lang w:val="fr-CA"/>
              </w:rPr>
              <w:t xml:space="preserve">PNUE </w:t>
            </w:r>
            <w:r>
              <w:rPr>
                <w:sz w:val="18"/>
                <w:lang w:val="en-CA"/>
              </w:rPr>
              <w:t>(principale)</w:t>
            </w:r>
            <w:r w:rsidR="00F655DE">
              <w:rPr>
                <w:sz w:val="18"/>
                <w:lang w:val="en-CA"/>
              </w:rPr>
              <w:t>, ONUDI</w:t>
            </w:r>
          </w:p>
        </w:tc>
        <w:tc>
          <w:tcPr>
            <w:tcW w:w="1788" w:type="dxa"/>
            <w:shd w:val="clear" w:color="auto" w:fill="auto"/>
          </w:tcPr>
          <w:p w:rsidR="00085BCB" w:rsidRPr="00721EBF" w:rsidRDefault="00085BCB" w:rsidP="007A66C5">
            <w:pPr>
              <w:spacing w:after="80"/>
              <w:jc w:val="center"/>
              <w:rPr>
                <w:sz w:val="18"/>
                <w:lang w:val="en-CA"/>
              </w:rPr>
            </w:pPr>
            <w:r>
              <w:rPr>
                <w:sz w:val="18"/>
                <w:lang w:val="en-CA"/>
              </w:rPr>
              <w:t>62</w:t>
            </w:r>
            <w:r w:rsidRPr="00DF2DA2">
              <w:rPr>
                <w:sz w:val="18"/>
                <w:vertAlign w:val="superscript"/>
                <w:lang w:val="en-CA"/>
              </w:rPr>
              <w:t>e</w:t>
            </w:r>
          </w:p>
        </w:tc>
        <w:tc>
          <w:tcPr>
            <w:tcW w:w="1986" w:type="dxa"/>
            <w:shd w:val="clear" w:color="auto" w:fill="auto"/>
          </w:tcPr>
          <w:p w:rsidR="00085BCB" w:rsidRPr="00721EBF" w:rsidRDefault="00085BCB" w:rsidP="007A66C5">
            <w:pPr>
              <w:spacing w:after="80"/>
              <w:jc w:val="center"/>
              <w:rPr>
                <w:sz w:val="18"/>
                <w:lang w:val="en-CA"/>
              </w:rPr>
            </w:pPr>
            <w:r>
              <w:rPr>
                <w:sz w:val="18"/>
                <w:lang w:val="en-CA"/>
              </w:rPr>
              <w:t> </w:t>
            </w:r>
            <w:r w:rsidR="00F655DE">
              <w:rPr>
                <w:sz w:val="18"/>
                <w:lang w:val="en-CA"/>
              </w:rPr>
              <w:t>35 </w:t>
            </w:r>
            <w:r>
              <w:rPr>
                <w:sz w:val="18"/>
                <w:lang w:val="en-CA"/>
              </w:rPr>
              <w:t>% d’ici 2020</w:t>
            </w:r>
          </w:p>
        </w:tc>
      </w:tr>
    </w:tbl>
    <w:p w:rsidR="00085BCB" w:rsidRDefault="00085BCB" w:rsidP="00A24C0D">
      <w:pPr>
        <w:spacing w:line="120" w:lineRule="auto"/>
        <w:jc w:val="center"/>
        <w:rPr>
          <w:lang w:val="en-CA"/>
        </w:rPr>
      </w:pPr>
    </w:p>
    <w:tbl>
      <w:tblPr>
        <w:tblStyle w:val="TableGrid"/>
        <w:tblW w:w="10946" w:type="dxa"/>
        <w:tblInd w:w="-856"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6247"/>
        <w:gridCol w:w="2475"/>
        <w:gridCol w:w="2224"/>
      </w:tblGrid>
      <w:tr w:rsidR="00085BCB" w:rsidRPr="00721EBF" w:rsidTr="007A66C5">
        <w:trPr>
          <w:trHeight w:val="255"/>
        </w:trPr>
        <w:tc>
          <w:tcPr>
            <w:tcW w:w="6247" w:type="dxa"/>
            <w:shd w:val="clear" w:color="auto" w:fill="auto"/>
          </w:tcPr>
          <w:p w:rsidR="00085BCB" w:rsidRPr="00DF2DA2" w:rsidRDefault="00085BCB" w:rsidP="007A66C5">
            <w:pPr>
              <w:spacing w:after="60"/>
              <w:jc w:val="left"/>
              <w:rPr>
                <w:b/>
                <w:sz w:val="18"/>
                <w:lang w:val="fr-CA"/>
              </w:rPr>
            </w:pPr>
            <w:r w:rsidRPr="00DF2DA2">
              <w:rPr>
                <w:b/>
                <w:sz w:val="18"/>
                <w:lang w:val="fr-CA"/>
              </w:rPr>
              <w:t xml:space="preserve">(II) DERNIÈRES DONNÉES DE </w:t>
            </w:r>
            <w:r>
              <w:rPr>
                <w:b/>
                <w:sz w:val="18"/>
                <w:lang w:val="fr-CA"/>
              </w:rPr>
              <w:t>L’ARTICLE </w:t>
            </w:r>
            <w:r w:rsidRPr="00DF2DA2">
              <w:rPr>
                <w:b/>
                <w:sz w:val="18"/>
                <w:lang w:val="fr-CA"/>
              </w:rPr>
              <w:t>7</w:t>
            </w:r>
            <w:r>
              <w:rPr>
                <w:b/>
                <w:sz w:val="18"/>
                <w:lang w:val="fr-CA"/>
              </w:rPr>
              <w:t xml:space="preserve"> </w:t>
            </w:r>
            <w:r w:rsidRPr="00DF2DA2">
              <w:rPr>
                <w:b/>
                <w:sz w:val="18"/>
                <w:lang w:val="fr-CA"/>
              </w:rPr>
              <w:t>(</w:t>
            </w:r>
            <w:r>
              <w:rPr>
                <w:b/>
                <w:sz w:val="18"/>
                <w:lang w:val="fr-CA"/>
              </w:rPr>
              <w:t>a</w:t>
            </w:r>
            <w:r w:rsidRPr="00DF2DA2">
              <w:rPr>
                <w:b/>
                <w:sz w:val="18"/>
                <w:lang w:val="fr-CA"/>
              </w:rPr>
              <w:t>nnex</w:t>
            </w:r>
            <w:r>
              <w:rPr>
                <w:b/>
                <w:sz w:val="18"/>
                <w:lang w:val="fr-CA"/>
              </w:rPr>
              <w:t>e </w:t>
            </w:r>
            <w:r w:rsidRPr="00DF2DA2">
              <w:rPr>
                <w:b/>
                <w:sz w:val="18"/>
                <w:lang w:val="fr-CA"/>
              </w:rPr>
              <w:t>C</w:t>
            </w:r>
            <w:r>
              <w:rPr>
                <w:b/>
                <w:sz w:val="18"/>
                <w:lang w:val="fr-CA"/>
              </w:rPr>
              <w:t>, g</w:t>
            </w:r>
            <w:r w:rsidRPr="00DF2DA2">
              <w:rPr>
                <w:b/>
                <w:sz w:val="18"/>
                <w:lang w:val="fr-CA"/>
              </w:rPr>
              <w:t>roup</w:t>
            </w:r>
            <w:r>
              <w:rPr>
                <w:b/>
                <w:sz w:val="18"/>
                <w:lang w:val="fr-CA"/>
              </w:rPr>
              <w:t>e </w:t>
            </w:r>
            <w:r w:rsidRPr="00DF2DA2">
              <w:rPr>
                <w:b/>
                <w:sz w:val="18"/>
                <w:lang w:val="fr-CA"/>
              </w:rPr>
              <w:t>l)</w:t>
            </w:r>
          </w:p>
        </w:tc>
        <w:tc>
          <w:tcPr>
            <w:tcW w:w="2475" w:type="dxa"/>
            <w:shd w:val="clear" w:color="auto" w:fill="auto"/>
          </w:tcPr>
          <w:p w:rsidR="00085BCB" w:rsidRPr="00721EBF" w:rsidRDefault="00085BCB" w:rsidP="007A66C5">
            <w:pPr>
              <w:spacing w:after="60"/>
              <w:jc w:val="center"/>
              <w:rPr>
                <w:sz w:val="18"/>
                <w:lang w:val="en-CA"/>
              </w:rPr>
            </w:pPr>
            <w:r>
              <w:rPr>
                <w:sz w:val="18"/>
                <w:lang w:val="en-CA"/>
              </w:rPr>
              <w:t>Année : 201</w:t>
            </w:r>
            <w:r w:rsidR="00F655DE">
              <w:rPr>
                <w:sz w:val="18"/>
                <w:lang w:val="en-CA"/>
              </w:rPr>
              <w:t>8</w:t>
            </w:r>
          </w:p>
        </w:tc>
        <w:tc>
          <w:tcPr>
            <w:tcW w:w="2224" w:type="dxa"/>
            <w:shd w:val="clear" w:color="auto" w:fill="auto"/>
          </w:tcPr>
          <w:p w:rsidR="00085BCB" w:rsidRPr="00721EBF" w:rsidRDefault="00F655DE" w:rsidP="007A66C5">
            <w:pPr>
              <w:spacing w:after="60"/>
              <w:jc w:val="right"/>
              <w:rPr>
                <w:sz w:val="18"/>
                <w:lang w:val="en-CA"/>
              </w:rPr>
            </w:pPr>
            <w:r>
              <w:rPr>
                <w:sz w:val="18"/>
                <w:lang w:val="en-CA"/>
              </w:rPr>
              <w:t>14,19</w:t>
            </w:r>
            <w:r w:rsidR="00085BCB">
              <w:rPr>
                <w:sz w:val="18"/>
                <w:lang w:val="en-CA"/>
              </w:rPr>
              <w:t xml:space="preserve"> (tonnes PAO)</w:t>
            </w:r>
          </w:p>
        </w:tc>
      </w:tr>
    </w:tbl>
    <w:p w:rsidR="00085BCB" w:rsidRDefault="00085BCB" w:rsidP="00A24C0D">
      <w:pPr>
        <w:spacing w:line="120" w:lineRule="auto"/>
        <w:jc w:val="center"/>
        <w:rPr>
          <w:lang w:val="en-CA"/>
        </w:rPr>
      </w:pPr>
    </w:p>
    <w:tbl>
      <w:tblPr>
        <w:tblStyle w:val="TableGrid"/>
        <w:tblW w:w="10923" w:type="dxa"/>
        <w:tblInd w:w="-856"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1923"/>
        <w:gridCol w:w="786"/>
        <w:gridCol w:w="777"/>
        <w:gridCol w:w="936"/>
        <w:gridCol w:w="1036"/>
        <w:gridCol w:w="876"/>
        <w:gridCol w:w="837"/>
        <w:gridCol w:w="1276"/>
        <w:gridCol w:w="996"/>
        <w:gridCol w:w="1480"/>
      </w:tblGrid>
      <w:tr w:rsidR="00085BCB" w:rsidRPr="00721EBF" w:rsidTr="007A66C5">
        <w:trPr>
          <w:trHeight w:val="245"/>
        </w:trPr>
        <w:tc>
          <w:tcPr>
            <w:tcW w:w="8679" w:type="dxa"/>
            <w:gridSpan w:val="8"/>
            <w:shd w:val="clear" w:color="auto" w:fill="auto"/>
          </w:tcPr>
          <w:p w:rsidR="00085BCB" w:rsidRPr="00DF2DA2" w:rsidRDefault="00085BCB" w:rsidP="007A66C5">
            <w:pPr>
              <w:spacing w:after="60"/>
              <w:jc w:val="left"/>
              <w:rPr>
                <w:b/>
                <w:sz w:val="18"/>
                <w:lang w:val="fr-CA"/>
              </w:rPr>
            </w:pPr>
            <w:r w:rsidRPr="00DF2DA2">
              <w:rPr>
                <w:b/>
                <w:sz w:val="18"/>
                <w:lang w:val="fr-CA"/>
              </w:rPr>
              <w:t xml:space="preserve">(III) DERNIÈRES DONNÉES SECTORIELLES </w:t>
            </w:r>
            <w:r>
              <w:rPr>
                <w:b/>
                <w:sz w:val="18"/>
                <w:lang w:val="fr-CA"/>
              </w:rPr>
              <w:t>DU PROGRAMME DE PAYS (tonnes PAO)</w:t>
            </w:r>
          </w:p>
        </w:tc>
        <w:tc>
          <w:tcPr>
            <w:tcW w:w="2244" w:type="dxa"/>
            <w:gridSpan w:val="2"/>
            <w:shd w:val="clear" w:color="auto" w:fill="auto"/>
          </w:tcPr>
          <w:p w:rsidR="00085BCB" w:rsidRPr="00721EBF" w:rsidRDefault="00085BCB" w:rsidP="007A66C5">
            <w:pPr>
              <w:spacing w:after="60"/>
              <w:jc w:val="right"/>
              <w:rPr>
                <w:b/>
                <w:sz w:val="18"/>
                <w:lang w:val="en-CA"/>
              </w:rPr>
            </w:pPr>
            <w:r>
              <w:rPr>
                <w:b/>
                <w:sz w:val="18"/>
                <w:lang w:val="en-CA"/>
              </w:rPr>
              <w:t>Année </w:t>
            </w:r>
            <w:r w:rsidRPr="007F12DF">
              <w:rPr>
                <w:b/>
                <w:sz w:val="18"/>
                <w:lang w:val="en-CA"/>
              </w:rPr>
              <w:t>: 2017</w:t>
            </w:r>
          </w:p>
        </w:tc>
      </w:tr>
      <w:tr w:rsidR="00085BCB" w:rsidRPr="00721EBF" w:rsidTr="007A66C5">
        <w:trPr>
          <w:trHeight w:val="245"/>
        </w:trPr>
        <w:tc>
          <w:tcPr>
            <w:tcW w:w="2116" w:type="dxa"/>
            <w:shd w:val="clear" w:color="auto" w:fill="auto"/>
          </w:tcPr>
          <w:p w:rsidR="00085BCB" w:rsidRPr="00475DD9" w:rsidRDefault="00085BCB" w:rsidP="007A66C5">
            <w:pPr>
              <w:spacing w:after="60"/>
              <w:jc w:val="center"/>
              <w:rPr>
                <w:sz w:val="18"/>
                <w:lang w:val="fr-CA"/>
              </w:rPr>
            </w:pPr>
            <w:r w:rsidRPr="00475DD9">
              <w:rPr>
                <w:sz w:val="18"/>
                <w:lang w:val="fr-CA"/>
              </w:rPr>
              <w:t>Produits chimiques</w:t>
            </w:r>
          </w:p>
        </w:tc>
        <w:tc>
          <w:tcPr>
            <w:tcW w:w="0" w:type="auto"/>
            <w:shd w:val="clear" w:color="auto" w:fill="auto"/>
          </w:tcPr>
          <w:p w:rsidR="00085BCB" w:rsidRPr="00475DD9" w:rsidRDefault="00085BCB" w:rsidP="007A66C5">
            <w:pPr>
              <w:spacing w:after="60"/>
              <w:jc w:val="center"/>
              <w:rPr>
                <w:sz w:val="18"/>
                <w:lang w:val="fr-CA"/>
              </w:rPr>
            </w:pPr>
            <w:r w:rsidRPr="00475DD9">
              <w:rPr>
                <w:sz w:val="18"/>
                <w:lang w:val="fr-CA"/>
              </w:rPr>
              <w:t>Aérosol</w:t>
            </w:r>
          </w:p>
        </w:tc>
        <w:tc>
          <w:tcPr>
            <w:tcW w:w="0" w:type="auto"/>
            <w:shd w:val="clear" w:color="auto" w:fill="auto"/>
          </w:tcPr>
          <w:p w:rsidR="00085BCB" w:rsidRPr="00475DD9" w:rsidRDefault="00085BCB" w:rsidP="007A66C5">
            <w:pPr>
              <w:spacing w:after="60"/>
              <w:jc w:val="center"/>
              <w:rPr>
                <w:sz w:val="18"/>
                <w:lang w:val="fr-CA"/>
              </w:rPr>
            </w:pPr>
            <w:r w:rsidRPr="00475DD9">
              <w:rPr>
                <w:sz w:val="18"/>
                <w:lang w:val="fr-CA"/>
              </w:rPr>
              <w:t>Mousse</w:t>
            </w:r>
          </w:p>
        </w:tc>
        <w:tc>
          <w:tcPr>
            <w:tcW w:w="0" w:type="auto"/>
            <w:shd w:val="clear" w:color="auto" w:fill="auto"/>
          </w:tcPr>
          <w:p w:rsidR="00085BCB" w:rsidRPr="00475DD9" w:rsidRDefault="00085BCB" w:rsidP="007A66C5">
            <w:pPr>
              <w:spacing w:after="60"/>
              <w:jc w:val="center"/>
              <w:rPr>
                <w:sz w:val="18"/>
                <w:lang w:val="fr-CA"/>
              </w:rPr>
            </w:pPr>
            <w:r w:rsidRPr="00475DD9">
              <w:rPr>
                <w:sz w:val="18"/>
                <w:lang w:val="fr-CA"/>
              </w:rPr>
              <w:t>Lutte contre l’incendie</w:t>
            </w:r>
          </w:p>
        </w:tc>
        <w:tc>
          <w:tcPr>
            <w:tcW w:w="0" w:type="auto"/>
            <w:gridSpan w:val="2"/>
            <w:shd w:val="clear" w:color="auto" w:fill="auto"/>
          </w:tcPr>
          <w:p w:rsidR="00085BCB" w:rsidRPr="00475DD9" w:rsidRDefault="00085BCB" w:rsidP="007A66C5">
            <w:pPr>
              <w:spacing w:after="60"/>
              <w:jc w:val="center"/>
              <w:rPr>
                <w:sz w:val="18"/>
                <w:lang w:val="fr-CA"/>
              </w:rPr>
            </w:pPr>
            <w:r w:rsidRPr="00475DD9">
              <w:rPr>
                <w:sz w:val="18"/>
                <w:lang w:val="fr-CA"/>
              </w:rPr>
              <w:t>Réfrigération</w:t>
            </w:r>
          </w:p>
        </w:tc>
        <w:tc>
          <w:tcPr>
            <w:tcW w:w="0" w:type="auto"/>
            <w:shd w:val="clear" w:color="auto" w:fill="auto"/>
          </w:tcPr>
          <w:p w:rsidR="00085BCB" w:rsidRPr="00475DD9" w:rsidRDefault="00085BCB" w:rsidP="007A66C5">
            <w:pPr>
              <w:spacing w:after="60"/>
              <w:jc w:val="center"/>
              <w:rPr>
                <w:sz w:val="18"/>
                <w:lang w:val="fr-CA"/>
              </w:rPr>
            </w:pPr>
            <w:r w:rsidRPr="00475DD9">
              <w:rPr>
                <w:sz w:val="18"/>
                <w:lang w:val="fr-CA"/>
              </w:rPr>
              <w:t>Solvants</w:t>
            </w:r>
          </w:p>
        </w:tc>
        <w:tc>
          <w:tcPr>
            <w:tcW w:w="0" w:type="auto"/>
            <w:shd w:val="clear" w:color="auto" w:fill="auto"/>
          </w:tcPr>
          <w:p w:rsidR="00085BCB" w:rsidRPr="00475DD9" w:rsidRDefault="00085BCB" w:rsidP="007A66C5">
            <w:pPr>
              <w:spacing w:after="60"/>
              <w:jc w:val="center"/>
              <w:rPr>
                <w:sz w:val="18"/>
                <w:lang w:val="fr-CA"/>
              </w:rPr>
            </w:pPr>
            <w:r w:rsidRPr="00475DD9">
              <w:rPr>
                <w:sz w:val="18"/>
                <w:lang w:val="fr-CA"/>
              </w:rPr>
              <w:t>Agent de transformation</w:t>
            </w:r>
          </w:p>
        </w:tc>
        <w:tc>
          <w:tcPr>
            <w:tcW w:w="0" w:type="auto"/>
            <w:shd w:val="clear" w:color="auto" w:fill="auto"/>
          </w:tcPr>
          <w:p w:rsidR="00085BCB" w:rsidRPr="00475DD9" w:rsidRDefault="00085BCB" w:rsidP="007A66C5">
            <w:pPr>
              <w:spacing w:after="60"/>
              <w:jc w:val="center"/>
              <w:rPr>
                <w:sz w:val="18"/>
                <w:lang w:val="fr-CA"/>
              </w:rPr>
            </w:pPr>
            <w:r w:rsidRPr="00475DD9">
              <w:rPr>
                <w:sz w:val="18"/>
                <w:lang w:val="fr-CA"/>
              </w:rPr>
              <w:t>Utilisation en laboratoire</w:t>
            </w:r>
          </w:p>
        </w:tc>
        <w:tc>
          <w:tcPr>
            <w:tcW w:w="1512" w:type="dxa"/>
            <w:shd w:val="clear" w:color="auto" w:fill="auto"/>
          </w:tcPr>
          <w:p w:rsidR="00085BCB" w:rsidRPr="00475DD9" w:rsidRDefault="00085BCB" w:rsidP="007A66C5">
            <w:pPr>
              <w:spacing w:after="60"/>
              <w:jc w:val="center"/>
              <w:rPr>
                <w:sz w:val="18"/>
                <w:lang w:val="fr-CA"/>
              </w:rPr>
            </w:pPr>
            <w:r w:rsidRPr="00475DD9">
              <w:rPr>
                <w:sz w:val="18"/>
                <w:lang w:val="fr-CA"/>
              </w:rPr>
              <w:t>Consommation totale du secteur</w:t>
            </w:r>
          </w:p>
        </w:tc>
      </w:tr>
      <w:tr w:rsidR="00085BCB" w:rsidRPr="00721EBF" w:rsidTr="007A66C5">
        <w:trPr>
          <w:trHeight w:val="245"/>
        </w:trPr>
        <w:tc>
          <w:tcPr>
            <w:tcW w:w="4593" w:type="dxa"/>
            <w:gridSpan w:val="4"/>
            <w:shd w:val="clear" w:color="auto" w:fill="auto"/>
          </w:tcPr>
          <w:p w:rsidR="00085BCB" w:rsidRPr="00475DD9" w:rsidRDefault="00085BCB" w:rsidP="007A66C5">
            <w:pPr>
              <w:spacing w:after="60"/>
              <w:jc w:val="center"/>
              <w:rPr>
                <w:sz w:val="18"/>
                <w:lang w:val="fr-CA"/>
              </w:rPr>
            </w:pPr>
            <w:r w:rsidRPr="00475DD9">
              <w:rPr>
                <w:sz w:val="18"/>
                <w:lang w:val="fr-CA"/>
              </w:rPr>
              <w:t xml:space="preserve"> </w:t>
            </w:r>
          </w:p>
        </w:tc>
        <w:tc>
          <w:tcPr>
            <w:tcW w:w="0" w:type="auto"/>
            <w:shd w:val="clear" w:color="auto" w:fill="auto"/>
          </w:tcPr>
          <w:p w:rsidR="00085BCB" w:rsidRPr="00475DD9" w:rsidRDefault="00085BCB" w:rsidP="007A66C5">
            <w:pPr>
              <w:spacing w:after="60"/>
              <w:jc w:val="center"/>
              <w:rPr>
                <w:sz w:val="18"/>
                <w:lang w:val="fr-CA"/>
              </w:rPr>
            </w:pPr>
            <w:r w:rsidRPr="00475DD9">
              <w:rPr>
                <w:sz w:val="18"/>
                <w:lang w:val="fr-CA"/>
              </w:rPr>
              <w:t>Fabrication</w:t>
            </w:r>
          </w:p>
        </w:tc>
        <w:tc>
          <w:tcPr>
            <w:tcW w:w="0" w:type="auto"/>
            <w:shd w:val="clear" w:color="auto" w:fill="auto"/>
          </w:tcPr>
          <w:p w:rsidR="00085BCB" w:rsidRPr="00475DD9" w:rsidRDefault="00085BCB" w:rsidP="007A66C5">
            <w:pPr>
              <w:spacing w:after="60"/>
              <w:jc w:val="center"/>
              <w:rPr>
                <w:sz w:val="18"/>
                <w:lang w:val="fr-CA"/>
              </w:rPr>
            </w:pPr>
            <w:r w:rsidRPr="00475DD9">
              <w:rPr>
                <w:sz w:val="18"/>
                <w:lang w:val="fr-CA"/>
              </w:rPr>
              <w:t>Entretien</w:t>
            </w:r>
          </w:p>
        </w:tc>
        <w:tc>
          <w:tcPr>
            <w:tcW w:w="4138" w:type="dxa"/>
            <w:gridSpan w:val="4"/>
            <w:shd w:val="clear" w:color="auto" w:fill="auto"/>
          </w:tcPr>
          <w:p w:rsidR="00085BCB" w:rsidRPr="00475DD9" w:rsidRDefault="00085BCB" w:rsidP="007A66C5">
            <w:pPr>
              <w:spacing w:after="60"/>
              <w:jc w:val="center"/>
              <w:rPr>
                <w:sz w:val="18"/>
                <w:lang w:val="fr-CA"/>
              </w:rPr>
            </w:pPr>
          </w:p>
        </w:tc>
      </w:tr>
      <w:tr w:rsidR="00085BCB" w:rsidRPr="00721EBF" w:rsidTr="007A66C5">
        <w:trPr>
          <w:trHeight w:val="245"/>
        </w:trPr>
        <w:tc>
          <w:tcPr>
            <w:tcW w:w="2116" w:type="dxa"/>
            <w:shd w:val="clear" w:color="auto" w:fill="auto"/>
          </w:tcPr>
          <w:p w:rsidR="00085BCB" w:rsidRPr="007F12DF" w:rsidRDefault="00085BCB" w:rsidP="007A66C5">
            <w:pPr>
              <w:spacing w:after="60"/>
              <w:jc w:val="left"/>
              <w:rPr>
                <w:sz w:val="18"/>
                <w:lang w:val="en-CA"/>
              </w:rPr>
            </w:pPr>
            <w:r w:rsidRPr="007F12DF">
              <w:rPr>
                <w:sz w:val="18"/>
                <w:lang w:val="en-CA"/>
              </w:rPr>
              <w:t>HCFC-22</w:t>
            </w:r>
          </w:p>
        </w:tc>
        <w:tc>
          <w:tcPr>
            <w:tcW w:w="0" w:type="auto"/>
            <w:shd w:val="clear" w:color="auto" w:fill="auto"/>
          </w:tcPr>
          <w:p w:rsidR="00085BCB" w:rsidRPr="007F12DF" w:rsidRDefault="00085BCB" w:rsidP="007A66C5">
            <w:pPr>
              <w:spacing w:after="60"/>
              <w:jc w:val="right"/>
              <w:rPr>
                <w:sz w:val="18"/>
                <w:lang w:val="en-CA"/>
              </w:rPr>
            </w:pPr>
          </w:p>
        </w:tc>
        <w:tc>
          <w:tcPr>
            <w:tcW w:w="0" w:type="auto"/>
            <w:shd w:val="clear" w:color="auto" w:fill="auto"/>
          </w:tcPr>
          <w:p w:rsidR="00085BCB" w:rsidRPr="007F12DF" w:rsidRDefault="00085BCB" w:rsidP="007A66C5">
            <w:pPr>
              <w:spacing w:after="60"/>
              <w:jc w:val="right"/>
              <w:rPr>
                <w:sz w:val="18"/>
                <w:lang w:val="en-CA"/>
              </w:rPr>
            </w:pPr>
          </w:p>
        </w:tc>
        <w:tc>
          <w:tcPr>
            <w:tcW w:w="0" w:type="auto"/>
            <w:shd w:val="clear" w:color="auto" w:fill="auto"/>
          </w:tcPr>
          <w:p w:rsidR="00085BCB" w:rsidRPr="007F12DF" w:rsidRDefault="00085BCB" w:rsidP="007A66C5">
            <w:pPr>
              <w:spacing w:after="60"/>
              <w:jc w:val="right"/>
              <w:rPr>
                <w:sz w:val="18"/>
                <w:lang w:val="en-CA"/>
              </w:rPr>
            </w:pPr>
          </w:p>
        </w:tc>
        <w:tc>
          <w:tcPr>
            <w:tcW w:w="0" w:type="auto"/>
            <w:shd w:val="clear" w:color="auto" w:fill="auto"/>
          </w:tcPr>
          <w:p w:rsidR="00085BCB" w:rsidRPr="007F12DF" w:rsidRDefault="00085BCB" w:rsidP="007A66C5">
            <w:pPr>
              <w:spacing w:after="60"/>
              <w:jc w:val="right"/>
              <w:rPr>
                <w:sz w:val="18"/>
                <w:lang w:val="en-CA"/>
              </w:rPr>
            </w:pPr>
          </w:p>
        </w:tc>
        <w:tc>
          <w:tcPr>
            <w:tcW w:w="0" w:type="auto"/>
            <w:shd w:val="clear" w:color="auto" w:fill="auto"/>
          </w:tcPr>
          <w:p w:rsidR="00085BCB" w:rsidRPr="007F12DF" w:rsidRDefault="00F655DE" w:rsidP="007A66C5">
            <w:pPr>
              <w:spacing w:after="60"/>
              <w:jc w:val="right"/>
              <w:rPr>
                <w:sz w:val="18"/>
                <w:lang w:val="en-CA"/>
              </w:rPr>
            </w:pPr>
            <w:r>
              <w:rPr>
                <w:sz w:val="18"/>
                <w:lang w:val="en-CA"/>
              </w:rPr>
              <w:t>14,19</w:t>
            </w:r>
          </w:p>
        </w:tc>
        <w:tc>
          <w:tcPr>
            <w:tcW w:w="0" w:type="auto"/>
            <w:shd w:val="clear" w:color="auto" w:fill="auto"/>
          </w:tcPr>
          <w:p w:rsidR="00085BCB" w:rsidRPr="007F12DF" w:rsidRDefault="00085BCB" w:rsidP="007A66C5">
            <w:pPr>
              <w:spacing w:after="60"/>
              <w:jc w:val="right"/>
              <w:rPr>
                <w:sz w:val="18"/>
                <w:lang w:val="en-CA"/>
              </w:rPr>
            </w:pPr>
          </w:p>
        </w:tc>
        <w:tc>
          <w:tcPr>
            <w:tcW w:w="0" w:type="auto"/>
            <w:shd w:val="clear" w:color="auto" w:fill="auto"/>
          </w:tcPr>
          <w:p w:rsidR="00085BCB" w:rsidRPr="007F12DF" w:rsidRDefault="00085BCB" w:rsidP="007A66C5">
            <w:pPr>
              <w:spacing w:after="60"/>
              <w:jc w:val="right"/>
              <w:rPr>
                <w:sz w:val="18"/>
                <w:lang w:val="en-CA"/>
              </w:rPr>
            </w:pPr>
          </w:p>
        </w:tc>
        <w:tc>
          <w:tcPr>
            <w:tcW w:w="0" w:type="auto"/>
            <w:shd w:val="clear" w:color="auto" w:fill="auto"/>
          </w:tcPr>
          <w:p w:rsidR="00085BCB" w:rsidRPr="007F12DF" w:rsidRDefault="00085BCB" w:rsidP="007A66C5">
            <w:pPr>
              <w:spacing w:after="60"/>
              <w:jc w:val="right"/>
              <w:rPr>
                <w:sz w:val="18"/>
                <w:lang w:val="en-CA"/>
              </w:rPr>
            </w:pPr>
          </w:p>
        </w:tc>
        <w:tc>
          <w:tcPr>
            <w:tcW w:w="1512" w:type="dxa"/>
            <w:shd w:val="clear" w:color="auto" w:fill="auto"/>
          </w:tcPr>
          <w:p w:rsidR="00085BCB" w:rsidRPr="007F12DF" w:rsidRDefault="00F655DE" w:rsidP="007A66C5">
            <w:pPr>
              <w:spacing w:after="60"/>
              <w:jc w:val="right"/>
              <w:rPr>
                <w:sz w:val="18"/>
                <w:lang w:val="en-CA"/>
              </w:rPr>
            </w:pPr>
            <w:r>
              <w:rPr>
                <w:sz w:val="18"/>
                <w:lang w:val="en-CA"/>
              </w:rPr>
              <w:t>14,19</w:t>
            </w:r>
          </w:p>
        </w:tc>
      </w:tr>
    </w:tbl>
    <w:p w:rsidR="00085BCB" w:rsidRDefault="00085BCB" w:rsidP="00A24C0D">
      <w:pPr>
        <w:spacing w:line="120" w:lineRule="auto"/>
        <w:jc w:val="center"/>
        <w:rPr>
          <w:lang w:val="en-CA"/>
        </w:rPr>
      </w:pPr>
    </w:p>
    <w:tbl>
      <w:tblPr>
        <w:tblStyle w:val="TableGrid"/>
        <w:tblW w:w="10920" w:type="dxa"/>
        <w:tblInd w:w="-856"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4739"/>
        <w:gridCol w:w="910"/>
        <w:gridCol w:w="3853"/>
        <w:gridCol w:w="1418"/>
      </w:tblGrid>
      <w:tr w:rsidR="00085BCB" w:rsidRPr="009A7BCC" w:rsidTr="007A66C5">
        <w:trPr>
          <w:trHeight w:val="232"/>
        </w:trPr>
        <w:tc>
          <w:tcPr>
            <w:tcW w:w="10920" w:type="dxa"/>
            <w:gridSpan w:val="4"/>
            <w:shd w:val="clear" w:color="auto" w:fill="auto"/>
          </w:tcPr>
          <w:p w:rsidR="00085BCB" w:rsidRPr="00AE3104" w:rsidRDefault="00085BCB" w:rsidP="007A66C5">
            <w:pPr>
              <w:spacing w:after="60"/>
              <w:jc w:val="left"/>
              <w:rPr>
                <w:b/>
                <w:sz w:val="18"/>
                <w:lang w:val="fr-CA"/>
              </w:rPr>
            </w:pPr>
            <w:r w:rsidRPr="00AE3104">
              <w:rPr>
                <w:b/>
                <w:sz w:val="18"/>
                <w:lang w:val="fr-CA"/>
              </w:rPr>
              <w:t xml:space="preserve">(IV) DONNÉES SUR LA CONSOMMATION </w:t>
            </w:r>
            <w:r>
              <w:rPr>
                <w:b/>
                <w:sz w:val="18"/>
                <w:lang w:val="fr-CA"/>
              </w:rPr>
              <w:t>(</w:t>
            </w:r>
            <w:r w:rsidRPr="00AE3104">
              <w:rPr>
                <w:b/>
                <w:sz w:val="18"/>
                <w:lang w:val="fr-CA"/>
              </w:rPr>
              <w:t>tonnes</w:t>
            </w:r>
            <w:r>
              <w:rPr>
                <w:b/>
                <w:sz w:val="18"/>
                <w:lang w:val="fr-CA"/>
              </w:rPr>
              <w:t xml:space="preserve"> PAO)</w:t>
            </w:r>
          </w:p>
        </w:tc>
      </w:tr>
      <w:tr w:rsidR="00085BCB" w:rsidRPr="00264F4B" w:rsidTr="00F655DE">
        <w:trPr>
          <w:trHeight w:val="232"/>
        </w:trPr>
        <w:tc>
          <w:tcPr>
            <w:tcW w:w="4650" w:type="dxa"/>
            <w:shd w:val="clear" w:color="auto" w:fill="auto"/>
          </w:tcPr>
          <w:p w:rsidR="00085BCB" w:rsidRPr="00721EBF" w:rsidRDefault="00085BCB" w:rsidP="007A66C5">
            <w:pPr>
              <w:spacing w:after="60"/>
              <w:jc w:val="center"/>
              <w:rPr>
                <w:sz w:val="18"/>
                <w:lang w:val="en-CA"/>
              </w:rPr>
            </w:pPr>
            <w:r>
              <w:rPr>
                <w:sz w:val="18"/>
                <w:lang w:val="en-CA"/>
              </w:rPr>
              <w:t>Référence 2009-2010 :</w:t>
            </w:r>
          </w:p>
        </w:tc>
        <w:tc>
          <w:tcPr>
            <w:tcW w:w="893" w:type="dxa"/>
            <w:shd w:val="clear" w:color="auto" w:fill="auto"/>
          </w:tcPr>
          <w:p w:rsidR="00085BCB" w:rsidRPr="00721EBF" w:rsidRDefault="00F655DE" w:rsidP="007A66C5">
            <w:pPr>
              <w:spacing w:after="60"/>
              <w:jc w:val="right"/>
              <w:rPr>
                <w:sz w:val="18"/>
                <w:lang w:val="en-CA"/>
              </w:rPr>
            </w:pPr>
            <w:r>
              <w:rPr>
                <w:sz w:val="18"/>
                <w:lang w:val="en-CA"/>
              </w:rPr>
              <w:t>20,0</w:t>
            </w:r>
          </w:p>
        </w:tc>
        <w:tc>
          <w:tcPr>
            <w:tcW w:w="0" w:type="auto"/>
            <w:shd w:val="clear" w:color="auto" w:fill="auto"/>
          </w:tcPr>
          <w:p w:rsidR="00085BCB" w:rsidRPr="00610E05" w:rsidRDefault="00085BCB" w:rsidP="007A66C5">
            <w:pPr>
              <w:spacing w:after="60"/>
              <w:jc w:val="center"/>
              <w:rPr>
                <w:sz w:val="18"/>
                <w:lang w:val="fr-CA"/>
              </w:rPr>
            </w:pPr>
            <w:r w:rsidRPr="00610E05">
              <w:rPr>
                <w:sz w:val="18"/>
                <w:lang w:val="fr-CA"/>
              </w:rPr>
              <w:t>Point de départ des réductions globales durables :</w:t>
            </w:r>
          </w:p>
        </w:tc>
        <w:tc>
          <w:tcPr>
            <w:tcW w:w="1391" w:type="dxa"/>
            <w:shd w:val="clear" w:color="auto" w:fill="auto"/>
          </w:tcPr>
          <w:p w:rsidR="00085BCB" w:rsidRPr="00264F4B" w:rsidRDefault="00F655DE" w:rsidP="007A66C5">
            <w:pPr>
              <w:spacing w:after="60"/>
              <w:jc w:val="right"/>
              <w:rPr>
                <w:sz w:val="18"/>
                <w:lang w:val="fr-CA"/>
              </w:rPr>
            </w:pPr>
            <w:r>
              <w:rPr>
                <w:sz w:val="18"/>
                <w:lang w:val="fr-CA"/>
              </w:rPr>
              <w:t>20,0</w:t>
            </w:r>
          </w:p>
        </w:tc>
      </w:tr>
      <w:tr w:rsidR="00085BCB" w:rsidRPr="009A7BCC" w:rsidTr="007A66C5">
        <w:trPr>
          <w:trHeight w:val="232"/>
        </w:trPr>
        <w:tc>
          <w:tcPr>
            <w:tcW w:w="10920" w:type="dxa"/>
            <w:gridSpan w:val="4"/>
            <w:shd w:val="clear" w:color="auto" w:fill="auto"/>
          </w:tcPr>
          <w:p w:rsidR="00085BCB" w:rsidRPr="00610E05" w:rsidRDefault="00085BCB" w:rsidP="007A66C5">
            <w:pPr>
              <w:spacing w:after="60"/>
              <w:jc w:val="center"/>
              <w:rPr>
                <w:b/>
                <w:sz w:val="18"/>
                <w:lang w:val="fr-CA"/>
              </w:rPr>
            </w:pPr>
            <w:r w:rsidRPr="00610E05">
              <w:rPr>
                <w:b/>
                <w:sz w:val="18"/>
                <w:lang w:val="fr-CA"/>
              </w:rPr>
              <w:t>CONSOMMATION ADMISSIBLE AU FINANCEMENT (tonnes PAO)</w:t>
            </w:r>
          </w:p>
        </w:tc>
      </w:tr>
      <w:tr w:rsidR="00085BCB" w:rsidRPr="00721EBF" w:rsidTr="00F655DE">
        <w:trPr>
          <w:trHeight w:val="232"/>
        </w:trPr>
        <w:tc>
          <w:tcPr>
            <w:tcW w:w="4650" w:type="dxa"/>
            <w:shd w:val="clear" w:color="auto" w:fill="auto"/>
          </w:tcPr>
          <w:p w:rsidR="00085BCB" w:rsidRPr="007F12DF" w:rsidRDefault="00085BCB" w:rsidP="007A66C5">
            <w:pPr>
              <w:spacing w:after="60"/>
              <w:jc w:val="center"/>
              <w:rPr>
                <w:sz w:val="18"/>
                <w:lang w:val="en-CA"/>
              </w:rPr>
            </w:pPr>
            <w:r>
              <w:rPr>
                <w:sz w:val="18"/>
                <w:lang w:val="fr-CA"/>
              </w:rPr>
              <w:t>Déjà approuvée </w:t>
            </w:r>
            <w:r w:rsidRPr="007F12DF">
              <w:rPr>
                <w:sz w:val="18"/>
                <w:lang w:val="en-CA"/>
              </w:rPr>
              <w:t>:</w:t>
            </w:r>
          </w:p>
        </w:tc>
        <w:tc>
          <w:tcPr>
            <w:tcW w:w="893" w:type="dxa"/>
            <w:shd w:val="clear" w:color="auto" w:fill="auto"/>
          </w:tcPr>
          <w:p w:rsidR="00085BCB" w:rsidRPr="007F12DF" w:rsidRDefault="00F655DE" w:rsidP="007A66C5">
            <w:pPr>
              <w:spacing w:after="60"/>
              <w:jc w:val="right"/>
              <w:rPr>
                <w:sz w:val="18"/>
                <w:lang w:val="en-CA"/>
              </w:rPr>
            </w:pPr>
            <w:r>
              <w:rPr>
                <w:sz w:val="18"/>
                <w:lang w:val="en-CA"/>
              </w:rPr>
              <w:t>7,0</w:t>
            </w:r>
          </w:p>
        </w:tc>
        <w:tc>
          <w:tcPr>
            <w:tcW w:w="0" w:type="auto"/>
            <w:shd w:val="clear" w:color="auto" w:fill="auto"/>
          </w:tcPr>
          <w:p w:rsidR="00085BCB" w:rsidRPr="007F12DF" w:rsidRDefault="00085BCB" w:rsidP="007A66C5">
            <w:pPr>
              <w:spacing w:after="60"/>
              <w:jc w:val="center"/>
              <w:rPr>
                <w:sz w:val="18"/>
                <w:lang w:val="en-CA"/>
              </w:rPr>
            </w:pPr>
            <w:r w:rsidRPr="007F12DF">
              <w:rPr>
                <w:sz w:val="18"/>
                <w:lang w:val="en-CA"/>
              </w:rPr>
              <w:t>Re</w:t>
            </w:r>
            <w:r>
              <w:rPr>
                <w:sz w:val="18"/>
                <w:lang w:val="en-CA"/>
              </w:rPr>
              <w:t>stante </w:t>
            </w:r>
            <w:r w:rsidRPr="007F12DF">
              <w:rPr>
                <w:sz w:val="18"/>
                <w:lang w:val="en-CA"/>
              </w:rPr>
              <w:t>:</w:t>
            </w:r>
          </w:p>
        </w:tc>
        <w:tc>
          <w:tcPr>
            <w:tcW w:w="1391" w:type="dxa"/>
            <w:shd w:val="clear" w:color="auto" w:fill="auto"/>
          </w:tcPr>
          <w:p w:rsidR="00085BCB" w:rsidRPr="007F12DF" w:rsidRDefault="00F655DE" w:rsidP="007A66C5">
            <w:pPr>
              <w:spacing w:after="60"/>
              <w:jc w:val="right"/>
              <w:rPr>
                <w:sz w:val="18"/>
                <w:lang w:val="en-CA"/>
              </w:rPr>
            </w:pPr>
            <w:r>
              <w:rPr>
                <w:sz w:val="18"/>
                <w:lang w:val="en-CA"/>
              </w:rPr>
              <w:t>13,0</w:t>
            </w:r>
          </w:p>
        </w:tc>
      </w:tr>
    </w:tbl>
    <w:p w:rsidR="00085BCB" w:rsidRDefault="00085BCB" w:rsidP="00A24C0D">
      <w:pPr>
        <w:spacing w:line="120" w:lineRule="auto"/>
        <w:jc w:val="center"/>
        <w:rPr>
          <w:lang w:val="en-CA"/>
        </w:rPr>
      </w:pPr>
    </w:p>
    <w:tbl>
      <w:tblPr>
        <w:tblStyle w:val="TableGrid"/>
        <w:tblW w:w="10892" w:type="dxa"/>
        <w:tblInd w:w="-856"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2290"/>
        <w:gridCol w:w="4860"/>
        <w:gridCol w:w="1247"/>
        <w:gridCol w:w="1247"/>
        <w:gridCol w:w="1248"/>
      </w:tblGrid>
      <w:tr w:rsidR="00085BCB" w:rsidRPr="00721EBF" w:rsidTr="007A66C5">
        <w:trPr>
          <w:trHeight w:val="280"/>
        </w:trPr>
        <w:tc>
          <w:tcPr>
            <w:tcW w:w="7150" w:type="dxa"/>
            <w:gridSpan w:val="2"/>
            <w:shd w:val="clear" w:color="auto" w:fill="auto"/>
          </w:tcPr>
          <w:p w:rsidR="00085BCB" w:rsidRPr="00721EBF" w:rsidRDefault="00085BCB" w:rsidP="007A66C5">
            <w:pPr>
              <w:spacing w:after="60"/>
              <w:jc w:val="left"/>
              <w:rPr>
                <w:b/>
                <w:sz w:val="18"/>
                <w:lang w:val="en-CA"/>
              </w:rPr>
            </w:pPr>
            <w:r w:rsidRPr="00721EBF">
              <w:rPr>
                <w:b/>
                <w:sz w:val="18"/>
                <w:lang w:val="en-CA"/>
              </w:rPr>
              <w:t xml:space="preserve">(V) </w:t>
            </w:r>
            <w:r>
              <w:rPr>
                <w:b/>
                <w:sz w:val="18"/>
                <w:lang w:val="en-CA"/>
              </w:rPr>
              <w:t>PLAN D’ACTIVITÉS</w:t>
            </w:r>
          </w:p>
        </w:tc>
        <w:tc>
          <w:tcPr>
            <w:tcW w:w="1247" w:type="dxa"/>
            <w:shd w:val="clear" w:color="auto" w:fill="auto"/>
          </w:tcPr>
          <w:p w:rsidR="00085BCB" w:rsidRPr="00721EBF" w:rsidRDefault="00085BCB" w:rsidP="007A66C5">
            <w:pPr>
              <w:spacing w:after="60"/>
              <w:jc w:val="center"/>
              <w:rPr>
                <w:b/>
                <w:sz w:val="18"/>
                <w:lang w:val="en-CA"/>
              </w:rPr>
            </w:pPr>
            <w:r>
              <w:rPr>
                <w:b/>
                <w:sz w:val="18"/>
                <w:lang w:val="en-CA"/>
              </w:rPr>
              <w:t>2019</w:t>
            </w:r>
          </w:p>
        </w:tc>
        <w:tc>
          <w:tcPr>
            <w:tcW w:w="1247" w:type="dxa"/>
            <w:shd w:val="clear" w:color="auto" w:fill="auto"/>
          </w:tcPr>
          <w:p w:rsidR="00085BCB" w:rsidRPr="00721EBF" w:rsidRDefault="00085BCB" w:rsidP="007A66C5">
            <w:pPr>
              <w:spacing w:after="60"/>
              <w:jc w:val="center"/>
              <w:rPr>
                <w:b/>
                <w:sz w:val="18"/>
                <w:lang w:val="en-CA"/>
              </w:rPr>
            </w:pPr>
            <w:r>
              <w:rPr>
                <w:b/>
                <w:sz w:val="18"/>
                <w:lang w:val="en-CA"/>
              </w:rPr>
              <w:t>2020</w:t>
            </w:r>
          </w:p>
        </w:tc>
        <w:tc>
          <w:tcPr>
            <w:tcW w:w="1248" w:type="dxa"/>
            <w:shd w:val="clear" w:color="auto" w:fill="auto"/>
          </w:tcPr>
          <w:p w:rsidR="00085BCB" w:rsidRPr="00721EBF" w:rsidRDefault="00085BCB" w:rsidP="007A66C5">
            <w:pPr>
              <w:spacing w:after="60"/>
              <w:jc w:val="center"/>
              <w:rPr>
                <w:b/>
                <w:sz w:val="18"/>
                <w:lang w:val="en-CA"/>
              </w:rPr>
            </w:pPr>
            <w:r>
              <w:rPr>
                <w:b/>
                <w:sz w:val="18"/>
                <w:lang w:val="en-CA"/>
              </w:rPr>
              <w:t>Total</w:t>
            </w:r>
          </w:p>
        </w:tc>
      </w:tr>
      <w:tr w:rsidR="00085BCB" w:rsidRPr="00264F4B" w:rsidTr="007A66C5">
        <w:trPr>
          <w:trHeight w:val="280"/>
        </w:trPr>
        <w:tc>
          <w:tcPr>
            <w:tcW w:w="2290" w:type="dxa"/>
            <w:vMerge w:val="restart"/>
            <w:shd w:val="clear" w:color="auto" w:fill="auto"/>
          </w:tcPr>
          <w:p w:rsidR="00085BCB" w:rsidRPr="00721EBF" w:rsidRDefault="003B3252" w:rsidP="007A66C5">
            <w:pPr>
              <w:spacing w:after="60"/>
              <w:jc w:val="center"/>
              <w:rPr>
                <w:sz w:val="18"/>
                <w:lang w:val="en-CA"/>
              </w:rPr>
            </w:pPr>
            <w:r>
              <w:rPr>
                <w:sz w:val="18"/>
                <w:lang w:val="en-CA"/>
              </w:rPr>
              <w:t>PNUE</w:t>
            </w:r>
          </w:p>
        </w:tc>
        <w:tc>
          <w:tcPr>
            <w:tcW w:w="0" w:type="auto"/>
            <w:shd w:val="clear" w:color="auto" w:fill="auto"/>
          </w:tcPr>
          <w:p w:rsidR="00085BCB" w:rsidRPr="00610E05" w:rsidRDefault="00085BCB" w:rsidP="007A66C5">
            <w:pPr>
              <w:spacing w:after="60"/>
              <w:jc w:val="left"/>
              <w:rPr>
                <w:sz w:val="18"/>
                <w:lang w:val="fr-CA"/>
              </w:rPr>
            </w:pPr>
            <w:r w:rsidRPr="00610E05">
              <w:rPr>
                <w:sz w:val="18"/>
                <w:lang w:val="fr-CA"/>
              </w:rPr>
              <w:t>Élimination des SAO (tonnes PAO)</w:t>
            </w:r>
          </w:p>
        </w:tc>
        <w:tc>
          <w:tcPr>
            <w:tcW w:w="1247" w:type="dxa"/>
            <w:shd w:val="clear" w:color="auto" w:fill="auto"/>
          </w:tcPr>
          <w:p w:rsidR="00085BCB" w:rsidRPr="00264F4B" w:rsidRDefault="00F655DE" w:rsidP="007A66C5">
            <w:pPr>
              <w:spacing w:after="60"/>
              <w:jc w:val="right"/>
              <w:rPr>
                <w:sz w:val="18"/>
                <w:lang w:val="fr-CA"/>
              </w:rPr>
            </w:pPr>
            <w:r>
              <w:rPr>
                <w:sz w:val="18"/>
                <w:lang w:val="fr-CA"/>
              </w:rPr>
              <w:t>0,44</w:t>
            </w:r>
          </w:p>
        </w:tc>
        <w:tc>
          <w:tcPr>
            <w:tcW w:w="1247" w:type="dxa"/>
            <w:shd w:val="clear" w:color="auto" w:fill="auto"/>
          </w:tcPr>
          <w:p w:rsidR="00085BCB" w:rsidRPr="00264F4B" w:rsidRDefault="00F655DE" w:rsidP="007A66C5">
            <w:pPr>
              <w:spacing w:after="60"/>
              <w:jc w:val="right"/>
              <w:rPr>
                <w:sz w:val="18"/>
                <w:lang w:val="fr-CA"/>
              </w:rPr>
            </w:pPr>
            <w:r>
              <w:rPr>
                <w:sz w:val="18"/>
                <w:lang w:val="fr-CA"/>
              </w:rPr>
              <w:t>0,70</w:t>
            </w:r>
          </w:p>
        </w:tc>
        <w:tc>
          <w:tcPr>
            <w:tcW w:w="1248" w:type="dxa"/>
            <w:shd w:val="clear" w:color="auto" w:fill="auto"/>
          </w:tcPr>
          <w:p w:rsidR="00085BCB" w:rsidRPr="00264F4B" w:rsidRDefault="00F655DE" w:rsidP="007A66C5">
            <w:pPr>
              <w:spacing w:after="60"/>
              <w:jc w:val="right"/>
              <w:rPr>
                <w:sz w:val="18"/>
                <w:lang w:val="fr-CA"/>
              </w:rPr>
            </w:pPr>
            <w:r>
              <w:rPr>
                <w:sz w:val="18"/>
                <w:lang w:val="fr-CA"/>
              </w:rPr>
              <w:t>1,14</w:t>
            </w:r>
          </w:p>
        </w:tc>
      </w:tr>
      <w:tr w:rsidR="00085BCB" w:rsidRPr="00721EBF" w:rsidTr="007A66C5">
        <w:trPr>
          <w:trHeight w:val="280"/>
        </w:trPr>
        <w:tc>
          <w:tcPr>
            <w:tcW w:w="2290" w:type="dxa"/>
            <w:vMerge/>
            <w:shd w:val="clear" w:color="auto" w:fill="auto"/>
          </w:tcPr>
          <w:p w:rsidR="00085BCB" w:rsidRPr="00264F4B" w:rsidRDefault="00085BCB" w:rsidP="007A66C5">
            <w:pPr>
              <w:spacing w:after="60"/>
              <w:jc w:val="center"/>
              <w:rPr>
                <w:sz w:val="18"/>
                <w:lang w:val="fr-CA"/>
              </w:rPr>
            </w:pPr>
          </w:p>
        </w:tc>
        <w:tc>
          <w:tcPr>
            <w:tcW w:w="0" w:type="auto"/>
            <w:shd w:val="clear" w:color="auto" w:fill="auto"/>
          </w:tcPr>
          <w:p w:rsidR="00085BCB" w:rsidRPr="00721EBF" w:rsidRDefault="00085BCB" w:rsidP="007A66C5">
            <w:pPr>
              <w:spacing w:after="60"/>
              <w:jc w:val="left"/>
              <w:rPr>
                <w:sz w:val="18"/>
                <w:lang w:val="en-CA"/>
              </w:rPr>
            </w:pPr>
            <w:r>
              <w:rPr>
                <w:sz w:val="18"/>
                <w:lang w:val="en-CA"/>
              </w:rPr>
              <w:t>Financement ($US)</w:t>
            </w:r>
          </w:p>
        </w:tc>
        <w:tc>
          <w:tcPr>
            <w:tcW w:w="1247" w:type="dxa"/>
            <w:shd w:val="clear" w:color="auto" w:fill="auto"/>
          </w:tcPr>
          <w:p w:rsidR="00085BCB" w:rsidRPr="00721EBF" w:rsidRDefault="00F655DE" w:rsidP="007A66C5">
            <w:pPr>
              <w:spacing w:after="60"/>
              <w:jc w:val="right"/>
              <w:rPr>
                <w:sz w:val="18"/>
                <w:lang w:val="en-CA"/>
              </w:rPr>
            </w:pPr>
            <w:r>
              <w:rPr>
                <w:sz w:val="18"/>
                <w:lang w:val="en-CA"/>
              </w:rPr>
              <w:t>45 200</w:t>
            </w:r>
          </w:p>
        </w:tc>
        <w:tc>
          <w:tcPr>
            <w:tcW w:w="1247" w:type="dxa"/>
            <w:shd w:val="clear" w:color="auto" w:fill="auto"/>
          </w:tcPr>
          <w:p w:rsidR="00085BCB" w:rsidRPr="00721EBF" w:rsidRDefault="00F655DE" w:rsidP="007A66C5">
            <w:pPr>
              <w:spacing w:after="60"/>
              <w:jc w:val="right"/>
              <w:rPr>
                <w:sz w:val="18"/>
                <w:lang w:val="en-CA"/>
              </w:rPr>
            </w:pPr>
            <w:r>
              <w:rPr>
                <w:sz w:val="18"/>
                <w:lang w:val="en-CA"/>
              </w:rPr>
              <w:t>71 190</w:t>
            </w:r>
          </w:p>
        </w:tc>
        <w:tc>
          <w:tcPr>
            <w:tcW w:w="1248" w:type="dxa"/>
            <w:shd w:val="clear" w:color="auto" w:fill="auto"/>
          </w:tcPr>
          <w:p w:rsidR="00085BCB" w:rsidRPr="00721EBF" w:rsidRDefault="00F655DE" w:rsidP="007A66C5">
            <w:pPr>
              <w:spacing w:after="60"/>
              <w:jc w:val="right"/>
              <w:rPr>
                <w:sz w:val="18"/>
                <w:lang w:val="en-CA"/>
              </w:rPr>
            </w:pPr>
            <w:r>
              <w:rPr>
                <w:sz w:val="18"/>
                <w:lang w:val="en-CA"/>
              </w:rPr>
              <w:t>116 390</w:t>
            </w:r>
          </w:p>
        </w:tc>
      </w:tr>
      <w:tr w:rsidR="00AA78E2" w:rsidRPr="00AA78E2" w:rsidTr="007A66C5">
        <w:trPr>
          <w:trHeight w:val="280"/>
        </w:trPr>
        <w:tc>
          <w:tcPr>
            <w:tcW w:w="2290" w:type="dxa"/>
            <w:vMerge w:val="restart"/>
            <w:shd w:val="clear" w:color="auto" w:fill="auto"/>
          </w:tcPr>
          <w:p w:rsidR="00AA78E2" w:rsidRPr="00264F4B" w:rsidRDefault="00AA78E2" w:rsidP="00AA78E2">
            <w:pPr>
              <w:spacing w:after="60"/>
              <w:jc w:val="center"/>
              <w:rPr>
                <w:sz w:val="18"/>
                <w:lang w:val="fr-CA"/>
              </w:rPr>
            </w:pPr>
            <w:r>
              <w:rPr>
                <w:sz w:val="18"/>
                <w:lang w:val="fr-CA"/>
              </w:rPr>
              <w:t>ONUDI</w:t>
            </w:r>
          </w:p>
        </w:tc>
        <w:tc>
          <w:tcPr>
            <w:tcW w:w="0" w:type="auto"/>
            <w:shd w:val="clear" w:color="auto" w:fill="auto"/>
          </w:tcPr>
          <w:p w:rsidR="00AA78E2" w:rsidRPr="00610E05" w:rsidRDefault="00AA78E2" w:rsidP="00AA78E2">
            <w:pPr>
              <w:spacing w:after="60"/>
              <w:jc w:val="left"/>
              <w:rPr>
                <w:sz w:val="18"/>
                <w:lang w:val="fr-CA"/>
              </w:rPr>
            </w:pPr>
            <w:r w:rsidRPr="00610E05">
              <w:rPr>
                <w:sz w:val="18"/>
                <w:lang w:val="fr-CA"/>
              </w:rPr>
              <w:t>Élimination des SAO (tonnes PAO)</w:t>
            </w:r>
          </w:p>
        </w:tc>
        <w:tc>
          <w:tcPr>
            <w:tcW w:w="1247" w:type="dxa"/>
            <w:shd w:val="clear" w:color="auto" w:fill="auto"/>
          </w:tcPr>
          <w:p w:rsidR="00AA78E2" w:rsidRPr="00AA78E2" w:rsidRDefault="00AA78E2" w:rsidP="00AA78E2">
            <w:pPr>
              <w:spacing w:after="60"/>
              <w:jc w:val="right"/>
              <w:rPr>
                <w:sz w:val="18"/>
                <w:lang w:val="fr-CA"/>
              </w:rPr>
            </w:pPr>
            <w:r>
              <w:rPr>
                <w:sz w:val="18"/>
                <w:lang w:val="fr-CA"/>
              </w:rPr>
              <w:t>0</w:t>
            </w:r>
          </w:p>
        </w:tc>
        <w:tc>
          <w:tcPr>
            <w:tcW w:w="1247" w:type="dxa"/>
            <w:shd w:val="clear" w:color="auto" w:fill="auto"/>
          </w:tcPr>
          <w:p w:rsidR="00AA78E2" w:rsidRPr="00AA78E2" w:rsidRDefault="00AA78E2" w:rsidP="00AA78E2">
            <w:pPr>
              <w:spacing w:after="60"/>
              <w:jc w:val="right"/>
              <w:rPr>
                <w:sz w:val="18"/>
                <w:lang w:val="fr-CA"/>
              </w:rPr>
            </w:pPr>
            <w:r>
              <w:rPr>
                <w:sz w:val="18"/>
                <w:lang w:val="fr-CA"/>
              </w:rPr>
              <w:t>0</w:t>
            </w:r>
          </w:p>
        </w:tc>
        <w:tc>
          <w:tcPr>
            <w:tcW w:w="1248" w:type="dxa"/>
            <w:shd w:val="clear" w:color="auto" w:fill="auto"/>
          </w:tcPr>
          <w:p w:rsidR="00AA78E2" w:rsidRPr="00AA78E2" w:rsidRDefault="00AA78E2" w:rsidP="00AA78E2">
            <w:pPr>
              <w:spacing w:after="60"/>
              <w:jc w:val="right"/>
              <w:rPr>
                <w:sz w:val="18"/>
                <w:lang w:val="fr-CA"/>
              </w:rPr>
            </w:pPr>
            <w:r>
              <w:rPr>
                <w:sz w:val="18"/>
                <w:lang w:val="fr-CA"/>
              </w:rPr>
              <w:t>0</w:t>
            </w:r>
          </w:p>
        </w:tc>
      </w:tr>
      <w:tr w:rsidR="00AA78E2" w:rsidRPr="00721EBF" w:rsidTr="007A66C5">
        <w:trPr>
          <w:trHeight w:val="280"/>
        </w:trPr>
        <w:tc>
          <w:tcPr>
            <w:tcW w:w="2290" w:type="dxa"/>
            <w:vMerge/>
            <w:shd w:val="clear" w:color="auto" w:fill="auto"/>
          </w:tcPr>
          <w:p w:rsidR="00AA78E2" w:rsidRPr="00264F4B" w:rsidRDefault="00AA78E2" w:rsidP="00AA78E2">
            <w:pPr>
              <w:spacing w:after="60"/>
              <w:jc w:val="center"/>
              <w:rPr>
                <w:sz w:val="18"/>
                <w:lang w:val="fr-CA"/>
              </w:rPr>
            </w:pPr>
          </w:p>
        </w:tc>
        <w:tc>
          <w:tcPr>
            <w:tcW w:w="0" w:type="auto"/>
            <w:shd w:val="clear" w:color="auto" w:fill="auto"/>
          </w:tcPr>
          <w:p w:rsidR="00AA78E2" w:rsidRPr="00721EBF" w:rsidRDefault="00AA78E2" w:rsidP="00AA78E2">
            <w:pPr>
              <w:spacing w:after="60"/>
              <w:jc w:val="left"/>
              <w:rPr>
                <w:sz w:val="18"/>
                <w:lang w:val="en-CA"/>
              </w:rPr>
            </w:pPr>
            <w:r>
              <w:rPr>
                <w:sz w:val="18"/>
                <w:lang w:val="en-CA"/>
              </w:rPr>
              <w:t>Financement ($US)</w:t>
            </w:r>
          </w:p>
        </w:tc>
        <w:tc>
          <w:tcPr>
            <w:tcW w:w="1247" w:type="dxa"/>
            <w:shd w:val="clear" w:color="auto" w:fill="auto"/>
          </w:tcPr>
          <w:p w:rsidR="00AA78E2" w:rsidRDefault="00AA78E2" w:rsidP="00AA78E2">
            <w:pPr>
              <w:spacing w:after="60"/>
              <w:jc w:val="right"/>
              <w:rPr>
                <w:sz w:val="18"/>
                <w:lang w:val="en-CA"/>
              </w:rPr>
            </w:pPr>
            <w:r>
              <w:rPr>
                <w:sz w:val="18"/>
                <w:lang w:val="en-CA"/>
              </w:rPr>
              <w:t>0</w:t>
            </w:r>
          </w:p>
        </w:tc>
        <w:tc>
          <w:tcPr>
            <w:tcW w:w="1247" w:type="dxa"/>
            <w:shd w:val="clear" w:color="auto" w:fill="auto"/>
          </w:tcPr>
          <w:p w:rsidR="00AA78E2" w:rsidRDefault="00AA78E2" w:rsidP="00AA78E2">
            <w:pPr>
              <w:spacing w:after="60"/>
              <w:jc w:val="right"/>
              <w:rPr>
                <w:sz w:val="18"/>
                <w:lang w:val="en-CA"/>
              </w:rPr>
            </w:pPr>
            <w:r>
              <w:rPr>
                <w:sz w:val="18"/>
                <w:lang w:val="en-CA"/>
              </w:rPr>
              <w:t>0</w:t>
            </w:r>
          </w:p>
        </w:tc>
        <w:tc>
          <w:tcPr>
            <w:tcW w:w="1248" w:type="dxa"/>
            <w:shd w:val="clear" w:color="auto" w:fill="auto"/>
          </w:tcPr>
          <w:p w:rsidR="00AA78E2" w:rsidRDefault="00AA78E2" w:rsidP="00AA78E2">
            <w:pPr>
              <w:spacing w:after="60"/>
              <w:jc w:val="right"/>
              <w:rPr>
                <w:sz w:val="18"/>
                <w:lang w:val="en-CA"/>
              </w:rPr>
            </w:pPr>
            <w:r>
              <w:rPr>
                <w:sz w:val="18"/>
                <w:lang w:val="en-CA"/>
              </w:rPr>
              <w:t>0</w:t>
            </w:r>
          </w:p>
        </w:tc>
      </w:tr>
    </w:tbl>
    <w:p w:rsidR="00085BCB" w:rsidRPr="00085BCB" w:rsidRDefault="00085BCB" w:rsidP="00A24C0D">
      <w:pPr>
        <w:spacing w:line="120" w:lineRule="auto"/>
        <w:jc w:val="center"/>
        <w:rPr>
          <w:sz w:val="16"/>
          <w:szCs w:val="16"/>
        </w:rPr>
      </w:pPr>
    </w:p>
    <w:tbl>
      <w:tblPr>
        <w:tblStyle w:val="TableGrid"/>
        <w:tblpPr w:leftFromText="180" w:rightFromText="180" w:vertAnchor="text" w:horzAnchor="margin" w:tblpXSpec="center" w:tblpY="154"/>
        <w:tblW w:w="11231"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ayout w:type="fixed"/>
        <w:tblLook w:val="04A0" w:firstRow="1" w:lastRow="0" w:firstColumn="1" w:lastColumn="0" w:noHBand="0" w:noVBand="1"/>
      </w:tblPr>
      <w:tblGrid>
        <w:gridCol w:w="1148"/>
        <w:gridCol w:w="797"/>
        <w:gridCol w:w="857"/>
        <w:gridCol w:w="731"/>
        <w:gridCol w:w="613"/>
        <w:gridCol w:w="576"/>
        <w:gridCol w:w="711"/>
        <w:gridCol w:w="586"/>
        <w:gridCol w:w="586"/>
        <w:gridCol w:w="801"/>
        <w:gridCol w:w="801"/>
        <w:gridCol w:w="711"/>
        <w:gridCol w:w="801"/>
        <w:gridCol w:w="711"/>
        <w:gridCol w:w="801"/>
      </w:tblGrid>
      <w:tr w:rsidR="007A66C5" w:rsidRPr="00721EBF" w:rsidTr="00A24C0D">
        <w:trPr>
          <w:trHeight w:val="264"/>
        </w:trPr>
        <w:tc>
          <w:tcPr>
            <w:tcW w:w="2802" w:type="dxa"/>
            <w:gridSpan w:val="3"/>
            <w:shd w:val="clear" w:color="auto" w:fill="auto"/>
          </w:tcPr>
          <w:p w:rsidR="00085BCB" w:rsidRPr="00610E05" w:rsidRDefault="00085BCB" w:rsidP="007A66C5">
            <w:pPr>
              <w:spacing w:after="60"/>
              <w:jc w:val="left"/>
              <w:rPr>
                <w:b/>
                <w:sz w:val="18"/>
                <w:lang w:val="fr-CA"/>
              </w:rPr>
            </w:pPr>
            <w:r w:rsidRPr="00610E05">
              <w:rPr>
                <w:b/>
                <w:sz w:val="18"/>
                <w:lang w:val="fr-CA"/>
              </w:rPr>
              <w:t xml:space="preserve"> (VI) DONNÉES DU P</w:t>
            </w:r>
            <w:r>
              <w:rPr>
                <w:b/>
                <w:sz w:val="18"/>
                <w:lang w:val="fr-CA"/>
              </w:rPr>
              <w:t>R</w:t>
            </w:r>
            <w:r w:rsidRPr="00610E05">
              <w:rPr>
                <w:b/>
                <w:sz w:val="18"/>
                <w:lang w:val="fr-CA"/>
              </w:rPr>
              <w:t>OJET</w:t>
            </w:r>
          </w:p>
        </w:tc>
        <w:tc>
          <w:tcPr>
            <w:tcW w:w="731" w:type="dxa"/>
          </w:tcPr>
          <w:p w:rsidR="00085BCB" w:rsidRPr="00721EBF" w:rsidRDefault="00085BCB" w:rsidP="007A66C5">
            <w:pPr>
              <w:spacing w:after="60"/>
              <w:jc w:val="center"/>
              <w:rPr>
                <w:b/>
                <w:sz w:val="18"/>
                <w:lang w:val="en-CA"/>
              </w:rPr>
            </w:pPr>
            <w:r>
              <w:rPr>
                <w:b/>
                <w:sz w:val="18"/>
                <w:lang w:val="en-CA"/>
              </w:rPr>
              <w:t>2010</w:t>
            </w:r>
          </w:p>
        </w:tc>
        <w:tc>
          <w:tcPr>
            <w:tcW w:w="613" w:type="dxa"/>
          </w:tcPr>
          <w:p w:rsidR="00085BCB" w:rsidRPr="00721EBF" w:rsidRDefault="00085BCB" w:rsidP="007A66C5">
            <w:pPr>
              <w:spacing w:after="60"/>
              <w:jc w:val="center"/>
              <w:rPr>
                <w:b/>
                <w:sz w:val="18"/>
                <w:lang w:val="en-CA"/>
              </w:rPr>
            </w:pPr>
            <w:r>
              <w:rPr>
                <w:b/>
                <w:sz w:val="18"/>
                <w:lang w:val="en-CA"/>
              </w:rPr>
              <w:t>2011</w:t>
            </w:r>
          </w:p>
        </w:tc>
        <w:tc>
          <w:tcPr>
            <w:tcW w:w="576" w:type="dxa"/>
          </w:tcPr>
          <w:p w:rsidR="00085BCB" w:rsidRPr="00721EBF" w:rsidRDefault="00085BCB" w:rsidP="007A66C5">
            <w:pPr>
              <w:spacing w:after="60"/>
              <w:jc w:val="center"/>
              <w:rPr>
                <w:b/>
                <w:sz w:val="18"/>
                <w:lang w:val="en-CA"/>
              </w:rPr>
            </w:pPr>
            <w:r>
              <w:rPr>
                <w:b/>
                <w:sz w:val="18"/>
                <w:lang w:val="en-CA"/>
              </w:rPr>
              <w:t>2012</w:t>
            </w:r>
          </w:p>
        </w:tc>
        <w:tc>
          <w:tcPr>
            <w:tcW w:w="711" w:type="dxa"/>
            <w:shd w:val="clear" w:color="auto" w:fill="auto"/>
          </w:tcPr>
          <w:p w:rsidR="00085BCB" w:rsidRPr="00721EBF" w:rsidRDefault="00085BCB" w:rsidP="007A66C5">
            <w:pPr>
              <w:spacing w:after="60"/>
              <w:jc w:val="center"/>
              <w:rPr>
                <w:b/>
                <w:sz w:val="18"/>
                <w:lang w:val="en-CA"/>
              </w:rPr>
            </w:pPr>
            <w:r w:rsidRPr="00721EBF">
              <w:rPr>
                <w:b/>
                <w:sz w:val="18"/>
                <w:lang w:val="en-CA"/>
              </w:rPr>
              <w:t>2013</w:t>
            </w:r>
          </w:p>
        </w:tc>
        <w:tc>
          <w:tcPr>
            <w:tcW w:w="586" w:type="dxa"/>
            <w:shd w:val="clear" w:color="auto" w:fill="auto"/>
          </w:tcPr>
          <w:p w:rsidR="00085BCB" w:rsidRPr="00721EBF" w:rsidRDefault="00085BCB" w:rsidP="007A66C5">
            <w:pPr>
              <w:spacing w:after="60"/>
              <w:jc w:val="center"/>
              <w:rPr>
                <w:b/>
                <w:sz w:val="18"/>
                <w:lang w:val="en-CA"/>
              </w:rPr>
            </w:pPr>
            <w:r w:rsidRPr="00721EBF">
              <w:rPr>
                <w:b/>
                <w:sz w:val="18"/>
                <w:lang w:val="en-CA"/>
              </w:rPr>
              <w:t>2014</w:t>
            </w:r>
          </w:p>
        </w:tc>
        <w:tc>
          <w:tcPr>
            <w:tcW w:w="586" w:type="dxa"/>
            <w:shd w:val="clear" w:color="auto" w:fill="auto"/>
          </w:tcPr>
          <w:p w:rsidR="00085BCB" w:rsidRPr="00721EBF" w:rsidRDefault="00085BCB" w:rsidP="007A66C5">
            <w:pPr>
              <w:spacing w:after="60"/>
              <w:jc w:val="center"/>
              <w:rPr>
                <w:b/>
                <w:sz w:val="18"/>
                <w:lang w:val="en-CA"/>
              </w:rPr>
            </w:pPr>
            <w:r w:rsidRPr="00721EBF">
              <w:rPr>
                <w:b/>
                <w:sz w:val="18"/>
                <w:lang w:val="en-CA"/>
              </w:rPr>
              <w:t>2015</w:t>
            </w:r>
          </w:p>
        </w:tc>
        <w:tc>
          <w:tcPr>
            <w:tcW w:w="801" w:type="dxa"/>
            <w:shd w:val="clear" w:color="auto" w:fill="auto"/>
          </w:tcPr>
          <w:p w:rsidR="00085BCB" w:rsidRPr="00721EBF" w:rsidRDefault="00085BCB" w:rsidP="007A66C5">
            <w:pPr>
              <w:spacing w:after="60"/>
              <w:jc w:val="center"/>
              <w:rPr>
                <w:b/>
                <w:sz w:val="18"/>
                <w:lang w:val="en-CA"/>
              </w:rPr>
            </w:pPr>
            <w:r w:rsidRPr="00721EBF">
              <w:rPr>
                <w:b/>
                <w:sz w:val="18"/>
                <w:lang w:val="en-CA"/>
              </w:rPr>
              <w:t>2016</w:t>
            </w:r>
          </w:p>
        </w:tc>
        <w:tc>
          <w:tcPr>
            <w:tcW w:w="801" w:type="dxa"/>
            <w:shd w:val="clear" w:color="auto" w:fill="auto"/>
          </w:tcPr>
          <w:p w:rsidR="00085BCB" w:rsidRPr="00721EBF" w:rsidRDefault="00085BCB" w:rsidP="007A66C5">
            <w:pPr>
              <w:spacing w:after="60"/>
              <w:jc w:val="center"/>
              <w:rPr>
                <w:b/>
                <w:sz w:val="18"/>
                <w:lang w:val="en-CA"/>
              </w:rPr>
            </w:pPr>
            <w:r w:rsidRPr="00721EBF">
              <w:rPr>
                <w:b/>
                <w:sz w:val="18"/>
                <w:lang w:val="en-CA"/>
              </w:rPr>
              <w:t>2017</w:t>
            </w:r>
          </w:p>
        </w:tc>
        <w:tc>
          <w:tcPr>
            <w:tcW w:w="711" w:type="dxa"/>
            <w:shd w:val="clear" w:color="auto" w:fill="auto"/>
          </w:tcPr>
          <w:p w:rsidR="00085BCB" w:rsidRPr="00721EBF" w:rsidRDefault="00085BCB" w:rsidP="007A66C5">
            <w:pPr>
              <w:spacing w:after="60"/>
              <w:jc w:val="center"/>
              <w:rPr>
                <w:b/>
                <w:sz w:val="18"/>
                <w:lang w:val="en-CA"/>
              </w:rPr>
            </w:pPr>
            <w:r w:rsidRPr="00721EBF">
              <w:rPr>
                <w:b/>
                <w:sz w:val="18"/>
                <w:lang w:val="en-CA"/>
              </w:rPr>
              <w:t>2018</w:t>
            </w:r>
          </w:p>
        </w:tc>
        <w:tc>
          <w:tcPr>
            <w:tcW w:w="801" w:type="dxa"/>
            <w:shd w:val="clear" w:color="auto" w:fill="auto"/>
          </w:tcPr>
          <w:p w:rsidR="00085BCB" w:rsidRPr="00721EBF" w:rsidRDefault="00085BCB" w:rsidP="007A66C5">
            <w:pPr>
              <w:spacing w:after="60"/>
              <w:jc w:val="center"/>
              <w:rPr>
                <w:b/>
                <w:sz w:val="18"/>
                <w:lang w:val="en-CA"/>
              </w:rPr>
            </w:pPr>
            <w:r w:rsidRPr="00721EBF">
              <w:rPr>
                <w:b/>
                <w:sz w:val="18"/>
                <w:lang w:val="en-CA"/>
              </w:rPr>
              <w:t>2019</w:t>
            </w:r>
          </w:p>
        </w:tc>
        <w:tc>
          <w:tcPr>
            <w:tcW w:w="711" w:type="dxa"/>
            <w:shd w:val="clear" w:color="auto" w:fill="auto"/>
          </w:tcPr>
          <w:p w:rsidR="00085BCB" w:rsidRPr="00721EBF" w:rsidRDefault="00085BCB" w:rsidP="007A66C5">
            <w:pPr>
              <w:spacing w:after="60"/>
              <w:jc w:val="center"/>
              <w:rPr>
                <w:b/>
                <w:sz w:val="18"/>
                <w:lang w:val="en-CA"/>
              </w:rPr>
            </w:pPr>
            <w:r w:rsidRPr="00721EBF">
              <w:rPr>
                <w:b/>
                <w:sz w:val="18"/>
                <w:lang w:val="en-CA"/>
              </w:rPr>
              <w:t>2020</w:t>
            </w:r>
          </w:p>
        </w:tc>
        <w:tc>
          <w:tcPr>
            <w:tcW w:w="801" w:type="dxa"/>
            <w:shd w:val="clear" w:color="auto" w:fill="auto"/>
          </w:tcPr>
          <w:p w:rsidR="00085BCB" w:rsidRPr="00721EBF" w:rsidRDefault="00085BCB" w:rsidP="007A66C5">
            <w:pPr>
              <w:spacing w:after="60"/>
              <w:jc w:val="center"/>
              <w:rPr>
                <w:b/>
                <w:sz w:val="18"/>
                <w:lang w:val="en-CA"/>
              </w:rPr>
            </w:pPr>
            <w:r w:rsidRPr="00721EBF">
              <w:rPr>
                <w:b/>
                <w:sz w:val="18"/>
                <w:lang w:val="en-CA"/>
              </w:rPr>
              <w:t>Total</w:t>
            </w:r>
          </w:p>
        </w:tc>
      </w:tr>
      <w:tr w:rsidR="007A66C5" w:rsidRPr="00264F4B" w:rsidTr="00A24C0D">
        <w:trPr>
          <w:trHeight w:val="479"/>
        </w:trPr>
        <w:tc>
          <w:tcPr>
            <w:tcW w:w="2802" w:type="dxa"/>
            <w:gridSpan w:val="3"/>
            <w:shd w:val="clear" w:color="auto" w:fill="auto"/>
          </w:tcPr>
          <w:p w:rsidR="00AA78E2" w:rsidRPr="00475DD9" w:rsidRDefault="00AA78E2" w:rsidP="00AA78E2">
            <w:pPr>
              <w:spacing w:after="60"/>
              <w:jc w:val="left"/>
              <w:rPr>
                <w:sz w:val="16"/>
                <w:szCs w:val="16"/>
                <w:lang w:val="fr-CA"/>
              </w:rPr>
            </w:pPr>
            <w:r w:rsidRPr="00475DD9">
              <w:rPr>
                <w:sz w:val="16"/>
                <w:szCs w:val="16"/>
                <w:lang w:val="fr-CA"/>
              </w:rPr>
              <w:t xml:space="preserve">Limites de consommation du Protocole de Montréal </w:t>
            </w:r>
          </w:p>
        </w:tc>
        <w:tc>
          <w:tcPr>
            <w:tcW w:w="731" w:type="dxa"/>
          </w:tcPr>
          <w:p w:rsidR="00AA78E2" w:rsidRPr="00A4172F" w:rsidRDefault="007A66C5" w:rsidP="00AA78E2">
            <w:pPr>
              <w:spacing w:after="60"/>
              <w:jc w:val="center"/>
              <w:rPr>
                <w:sz w:val="18"/>
                <w:lang w:val="en-CA"/>
              </w:rPr>
            </w:pPr>
            <w:r>
              <w:rPr>
                <w:sz w:val="18"/>
                <w:lang w:val="en-CA"/>
              </w:rPr>
              <w:t>s.o.</w:t>
            </w:r>
          </w:p>
        </w:tc>
        <w:tc>
          <w:tcPr>
            <w:tcW w:w="613" w:type="dxa"/>
          </w:tcPr>
          <w:p w:rsidR="00AA78E2" w:rsidRPr="00264F4B" w:rsidRDefault="007A66C5" w:rsidP="00AA78E2">
            <w:pPr>
              <w:spacing w:after="60"/>
              <w:jc w:val="right"/>
              <w:rPr>
                <w:sz w:val="18"/>
                <w:lang w:val="fr-CA"/>
              </w:rPr>
            </w:pPr>
            <w:r>
              <w:rPr>
                <w:sz w:val="18"/>
                <w:lang w:val="fr-CA"/>
              </w:rPr>
              <w:t>s.o.</w:t>
            </w:r>
          </w:p>
        </w:tc>
        <w:tc>
          <w:tcPr>
            <w:tcW w:w="576" w:type="dxa"/>
          </w:tcPr>
          <w:p w:rsidR="00AA78E2" w:rsidRPr="00264F4B" w:rsidRDefault="007A66C5" w:rsidP="00AA78E2">
            <w:pPr>
              <w:spacing w:after="60"/>
              <w:jc w:val="right"/>
              <w:rPr>
                <w:sz w:val="18"/>
                <w:lang w:val="fr-CA"/>
              </w:rPr>
            </w:pPr>
            <w:r>
              <w:rPr>
                <w:sz w:val="18"/>
                <w:lang w:val="fr-CA"/>
              </w:rPr>
              <w:t>s.o.</w:t>
            </w:r>
          </w:p>
        </w:tc>
        <w:tc>
          <w:tcPr>
            <w:tcW w:w="711" w:type="dxa"/>
            <w:shd w:val="clear" w:color="auto" w:fill="auto"/>
          </w:tcPr>
          <w:p w:rsidR="00AA78E2" w:rsidRPr="00A4172F" w:rsidRDefault="00AA78E2" w:rsidP="00AA78E2">
            <w:pPr>
              <w:spacing w:after="60"/>
              <w:jc w:val="right"/>
              <w:rPr>
                <w:sz w:val="18"/>
                <w:lang w:val="en-CA"/>
              </w:rPr>
            </w:pPr>
            <w:r w:rsidRPr="00A4172F">
              <w:rPr>
                <w:sz w:val="18"/>
                <w:lang w:val="en-CA"/>
              </w:rPr>
              <w:t>20</w:t>
            </w:r>
            <w:r w:rsidR="007A66C5">
              <w:rPr>
                <w:sz w:val="18"/>
                <w:lang w:val="en-CA"/>
              </w:rPr>
              <w:t>,</w:t>
            </w:r>
            <w:r w:rsidRPr="00A4172F">
              <w:rPr>
                <w:sz w:val="18"/>
                <w:lang w:val="en-CA"/>
              </w:rPr>
              <w:t>0</w:t>
            </w:r>
          </w:p>
        </w:tc>
        <w:tc>
          <w:tcPr>
            <w:tcW w:w="586" w:type="dxa"/>
            <w:shd w:val="clear" w:color="auto" w:fill="auto"/>
          </w:tcPr>
          <w:p w:rsidR="00AA78E2" w:rsidRPr="00A4172F" w:rsidRDefault="00AA78E2" w:rsidP="00AA78E2">
            <w:pPr>
              <w:spacing w:after="60"/>
              <w:jc w:val="right"/>
              <w:rPr>
                <w:sz w:val="18"/>
                <w:lang w:val="en-CA"/>
              </w:rPr>
            </w:pPr>
            <w:r w:rsidRPr="00A4172F">
              <w:rPr>
                <w:sz w:val="18"/>
                <w:lang w:val="en-CA"/>
              </w:rPr>
              <w:t>20</w:t>
            </w:r>
            <w:r w:rsidR="007A66C5">
              <w:rPr>
                <w:sz w:val="18"/>
                <w:lang w:val="en-CA"/>
              </w:rPr>
              <w:t>,</w:t>
            </w:r>
            <w:r w:rsidRPr="00A4172F">
              <w:rPr>
                <w:sz w:val="18"/>
                <w:lang w:val="en-CA"/>
              </w:rPr>
              <w:t>0</w:t>
            </w:r>
          </w:p>
        </w:tc>
        <w:tc>
          <w:tcPr>
            <w:tcW w:w="586" w:type="dxa"/>
            <w:shd w:val="clear" w:color="auto" w:fill="auto"/>
          </w:tcPr>
          <w:p w:rsidR="00AA78E2" w:rsidRPr="00A4172F" w:rsidRDefault="00AA78E2" w:rsidP="00AA78E2">
            <w:pPr>
              <w:spacing w:after="60"/>
              <w:jc w:val="right"/>
              <w:rPr>
                <w:sz w:val="18"/>
                <w:lang w:val="en-CA"/>
              </w:rPr>
            </w:pPr>
            <w:r w:rsidRPr="00A4172F">
              <w:rPr>
                <w:sz w:val="18"/>
                <w:lang w:val="en-CA"/>
              </w:rPr>
              <w:t>18</w:t>
            </w:r>
            <w:r w:rsidR="007A66C5">
              <w:rPr>
                <w:sz w:val="18"/>
                <w:lang w:val="en-CA"/>
              </w:rPr>
              <w:t>,</w:t>
            </w:r>
            <w:r w:rsidRPr="00A4172F">
              <w:rPr>
                <w:sz w:val="18"/>
                <w:lang w:val="en-CA"/>
              </w:rPr>
              <w:t>0</w:t>
            </w:r>
          </w:p>
        </w:tc>
        <w:tc>
          <w:tcPr>
            <w:tcW w:w="801" w:type="dxa"/>
            <w:shd w:val="clear" w:color="auto" w:fill="auto"/>
          </w:tcPr>
          <w:p w:rsidR="00AA78E2" w:rsidRPr="00A4172F" w:rsidRDefault="00AA78E2" w:rsidP="00AA78E2">
            <w:pPr>
              <w:spacing w:after="60"/>
              <w:jc w:val="right"/>
              <w:rPr>
                <w:sz w:val="18"/>
                <w:lang w:val="en-CA"/>
              </w:rPr>
            </w:pPr>
            <w:r w:rsidRPr="00A4172F">
              <w:rPr>
                <w:sz w:val="18"/>
                <w:lang w:val="en-CA"/>
              </w:rPr>
              <w:t>18</w:t>
            </w:r>
            <w:r w:rsidR="007A66C5">
              <w:rPr>
                <w:sz w:val="18"/>
                <w:lang w:val="en-CA"/>
              </w:rPr>
              <w:t>,</w:t>
            </w:r>
            <w:r w:rsidRPr="00A4172F">
              <w:rPr>
                <w:sz w:val="18"/>
                <w:lang w:val="en-CA"/>
              </w:rPr>
              <w:t>0</w:t>
            </w:r>
          </w:p>
        </w:tc>
        <w:tc>
          <w:tcPr>
            <w:tcW w:w="801" w:type="dxa"/>
            <w:shd w:val="clear" w:color="auto" w:fill="auto"/>
          </w:tcPr>
          <w:p w:rsidR="00AA78E2" w:rsidRPr="00A4172F" w:rsidRDefault="00AA78E2" w:rsidP="00AA78E2">
            <w:pPr>
              <w:spacing w:after="60"/>
              <w:jc w:val="right"/>
              <w:rPr>
                <w:sz w:val="18"/>
                <w:lang w:val="en-CA"/>
              </w:rPr>
            </w:pPr>
            <w:r w:rsidRPr="00A4172F">
              <w:rPr>
                <w:sz w:val="18"/>
                <w:lang w:val="en-CA"/>
              </w:rPr>
              <w:t>18</w:t>
            </w:r>
            <w:r w:rsidR="007A66C5">
              <w:rPr>
                <w:sz w:val="18"/>
                <w:lang w:val="en-CA"/>
              </w:rPr>
              <w:t>,</w:t>
            </w:r>
            <w:r w:rsidRPr="00A4172F">
              <w:rPr>
                <w:sz w:val="18"/>
                <w:lang w:val="en-CA"/>
              </w:rPr>
              <w:t>0</w:t>
            </w:r>
          </w:p>
        </w:tc>
        <w:tc>
          <w:tcPr>
            <w:tcW w:w="711" w:type="dxa"/>
            <w:shd w:val="clear" w:color="auto" w:fill="auto"/>
          </w:tcPr>
          <w:p w:rsidR="00AA78E2" w:rsidRPr="00A4172F" w:rsidRDefault="00AA78E2" w:rsidP="00AA78E2">
            <w:pPr>
              <w:spacing w:after="60"/>
              <w:jc w:val="right"/>
              <w:rPr>
                <w:sz w:val="18"/>
                <w:lang w:val="en-CA"/>
              </w:rPr>
            </w:pPr>
            <w:r w:rsidRPr="00A4172F">
              <w:rPr>
                <w:sz w:val="18"/>
                <w:lang w:val="en-CA"/>
              </w:rPr>
              <w:t>18</w:t>
            </w:r>
            <w:r w:rsidR="007A66C5">
              <w:rPr>
                <w:sz w:val="18"/>
                <w:lang w:val="en-CA"/>
              </w:rPr>
              <w:t>,</w:t>
            </w:r>
            <w:r w:rsidRPr="00A4172F">
              <w:rPr>
                <w:sz w:val="18"/>
                <w:lang w:val="en-CA"/>
              </w:rPr>
              <w:t>0</w:t>
            </w:r>
          </w:p>
        </w:tc>
        <w:tc>
          <w:tcPr>
            <w:tcW w:w="801" w:type="dxa"/>
            <w:shd w:val="clear" w:color="auto" w:fill="auto"/>
          </w:tcPr>
          <w:p w:rsidR="00AA78E2" w:rsidRPr="00A4172F" w:rsidRDefault="00AA78E2" w:rsidP="00AA78E2">
            <w:pPr>
              <w:spacing w:after="60"/>
              <w:jc w:val="right"/>
              <w:rPr>
                <w:sz w:val="18"/>
                <w:lang w:val="en-CA"/>
              </w:rPr>
            </w:pPr>
            <w:r w:rsidRPr="00A4172F">
              <w:rPr>
                <w:sz w:val="18"/>
                <w:lang w:val="en-CA"/>
              </w:rPr>
              <w:t>18</w:t>
            </w:r>
            <w:r w:rsidR="007A66C5">
              <w:rPr>
                <w:sz w:val="18"/>
                <w:lang w:val="en-CA"/>
              </w:rPr>
              <w:t>,</w:t>
            </w:r>
            <w:r w:rsidRPr="00A4172F">
              <w:rPr>
                <w:sz w:val="18"/>
                <w:lang w:val="en-CA"/>
              </w:rPr>
              <w:t>0</w:t>
            </w:r>
          </w:p>
        </w:tc>
        <w:tc>
          <w:tcPr>
            <w:tcW w:w="711" w:type="dxa"/>
            <w:shd w:val="clear" w:color="auto" w:fill="auto"/>
          </w:tcPr>
          <w:p w:rsidR="00AA78E2" w:rsidRPr="00A4172F" w:rsidRDefault="00AA78E2" w:rsidP="00AA78E2">
            <w:pPr>
              <w:spacing w:after="60"/>
              <w:jc w:val="right"/>
              <w:rPr>
                <w:sz w:val="18"/>
                <w:lang w:val="en-CA"/>
              </w:rPr>
            </w:pPr>
            <w:r w:rsidRPr="00A4172F">
              <w:rPr>
                <w:sz w:val="18"/>
                <w:lang w:val="en-CA"/>
              </w:rPr>
              <w:t>13</w:t>
            </w:r>
            <w:r w:rsidR="007A66C5">
              <w:rPr>
                <w:sz w:val="18"/>
                <w:lang w:val="en-CA"/>
              </w:rPr>
              <w:t>,</w:t>
            </w:r>
            <w:r w:rsidRPr="00A4172F">
              <w:rPr>
                <w:sz w:val="18"/>
                <w:lang w:val="en-CA"/>
              </w:rPr>
              <w:t>0</w:t>
            </w:r>
          </w:p>
        </w:tc>
        <w:tc>
          <w:tcPr>
            <w:tcW w:w="801" w:type="dxa"/>
            <w:shd w:val="clear" w:color="auto" w:fill="auto"/>
          </w:tcPr>
          <w:p w:rsidR="00AA78E2" w:rsidRPr="00264F4B" w:rsidRDefault="007A66C5" w:rsidP="00AA78E2">
            <w:pPr>
              <w:spacing w:after="60"/>
              <w:jc w:val="center"/>
              <w:rPr>
                <w:sz w:val="18"/>
                <w:lang w:val="fr-CA"/>
              </w:rPr>
            </w:pPr>
            <w:r>
              <w:rPr>
                <w:sz w:val="18"/>
                <w:lang w:val="fr-CA"/>
              </w:rPr>
              <w:t>s.o.</w:t>
            </w:r>
          </w:p>
        </w:tc>
      </w:tr>
      <w:tr w:rsidR="007A66C5" w:rsidRPr="00264F4B" w:rsidTr="00A24C0D">
        <w:trPr>
          <w:trHeight w:val="466"/>
        </w:trPr>
        <w:tc>
          <w:tcPr>
            <w:tcW w:w="2802" w:type="dxa"/>
            <w:gridSpan w:val="3"/>
            <w:shd w:val="clear" w:color="auto" w:fill="auto"/>
          </w:tcPr>
          <w:p w:rsidR="00AA78E2" w:rsidRPr="00475DD9" w:rsidRDefault="00AA78E2" w:rsidP="00AA78E2">
            <w:pPr>
              <w:spacing w:after="60"/>
              <w:jc w:val="left"/>
              <w:rPr>
                <w:sz w:val="16"/>
                <w:szCs w:val="16"/>
                <w:lang w:val="fr-CA"/>
              </w:rPr>
            </w:pPr>
            <w:r w:rsidRPr="00475DD9">
              <w:rPr>
                <w:sz w:val="16"/>
                <w:szCs w:val="16"/>
                <w:lang w:val="fr-CA"/>
              </w:rPr>
              <w:t>Consommation maximale admissible (tonnes PAO)</w:t>
            </w:r>
          </w:p>
        </w:tc>
        <w:tc>
          <w:tcPr>
            <w:tcW w:w="731" w:type="dxa"/>
          </w:tcPr>
          <w:p w:rsidR="00AA78E2" w:rsidRPr="00A4172F" w:rsidRDefault="007A66C5" w:rsidP="00AA78E2">
            <w:pPr>
              <w:spacing w:after="60"/>
              <w:jc w:val="center"/>
              <w:rPr>
                <w:sz w:val="18"/>
                <w:lang w:val="en-CA"/>
              </w:rPr>
            </w:pPr>
            <w:r>
              <w:rPr>
                <w:sz w:val="18"/>
                <w:lang w:val="en-CA"/>
              </w:rPr>
              <w:t>s.o.</w:t>
            </w:r>
          </w:p>
        </w:tc>
        <w:tc>
          <w:tcPr>
            <w:tcW w:w="613" w:type="dxa"/>
          </w:tcPr>
          <w:p w:rsidR="00AA78E2" w:rsidRPr="00264F4B" w:rsidRDefault="007A66C5" w:rsidP="00AA78E2">
            <w:pPr>
              <w:spacing w:after="60"/>
              <w:jc w:val="right"/>
              <w:rPr>
                <w:sz w:val="18"/>
                <w:lang w:val="fr-CA"/>
              </w:rPr>
            </w:pPr>
            <w:r>
              <w:rPr>
                <w:sz w:val="18"/>
                <w:lang w:val="fr-CA"/>
              </w:rPr>
              <w:t>s.o.</w:t>
            </w:r>
          </w:p>
        </w:tc>
        <w:tc>
          <w:tcPr>
            <w:tcW w:w="576" w:type="dxa"/>
          </w:tcPr>
          <w:p w:rsidR="00AA78E2" w:rsidRPr="00264F4B" w:rsidRDefault="007A66C5" w:rsidP="00AA78E2">
            <w:pPr>
              <w:spacing w:after="60"/>
              <w:jc w:val="right"/>
              <w:rPr>
                <w:sz w:val="18"/>
                <w:lang w:val="fr-CA"/>
              </w:rPr>
            </w:pPr>
            <w:r>
              <w:rPr>
                <w:sz w:val="18"/>
                <w:lang w:val="fr-CA"/>
              </w:rPr>
              <w:t>s.o.</w:t>
            </w:r>
          </w:p>
        </w:tc>
        <w:tc>
          <w:tcPr>
            <w:tcW w:w="711" w:type="dxa"/>
            <w:shd w:val="clear" w:color="auto" w:fill="auto"/>
          </w:tcPr>
          <w:p w:rsidR="00AA78E2" w:rsidRPr="00A4172F" w:rsidRDefault="00AA78E2" w:rsidP="00AA78E2">
            <w:pPr>
              <w:spacing w:after="60"/>
              <w:jc w:val="right"/>
              <w:rPr>
                <w:sz w:val="18"/>
                <w:lang w:val="en-CA"/>
              </w:rPr>
            </w:pPr>
            <w:r w:rsidRPr="00A4172F">
              <w:rPr>
                <w:sz w:val="18"/>
                <w:lang w:val="en-CA"/>
              </w:rPr>
              <w:t>20</w:t>
            </w:r>
            <w:r w:rsidR="007A66C5">
              <w:rPr>
                <w:sz w:val="18"/>
                <w:lang w:val="en-CA"/>
              </w:rPr>
              <w:t>,</w:t>
            </w:r>
            <w:r w:rsidRPr="00A4172F">
              <w:rPr>
                <w:sz w:val="18"/>
                <w:lang w:val="en-CA"/>
              </w:rPr>
              <w:t>0</w:t>
            </w:r>
          </w:p>
        </w:tc>
        <w:tc>
          <w:tcPr>
            <w:tcW w:w="586" w:type="dxa"/>
            <w:shd w:val="clear" w:color="auto" w:fill="auto"/>
          </w:tcPr>
          <w:p w:rsidR="00AA78E2" w:rsidRPr="00A4172F" w:rsidRDefault="00AA78E2" w:rsidP="00AA78E2">
            <w:pPr>
              <w:spacing w:after="60"/>
              <w:jc w:val="right"/>
              <w:rPr>
                <w:sz w:val="18"/>
                <w:lang w:val="en-CA"/>
              </w:rPr>
            </w:pPr>
            <w:r w:rsidRPr="00A4172F">
              <w:rPr>
                <w:sz w:val="18"/>
                <w:lang w:val="en-CA"/>
              </w:rPr>
              <w:t>20</w:t>
            </w:r>
            <w:r w:rsidR="007A66C5">
              <w:rPr>
                <w:sz w:val="18"/>
                <w:lang w:val="en-CA"/>
              </w:rPr>
              <w:t>,</w:t>
            </w:r>
            <w:r w:rsidRPr="00A4172F">
              <w:rPr>
                <w:sz w:val="18"/>
                <w:lang w:val="en-CA"/>
              </w:rPr>
              <w:t>0</w:t>
            </w:r>
          </w:p>
        </w:tc>
        <w:tc>
          <w:tcPr>
            <w:tcW w:w="586" w:type="dxa"/>
            <w:shd w:val="clear" w:color="auto" w:fill="auto"/>
          </w:tcPr>
          <w:p w:rsidR="00AA78E2" w:rsidRPr="00A4172F" w:rsidRDefault="00AA78E2" w:rsidP="00AA78E2">
            <w:pPr>
              <w:spacing w:after="60"/>
              <w:jc w:val="right"/>
              <w:rPr>
                <w:sz w:val="18"/>
                <w:lang w:val="en-CA"/>
              </w:rPr>
            </w:pPr>
            <w:r w:rsidRPr="00A4172F">
              <w:rPr>
                <w:sz w:val="18"/>
                <w:lang w:val="en-CA"/>
              </w:rPr>
              <w:t>18</w:t>
            </w:r>
            <w:r w:rsidR="007A66C5">
              <w:rPr>
                <w:sz w:val="18"/>
                <w:lang w:val="en-CA"/>
              </w:rPr>
              <w:t>,</w:t>
            </w:r>
            <w:r w:rsidRPr="00A4172F">
              <w:rPr>
                <w:sz w:val="18"/>
                <w:lang w:val="en-CA"/>
              </w:rPr>
              <w:t>0</w:t>
            </w:r>
          </w:p>
        </w:tc>
        <w:tc>
          <w:tcPr>
            <w:tcW w:w="801" w:type="dxa"/>
            <w:shd w:val="clear" w:color="auto" w:fill="auto"/>
          </w:tcPr>
          <w:p w:rsidR="00AA78E2" w:rsidRPr="00A4172F" w:rsidRDefault="00AA78E2" w:rsidP="00AA78E2">
            <w:pPr>
              <w:spacing w:after="60"/>
              <w:jc w:val="right"/>
              <w:rPr>
                <w:sz w:val="18"/>
                <w:lang w:val="en-CA"/>
              </w:rPr>
            </w:pPr>
            <w:r w:rsidRPr="00A4172F">
              <w:rPr>
                <w:sz w:val="18"/>
                <w:lang w:val="en-CA"/>
              </w:rPr>
              <w:t>18</w:t>
            </w:r>
            <w:r w:rsidR="007A66C5">
              <w:rPr>
                <w:sz w:val="18"/>
                <w:lang w:val="en-CA"/>
              </w:rPr>
              <w:t>,</w:t>
            </w:r>
            <w:r w:rsidRPr="00A4172F">
              <w:rPr>
                <w:sz w:val="18"/>
                <w:lang w:val="en-CA"/>
              </w:rPr>
              <w:t>0</w:t>
            </w:r>
          </w:p>
        </w:tc>
        <w:tc>
          <w:tcPr>
            <w:tcW w:w="801" w:type="dxa"/>
            <w:shd w:val="clear" w:color="auto" w:fill="auto"/>
          </w:tcPr>
          <w:p w:rsidR="00AA78E2" w:rsidRPr="00A4172F" w:rsidRDefault="00AA78E2" w:rsidP="00AA78E2">
            <w:pPr>
              <w:spacing w:after="60"/>
              <w:jc w:val="right"/>
              <w:rPr>
                <w:sz w:val="18"/>
                <w:lang w:val="en-CA"/>
              </w:rPr>
            </w:pPr>
            <w:r w:rsidRPr="00A4172F">
              <w:rPr>
                <w:sz w:val="18"/>
                <w:lang w:val="en-CA"/>
              </w:rPr>
              <w:t>18</w:t>
            </w:r>
            <w:r w:rsidR="007A66C5">
              <w:rPr>
                <w:sz w:val="18"/>
                <w:lang w:val="en-CA"/>
              </w:rPr>
              <w:t>,</w:t>
            </w:r>
            <w:r w:rsidRPr="00A4172F">
              <w:rPr>
                <w:sz w:val="18"/>
                <w:lang w:val="en-CA"/>
              </w:rPr>
              <w:t>0</w:t>
            </w:r>
          </w:p>
        </w:tc>
        <w:tc>
          <w:tcPr>
            <w:tcW w:w="711" w:type="dxa"/>
            <w:shd w:val="clear" w:color="auto" w:fill="auto"/>
          </w:tcPr>
          <w:p w:rsidR="00AA78E2" w:rsidRPr="00A4172F" w:rsidRDefault="00AA78E2" w:rsidP="00AA78E2">
            <w:pPr>
              <w:spacing w:after="60"/>
              <w:jc w:val="right"/>
              <w:rPr>
                <w:sz w:val="18"/>
                <w:lang w:val="en-CA"/>
              </w:rPr>
            </w:pPr>
            <w:r w:rsidRPr="00A4172F">
              <w:rPr>
                <w:sz w:val="18"/>
                <w:lang w:val="en-CA"/>
              </w:rPr>
              <w:t>18</w:t>
            </w:r>
            <w:r w:rsidR="007A66C5">
              <w:rPr>
                <w:sz w:val="18"/>
                <w:lang w:val="en-CA"/>
              </w:rPr>
              <w:t>,</w:t>
            </w:r>
            <w:r w:rsidRPr="00A4172F">
              <w:rPr>
                <w:sz w:val="18"/>
                <w:lang w:val="en-CA"/>
              </w:rPr>
              <w:t>0</w:t>
            </w:r>
          </w:p>
        </w:tc>
        <w:tc>
          <w:tcPr>
            <w:tcW w:w="801" w:type="dxa"/>
            <w:shd w:val="clear" w:color="auto" w:fill="auto"/>
          </w:tcPr>
          <w:p w:rsidR="00AA78E2" w:rsidRPr="00A4172F" w:rsidRDefault="00AA78E2" w:rsidP="00AA78E2">
            <w:pPr>
              <w:spacing w:after="60"/>
              <w:jc w:val="right"/>
              <w:rPr>
                <w:sz w:val="18"/>
                <w:lang w:val="en-CA"/>
              </w:rPr>
            </w:pPr>
            <w:r w:rsidRPr="00A4172F">
              <w:rPr>
                <w:sz w:val="18"/>
                <w:lang w:val="en-CA"/>
              </w:rPr>
              <w:t>18</w:t>
            </w:r>
            <w:r w:rsidR="007A66C5">
              <w:rPr>
                <w:sz w:val="18"/>
                <w:lang w:val="en-CA"/>
              </w:rPr>
              <w:t>,</w:t>
            </w:r>
            <w:r w:rsidRPr="00A4172F">
              <w:rPr>
                <w:sz w:val="18"/>
                <w:lang w:val="en-CA"/>
              </w:rPr>
              <w:t>0</w:t>
            </w:r>
          </w:p>
        </w:tc>
        <w:tc>
          <w:tcPr>
            <w:tcW w:w="711" w:type="dxa"/>
            <w:shd w:val="clear" w:color="auto" w:fill="auto"/>
          </w:tcPr>
          <w:p w:rsidR="00AA78E2" w:rsidRPr="00A4172F" w:rsidRDefault="00AA78E2" w:rsidP="00AA78E2">
            <w:pPr>
              <w:spacing w:after="60"/>
              <w:jc w:val="right"/>
              <w:rPr>
                <w:sz w:val="18"/>
                <w:lang w:val="en-CA"/>
              </w:rPr>
            </w:pPr>
            <w:r w:rsidRPr="00A4172F">
              <w:rPr>
                <w:sz w:val="18"/>
                <w:lang w:val="en-CA"/>
              </w:rPr>
              <w:t>13</w:t>
            </w:r>
            <w:r w:rsidR="007A66C5">
              <w:rPr>
                <w:sz w:val="18"/>
                <w:lang w:val="en-CA"/>
              </w:rPr>
              <w:t>,</w:t>
            </w:r>
            <w:r w:rsidRPr="00A4172F">
              <w:rPr>
                <w:sz w:val="18"/>
                <w:lang w:val="en-CA"/>
              </w:rPr>
              <w:t>0</w:t>
            </w:r>
          </w:p>
        </w:tc>
        <w:tc>
          <w:tcPr>
            <w:tcW w:w="801" w:type="dxa"/>
            <w:shd w:val="clear" w:color="auto" w:fill="auto"/>
          </w:tcPr>
          <w:p w:rsidR="00AA78E2" w:rsidRPr="00264F4B" w:rsidRDefault="007A66C5" w:rsidP="00AA78E2">
            <w:pPr>
              <w:spacing w:after="60"/>
              <w:jc w:val="center"/>
              <w:rPr>
                <w:sz w:val="18"/>
                <w:lang w:val="fr-CA"/>
              </w:rPr>
            </w:pPr>
            <w:r>
              <w:rPr>
                <w:sz w:val="18"/>
                <w:lang w:val="fr-CA"/>
              </w:rPr>
              <w:t>s.o.</w:t>
            </w:r>
          </w:p>
        </w:tc>
      </w:tr>
      <w:tr w:rsidR="007A66C5" w:rsidRPr="00721EBF" w:rsidTr="00A24C0D">
        <w:trPr>
          <w:trHeight w:val="479"/>
        </w:trPr>
        <w:tc>
          <w:tcPr>
            <w:tcW w:w="1148" w:type="dxa"/>
            <w:vMerge w:val="restart"/>
            <w:shd w:val="clear" w:color="auto" w:fill="auto"/>
          </w:tcPr>
          <w:p w:rsidR="007A66C5" w:rsidRPr="00721EBF" w:rsidRDefault="007A66C5" w:rsidP="007A66C5">
            <w:pPr>
              <w:spacing w:after="60"/>
              <w:jc w:val="left"/>
              <w:rPr>
                <w:sz w:val="18"/>
                <w:lang w:val="en-CA"/>
              </w:rPr>
            </w:pPr>
            <w:r>
              <w:rPr>
                <w:sz w:val="18"/>
                <w:lang w:val="en-CA"/>
              </w:rPr>
              <w:t>Financement convenu ($US)</w:t>
            </w:r>
          </w:p>
        </w:tc>
        <w:tc>
          <w:tcPr>
            <w:tcW w:w="797" w:type="dxa"/>
            <w:vMerge w:val="restart"/>
            <w:shd w:val="clear" w:color="auto" w:fill="auto"/>
          </w:tcPr>
          <w:p w:rsidR="007A66C5" w:rsidRPr="00A4172F" w:rsidRDefault="007A66C5" w:rsidP="007A66C5">
            <w:pPr>
              <w:spacing w:after="60"/>
              <w:jc w:val="center"/>
              <w:rPr>
                <w:sz w:val="18"/>
                <w:lang w:val="en-CA"/>
              </w:rPr>
            </w:pPr>
            <w:r>
              <w:rPr>
                <w:sz w:val="18"/>
                <w:lang w:val="en-CA"/>
              </w:rPr>
              <w:t>PNUE</w:t>
            </w:r>
          </w:p>
        </w:tc>
        <w:tc>
          <w:tcPr>
            <w:tcW w:w="857" w:type="dxa"/>
            <w:shd w:val="clear" w:color="auto" w:fill="auto"/>
          </w:tcPr>
          <w:p w:rsidR="007A66C5" w:rsidRPr="00721EBF" w:rsidRDefault="007A66C5" w:rsidP="007A66C5">
            <w:pPr>
              <w:spacing w:after="60"/>
              <w:jc w:val="left"/>
              <w:rPr>
                <w:sz w:val="18"/>
                <w:lang w:val="en-CA"/>
              </w:rPr>
            </w:pPr>
            <w:r>
              <w:rPr>
                <w:sz w:val="18"/>
                <w:lang w:val="en-CA"/>
              </w:rPr>
              <w:t>Coûts de projet</w:t>
            </w:r>
          </w:p>
        </w:tc>
        <w:tc>
          <w:tcPr>
            <w:tcW w:w="731" w:type="dxa"/>
          </w:tcPr>
          <w:p w:rsidR="007A66C5" w:rsidRPr="00A4172F" w:rsidRDefault="007A66C5" w:rsidP="007A66C5">
            <w:pPr>
              <w:spacing w:after="60"/>
              <w:jc w:val="right"/>
              <w:rPr>
                <w:sz w:val="18"/>
                <w:lang w:val="en-CA"/>
              </w:rPr>
            </w:pPr>
            <w:r w:rsidRPr="00A4172F">
              <w:rPr>
                <w:sz w:val="18"/>
                <w:lang w:val="en-CA"/>
              </w:rPr>
              <w:t>70</w:t>
            </w:r>
            <w:r>
              <w:rPr>
                <w:sz w:val="18"/>
                <w:lang w:val="en-CA"/>
              </w:rPr>
              <w:t> </w:t>
            </w:r>
            <w:r w:rsidRPr="00A4172F">
              <w:rPr>
                <w:sz w:val="18"/>
                <w:lang w:val="en-CA"/>
              </w:rPr>
              <w:t>000</w:t>
            </w:r>
          </w:p>
        </w:tc>
        <w:tc>
          <w:tcPr>
            <w:tcW w:w="613" w:type="dxa"/>
          </w:tcPr>
          <w:p w:rsidR="007A66C5" w:rsidRDefault="007A66C5" w:rsidP="007A66C5">
            <w:pPr>
              <w:spacing w:after="60"/>
              <w:jc w:val="right"/>
              <w:rPr>
                <w:sz w:val="18"/>
                <w:lang w:val="en-CA"/>
              </w:rPr>
            </w:pPr>
            <w:r>
              <w:rPr>
                <w:sz w:val="18"/>
                <w:lang w:val="en-CA"/>
              </w:rPr>
              <w:t>0</w:t>
            </w:r>
          </w:p>
        </w:tc>
        <w:tc>
          <w:tcPr>
            <w:tcW w:w="576" w:type="dxa"/>
          </w:tcPr>
          <w:p w:rsidR="007A66C5" w:rsidRDefault="007A66C5" w:rsidP="007A66C5">
            <w:pPr>
              <w:spacing w:after="60"/>
              <w:jc w:val="right"/>
              <w:rPr>
                <w:sz w:val="18"/>
                <w:lang w:val="en-CA"/>
              </w:rPr>
            </w:pPr>
            <w:r>
              <w:rPr>
                <w:sz w:val="18"/>
                <w:lang w:val="en-CA"/>
              </w:rPr>
              <w:t>0</w:t>
            </w:r>
          </w:p>
        </w:tc>
        <w:tc>
          <w:tcPr>
            <w:tcW w:w="711" w:type="dxa"/>
            <w:shd w:val="clear" w:color="auto" w:fill="auto"/>
          </w:tcPr>
          <w:p w:rsidR="007A66C5" w:rsidRPr="00A4172F" w:rsidRDefault="007A66C5" w:rsidP="007A66C5">
            <w:pPr>
              <w:spacing w:after="60"/>
              <w:jc w:val="right"/>
              <w:rPr>
                <w:sz w:val="18"/>
                <w:lang w:val="en-CA"/>
              </w:rPr>
            </w:pPr>
            <w:r w:rsidRPr="00A4172F">
              <w:rPr>
                <w:sz w:val="18"/>
                <w:lang w:val="en-CA"/>
              </w:rPr>
              <w:t>45</w:t>
            </w:r>
            <w:r>
              <w:rPr>
                <w:sz w:val="18"/>
                <w:lang w:val="en-CA"/>
              </w:rPr>
              <w:t> </w:t>
            </w:r>
            <w:r w:rsidRPr="00A4172F">
              <w:rPr>
                <w:sz w:val="18"/>
                <w:lang w:val="en-CA"/>
              </w:rPr>
              <w:t>000</w:t>
            </w:r>
          </w:p>
        </w:tc>
        <w:tc>
          <w:tcPr>
            <w:tcW w:w="586" w:type="dxa"/>
            <w:shd w:val="clear" w:color="auto" w:fill="auto"/>
          </w:tcPr>
          <w:p w:rsidR="007A66C5" w:rsidRPr="00A4172F" w:rsidRDefault="007A66C5" w:rsidP="007A66C5">
            <w:pPr>
              <w:spacing w:after="60"/>
              <w:jc w:val="right"/>
              <w:rPr>
                <w:sz w:val="18"/>
                <w:lang w:val="en-CA"/>
              </w:rPr>
            </w:pPr>
            <w:r w:rsidRPr="00A4172F">
              <w:rPr>
                <w:sz w:val="18"/>
                <w:lang w:val="en-CA"/>
              </w:rPr>
              <w:t>0</w:t>
            </w:r>
          </w:p>
        </w:tc>
        <w:tc>
          <w:tcPr>
            <w:tcW w:w="586" w:type="dxa"/>
            <w:shd w:val="clear" w:color="auto" w:fill="auto"/>
          </w:tcPr>
          <w:p w:rsidR="007A66C5" w:rsidRPr="00A4172F" w:rsidRDefault="007A66C5" w:rsidP="007A66C5">
            <w:pPr>
              <w:spacing w:after="60"/>
              <w:jc w:val="right"/>
              <w:rPr>
                <w:sz w:val="18"/>
                <w:lang w:val="en-CA"/>
              </w:rPr>
            </w:pPr>
            <w:r w:rsidRPr="00A4172F">
              <w:rPr>
                <w:sz w:val="18"/>
                <w:lang w:val="en-CA"/>
              </w:rPr>
              <w:t>0</w:t>
            </w:r>
          </w:p>
        </w:tc>
        <w:tc>
          <w:tcPr>
            <w:tcW w:w="801" w:type="dxa"/>
            <w:shd w:val="clear" w:color="auto" w:fill="auto"/>
          </w:tcPr>
          <w:p w:rsidR="007A66C5" w:rsidRPr="00A4172F" w:rsidRDefault="007A66C5" w:rsidP="007A66C5">
            <w:pPr>
              <w:spacing w:after="60"/>
              <w:jc w:val="right"/>
              <w:rPr>
                <w:sz w:val="18"/>
                <w:lang w:val="en-CA"/>
              </w:rPr>
            </w:pPr>
            <w:r w:rsidRPr="00A4172F">
              <w:rPr>
                <w:sz w:val="18"/>
                <w:lang w:val="en-CA"/>
              </w:rPr>
              <w:t>62</w:t>
            </w:r>
            <w:r>
              <w:rPr>
                <w:sz w:val="18"/>
                <w:lang w:val="en-CA"/>
              </w:rPr>
              <w:t> </w:t>
            </w:r>
            <w:r w:rsidRPr="00A4172F">
              <w:rPr>
                <w:sz w:val="18"/>
                <w:lang w:val="en-CA"/>
              </w:rPr>
              <w:t>000</w:t>
            </w:r>
          </w:p>
        </w:tc>
        <w:tc>
          <w:tcPr>
            <w:tcW w:w="801" w:type="dxa"/>
            <w:shd w:val="clear" w:color="auto" w:fill="auto"/>
          </w:tcPr>
          <w:p w:rsidR="007A66C5" w:rsidRPr="00A4172F" w:rsidRDefault="007A66C5" w:rsidP="007A66C5">
            <w:pPr>
              <w:spacing w:after="60"/>
              <w:jc w:val="right"/>
              <w:rPr>
                <w:sz w:val="18"/>
                <w:lang w:val="en-CA"/>
              </w:rPr>
            </w:pPr>
            <w:r w:rsidRPr="00A4172F">
              <w:rPr>
                <w:sz w:val="18"/>
                <w:lang w:val="en-CA"/>
              </w:rPr>
              <w:t>0</w:t>
            </w:r>
          </w:p>
        </w:tc>
        <w:tc>
          <w:tcPr>
            <w:tcW w:w="711" w:type="dxa"/>
            <w:shd w:val="clear" w:color="auto" w:fill="auto"/>
          </w:tcPr>
          <w:p w:rsidR="007A66C5" w:rsidRPr="00A4172F" w:rsidRDefault="007A66C5" w:rsidP="007A66C5">
            <w:pPr>
              <w:spacing w:after="60"/>
              <w:jc w:val="right"/>
              <w:rPr>
                <w:sz w:val="18"/>
                <w:lang w:val="en-CA"/>
              </w:rPr>
            </w:pPr>
            <w:r w:rsidRPr="00A4172F">
              <w:rPr>
                <w:sz w:val="18"/>
                <w:lang w:val="en-CA"/>
              </w:rPr>
              <w:t>40</w:t>
            </w:r>
            <w:r>
              <w:rPr>
                <w:sz w:val="18"/>
                <w:lang w:val="en-CA"/>
              </w:rPr>
              <w:t> </w:t>
            </w:r>
            <w:r w:rsidRPr="00A4172F">
              <w:rPr>
                <w:sz w:val="18"/>
                <w:lang w:val="en-CA"/>
              </w:rPr>
              <w:t>000</w:t>
            </w:r>
          </w:p>
        </w:tc>
        <w:tc>
          <w:tcPr>
            <w:tcW w:w="801" w:type="dxa"/>
            <w:shd w:val="clear" w:color="auto" w:fill="auto"/>
          </w:tcPr>
          <w:p w:rsidR="007A66C5" w:rsidRPr="00A4172F" w:rsidRDefault="007A66C5" w:rsidP="007A66C5">
            <w:pPr>
              <w:spacing w:after="60"/>
              <w:jc w:val="right"/>
              <w:rPr>
                <w:sz w:val="18"/>
                <w:lang w:val="en-CA"/>
              </w:rPr>
            </w:pPr>
            <w:r w:rsidRPr="00A4172F">
              <w:rPr>
                <w:sz w:val="18"/>
                <w:lang w:val="en-CA"/>
              </w:rPr>
              <w:t>0</w:t>
            </w:r>
          </w:p>
        </w:tc>
        <w:tc>
          <w:tcPr>
            <w:tcW w:w="711" w:type="dxa"/>
            <w:shd w:val="clear" w:color="auto" w:fill="auto"/>
          </w:tcPr>
          <w:p w:rsidR="007A66C5" w:rsidRPr="00A4172F" w:rsidRDefault="007A66C5" w:rsidP="007A66C5">
            <w:pPr>
              <w:spacing w:after="60"/>
              <w:jc w:val="right"/>
              <w:rPr>
                <w:sz w:val="18"/>
                <w:lang w:val="en-CA"/>
              </w:rPr>
            </w:pPr>
            <w:r w:rsidRPr="00A4172F">
              <w:rPr>
                <w:sz w:val="18"/>
                <w:lang w:val="en-CA"/>
              </w:rPr>
              <w:t>63</w:t>
            </w:r>
            <w:r>
              <w:rPr>
                <w:sz w:val="18"/>
                <w:lang w:val="en-CA"/>
              </w:rPr>
              <w:t> </w:t>
            </w:r>
            <w:r w:rsidRPr="00A4172F">
              <w:rPr>
                <w:sz w:val="18"/>
                <w:lang w:val="en-CA"/>
              </w:rPr>
              <w:t>000</w:t>
            </w:r>
          </w:p>
        </w:tc>
        <w:tc>
          <w:tcPr>
            <w:tcW w:w="801" w:type="dxa"/>
            <w:shd w:val="clear" w:color="auto" w:fill="auto"/>
          </w:tcPr>
          <w:p w:rsidR="007A66C5" w:rsidRPr="00A4172F" w:rsidRDefault="007A66C5" w:rsidP="007A66C5">
            <w:pPr>
              <w:spacing w:after="60"/>
              <w:jc w:val="right"/>
              <w:rPr>
                <w:sz w:val="18"/>
                <w:lang w:val="en-CA"/>
              </w:rPr>
            </w:pPr>
            <w:r w:rsidRPr="00A4172F">
              <w:rPr>
                <w:sz w:val="18"/>
                <w:lang w:val="en-CA"/>
              </w:rPr>
              <w:t>280</w:t>
            </w:r>
            <w:r>
              <w:rPr>
                <w:sz w:val="18"/>
                <w:lang w:val="en-CA"/>
              </w:rPr>
              <w:t> </w:t>
            </w:r>
            <w:r w:rsidRPr="00A4172F">
              <w:rPr>
                <w:sz w:val="18"/>
                <w:lang w:val="en-CA"/>
              </w:rPr>
              <w:t>000</w:t>
            </w:r>
          </w:p>
        </w:tc>
      </w:tr>
      <w:tr w:rsidR="007A66C5" w:rsidRPr="00721EBF" w:rsidTr="00A24C0D">
        <w:trPr>
          <w:trHeight w:val="491"/>
        </w:trPr>
        <w:tc>
          <w:tcPr>
            <w:tcW w:w="1148" w:type="dxa"/>
            <w:vMerge/>
            <w:shd w:val="clear" w:color="auto" w:fill="auto"/>
          </w:tcPr>
          <w:p w:rsidR="007A66C5" w:rsidRPr="00721EBF" w:rsidRDefault="007A66C5" w:rsidP="007A66C5">
            <w:pPr>
              <w:spacing w:after="60"/>
              <w:jc w:val="center"/>
              <w:rPr>
                <w:sz w:val="18"/>
                <w:lang w:val="en-CA"/>
              </w:rPr>
            </w:pPr>
          </w:p>
        </w:tc>
        <w:tc>
          <w:tcPr>
            <w:tcW w:w="797" w:type="dxa"/>
            <w:vMerge/>
            <w:shd w:val="clear" w:color="auto" w:fill="auto"/>
          </w:tcPr>
          <w:p w:rsidR="007A66C5" w:rsidRPr="00721EBF" w:rsidRDefault="007A66C5" w:rsidP="007A66C5">
            <w:pPr>
              <w:spacing w:after="60"/>
              <w:jc w:val="center"/>
              <w:rPr>
                <w:sz w:val="18"/>
                <w:lang w:val="en-CA"/>
              </w:rPr>
            </w:pPr>
          </w:p>
        </w:tc>
        <w:tc>
          <w:tcPr>
            <w:tcW w:w="857" w:type="dxa"/>
            <w:shd w:val="clear" w:color="auto" w:fill="auto"/>
          </w:tcPr>
          <w:p w:rsidR="007A66C5" w:rsidRPr="00721EBF" w:rsidRDefault="007A66C5" w:rsidP="007A66C5">
            <w:pPr>
              <w:spacing w:after="60"/>
              <w:jc w:val="left"/>
              <w:rPr>
                <w:sz w:val="18"/>
                <w:lang w:val="en-CA"/>
              </w:rPr>
            </w:pPr>
            <w:r>
              <w:rPr>
                <w:sz w:val="18"/>
                <w:lang w:val="en-CA"/>
              </w:rPr>
              <w:t>Coûts d’appui</w:t>
            </w:r>
          </w:p>
        </w:tc>
        <w:tc>
          <w:tcPr>
            <w:tcW w:w="731" w:type="dxa"/>
          </w:tcPr>
          <w:p w:rsidR="007A66C5" w:rsidRPr="00A4172F" w:rsidRDefault="007A66C5" w:rsidP="007A66C5">
            <w:pPr>
              <w:spacing w:after="60"/>
              <w:jc w:val="right"/>
              <w:rPr>
                <w:sz w:val="18"/>
                <w:lang w:val="en-CA"/>
              </w:rPr>
            </w:pPr>
            <w:r w:rsidRPr="00A4172F">
              <w:rPr>
                <w:sz w:val="18"/>
                <w:lang w:val="en-CA"/>
              </w:rPr>
              <w:t>9</w:t>
            </w:r>
            <w:r>
              <w:rPr>
                <w:sz w:val="18"/>
                <w:lang w:val="en-CA"/>
              </w:rPr>
              <w:t> </w:t>
            </w:r>
            <w:r w:rsidRPr="00A4172F">
              <w:rPr>
                <w:sz w:val="18"/>
                <w:lang w:val="en-CA"/>
              </w:rPr>
              <w:t>100</w:t>
            </w:r>
          </w:p>
        </w:tc>
        <w:tc>
          <w:tcPr>
            <w:tcW w:w="613" w:type="dxa"/>
          </w:tcPr>
          <w:p w:rsidR="007A66C5" w:rsidRDefault="007A66C5" w:rsidP="007A66C5">
            <w:pPr>
              <w:spacing w:after="60"/>
              <w:jc w:val="right"/>
              <w:rPr>
                <w:sz w:val="18"/>
                <w:lang w:val="en-CA"/>
              </w:rPr>
            </w:pPr>
            <w:r>
              <w:rPr>
                <w:sz w:val="18"/>
                <w:lang w:val="en-CA"/>
              </w:rPr>
              <w:t>0</w:t>
            </w:r>
          </w:p>
        </w:tc>
        <w:tc>
          <w:tcPr>
            <w:tcW w:w="576" w:type="dxa"/>
          </w:tcPr>
          <w:p w:rsidR="007A66C5" w:rsidRDefault="007A66C5" w:rsidP="007A66C5">
            <w:pPr>
              <w:spacing w:after="60"/>
              <w:jc w:val="right"/>
              <w:rPr>
                <w:sz w:val="18"/>
                <w:lang w:val="en-CA"/>
              </w:rPr>
            </w:pPr>
            <w:r>
              <w:rPr>
                <w:sz w:val="18"/>
                <w:lang w:val="en-CA"/>
              </w:rPr>
              <w:t>0</w:t>
            </w:r>
          </w:p>
        </w:tc>
        <w:tc>
          <w:tcPr>
            <w:tcW w:w="711" w:type="dxa"/>
            <w:shd w:val="clear" w:color="auto" w:fill="auto"/>
          </w:tcPr>
          <w:p w:rsidR="007A66C5" w:rsidRPr="00A4172F" w:rsidRDefault="007A66C5" w:rsidP="007A66C5">
            <w:pPr>
              <w:spacing w:after="60"/>
              <w:jc w:val="right"/>
              <w:rPr>
                <w:sz w:val="18"/>
                <w:lang w:val="en-CA"/>
              </w:rPr>
            </w:pPr>
            <w:r w:rsidRPr="00A4172F">
              <w:rPr>
                <w:sz w:val="18"/>
                <w:lang w:val="en-CA"/>
              </w:rPr>
              <w:t>5</w:t>
            </w:r>
            <w:r>
              <w:rPr>
                <w:sz w:val="18"/>
                <w:lang w:val="en-CA"/>
              </w:rPr>
              <w:t> </w:t>
            </w:r>
            <w:r w:rsidRPr="00A4172F">
              <w:rPr>
                <w:sz w:val="18"/>
                <w:lang w:val="en-CA"/>
              </w:rPr>
              <w:t>850</w:t>
            </w:r>
          </w:p>
        </w:tc>
        <w:tc>
          <w:tcPr>
            <w:tcW w:w="586" w:type="dxa"/>
            <w:shd w:val="clear" w:color="auto" w:fill="auto"/>
          </w:tcPr>
          <w:p w:rsidR="007A66C5" w:rsidRPr="00A4172F" w:rsidRDefault="007A66C5" w:rsidP="007A66C5">
            <w:pPr>
              <w:spacing w:after="60"/>
              <w:jc w:val="right"/>
              <w:rPr>
                <w:sz w:val="18"/>
                <w:lang w:val="en-CA"/>
              </w:rPr>
            </w:pPr>
            <w:r w:rsidRPr="00A4172F">
              <w:rPr>
                <w:sz w:val="18"/>
                <w:lang w:val="en-CA"/>
              </w:rPr>
              <w:t>0</w:t>
            </w:r>
          </w:p>
        </w:tc>
        <w:tc>
          <w:tcPr>
            <w:tcW w:w="586" w:type="dxa"/>
            <w:shd w:val="clear" w:color="auto" w:fill="auto"/>
          </w:tcPr>
          <w:p w:rsidR="007A66C5" w:rsidRPr="00A4172F" w:rsidRDefault="007A66C5" w:rsidP="007A66C5">
            <w:pPr>
              <w:spacing w:after="60"/>
              <w:jc w:val="right"/>
              <w:rPr>
                <w:sz w:val="18"/>
                <w:lang w:val="en-CA"/>
              </w:rPr>
            </w:pPr>
            <w:r w:rsidRPr="00A4172F">
              <w:rPr>
                <w:sz w:val="18"/>
                <w:lang w:val="en-CA"/>
              </w:rPr>
              <w:t>0</w:t>
            </w:r>
          </w:p>
        </w:tc>
        <w:tc>
          <w:tcPr>
            <w:tcW w:w="801" w:type="dxa"/>
            <w:shd w:val="clear" w:color="auto" w:fill="auto"/>
          </w:tcPr>
          <w:p w:rsidR="007A66C5" w:rsidRPr="00A4172F" w:rsidRDefault="007A66C5" w:rsidP="007A66C5">
            <w:pPr>
              <w:spacing w:after="60"/>
              <w:jc w:val="right"/>
              <w:rPr>
                <w:sz w:val="18"/>
                <w:lang w:val="en-CA"/>
              </w:rPr>
            </w:pPr>
            <w:r w:rsidRPr="00A4172F">
              <w:rPr>
                <w:sz w:val="18"/>
                <w:lang w:val="en-CA"/>
              </w:rPr>
              <w:t>8</w:t>
            </w:r>
            <w:r>
              <w:rPr>
                <w:sz w:val="18"/>
                <w:lang w:val="en-CA"/>
              </w:rPr>
              <w:t> </w:t>
            </w:r>
            <w:r w:rsidRPr="00A4172F">
              <w:rPr>
                <w:sz w:val="18"/>
                <w:lang w:val="en-CA"/>
              </w:rPr>
              <w:t>060</w:t>
            </w:r>
          </w:p>
        </w:tc>
        <w:tc>
          <w:tcPr>
            <w:tcW w:w="801" w:type="dxa"/>
            <w:shd w:val="clear" w:color="auto" w:fill="auto"/>
          </w:tcPr>
          <w:p w:rsidR="007A66C5" w:rsidRPr="00A4172F" w:rsidRDefault="007A66C5" w:rsidP="007A66C5">
            <w:pPr>
              <w:spacing w:after="60"/>
              <w:jc w:val="right"/>
              <w:rPr>
                <w:sz w:val="18"/>
                <w:lang w:val="en-CA"/>
              </w:rPr>
            </w:pPr>
            <w:r w:rsidRPr="00A4172F">
              <w:rPr>
                <w:sz w:val="18"/>
                <w:lang w:val="en-CA"/>
              </w:rPr>
              <w:t>0</w:t>
            </w:r>
          </w:p>
        </w:tc>
        <w:tc>
          <w:tcPr>
            <w:tcW w:w="711" w:type="dxa"/>
            <w:shd w:val="clear" w:color="auto" w:fill="auto"/>
          </w:tcPr>
          <w:p w:rsidR="007A66C5" w:rsidRPr="00A4172F" w:rsidRDefault="007A66C5" w:rsidP="007A66C5">
            <w:pPr>
              <w:spacing w:after="60"/>
              <w:jc w:val="right"/>
              <w:rPr>
                <w:sz w:val="18"/>
                <w:lang w:val="en-CA"/>
              </w:rPr>
            </w:pPr>
            <w:r w:rsidRPr="00A4172F">
              <w:rPr>
                <w:sz w:val="18"/>
                <w:lang w:val="en-CA"/>
              </w:rPr>
              <w:t>5</w:t>
            </w:r>
            <w:r>
              <w:rPr>
                <w:sz w:val="18"/>
                <w:lang w:val="en-CA"/>
              </w:rPr>
              <w:t> </w:t>
            </w:r>
            <w:r w:rsidRPr="00A4172F">
              <w:rPr>
                <w:sz w:val="18"/>
                <w:lang w:val="en-CA"/>
              </w:rPr>
              <w:t>200</w:t>
            </w:r>
          </w:p>
        </w:tc>
        <w:tc>
          <w:tcPr>
            <w:tcW w:w="801" w:type="dxa"/>
            <w:shd w:val="clear" w:color="auto" w:fill="auto"/>
          </w:tcPr>
          <w:p w:rsidR="007A66C5" w:rsidRPr="00A4172F" w:rsidRDefault="007A66C5" w:rsidP="007A66C5">
            <w:pPr>
              <w:spacing w:after="60"/>
              <w:jc w:val="right"/>
              <w:rPr>
                <w:sz w:val="18"/>
                <w:lang w:val="en-CA"/>
              </w:rPr>
            </w:pPr>
            <w:r w:rsidRPr="00A4172F">
              <w:rPr>
                <w:sz w:val="18"/>
                <w:lang w:val="en-CA"/>
              </w:rPr>
              <w:t>0</w:t>
            </w:r>
          </w:p>
        </w:tc>
        <w:tc>
          <w:tcPr>
            <w:tcW w:w="711" w:type="dxa"/>
            <w:shd w:val="clear" w:color="auto" w:fill="auto"/>
          </w:tcPr>
          <w:p w:rsidR="007A66C5" w:rsidRPr="00A4172F" w:rsidRDefault="007A66C5" w:rsidP="007A66C5">
            <w:pPr>
              <w:spacing w:after="60"/>
              <w:jc w:val="right"/>
              <w:rPr>
                <w:sz w:val="18"/>
                <w:lang w:val="en-CA"/>
              </w:rPr>
            </w:pPr>
            <w:r w:rsidRPr="00A4172F">
              <w:rPr>
                <w:sz w:val="18"/>
                <w:lang w:val="en-CA"/>
              </w:rPr>
              <w:t>8</w:t>
            </w:r>
            <w:r>
              <w:rPr>
                <w:sz w:val="18"/>
                <w:lang w:val="en-CA"/>
              </w:rPr>
              <w:t> </w:t>
            </w:r>
            <w:r w:rsidRPr="00A4172F">
              <w:rPr>
                <w:sz w:val="18"/>
                <w:lang w:val="en-CA"/>
              </w:rPr>
              <w:t>190</w:t>
            </w:r>
          </w:p>
        </w:tc>
        <w:tc>
          <w:tcPr>
            <w:tcW w:w="801" w:type="dxa"/>
            <w:shd w:val="clear" w:color="auto" w:fill="auto"/>
          </w:tcPr>
          <w:p w:rsidR="007A66C5" w:rsidRPr="00A4172F" w:rsidRDefault="007A66C5" w:rsidP="007A66C5">
            <w:pPr>
              <w:spacing w:after="60"/>
              <w:jc w:val="right"/>
              <w:rPr>
                <w:sz w:val="18"/>
                <w:lang w:val="en-CA"/>
              </w:rPr>
            </w:pPr>
            <w:r w:rsidRPr="00A4172F">
              <w:rPr>
                <w:sz w:val="18"/>
                <w:lang w:val="en-CA"/>
              </w:rPr>
              <w:t>36</w:t>
            </w:r>
            <w:r>
              <w:rPr>
                <w:sz w:val="18"/>
                <w:lang w:val="en-CA"/>
              </w:rPr>
              <w:t> </w:t>
            </w:r>
            <w:r w:rsidRPr="00A4172F">
              <w:rPr>
                <w:sz w:val="18"/>
                <w:lang w:val="en-CA"/>
              </w:rPr>
              <w:t>400</w:t>
            </w:r>
          </w:p>
        </w:tc>
      </w:tr>
      <w:tr w:rsidR="007A66C5" w:rsidRPr="00721EBF" w:rsidTr="00A24C0D">
        <w:trPr>
          <w:trHeight w:val="479"/>
        </w:trPr>
        <w:tc>
          <w:tcPr>
            <w:tcW w:w="1148" w:type="dxa"/>
            <w:vMerge/>
            <w:shd w:val="clear" w:color="auto" w:fill="auto"/>
          </w:tcPr>
          <w:p w:rsidR="007A66C5" w:rsidRPr="00721EBF" w:rsidRDefault="007A66C5" w:rsidP="007A66C5">
            <w:pPr>
              <w:spacing w:after="60"/>
              <w:jc w:val="center"/>
              <w:rPr>
                <w:sz w:val="18"/>
                <w:lang w:val="en-CA"/>
              </w:rPr>
            </w:pPr>
          </w:p>
        </w:tc>
        <w:tc>
          <w:tcPr>
            <w:tcW w:w="797" w:type="dxa"/>
            <w:vMerge w:val="restart"/>
            <w:shd w:val="clear" w:color="auto" w:fill="auto"/>
          </w:tcPr>
          <w:p w:rsidR="007A66C5" w:rsidRPr="00A4172F" w:rsidRDefault="007A66C5" w:rsidP="007A66C5">
            <w:pPr>
              <w:spacing w:after="60"/>
              <w:jc w:val="center"/>
              <w:rPr>
                <w:sz w:val="18"/>
                <w:lang w:val="en-CA"/>
              </w:rPr>
            </w:pPr>
            <w:r>
              <w:rPr>
                <w:sz w:val="18"/>
                <w:lang w:val="en-CA"/>
              </w:rPr>
              <w:t>ONUDI</w:t>
            </w:r>
          </w:p>
        </w:tc>
        <w:tc>
          <w:tcPr>
            <w:tcW w:w="857" w:type="dxa"/>
            <w:shd w:val="clear" w:color="auto" w:fill="auto"/>
          </w:tcPr>
          <w:p w:rsidR="007A66C5" w:rsidRPr="00721EBF" w:rsidRDefault="007A66C5" w:rsidP="007A66C5">
            <w:pPr>
              <w:spacing w:after="60"/>
              <w:jc w:val="left"/>
              <w:rPr>
                <w:sz w:val="18"/>
                <w:lang w:val="en-CA"/>
              </w:rPr>
            </w:pPr>
            <w:r>
              <w:rPr>
                <w:sz w:val="18"/>
                <w:lang w:val="en-CA"/>
              </w:rPr>
              <w:t>Coûts de projet</w:t>
            </w:r>
          </w:p>
        </w:tc>
        <w:tc>
          <w:tcPr>
            <w:tcW w:w="731" w:type="dxa"/>
          </w:tcPr>
          <w:p w:rsidR="007A66C5" w:rsidRPr="00A4172F" w:rsidRDefault="007A66C5" w:rsidP="007A66C5">
            <w:pPr>
              <w:spacing w:after="60"/>
              <w:jc w:val="right"/>
              <w:rPr>
                <w:sz w:val="18"/>
                <w:lang w:val="en-CA"/>
              </w:rPr>
            </w:pPr>
            <w:r w:rsidRPr="00A4172F">
              <w:rPr>
                <w:sz w:val="18"/>
                <w:lang w:val="en-CA"/>
              </w:rPr>
              <w:t>200</w:t>
            </w:r>
            <w:r>
              <w:rPr>
                <w:sz w:val="18"/>
                <w:lang w:val="en-CA"/>
              </w:rPr>
              <w:t> </w:t>
            </w:r>
            <w:r w:rsidRPr="00A4172F">
              <w:rPr>
                <w:sz w:val="18"/>
                <w:lang w:val="en-CA"/>
              </w:rPr>
              <w:t>000</w:t>
            </w:r>
          </w:p>
        </w:tc>
        <w:tc>
          <w:tcPr>
            <w:tcW w:w="613" w:type="dxa"/>
          </w:tcPr>
          <w:p w:rsidR="007A66C5" w:rsidRDefault="007A66C5" w:rsidP="007A66C5">
            <w:pPr>
              <w:spacing w:after="60"/>
              <w:jc w:val="right"/>
              <w:rPr>
                <w:sz w:val="18"/>
                <w:lang w:val="en-CA"/>
              </w:rPr>
            </w:pPr>
            <w:r>
              <w:rPr>
                <w:sz w:val="18"/>
                <w:lang w:val="en-CA"/>
              </w:rPr>
              <w:t>0</w:t>
            </w:r>
          </w:p>
        </w:tc>
        <w:tc>
          <w:tcPr>
            <w:tcW w:w="576" w:type="dxa"/>
          </w:tcPr>
          <w:p w:rsidR="007A66C5" w:rsidRDefault="007A66C5" w:rsidP="007A66C5">
            <w:pPr>
              <w:spacing w:after="60"/>
              <w:jc w:val="right"/>
              <w:rPr>
                <w:sz w:val="18"/>
                <w:lang w:val="en-CA"/>
              </w:rPr>
            </w:pPr>
            <w:r>
              <w:rPr>
                <w:sz w:val="18"/>
                <w:lang w:val="en-CA"/>
              </w:rPr>
              <w:t>0</w:t>
            </w:r>
          </w:p>
        </w:tc>
        <w:tc>
          <w:tcPr>
            <w:tcW w:w="711" w:type="dxa"/>
            <w:shd w:val="clear" w:color="auto" w:fill="auto"/>
          </w:tcPr>
          <w:p w:rsidR="007A66C5" w:rsidRPr="00A4172F" w:rsidRDefault="007A66C5" w:rsidP="007A66C5">
            <w:pPr>
              <w:spacing w:after="60"/>
              <w:jc w:val="right"/>
              <w:rPr>
                <w:sz w:val="18"/>
                <w:lang w:val="en-CA"/>
              </w:rPr>
            </w:pPr>
            <w:r w:rsidRPr="00A4172F">
              <w:rPr>
                <w:sz w:val="18"/>
                <w:lang w:val="en-CA"/>
              </w:rPr>
              <w:t>0</w:t>
            </w:r>
          </w:p>
        </w:tc>
        <w:tc>
          <w:tcPr>
            <w:tcW w:w="586" w:type="dxa"/>
            <w:shd w:val="clear" w:color="auto" w:fill="auto"/>
          </w:tcPr>
          <w:p w:rsidR="007A66C5" w:rsidRPr="00A4172F" w:rsidRDefault="007A66C5" w:rsidP="007A66C5">
            <w:pPr>
              <w:spacing w:after="60"/>
              <w:jc w:val="right"/>
              <w:rPr>
                <w:sz w:val="18"/>
                <w:lang w:val="en-CA"/>
              </w:rPr>
            </w:pPr>
            <w:r w:rsidRPr="00A4172F">
              <w:rPr>
                <w:sz w:val="18"/>
                <w:lang w:val="en-CA"/>
              </w:rPr>
              <w:t>0</w:t>
            </w:r>
          </w:p>
        </w:tc>
        <w:tc>
          <w:tcPr>
            <w:tcW w:w="586" w:type="dxa"/>
            <w:shd w:val="clear" w:color="auto" w:fill="auto"/>
          </w:tcPr>
          <w:p w:rsidR="007A66C5" w:rsidRPr="00A4172F" w:rsidRDefault="007A66C5" w:rsidP="007A66C5">
            <w:pPr>
              <w:spacing w:after="60"/>
              <w:jc w:val="right"/>
              <w:rPr>
                <w:sz w:val="18"/>
                <w:lang w:val="en-CA"/>
              </w:rPr>
            </w:pPr>
            <w:r w:rsidRPr="00A4172F">
              <w:rPr>
                <w:sz w:val="18"/>
                <w:lang w:val="en-CA"/>
              </w:rPr>
              <w:t>0</w:t>
            </w:r>
          </w:p>
        </w:tc>
        <w:tc>
          <w:tcPr>
            <w:tcW w:w="801" w:type="dxa"/>
            <w:shd w:val="clear" w:color="auto" w:fill="auto"/>
          </w:tcPr>
          <w:p w:rsidR="007A66C5" w:rsidRPr="00A4172F" w:rsidRDefault="007A66C5" w:rsidP="007A66C5">
            <w:pPr>
              <w:spacing w:after="60"/>
              <w:jc w:val="right"/>
              <w:rPr>
                <w:sz w:val="18"/>
                <w:lang w:val="en-CA"/>
              </w:rPr>
            </w:pPr>
            <w:r w:rsidRPr="00A4172F">
              <w:rPr>
                <w:sz w:val="18"/>
                <w:lang w:val="en-CA"/>
              </w:rPr>
              <w:t>150</w:t>
            </w:r>
            <w:r>
              <w:rPr>
                <w:sz w:val="18"/>
                <w:lang w:val="en-CA"/>
              </w:rPr>
              <w:t> </w:t>
            </w:r>
            <w:r w:rsidRPr="00A4172F">
              <w:rPr>
                <w:sz w:val="18"/>
                <w:lang w:val="en-CA"/>
              </w:rPr>
              <w:t>000</w:t>
            </w:r>
          </w:p>
        </w:tc>
        <w:tc>
          <w:tcPr>
            <w:tcW w:w="801" w:type="dxa"/>
            <w:shd w:val="clear" w:color="auto" w:fill="auto"/>
          </w:tcPr>
          <w:p w:rsidR="007A66C5" w:rsidRPr="00A4172F" w:rsidRDefault="007A66C5" w:rsidP="007A66C5">
            <w:pPr>
              <w:spacing w:after="60"/>
              <w:jc w:val="right"/>
              <w:rPr>
                <w:sz w:val="18"/>
                <w:lang w:val="en-CA"/>
              </w:rPr>
            </w:pPr>
            <w:r w:rsidRPr="00A4172F">
              <w:rPr>
                <w:sz w:val="18"/>
                <w:lang w:val="en-CA"/>
              </w:rPr>
              <w:t>0</w:t>
            </w:r>
          </w:p>
        </w:tc>
        <w:tc>
          <w:tcPr>
            <w:tcW w:w="711" w:type="dxa"/>
            <w:shd w:val="clear" w:color="auto" w:fill="auto"/>
          </w:tcPr>
          <w:p w:rsidR="007A66C5" w:rsidRPr="00A4172F" w:rsidRDefault="007A66C5" w:rsidP="007A66C5">
            <w:pPr>
              <w:spacing w:after="60"/>
              <w:jc w:val="right"/>
              <w:rPr>
                <w:sz w:val="18"/>
                <w:lang w:val="en-CA"/>
              </w:rPr>
            </w:pPr>
            <w:r w:rsidRPr="00A4172F">
              <w:rPr>
                <w:sz w:val="18"/>
                <w:lang w:val="en-CA"/>
              </w:rPr>
              <w:t>0</w:t>
            </w:r>
          </w:p>
        </w:tc>
        <w:tc>
          <w:tcPr>
            <w:tcW w:w="801" w:type="dxa"/>
            <w:shd w:val="clear" w:color="auto" w:fill="auto"/>
          </w:tcPr>
          <w:p w:rsidR="007A66C5" w:rsidRPr="00A4172F" w:rsidRDefault="007A66C5" w:rsidP="007A66C5">
            <w:pPr>
              <w:spacing w:after="60"/>
              <w:jc w:val="right"/>
              <w:rPr>
                <w:sz w:val="18"/>
                <w:lang w:val="en-CA"/>
              </w:rPr>
            </w:pPr>
            <w:r w:rsidRPr="00A4172F">
              <w:rPr>
                <w:sz w:val="18"/>
                <w:lang w:val="en-CA"/>
              </w:rPr>
              <w:t>0</w:t>
            </w:r>
          </w:p>
        </w:tc>
        <w:tc>
          <w:tcPr>
            <w:tcW w:w="711" w:type="dxa"/>
            <w:shd w:val="clear" w:color="auto" w:fill="auto"/>
          </w:tcPr>
          <w:p w:rsidR="007A66C5" w:rsidRPr="00A4172F" w:rsidRDefault="007A66C5" w:rsidP="007A66C5">
            <w:pPr>
              <w:spacing w:after="60"/>
              <w:jc w:val="right"/>
              <w:rPr>
                <w:sz w:val="18"/>
                <w:lang w:val="en-CA"/>
              </w:rPr>
            </w:pPr>
            <w:r w:rsidRPr="00A4172F">
              <w:rPr>
                <w:sz w:val="18"/>
                <w:lang w:val="en-CA"/>
              </w:rPr>
              <w:t>0</w:t>
            </w:r>
          </w:p>
        </w:tc>
        <w:tc>
          <w:tcPr>
            <w:tcW w:w="801" w:type="dxa"/>
            <w:shd w:val="clear" w:color="auto" w:fill="auto"/>
          </w:tcPr>
          <w:p w:rsidR="007A66C5" w:rsidRPr="00A4172F" w:rsidRDefault="007A66C5" w:rsidP="007A66C5">
            <w:pPr>
              <w:spacing w:after="60"/>
              <w:jc w:val="right"/>
              <w:rPr>
                <w:sz w:val="18"/>
                <w:lang w:val="en-CA"/>
              </w:rPr>
            </w:pPr>
            <w:r w:rsidRPr="00A4172F">
              <w:rPr>
                <w:sz w:val="18"/>
                <w:lang w:val="en-CA"/>
              </w:rPr>
              <w:t>350</w:t>
            </w:r>
            <w:r>
              <w:rPr>
                <w:sz w:val="18"/>
                <w:lang w:val="en-CA"/>
              </w:rPr>
              <w:t> </w:t>
            </w:r>
            <w:r w:rsidRPr="00A4172F">
              <w:rPr>
                <w:sz w:val="18"/>
                <w:lang w:val="en-CA"/>
              </w:rPr>
              <w:t>000</w:t>
            </w:r>
          </w:p>
        </w:tc>
      </w:tr>
      <w:tr w:rsidR="007A66C5" w:rsidRPr="00721EBF" w:rsidTr="00A24C0D">
        <w:trPr>
          <w:trHeight w:val="491"/>
        </w:trPr>
        <w:tc>
          <w:tcPr>
            <w:tcW w:w="1148" w:type="dxa"/>
            <w:vMerge/>
            <w:shd w:val="clear" w:color="auto" w:fill="auto"/>
          </w:tcPr>
          <w:p w:rsidR="007A66C5" w:rsidRPr="00721EBF" w:rsidRDefault="007A66C5" w:rsidP="007A66C5">
            <w:pPr>
              <w:spacing w:after="60"/>
              <w:jc w:val="center"/>
              <w:rPr>
                <w:sz w:val="18"/>
                <w:lang w:val="en-CA"/>
              </w:rPr>
            </w:pPr>
          </w:p>
        </w:tc>
        <w:tc>
          <w:tcPr>
            <w:tcW w:w="797" w:type="dxa"/>
            <w:vMerge/>
            <w:shd w:val="clear" w:color="auto" w:fill="auto"/>
          </w:tcPr>
          <w:p w:rsidR="007A66C5" w:rsidRPr="00721EBF" w:rsidRDefault="007A66C5" w:rsidP="007A66C5">
            <w:pPr>
              <w:spacing w:after="60"/>
              <w:jc w:val="center"/>
              <w:rPr>
                <w:sz w:val="18"/>
                <w:lang w:val="en-CA"/>
              </w:rPr>
            </w:pPr>
          </w:p>
        </w:tc>
        <w:tc>
          <w:tcPr>
            <w:tcW w:w="857" w:type="dxa"/>
            <w:shd w:val="clear" w:color="auto" w:fill="auto"/>
          </w:tcPr>
          <w:p w:rsidR="007A66C5" w:rsidRPr="00721EBF" w:rsidRDefault="007A66C5" w:rsidP="007A66C5">
            <w:pPr>
              <w:spacing w:after="60"/>
              <w:jc w:val="left"/>
              <w:rPr>
                <w:sz w:val="18"/>
                <w:lang w:val="en-CA"/>
              </w:rPr>
            </w:pPr>
            <w:r>
              <w:rPr>
                <w:sz w:val="18"/>
                <w:lang w:val="en-CA"/>
              </w:rPr>
              <w:t>Coûts d’appui</w:t>
            </w:r>
          </w:p>
        </w:tc>
        <w:tc>
          <w:tcPr>
            <w:tcW w:w="731" w:type="dxa"/>
          </w:tcPr>
          <w:p w:rsidR="007A66C5" w:rsidRPr="00A4172F" w:rsidRDefault="007A66C5" w:rsidP="007A66C5">
            <w:pPr>
              <w:spacing w:after="60"/>
              <w:jc w:val="right"/>
              <w:rPr>
                <w:sz w:val="18"/>
                <w:lang w:val="en-CA"/>
              </w:rPr>
            </w:pPr>
            <w:r w:rsidRPr="00A4172F">
              <w:rPr>
                <w:sz w:val="18"/>
                <w:lang w:val="en-CA"/>
              </w:rPr>
              <w:t>15</w:t>
            </w:r>
            <w:r>
              <w:rPr>
                <w:sz w:val="18"/>
                <w:lang w:val="en-CA"/>
              </w:rPr>
              <w:t> </w:t>
            </w:r>
            <w:r w:rsidRPr="00A4172F">
              <w:rPr>
                <w:sz w:val="18"/>
                <w:lang w:val="en-CA"/>
              </w:rPr>
              <w:t>000</w:t>
            </w:r>
          </w:p>
        </w:tc>
        <w:tc>
          <w:tcPr>
            <w:tcW w:w="613" w:type="dxa"/>
          </w:tcPr>
          <w:p w:rsidR="007A66C5" w:rsidRDefault="007A66C5" w:rsidP="007A66C5">
            <w:pPr>
              <w:spacing w:after="60"/>
              <w:jc w:val="right"/>
              <w:rPr>
                <w:sz w:val="18"/>
                <w:lang w:val="en-CA"/>
              </w:rPr>
            </w:pPr>
            <w:r>
              <w:rPr>
                <w:sz w:val="18"/>
                <w:lang w:val="en-CA"/>
              </w:rPr>
              <w:t>0</w:t>
            </w:r>
          </w:p>
        </w:tc>
        <w:tc>
          <w:tcPr>
            <w:tcW w:w="576" w:type="dxa"/>
          </w:tcPr>
          <w:p w:rsidR="007A66C5" w:rsidRDefault="007A66C5" w:rsidP="007A66C5">
            <w:pPr>
              <w:spacing w:after="60"/>
              <w:jc w:val="right"/>
              <w:rPr>
                <w:sz w:val="18"/>
                <w:lang w:val="en-CA"/>
              </w:rPr>
            </w:pPr>
            <w:r>
              <w:rPr>
                <w:sz w:val="18"/>
                <w:lang w:val="en-CA"/>
              </w:rPr>
              <w:t>0</w:t>
            </w:r>
          </w:p>
        </w:tc>
        <w:tc>
          <w:tcPr>
            <w:tcW w:w="711" w:type="dxa"/>
            <w:shd w:val="clear" w:color="auto" w:fill="auto"/>
          </w:tcPr>
          <w:p w:rsidR="007A66C5" w:rsidRPr="00A4172F" w:rsidRDefault="007A66C5" w:rsidP="007A66C5">
            <w:pPr>
              <w:spacing w:after="60"/>
              <w:jc w:val="right"/>
              <w:rPr>
                <w:sz w:val="18"/>
                <w:lang w:val="en-CA"/>
              </w:rPr>
            </w:pPr>
            <w:r w:rsidRPr="00A4172F">
              <w:rPr>
                <w:sz w:val="18"/>
                <w:lang w:val="en-CA"/>
              </w:rPr>
              <w:t>0</w:t>
            </w:r>
          </w:p>
        </w:tc>
        <w:tc>
          <w:tcPr>
            <w:tcW w:w="586" w:type="dxa"/>
            <w:shd w:val="clear" w:color="auto" w:fill="auto"/>
          </w:tcPr>
          <w:p w:rsidR="007A66C5" w:rsidRPr="00A4172F" w:rsidRDefault="007A66C5" w:rsidP="007A66C5">
            <w:pPr>
              <w:spacing w:after="60"/>
              <w:jc w:val="right"/>
              <w:rPr>
                <w:sz w:val="18"/>
                <w:lang w:val="en-CA"/>
              </w:rPr>
            </w:pPr>
            <w:r w:rsidRPr="00A4172F">
              <w:rPr>
                <w:sz w:val="18"/>
                <w:lang w:val="en-CA"/>
              </w:rPr>
              <w:t>0</w:t>
            </w:r>
          </w:p>
        </w:tc>
        <w:tc>
          <w:tcPr>
            <w:tcW w:w="586" w:type="dxa"/>
            <w:shd w:val="clear" w:color="auto" w:fill="auto"/>
          </w:tcPr>
          <w:p w:rsidR="007A66C5" w:rsidRPr="00A4172F" w:rsidRDefault="007A66C5" w:rsidP="007A66C5">
            <w:pPr>
              <w:spacing w:after="60"/>
              <w:jc w:val="right"/>
              <w:rPr>
                <w:sz w:val="18"/>
                <w:lang w:val="en-CA"/>
              </w:rPr>
            </w:pPr>
            <w:r w:rsidRPr="00A4172F">
              <w:rPr>
                <w:sz w:val="18"/>
                <w:lang w:val="en-CA"/>
              </w:rPr>
              <w:t>0</w:t>
            </w:r>
          </w:p>
        </w:tc>
        <w:tc>
          <w:tcPr>
            <w:tcW w:w="801" w:type="dxa"/>
            <w:shd w:val="clear" w:color="auto" w:fill="auto"/>
          </w:tcPr>
          <w:p w:rsidR="007A66C5" w:rsidRPr="00A4172F" w:rsidRDefault="007A66C5" w:rsidP="007A66C5">
            <w:pPr>
              <w:spacing w:after="60"/>
              <w:jc w:val="right"/>
              <w:rPr>
                <w:sz w:val="18"/>
                <w:lang w:val="en-CA"/>
              </w:rPr>
            </w:pPr>
            <w:r w:rsidRPr="00A4172F">
              <w:rPr>
                <w:sz w:val="18"/>
                <w:lang w:val="en-CA"/>
              </w:rPr>
              <w:t>11</w:t>
            </w:r>
            <w:r>
              <w:rPr>
                <w:sz w:val="18"/>
                <w:lang w:val="en-CA"/>
              </w:rPr>
              <w:t> </w:t>
            </w:r>
            <w:r w:rsidRPr="00A4172F">
              <w:rPr>
                <w:sz w:val="18"/>
                <w:lang w:val="en-CA"/>
              </w:rPr>
              <w:t>250</w:t>
            </w:r>
          </w:p>
        </w:tc>
        <w:tc>
          <w:tcPr>
            <w:tcW w:w="801" w:type="dxa"/>
            <w:shd w:val="clear" w:color="auto" w:fill="auto"/>
          </w:tcPr>
          <w:p w:rsidR="007A66C5" w:rsidRPr="00A4172F" w:rsidRDefault="007A66C5" w:rsidP="007A66C5">
            <w:pPr>
              <w:spacing w:after="60"/>
              <w:jc w:val="right"/>
              <w:rPr>
                <w:sz w:val="18"/>
                <w:lang w:val="en-CA"/>
              </w:rPr>
            </w:pPr>
            <w:r w:rsidRPr="00A4172F">
              <w:rPr>
                <w:sz w:val="18"/>
                <w:lang w:val="en-CA"/>
              </w:rPr>
              <w:t>0</w:t>
            </w:r>
          </w:p>
        </w:tc>
        <w:tc>
          <w:tcPr>
            <w:tcW w:w="711" w:type="dxa"/>
            <w:shd w:val="clear" w:color="auto" w:fill="auto"/>
          </w:tcPr>
          <w:p w:rsidR="007A66C5" w:rsidRPr="00A4172F" w:rsidRDefault="007A66C5" w:rsidP="007A66C5">
            <w:pPr>
              <w:spacing w:after="60"/>
              <w:jc w:val="right"/>
              <w:rPr>
                <w:sz w:val="18"/>
                <w:lang w:val="en-CA"/>
              </w:rPr>
            </w:pPr>
            <w:r w:rsidRPr="00A4172F">
              <w:rPr>
                <w:sz w:val="18"/>
                <w:lang w:val="en-CA"/>
              </w:rPr>
              <w:t>0</w:t>
            </w:r>
          </w:p>
        </w:tc>
        <w:tc>
          <w:tcPr>
            <w:tcW w:w="801" w:type="dxa"/>
            <w:shd w:val="clear" w:color="auto" w:fill="auto"/>
          </w:tcPr>
          <w:p w:rsidR="007A66C5" w:rsidRPr="00A4172F" w:rsidRDefault="007A66C5" w:rsidP="007A66C5">
            <w:pPr>
              <w:spacing w:after="60"/>
              <w:jc w:val="right"/>
              <w:rPr>
                <w:sz w:val="18"/>
                <w:lang w:val="en-CA"/>
              </w:rPr>
            </w:pPr>
            <w:r w:rsidRPr="00A4172F">
              <w:rPr>
                <w:sz w:val="18"/>
                <w:lang w:val="en-CA"/>
              </w:rPr>
              <w:t>0</w:t>
            </w:r>
          </w:p>
        </w:tc>
        <w:tc>
          <w:tcPr>
            <w:tcW w:w="711" w:type="dxa"/>
            <w:shd w:val="clear" w:color="auto" w:fill="auto"/>
          </w:tcPr>
          <w:p w:rsidR="007A66C5" w:rsidRPr="00A4172F" w:rsidRDefault="007A66C5" w:rsidP="007A66C5">
            <w:pPr>
              <w:spacing w:after="60"/>
              <w:jc w:val="right"/>
              <w:rPr>
                <w:sz w:val="18"/>
                <w:lang w:val="en-CA"/>
              </w:rPr>
            </w:pPr>
            <w:r w:rsidRPr="00A4172F">
              <w:rPr>
                <w:sz w:val="18"/>
                <w:lang w:val="en-CA"/>
              </w:rPr>
              <w:t>0</w:t>
            </w:r>
          </w:p>
        </w:tc>
        <w:tc>
          <w:tcPr>
            <w:tcW w:w="801" w:type="dxa"/>
            <w:shd w:val="clear" w:color="auto" w:fill="auto"/>
          </w:tcPr>
          <w:p w:rsidR="007A66C5" w:rsidRPr="00A4172F" w:rsidRDefault="007A66C5" w:rsidP="007A66C5">
            <w:pPr>
              <w:spacing w:after="60"/>
              <w:jc w:val="right"/>
              <w:rPr>
                <w:sz w:val="18"/>
                <w:lang w:val="en-CA"/>
              </w:rPr>
            </w:pPr>
            <w:r w:rsidRPr="00A4172F">
              <w:rPr>
                <w:sz w:val="18"/>
                <w:lang w:val="en-CA"/>
              </w:rPr>
              <w:t>26</w:t>
            </w:r>
            <w:r>
              <w:rPr>
                <w:sz w:val="18"/>
                <w:lang w:val="en-CA"/>
              </w:rPr>
              <w:t> </w:t>
            </w:r>
            <w:r w:rsidRPr="00A4172F">
              <w:rPr>
                <w:sz w:val="18"/>
                <w:lang w:val="en-CA"/>
              </w:rPr>
              <w:t>250</w:t>
            </w:r>
          </w:p>
        </w:tc>
      </w:tr>
      <w:tr w:rsidR="007A66C5" w:rsidRPr="00721EBF" w:rsidTr="00A24C0D">
        <w:trPr>
          <w:trHeight w:val="479"/>
        </w:trPr>
        <w:tc>
          <w:tcPr>
            <w:tcW w:w="1945" w:type="dxa"/>
            <w:gridSpan w:val="2"/>
            <w:vMerge w:val="restart"/>
            <w:shd w:val="clear" w:color="auto" w:fill="auto"/>
          </w:tcPr>
          <w:p w:rsidR="007A66C5" w:rsidRPr="00610E05" w:rsidRDefault="007A66C5" w:rsidP="007A66C5">
            <w:pPr>
              <w:spacing w:after="60"/>
              <w:jc w:val="left"/>
              <w:rPr>
                <w:sz w:val="18"/>
                <w:lang w:val="fr-CA"/>
              </w:rPr>
            </w:pPr>
            <w:r w:rsidRPr="00610E05">
              <w:rPr>
                <w:sz w:val="18"/>
                <w:lang w:val="fr-CA"/>
              </w:rPr>
              <w:t>Fonds approuvés par le Comité exécut</w:t>
            </w:r>
            <w:r>
              <w:rPr>
                <w:sz w:val="18"/>
                <w:lang w:val="fr-CA"/>
              </w:rPr>
              <w:t>if</w:t>
            </w:r>
            <w:r w:rsidRPr="00610E05">
              <w:rPr>
                <w:sz w:val="18"/>
                <w:lang w:val="fr-CA"/>
              </w:rPr>
              <w:t xml:space="preserve"> (</w:t>
            </w:r>
            <w:r>
              <w:rPr>
                <w:sz w:val="18"/>
                <w:lang w:val="fr-CA"/>
              </w:rPr>
              <w:t>$</w:t>
            </w:r>
            <w:r w:rsidRPr="00610E05">
              <w:rPr>
                <w:sz w:val="18"/>
                <w:lang w:val="fr-CA"/>
              </w:rPr>
              <w:t>US)</w:t>
            </w:r>
          </w:p>
        </w:tc>
        <w:tc>
          <w:tcPr>
            <w:tcW w:w="857" w:type="dxa"/>
            <w:shd w:val="clear" w:color="auto" w:fill="auto"/>
          </w:tcPr>
          <w:p w:rsidR="007A66C5" w:rsidRPr="00721EBF" w:rsidRDefault="007A66C5" w:rsidP="007A66C5">
            <w:pPr>
              <w:spacing w:after="60"/>
              <w:jc w:val="left"/>
              <w:rPr>
                <w:sz w:val="18"/>
                <w:lang w:val="en-CA"/>
              </w:rPr>
            </w:pPr>
            <w:r>
              <w:rPr>
                <w:sz w:val="18"/>
                <w:lang w:val="en-CA"/>
              </w:rPr>
              <w:t>Coûts de projet</w:t>
            </w:r>
          </w:p>
        </w:tc>
        <w:tc>
          <w:tcPr>
            <w:tcW w:w="731" w:type="dxa"/>
          </w:tcPr>
          <w:p w:rsidR="007A66C5" w:rsidRPr="00A4172F" w:rsidRDefault="007A66C5" w:rsidP="007A66C5">
            <w:pPr>
              <w:spacing w:after="60"/>
              <w:jc w:val="right"/>
              <w:rPr>
                <w:sz w:val="18"/>
                <w:lang w:val="en-CA"/>
              </w:rPr>
            </w:pPr>
            <w:r w:rsidRPr="00A4172F">
              <w:rPr>
                <w:sz w:val="18"/>
                <w:lang w:val="en-CA"/>
              </w:rPr>
              <w:t>270</w:t>
            </w:r>
            <w:r>
              <w:rPr>
                <w:sz w:val="18"/>
                <w:lang w:val="en-CA"/>
              </w:rPr>
              <w:t> </w:t>
            </w:r>
            <w:r w:rsidRPr="00A4172F">
              <w:rPr>
                <w:sz w:val="18"/>
                <w:lang w:val="en-CA"/>
              </w:rPr>
              <w:t>000</w:t>
            </w:r>
          </w:p>
        </w:tc>
        <w:tc>
          <w:tcPr>
            <w:tcW w:w="613" w:type="dxa"/>
          </w:tcPr>
          <w:p w:rsidR="007A66C5" w:rsidRPr="00A4172F" w:rsidRDefault="007A66C5" w:rsidP="007A66C5">
            <w:pPr>
              <w:spacing w:after="60"/>
              <w:jc w:val="right"/>
              <w:rPr>
                <w:sz w:val="18"/>
                <w:lang w:val="en-CA"/>
              </w:rPr>
            </w:pPr>
            <w:r>
              <w:rPr>
                <w:sz w:val="18"/>
                <w:lang w:val="en-CA"/>
              </w:rPr>
              <w:t>0</w:t>
            </w:r>
          </w:p>
        </w:tc>
        <w:tc>
          <w:tcPr>
            <w:tcW w:w="576" w:type="dxa"/>
          </w:tcPr>
          <w:p w:rsidR="007A66C5" w:rsidRDefault="007A66C5" w:rsidP="007A66C5">
            <w:pPr>
              <w:spacing w:after="60"/>
              <w:jc w:val="right"/>
              <w:rPr>
                <w:sz w:val="18"/>
                <w:lang w:val="en-CA"/>
              </w:rPr>
            </w:pPr>
            <w:r>
              <w:rPr>
                <w:sz w:val="18"/>
                <w:lang w:val="en-CA"/>
              </w:rPr>
              <w:t>0</w:t>
            </w:r>
          </w:p>
        </w:tc>
        <w:tc>
          <w:tcPr>
            <w:tcW w:w="711" w:type="dxa"/>
            <w:shd w:val="clear" w:color="auto" w:fill="auto"/>
          </w:tcPr>
          <w:p w:rsidR="007A66C5" w:rsidRPr="00A4172F" w:rsidRDefault="007A66C5" w:rsidP="007A66C5">
            <w:pPr>
              <w:spacing w:after="60"/>
              <w:jc w:val="right"/>
              <w:rPr>
                <w:sz w:val="18"/>
                <w:lang w:val="en-CA"/>
              </w:rPr>
            </w:pPr>
            <w:r w:rsidRPr="00A4172F">
              <w:rPr>
                <w:sz w:val="18"/>
                <w:lang w:val="en-CA"/>
              </w:rPr>
              <w:t>45</w:t>
            </w:r>
            <w:r>
              <w:rPr>
                <w:sz w:val="18"/>
                <w:lang w:val="en-CA"/>
              </w:rPr>
              <w:t> </w:t>
            </w:r>
            <w:r w:rsidRPr="00A4172F">
              <w:rPr>
                <w:sz w:val="18"/>
                <w:lang w:val="en-CA"/>
              </w:rPr>
              <w:t>000</w:t>
            </w:r>
          </w:p>
        </w:tc>
        <w:tc>
          <w:tcPr>
            <w:tcW w:w="586" w:type="dxa"/>
            <w:shd w:val="clear" w:color="auto" w:fill="auto"/>
          </w:tcPr>
          <w:p w:rsidR="007A66C5" w:rsidRPr="00A4172F" w:rsidRDefault="007A66C5" w:rsidP="007A66C5">
            <w:pPr>
              <w:spacing w:after="60"/>
              <w:jc w:val="right"/>
              <w:rPr>
                <w:sz w:val="18"/>
                <w:lang w:val="en-CA"/>
              </w:rPr>
            </w:pPr>
            <w:r w:rsidRPr="00A4172F">
              <w:rPr>
                <w:sz w:val="18"/>
                <w:lang w:val="en-CA"/>
              </w:rPr>
              <w:t>0</w:t>
            </w:r>
          </w:p>
        </w:tc>
        <w:tc>
          <w:tcPr>
            <w:tcW w:w="586" w:type="dxa"/>
            <w:shd w:val="clear" w:color="auto" w:fill="auto"/>
          </w:tcPr>
          <w:p w:rsidR="007A66C5" w:rsidRPr="00A4172F" w:rsidRDefault="007A66C5" w:rsidP="007A66C5">
            <w:pPr>
              <w:spacing w:after="60"/>
              <w:jc w:val="right"/>
              <w:rPr>
                <w:sz w:val="18"/>
                <w:lang w:val="en-CA"/>
              </w:rPr>
            </w:pPr>
            <w:r w:rsidRPr="00A4172F">
              <w:rPr>
                <w:sz w:val="18"/>
                <w:lang w:val="en-CA"/>
              </w:rPr>
              <w:t>0</w:t>
            </w:r>
          </w:p>
        </w:tc>
        <w:tc>
          <w:tcPr>
            <w:tcW w:w="801" w:type="dxa"/>
            <w:shd w:val="clear" w:color="auto" w:fill="auto"/>
          </w:tcPr>
          <w:p w:rsidR="007A66C5" w:rsidRPr="00A4172F" w:rsidRDefault="007A66C5" w:rsidP="007A66C5">
            <w:pPr>
              <w:spacing w:after="60"/>
              <w:jc w:val="right"/>
              <w:rPr>
                <w:sz w:val="18"/>
                <w:lang w:val="en-CA"/>
              </w:rPr>
            </w:pPr>
            <w:r w:rsidRPr="00A4172F">
              <w:rPr>
                <w:sz w:val="18"/>
                <w:lang w:val="en-CA"/>
              </w:rPr>
              <w:t>0</w:t>
            </w:r>
          </w:p>
        </w:tc>
        <w:tc>
          <w:tcPr>
            <w:tcW w:w="801" w:type="dxa"/>
            <w:shd w:val="clear" w:color="auto" w:fill="auto"/>
          </w:tcPr>
          <w:p w:rsidR="007A66C5" w:rsidRPr="00A4172F" w:rsidRDefault="007A66C5" w:rsidP="007A66C5">
            <w:pPr>
              <w:spacing w:after="60"/>
              <w:jc w:val="right"/>
              <w:rPr>
                <w:sz w:val="18"/>
                <w:lang w:val="en-CA"/>
              </w:rPr>
            </w:pPr>
            <w:r w:rsidRPr="00A4172F">
              <w:rPr>
                <w:sz w:val="18"/>
                <w:lang w:val="en-CA"/>
              </w:rPr>
              <w:t>212</w:t>
            </w:r>
            <w:r>
              <w:rPr>
                <w:sz w:val="18"/>
                <w:lang w:val="en-CA"/>
              </w:rPr>
              <w:t> </w:t>
            </w:r>
            <w:r w:rsidRPr="00A4172F">
              <w:rPr>
                <w:sz w:val="18"/>
                <w:lang w:val="en-CA"/>
              </w:rPr>
              <w:t>000</w:t>
            </w:r>
          </w:p>
        </w:tc>
        <w:tc>
          <w:tcPr>
            <w:tcW w:w="711" w:type="dxa"/>
            <w:shd w:val="clear" w:color="auto" w:fill="auto"/>
          </w:tcPr>
          <w:p w:rsidR="007A66C5" w:rsidRPr="00A4172F" w:rsidRDefault="007A66C5" w:rsidP="007A66C5">
            <w:pPr>
              <w:spacing w:after="60"/>
              <w:jc w:val="right"/>
              <w:rPr>
                <w:sz w:val="18"/>
                <w:lang w:val="en-CA"/>
              </w:rPr>
            </w:pPr>
            <w:r w:rsidRPr="00A4172F">
              <w:rPr>
                <w:sz w:val="18"/>
                <w:lang w:val="en-CA"/>
              </w:rPr>
              <w:t>0</w:t>
            </w:r>
          </w:p>
        </w:tc>
        <w:tc>
          <w:tcPr>
            <w:tcW w:w="801" w:type="dxa"/>
            <w:shd w:val="clear" w:color="auto" w:fill="auto"/>
          </w:tcPr>
          <w:p w:rsidR="007A66C5" w:rsidRPr="00A4172F" w:rsidRDefault="007A66C5" w:rsidP="007A66C5">
            <w:pPr>
              <w:spacing w:after="60"/>
              <w:jc w:val="right"/>
              <w:rPr>
                <w:sz w:val="18"/>
                <w:lang w:val="en-CA"/>
              </w:rPr>
            </w:pPr>
            <w:r w:rsidRPr="00A4172F">
              <w:rPr>
                <w:sz w:val="18"/>
                <w:lang w:val="en-CA"/>
              </w:rPr>
              <w:t>0</w:t>
            </w:r>
          </w:p>
        </w:tc>
        <w:tc>
          <w:tcPr>
            <w:tcW w:w="711" w:type="dxa"/>
            <w:shd w:val="clear" w:color="auto" w:fill="auto"/>
          </w:tcPr>
          <w:p w:rsidR="007A66C5" w:rsidRPr="00A4172F" w:rsidRDefault="007A66C5" w:rsidP="007A66C5">
            <w:pPr>
              <w:spacing w:after="60"/>
              <w:jc w:val="right"/>
              <w:rPr>
                <w:sz w:val="18"/>
                <w:lang w:val="en-CA"/>
              </w:rPr>
            </w:pPr>
            <w:r w:rsidRPr="00A4172F">
              <w:rPr>
                <w:sz w:val="18"/>
                <w:lang w:val="en-CA"/>
              </w:rPr>
              <w:t>0</w:t>
            </w:r>
          </w:p>
        </w:tc>
        <w:tc>
          <w:tcPr>
            <w:tcW w:w="801" w:type="dxa"/>
            <w:shd w:val="clear" w:color="auto" w:fill="auto"/>
          </w:tcPr>
          <w:p w:rsidR="007A66C5" w:rsidRPr="00A4172F" w:rsidRDefault="007A66C5" w:rsidP="007A66C5">
            <w:pPr>
              <w:spacing w:after="60"/>
              <w:jc w:val="right"/>
              <w:rPr>
                <w:sz w:val="18"/>
                <w:lang w:val="en-CA"/>
              </w:rPr>
            </w:pPr>
            <w:r w:rsidRPr="00A4172F">
              <w:rPr>
                <w:sz w:val="18"/>
                <w:lang w:val="en-CA"/>
              </w:rPr>
              <w:fldChar w:fldCharType="begin"/>
            </w:r>
            <w:r w:rsidRPr="00A4172F">
              <w:rPr>
                <w:sz w:val="18"/>
                <w:lang w:val="en-CA"/>
              </w:rPr>
              <w:instrText xml:space="preserve"> =SUM(left) </w:instrText>
            </w:r>
            <w:r w:rsidRPr="00A4172F">
              <w:rPr>
                <w:sz w:val="18"/>
                <w:lang w:val="en-CA"/>
              </w:rPr>
              <w:fldChar w:fldCharType="separate"/>
            </w:r>
            <w:r w:rsidRPr="00A4172F">
              <w:rPr>
                <w:noProof/>
                <w:sz w:val="18"/>
                <w:lang w:val="en-CA"/>
              </w:rPr>
              <w:t>527</w:t>
            </w:r>
            <w:r>
              <w:rPr>
                <w:noProof/>
                <w:sz w:val="18"/>
                <w:lang w:val="en-CA"/>
              </w:rPr>
              <w:t> </w:t>
            </w:r>
            <w:r w:rsidRPr="00A4172F">
              <w:rPr>
                <w:noProof/>
                <w:sz w:val="18"/>
                <w:lang w:val="en-CA"/>
              </w:rPr>
              <w:t>000</w:t>
            </w:r>
            <w:r w:rsidRPr="00A4172F">
              <w:rPr>
                <w:sz w:val="18"/>
                <w:lang w:val="en-CA"/>
              </w:rPr>
              <w:fldChar w:fldCharType="end"/>
            </w:r>
          </w:p>
        </w:tc>
      </w:tr>
      <w:tr w:rsidR="007A66C5" w:rsidRPr="00721EBF" w:rsidTr="00A24C0D">
        <w:trPr>
          <w:trHeight w:val="479"/>
        </w:trPr>
        <w:tc>
          <w:tcPr>
            <w:tcW w:w="1945" w:type="dxa"/>
            <w:gridSpan w:val="2"/>
            <w:vMerge/>
            <w:shd w:val="clear" w:color="auto" w:fill="auto"/>
          </w:tcPr>
          <w:p w:rsidR="007A66C5" w:rsidRPr="00721EBF" w:rsidRDefault="007A66C5" w:rsidP="007A66C5">
            <w:pPr>
              <w:spacing w:after="60"/>
              <w:jc w:val="center"/>
              <w:rPr>
                <w:sz w:val="18"/>
                <w:lang w:val="en-CA"/>
              </w:rPr>
            </w:pPr>
          </w:p>
        </w:tc>
        <w:tc>
          <w:tcPr>
            <w:tcW w:w="857" w:type="dxa"/>
            <w:shd w:val="clear" w:color="auto" w:fill="auto"/>
          </w:tcPr>
          <w:p w:rsidR="007A66C5" w:rsidRPr="00721EBF" w:rsidRDefault="007A66C5" w:rsidP="007A66C5">
            <w:pPr>
              <w:spacing w:after="60"/>
              <w:jc w:val="left"/>
              <w:rPr>
                <w:sz w:val="18"/>
                <w:lang w:val="en-CA"/>
              </w:rPr>
            </w:pPr>
            <w:r>
              <w:rPr>
                <w:sz w:val="18"/>
                <w:lang w:val="en-CA"/>
              </w:rPr>
              <w:t>Coûts d’appui</w:t>
            </w:r>
          </w:p>
        </w:tc>
        <w:tc>
          <w:tcPr>
            <w:tcW w:w="731" w:type="dxa"/>
          </w:tcPr>
          <w:p w:rsidR="007A66C5" w:rsidRDefault="007A66C5" w:rsidP="007A66C5">
            <w:pPr>
              <w:spacing w:after="60"/>
              <w:jc w:val="right"/>
              <w:rPr>
                <w:sz w:val="18"/>
                <w:lang w:val="en-CA"/>
              </w:rPr>
            </w:pPr>
            <w:r w:rsidRPr="00A4172F">
              <w:rPr>
                <w:sz w:val="18"/>
                <w:lang w:val="en-CA"/>
              </w:rPr>
              <w:t>24</w:t>
            </w:r>
            <w:r>
              <w:rPr>
                <w:sz w:val="18"/>
                <w:lang w:val="en-CA"/>
              </w:rPr>
              <w:t> </w:t>
            </w:r>
            <w:r w:rsidRPr="00A4172F">
              <w:rPr>
                <w:sz w:val="18"/>
                <w:lang w:val="en-CA"/>
              </w:rPr>
              <w:t>100</w:t>
            </w:r>
          </w:p>
        </w:tc>
        <w:tc>
          <w:tcPr>
            <w:tcW w:w="613" w:type="dxa"/>
          </w:tcPr>
          <w:p w:rsidR="007A66C5" w:rsidRPr="00A4172F" w:rsidRDefault="007A66C5" w:rsidP="007A66C5">
            <w:pPr>
              <w:spacing w:after="60"/>
              <w:jc w:val="right"/>
              <w:rPr>
                <w:sz w:val="18"/>
                <w:lang w:val="en-CA"/>
              </w:rPr>
            </w:pPr>
            <w:r>
              <w:rPr>
                <w:sz w:val="18"/>
                <w:lang w:val="en-CA"/>
              </w:rPr>
              <w:t>0</w:t>
            </w:r>
          </w:p>
        </w:tc>
        <w:tc>
          <w:tcPr>
            <w:tcW w:w="576" w:type="dxa"/>
          </w:tcPr>
          <w:p w:rsidR="007A66C5" w:rsidRDefault="007A66C5" w:rsidP="007A66C5">
            <w:pPr>
              <w:spacing w:after="60"/>
              <w:jc w:val="right"/>
              <w:rPr>
                <w:sz w:val="18"/>
                <w:lang w:val="en-CA"/>
              </w:rPr>
            </w:pPr>
            <w:r>
              <w:rPr>
                <w:sz w:val="18"/>
                <w:lang w:val="en-CA"/>
              </w:rPr>
              <w:t>0</w:t>
            </w:r>
          </w:p>
        </w:tc>
        <w:tc>
          <w:tcPr>
            <w:tcW w:w="711" w:type="dxa"/>
            <w:shd w:val="clear" w:color="auto" w:fill="auto"/>
          </w:tcPr>
          <w:p w:rsidR="007A66C5" w:rsidRPr="00A4172F" w:rsidRDefault="007A66C5" w:rsidP="007A66C5">
            <w:pPr>
              <w:spacing w:after="60"/>
              <w:jc w:val="right"/>
              <w:rPr>
                <w:sz w:val="18"/>
                <w:lang w:val="en-CA"/>
              </w:rPr>
            </w:pPr>
            <w:r w:rsidRPr="00A4172F">
              <w:rPr>
                <w:sz w:val="18"/>
                <w:lang w:val="en-CA"/>
              </w:rPr>
              <w:t>5</w:t>
            </w:r>
            <w:r>
              <w:rPr>
                <w:sz w:val="18"/>
                <w:lang w:val="en-CA"/>
              </w:rPr>
              <w:t> </w:t>
            </w:r>
            <w:r w:rsidRPr="00A4172F">
              <w:rPr>
                <w:sz w:val="18"/>
                <w:lang w:val="en-CA"/>
              </w:rPr>
              <w:t>850</w:t>
            </w:r>
          </w:p>
        </w:tc>
        <w:tc>
          <w:tcPr>
            <w:tcW w:w="586" w:type="dxa"/>
            <w:shd w:val="clear" w:color="auto" w:fill="auto"/>
          </w:tcPr>
          <w:p w:rsidR="007A66C5" w:rsidRPr="00A4172F" w:rsidRDefault="007A66C5" w:rsidP="007A66C5">
            <w:pPr>
              <w:spacing w:after="60"/>
              <w:jc w:val="right"/>
              <w:rPr>
                <w:sz w:val="18"/>
                <w:lang w:val="en-CA"/>
              </w:rPr>
            </w:pPr>
            <w:r w:rsidRPr="00A4172F">
              <w:rPr>
                <w:sz w:val="18"/>
                <w:lang w:val="en-CA"/>
              </w:rPr>
              <w:t>0</w:t>
            </w:r>
          </w:p>
        </w:tc>
        <w:tc>
          <w:tcPr>
            <w:tcW w:w="586" w:type="dxa"/>
            <w:shd w:val="clear" w:color="auto" w:fill="auto"/>
          </w:tcPr>
          <w:p w:rsidR="007A66C5" w:rsidRPr="00A4172F" w:rsidRDefault="007A66C5" w:rsidP="007A66C5">
            <w:pPr>
              <w:spacing w:after="60"/>
              <w:jc w:val="right"/>
              <w:rPr>
                <w:sz w:val="18"/>
                <w:lang w:val="en-CA"/>
              </w:rPr>
            </w:pPr>
            <w:r w:rsidRPr="00A4172F">
              <w:rPr>
                <w:sz w:val="18"/>
                <w:lang w:val="en-CA"/>
              </w:rPr>
              <w:t>0</w:t>
            </w:r>
          </w:p>
        </w:tc>
        <w:tc>
          <w:tcPr>
            <w:tcW w:w="801" w:type="dxa"/>
            <w:shd w:val="clear" w:color="auto" w:fill="auto"/>
          </w:tcPr>
          <w:p w:rsidR="007A66C5" w:rsidRPr="00A4172F" w:rsidRDefault="007A66C5" w:rsidP="007A66C5">
            <w:pPr>
              <w:spacing w:after="60"/>
              <w:jc w:val="right"/>
              <w:rPr>
                <w:sz w:val="18"/>
                <w:lang w:val="en-CA"/>
              </w:rPr>
            </w:pPr>
            <w:r w:rsidRPr="00A4172F">
              <w:rPr>
                <w:sz w:val="18"/>
                <w:lang w:val="en-CA"/>
              </w:rPr>
              <w:t>0</w:t>
            </w:r>
          </w:p>
        </w:tc>
        <w:tc>
          <w:tcPr>
            <w:tcW w:w="801" w:type="dxa"/>
            <w:shd w:val="clear" w:color="auto" w:fill="auto"/>
          </w:tcPr>
          <w:p w:rsidR="007A66C5" w:rsidRPr="00A4172F" w:rsidRDefault="007A66C5" w:rsidP="007A66C5">
            <w:pPr>
              <w:spacing w:after="60"/>
              <w:jc w:val="right"/>
              <w:rPr>
                <w:sz w:val="18"/>
                <w:lang w:val="en-CA"/>
              </w:rPr>
            </w:pPr>
            <w:r w:rsidRPr="00A4172F">
              <w:rPr>
                <w:sz w:val="18"/>
                <w:lang w:val="en-CA"/>
              </w:rPr>
              <w:t>19</w:t>
            </w:r>
            <w:r>
              <w:rPr>
                <w:sz w:val="18"/>
                <w:lang w:val="en-CA"/>
              </w:rPr>
              <w:t> </w:t>
            </w:r>
            <w:r w:rsidRPr="00A4172F">
              <w:rPr>
                <w:sz w:val="18"/>
                <w:lang w:val="en-CA"/>
              </w:rPr>
              <w:t>310</w:t>
            </w:r>
          </w:p>
        </w:tc>
        <w:tc>
          <w:tcPr>
            <w:tcW w:w="711" w:type="dxa"/>
            <w:shd w:val="clear" w:color="auto" w:fill="auto"/>
          </w:tcPr>
          <w:p w:rsidR="007A66C5" w:rsidRPr="00A4172F" w:rsidRDefault="007A66C5" w:rsidP="007A66C5">
            <w:pPr>
              <w:spacing w:after="60"/>
              <w:jc w:val="right"/>
              <w:rPr>
                <w:sz w:val="18"/>
                <w:lang w:val="en-CA"/>
              </w:rPr>
            </w:pPr>
            <w:r w:rsidRPr="00A4172F">
              <w:rPr>
                <w:sz w:val="18"/>
                <w:lang w:val="en-CA"/>
              </w:rPr>
              <w:t>0</w:t>
            </w:r>
          </w:p>
        </w:tc>
        <w:tc>
          <w:tcPr>
            <w:tcW w:w="801" w:type="dxa"/>
            <w:shd w:val="clear" w:color="auto" w:fill="auto"/>
          </w:tcPr>
          <w:p w:rsidR="007A66C5" w:rsidRPr="00A4172F" w:rsidRDefault="007A66C5" w:rsidP="007A66C5">
            <w:pPr>
              <w:spacing w:after="60"/>
              <w:jc w:val="right"/>
              <w:rPr>
                <w:sz w:val="18"/>
                <w:lang w:val="en-CA"/>
              </w:rPr>
            </w:pPr>
            <w:r w:rsidRPr="00A4172F">
              <w:rPr>
                <w:sz w:val="18"/>
                <w:lang w:val="en-CA"/>
              </w:rPr>
              <w:t>0</w:t>
            </w:r>
          </w:p>
        </w:tc>
        <w:tc>
          <w:tcPr>
            <w:tcW w:w="711" w:type="dxa"/>
            <w:shd w:val="clear" w:color="auto" w:fill="auto"/>
          </w:tcPr>
          <w:p w:rsidR="007A66C5" w:rsidRPr="00A4172F" w:rsidRDefault="007A66C5" w:rsidP="007A66C5">
            <w:pPr>
              <w:spacing w:after="60"/>
              <w:jc w:val="right"/>
              <w:rPr>
                <w:sz w:val="18"/>
                <w:lang w:val="en-CA"/>
              </w:rPr>
            </w:pPr>
            <w:r w:rsidRPr="00A4172F">
              <w:rPr>
                <w:sz w:val="18"/>
                <w:lang w:val="en-CA"/>
              </w:rPr>
              <w:t>0</w:t>
            </w:r>
          </w:p>
        </w:tc>
        <w:tc>
          <w:tcPr>
            <w:tcW w:w="801" w:type="dxa"/>
            <w:shd w:val="clear" w:color="auto" w:fill="auto"/>
          </w:tcPr>
          <w:p w:rsidR="007A66C5" w:rsidRPr="00A4172F" w:rsidRDefault="007A66C5" w:rsidP="007A66C5">
            <w:pPr>
              <w:spacing w:after="60"/>
              <w:jc w:val="right"/>
              <w:rPr>
                <w:sz w:val="18"/>
                <w:lang w:val="en-CA"/>
              </w:rPr>
            </w:pPr>
            <w:r w:rsidRPr="00A4172F">
              <w:rPr>
                <w:sz w:val="18"/>
                <w:lang w:val="en-CA"/>
              </w:rPr>
              <w:fldChar w:fldCharType="begin"/>
            </w:r>
            <w:r w:rsidRPr="00A4172F">
              <w:rPr>
                <w:sz w:val="18"/>
                <w:lang w:val="en-CA"/>
              </w:rPr>
              <w:instrText xml:space="preserve"> =SUM(left) </w:instrText>
            </w:r>
            <w:r w:rsidRPr="00A4172F">
              <w:rPr>
                <w:sz w:val="18"/>
                <w:lang w:val="en-CA"/>
              </w:rPr>
              <w:fldChar w:fldCharType="separate"/>
            </w:r>
            <w:r w:rsidRPr="00A4172F">
              <w:rPr>
                <w:noProof/>
                <w:sz w:val="18"/>
                <w:lang w:val="en-CA"/>
              </w:rPr>
              <w:t>49</w:t>
            </w:r>
            <w:r>
              <w:rPr>
                <w:noProof/>
                <w:sz w:val="18"/>
                <w:lang w:val="en-CA"/>
              </w:rPr>
              <w:t> </w:t>
            </w:r>
            <w:r w:rsidRPr="00A4172F">
              <w:rPr>
                <w:noProof/>
                <w:sz w:val="18"/>
                <w:lang w:val="en-CA"/>
              </w:rPr>
              <w:t>260</w:t>
            </w:r>
            <w:r w:rsidRPr="00A4172F">
              <w:rPr>
                <w:sz w:val="18"/>
                <w:lang w:val="en-CA"/>
              </w:rPr>
              <w:fldChar w:fldCharType="end"/>
            </w:r>
          </w:p>
        </w:tc>
      </w:tr>
      <w:tr w:rsidR="007A66C5" w:rsidRPr="00721EBF" w:rsidTr="00A24C0D">
        <w:trPr>
          <w:trHeight w:val="479"/>
        </w:trPr>
        <w:tc>
          <w:tcPr>
            <w:tcW w:w="1945" w:type="dxa"/>
            <w:gridSpan w:val="2"/>
            <w:vMerge w:val="restart"/>
            <w:shd w:val="clear" w:color="auto" w:fill="auto"/>
          </w:tcPr>
          <w:p w:rsidR="007A66C5" w:rsidRPr="00610E05" w:rsidRDefault="007A66C5" w:rsidP="007A66C5">
            <w:pPr>
              <w:spacing w:after="60"/>
              <w:jc w:val="left"/>
              <w:rPr>
                <w:sz w:val="18"/>
                <w:lang w:val="fr-CA"/>
              </w:rPr>
            </w:pPr>
            <w:r>
              <w:rPr>
                <w:sz w:val="18"/>
                <w:lang w:val="fr-CA"/>
              </w:rPr>
              <w:t>F</w:t>
            </w:r>
            <w:r w:rsidRPr="00610E05">
              <w:rPr>
                <w:sz w:val="18"/>
                <w:lang w:val="fr-CA"/>
              </w:rPr>
              <w:t>onds</w:t>
            </w:r>
            <w:r>
              <w:rPr>
                <w:sz w:val="18"/>
                <w:lang w:val="fr-CA"/>
              </w:rPr>
              <w:t xml:space="preserve"> totaux</w:t>
            </w:r>
            <w:r w:rsidRPr="00610E05">
              <w:rPr>
                <w:sz w:val="18"/>
                <w:lang w:val="fr-CA"/>
              </w:rPr>
              <w:t xml:space="preserve"> demandés </w:t>
            </w:r>
            <w:r>
              <w:rPr>
                <w:sz w:val="18"/>
                <w:lang w:val="fr-CA"/>
              </w:rPr>
              <w:t>aux fins d’approbation</w:t>
            </w:r>
            <w:r w:rsidRPr="00610E05">
              <w:rPr>
                <w:sz w:val="18"/>
                <w:lang w:val="fr-CA"/>
              </w:rPr>
              <w:t xml:space="preserve"> </w:t>
            </w:r>
            <w:r>
              <w:rPr>
                <w:sz w:val="18"/>
                <w:lang w:val="fr-CA"/>
              </w:rPr>
              <w:t xml:space="preserve">lors de </w:t>
            </w:r>
            <w:r w:rsidRPr="00610E05">
              <w:rPr>
                <w:sz w:val="18"/>
                <w:lang w:val="fr-CA"/>
              </w:rPr>
              <w:t>cette réunion ($US)</w:t>
            </w:r>
          </w:p>
        </w:tc>
        <w:tc>
          <w:tcPr>
            <w:tcW w:w="857" w:type="dxa"/>
            <w:shd w:val="clear" w:color="auto" w:fill="auto"/>
          </w:tcPr>
          <w:p w:rsidR="007A66C5" w:rsidRPr="00721EBF" w:rsidRDefault="007A66C5" w:rsidP="007A66C5">
            <w:pPr>
              <w:spacing w:after="60"/>
              <w:jc w:val="left"/>
              <w:rPr>
                <w:sz w:val="18"/>
                <w:lang w:val="en-CA"/>
              </w:rPr>
            </w:pPr>
            <w:r>
              <w:rPr>
                <w:sz w:val="18"/>
                <w:lang w:val="en-CA"/>
              </w:rPr>
              <w:t>Coûts de projet</w:t>
            </w:r>
          </w:p>
        </w:tc>
        <w:tc>
          <w:tcPr>
            <w:tcW w:w="731" w:type="dxa"/>
          </w:tcPr>
          <w:p w:rsidR="007A66C5" w:rsidRDefault="007A66C5" w:rsidP="007A66C5">
            <w:pPr>
              <w:spacing w:after="60"/>
              <w:jc w:val="right"/>
              <w:rPr>
                <w:sz w:val="18"/>
                <w:lang w:val="en-CA"/>
              </w:rPr>
            </w:pPr>
          </w:p>
        </w:tc>
        <w:tc>
          <w:tcPr>
            <w:tcW w:w="613" w:type="dxa"/>
          </w:tcPr>
          <w:p w:rsidR="007A66C5" w:rsidRDefault="007A66C5" w:rsidP="007A66C5">
            <w:pPr>
              <w:spacing w:after="60"/>
              <w:jc w:val="right"/>
              <w:rPr>
                <w:sz w:val="18"/>
                <w:lang w:val="en-CA"/>
              </w:rPr>
            </w:pPr>
          </w:p>
        </w:tc>
        <w:tc>
          <w:tcPr>
            <w:tcW w:w="576" w:type="dxa"/>
          </w:tcPr>
          <w:p w:rsidR="007A66C5" w:rsidRDefault="007A66C5" w:rsidP="007A66C5">
            <w:pPr>
              <w:spacing w:after="60"/>
              <w:jc w:val="right"/>
              <w:rPr>
                <w:sz w:val="18"/>
                <w:lang w:val="en-CA"/>
              </w:rPr>
            </w:pPr>
          </w:p>
        </w:tc>
        <w:tc>
          <w:tcPr>
            <w:tcW w:w="711" w:type="dxa"/>
            <w:shd w:val="clear" w:color="auto" w:fill="auto"/>
          </w:tcPr>
          <w:p w:rsidR="007A66C5" w:rsidRPr="00721EBF" w:rsidRDefault="007A66C5" w:rsidP="007A66C5">
            <w:pPr>
              <w:spacing w:after="60"/>
              <w:jc w:val="right"/>
              <w:rPr>
                <w:sz w:val="18"/>
                <w:lang w:val="en-CA"/>
              </w:rPr>
            </w:pPr>
          </w:p>
        </w:tc>
        <w:tc>
          <w:tcPr>
            <w:tcW w:w="586" w:type="dxa"/>
            <w:shd w:val="clear" w:color="auto" w:fill="auto"/>
          </w:tcPr>
          <w:p w:rsidR="007A66C5" w:rsidRPr="00721EBF" w:rsidRDefault="007A66C5" w:rsidP="007A66C5">
            <w:pPr>
              <w:spacing w:after="60"/>
              <w:jc w:val="right"/>
              <w:rPr>
                <w:sz w:val="18"/>
                <w:lang w:val="en-CA"/>
              </w:rPr>
            </w:pPr>
          </w:p>
        </w:tc>
        <w:tc>
          <w:tcPr>
            <w:tcW w:w="586" w:type="dxa"/>
            <w:shd w:val="clear" w:color="auto" w:fill="auto"/>
          </w:tcPr>
          <w:p w:rsidR="007A66C5" w:rsidRPr="00721EBF" w:rsidRDefault="007A66C5" w:rsidP="007A66C5">
            <w:pPr>
              <w:spacing w:after="60"/>
              <w:jc w:val="right"/>
              <w:rPr>
                <w:sz w:val="18"/>
                <w:lang w:val="en-CA"/>
              </w:rPr>
            </w:pPr>
          </w:p>
        </w:tc>
        <w:tc>
          <w:tcPr>
            <w:tcW w:w="801" w:type="dxa"/>
            <w:shd w:val="clear" w:color="auto" w:fill="auto"/>
          </w:tcPr>
          <w:p w:rsidR="007A66C5" w:rsidRPr="00721EBF" w:rsidRDefault="007A66C5" w:rsidP="007A66C5">
            <w:pPr>
              <w:spacing w:after="60"/>
              <w:jc w:val="right"/>
              <w:rPr>
                <w:sz w:val="18"/>
                <w:lang w:val="en-CA"/>
              </w:rPr>
            </w:pPr>
          </w:p>
        </w:tc>
        <w:tc>
          <w:tcPr>
            <w:tcW w:w="801" w:type="dxa"/>
            <w:shd w:val="clear" w:color="auto" w:fill="auto"/>
          </w:tcPr>
          <w:p w:rsidR="007A66C5" w:rsidRPr="00721EBF" w:rsidRDefault="007A66C5" w:rsidP="007A66C5">
            <w:pPr>
              <w:spacing w:after="60"/>
              <w:jc w:val="right"/>
              <w:rPr>
                <w:sz w:val="18"/>
                <w:lang w:val="en-CA"/>
              </w:rPr>
            </w:pPr>
          </w:p>
        </w:tc>
        <w:tc>
          <w:tcPr>
            <w:tcW w:w="711" w:type="dxa"/>
            <w:shd w:val="clear" w:color="auto" w:fill="auto"/>
          </w:tcPr>
          <w:p w:rsidR="007A66C5" w:rsidRPr="003670FD" w:rsidRDefault="007A66C5" w:rsidP="007A66C5">
            <w:pPr>
              <w:spacing w:after="60"/>
              <w:jc w:val="right"/>
              <w:rPr>
                <w:sz w:val="18"/>
                <w:highlight w:val="yellow"/>
                <w:lang w:val="en-CA"/>
              </w:rPr>
            </w:pPr>
          </w:p>
        </w:tc>
        <w:tc>
          <w:tcPr>
            <w:tcW w:w="801" w:type="dxa"/>
            <w:shd w:val="clear" w:color="auto" w:fill="auto"/>
          </w:tcPr>
          <w:p w:rsidR="007A66C5" w:rsidRPr="00A4172F" w:rsidRDefault="007A66C5" w:rsidP="007A66C5">
            <w:pPr>
              <w:spacing w:after="60"/>
              <w:jc w:val="right"/>
              <w:rPr>
                <w:sz w:val="18"/>
                <w:lang w:val="en-CA"/>
              </w:rPr>
            </w:pPr>
            <w:r w:rsidRPr="00A4172F">
              <w:rPr>
                <w:sz w:val="18"/>
                <w:lang w:val="en-CA"/>
              </w:rPr>
              <w:t>40</w:t>
            </w:r>
            <w:r>
              <w:rPr>
                <w:sz w:val="18"/>
                <w:lang w:val="en-CA"/>
              </w:rPr>
              <w:t> </w:t>
            </w:r>
            <w:r w:rsidRPr="00A4172F">
              <w:rPr>
                <w:sz w:val="18"/>
                <w:lang w:val="en-CA"/>
              </w:rPr>
              <w:t>000</w:t>
            </w:r>
            <w:r>
              <w:rPr>
                <w:sz w:val="18"/>
                <w:lang w:val="en-CA"/>
              </w:rPr>
              <w:t>*</w:t>
            </w:r>
          </w:p>
        </w:tc>
        <w:tc>
          <w:tcPr>
            <w:tcW w:w="711" w:type="dxa"/>
            <w:shd w:val="clear" w:color="auto" w:fill="auto"/>
          </w:tcPr>
          <w:p w:rsidR="007A66C5" w:rsidRPr="00A4172F" w:rsidRDefault="007A66C5" w:rsidP="007A66C5">
            <w:pPr>
              <w:spacing w:after="60"/>
              <w:jc w:val="right"/>
              <w:rPr>
                <w:sz w:val="18"/>
                <w:lang w:val="en-CA"/>
              </w:rPr>
            </w:pPr>
          </w:p>
        </w:tc>
        <w:tc>
          <w:tcPr>
            <w:tcW w:w="801" w:type="dxa"/>
            <w:shd w:val="clear" w:color="auto" w:fill="auto"/>
          </w:tcPr>
          <w:p w:rsidR="007A66C5" w:rsidRPr="00A4172F" w:rsidRDefault="007A66C5" w:rsidP="007A66C5">
            <w:pPr>
              <w:spacing w:after="60"/>
              <w:jc w:val="right"/>
              <w:rPr>
                <w:sz w:val="18"/>
                <w:lang w:val="en-CA"/>
              </w:rPr>
            </w:pPr>
            <w:r w:rsidRPr="00A4172F">
              <w:rPr>
                <w:sz w:val="18"/>
                <w:lang w:val="en-CA"/>
              </w:rPr>
              <w:t>40</w:t>
            </w:r>
            <w:r>
              <w:rPr>
                <w:sz w:val="18"/>
                <w:lang w:val="en-CA"/>
              </w:rPr>
              <w:t> </w:t>
            </w:r>
            <w:r w:rsidRPr="00A4172F">
              <w:rPr>
                <w:sz w:val="18"/>
                <w:lang w:val="en-CA"/>
              </w:rPr>
              <w:t>000</w:t>
            </w:r>
          </w:p>
        </w:tc>
      </w:tr>
      <w:tr w:rsidR="007A66C5" w:rsidRPr="00721EBF" w:rsidTr="00A24C0D">
        <w:trPr>
          <w:trHeight w:val="479"/>
        </w:trPr>
        <w:tc>
          <w:tcPr>
            <w:tcW w:w="1945" w:type="dxa"/>
            <w:gridSpan w:val="2"/>
            <w:vMerge/>
            <w:shd w:val="clear" w:color="auto" w:fill="auto"/>
          </w:tcPr>
          <w:p w:rsidR="007A66C5" w:rsidRPr="00721EBF" w:rsidRDefault="007A66C5" w:rsidP="007A66C5">
            <w:pPr>
              <w:spacing w:after="60"/>
              <w:jc w:val="center"/>
              <w:rPr>
                <w:sz w:val="18"/>
                <w:lang w:val="en-CA"/>
              </w:rPr>
            </w:pPr>
          </w:p>
        </w:tc>
        <w:tc>
          <w:tcPr>
            <w:tcW w:w="857" w:type="dxa"/>
            <w:shd w:val="clear" w:color="auto" w:fill="auto"/>
          </w:tcPr>
          <w:p w:rsidR="007A66C5" w:rsidRPr="00721EBF" w:rsidRDefault="007A66C5" w:rsidP="007A66C5">
            <w:pPr>
              <w:spacing w:after="60"/>
              <w:jc w:val="left"/>
              <w:rPr>
                <w:sz w:val="18"/>
                <w:lang w:val="en-CA"/>
              </w:rPr>
            </w:pPr>
            <w:r>
              <w:rPr>
                <w:sz w:val="18"/>
                <w:lang w:val="en-CA"/>
              </w:rPr>
              <w:t>Coûts d’appui</w:t>
            </w:r>
          </w:p>
        </w:tc>
        <w:tc>
          <w:tcPr>
            <w:tcW w:w="731" w:type="dxa"/>
          </w:tcPr>
          <w:p w:rsidR="007A66C5" w:rsidRDefault="007A66C5" w:rsidP="007A66C5">
            <w:pPr>
              <w:spacing w:after="60"/>
              <w:jc w:val="right"/>
              <w:rPr>
                <w:sz w:val="18"/>
                <w:lang w:val="en-CA"/>
              </w:rPr>
            </w:pPr>
          </w:p>
        </w:tc>
        <w:tc>
          <w:tcPr>
            <w:tcW w:w="613" w:type="dxa"/>
          </w:tcPr>
          <w:p w:rsidR="007A66C5" w:rsidRDefault="007A66C5" w:rsidP="007A66C5">
            <w:pPr>
              <w:spacing w:after="60"/>
              <w:jc w:val="right"/>
              <w:rPr>
                <w:sz w:val="18"/>
                <w:lang w:val="en-CA"/>
              </w:rPr>
            </w:pPr>
          </w:p>
        </w:tc>
        <w:tc>
          <w:tcPr>
            <w:tcW w:w="576" w:type="dxa"/>
          </w:tcPr>
          <w:p w:rsidR="007A66C5" w:rsidRDefault="007A66C5" w:rsidP="007A66C5">
            <w:pPr>
              <w:spacing w:after="60"/>
              <w:jc w:val="right"/>
              <w:rPr>
                <w:sz w:val="18"/>
                <w:lang w:val="en-CA"/>
              </w:rPr>
            </w:pPr>
          </w:p>
        </w:tc>
        <w:tc>
          <w:tcPr>
            <w:tcW w:w="711" w:type="dxa"/>
            <w:shd w:val="clear" w:color="auto" w:fill="auto"/>
          </w:tcPr>
          <w:p w:rsidR="007A66C5" w:rsidRPr="00721EBF" w:rsidRDefault="007A66C5" w:rsidP="007A66C5">
            <w:pPr>
              <w:spacing w:after="60"/>
              <w:jc w:val="right"/>
              <w:rPr>
                <w:sz w:val="18"/>
                <w:lang w:val="en-CA"/>
              </w:rPr>
            </w:pPr>
          </w:p>
        </w:tc>
        <w:tc>
          <w:tcPr>
            <w:tcW w:w="586" w:type="dxa"/>
            <w:shd w:val="clear" w:color="auto" w:fill="auto"/>
          </w:tcPr>
          <w:p w:rsidR="007A66C5" w:rsidRPr="00721EBF" w:rsidRDefault="007A66C5" w:rsidP="007A66C5">
            <w:pPr>
              <w:spacing w:after="60"/>
              <w:jc w:val="right"/>
              <w:rPr>
                <w:sz w:val="18"/>
                <w:lang w:val="en-CA"/>
              </w:rPr>
            </w:pPr>
          </w:p>
        </w:tc>
        <w:tc>
          <w:tcPr>
            <w:tcW w:w="586" w:type="dxa"/>
            <w:shd w:val="clear" w:color="auto" w:fill="auto"/>
          </w:tcPr>
          <w:p w:rsidR="007A66C5" w:rsidRPr="00721EBF" w:rsidRDefault="007A66C5" w:rsidP="007A66C5">
            <w:pPr>
              <w:spacing w:after="60"/>
              <w:jc w:val="right"/>
              <w:rPr>
                <w:sz w:val="18"/>
                <w:lang w:val="en-CA"/>
              </w:rPr>
            </w:pPr>
          </w:p>
        </w:tc>
        <w:tc>
          <w:tcPr>
            <w:tcW w:w="801" w:type="dxa"/>
            <w:shd w:val="clear" w:color="auto" w:fill="auto"/>
          </w:tcPr>
          <w:p w:rsidR="007A66C5" w:rsidRPr="00721EBF" w:rsidRDefault="007A66C5" w:rsidP="007A66C5">
            <w:pPr>
              <w:spacing w:after="60"/>
              <w:jc w:val="right"/>
              <w:rPr>
                <w:sz w:val="18"/>
                <w:lang w:val="en-CA"/>
              </w:rPr>
            </w:pPr>
          </w:p>
        </w:tc>
        <w:tc>
          <w:tcPr>
            <w:tcW w:w="801" w:type="dxa"/>
            <w:shd w:val="clear" w:color="auto" w:fill="auto"/>
          </w:tcPr>
          <w:p w:rsidR="007A66C5" w:rsidRPr="00721EBF" w:rsidRDefault="007A66C5" w:rsidP="007A66C5">
            <w:pPr>
              <w:spacing w:after="60"/>
              <w:jc w:val="right"/>
              <w:rPr>
                <w:sz w:val="18"/>
                <w:lang w:val="en-CA"/>
              </w:rPr>
            </w:pPr>
          </w:p>
        </w:tc>
        <w:tc>
          <w:tcPr>
            <w:tcW w:w="711" w:type="dxa"/>
            <w:shd w:val="clear" w:color="auto" w:fill="auto"/>
          </w:tcPr>
          <w:p w:rsidR="007A66C5" w:rsidRPr="003670FD" w:rsidRDefault="007A66C5" w:rsidP="007A66C5">
            <w:pPr>
              <w:spacing w:after="60"/>
              <w:jc w:val="right"/>
              <w:rPr>
                <w:sz w:val="18"/>
                <w:highlight w:val="yellow"/>
                <w:lang w:val="en-CA"/>
              </w:rPr>
            </w:pPr>
          </w:p>
        </w:tc>
        <w:tc>
          <w:tcPr>
            <w:tcW w:w="801" w:type="dxa"/>
            <w:shd w:val="clear" w:color="auto" w:fill="auto"/>
          </w:tcPr>
          <w:p w:rsidR="007A66C5" w:rsidRPr="00A4172F" w:rsidRDefault="007A66C5" w:rsidP="007A66C5">
            <w:pPr>
              <w:spacing w:after="60"/>
              <w:jc w:val="right"/>
              <w:rPr>
                <w:sz w:val="18"/>
                <w:lang w:val="en-CA"/>
              </w:rPr>
            </w:pPr>
            <w:r w:rsidRPr="00A4172F">
              <w:rPr>
                <w:sz w:val="18"/>
                <w:lang w:val="en-CA"/>
              </w:rPr>
              <w:t>5</w:t>
            </w:r>
            <w:r>
              <w:rPr>
                <w:sz w:val="18"/>
                <w:lang w:val="en-CA"/>
              </w:rPr>
              <w:t> </w:t>
            </w:r>
            <w:r w:rsidRPr="00A4172F">
              <w:rPr>
                <w:sz w:val="18"/>
                <w:lang w:val="en-CA"/>
              </w:rPr>
              <w:t>200</w:t>
            </w:r>
          </w:p>
        </w:tc>
        <w:tc>
          <w:tcPr>
            <w:tcW w:w="711" w:type="dxa"/>
            <w:shd w:val="clear" w:color="auto" w:fill="auto"/>
          </w:tcPr>
          <w:p w:rsidR="007A66C5" w:rsidRPr="00A4172F" w:rsidRDefault="007A66C5" w:rsidP="007A66C5">
            <w:pPr>
              <w:spacing w:after="60"/>
              <w:jc w:val="right"/>
              <w:rPr>
                <w:sz w:val="18"/>
                <w:lang w:val="en-CA"/>
              </w:rPr>
            </w:pPr>
          </w:p>
        </w:tc>
        <w:tc>
          <w:tcPr>
            <w:tcW w:w="801" w:type="dxa"/>
            <w:shd w:val="clear" w:color="auto" w:fill="auto"/>
          </w:tcPr>
          <w:p w:rsidR="007A66C5" w:rsidRPr="00A4172F" w:rsidRDefault="007A66C5" w:rsidP="007A66C5">
            <w:pPr>
              <w:spacing w:after="60"/>
              <w:jc w:val="right"/>
              <w:rPr>
                <w:sz w:val="18"/>
                <w:lang w:val="en-CA"/>
              </w:rPr>
            </w:pPr>
            <w:r w:rsidRPr="00A4172F">
              <w:rPr>
                <w:sz w:val="18"/>
                <w:lang w:val="en-CA"/>
              </w:rPr>
              <w:t>5</w:t>
            </w:r>
            <w:r>
              <w:rPr>
                <w:sz w:val="18"/>
                <w:lang w:val="en-CA"/>
              </w:rPr>
              <w:t> </w:t>
            </w:r>
            <w:r w:rsidRPr="00A4172F">
              <w:rPr>
                <w:sz w:val="18"/>
                <w:lang w:val="en-CA"/>
              </w:rPr>
              <w:t>200</w:t>
            </w:r>
          </w:p>
        </w:tc>
      </w:tr>
    </w:tbl>
    <w:p w:rsidR="00085BCB" w:rsidRPr="002C6859" w:rsidRDefault="00AA78E2" w:rsidP="00085BCB">
      <w:pPr>
        <w:ind w:left="-851"/>
        <w:jc w:val="left"/>
        <w:rPr>
          <w:sz w:val="16"/>
          <w:lang w:val="fr-CA"/>
        </w:rPr>
      </w:pPr>
      <w:r>
        <w:rPr>
          <w:sz w:val="16"/>
          <w:lang w:val="fr-CA"/>
        </w:rPr>
        <w:t xml:space="preserve">*La quatrième tranche </w:t>
      </w:r>
      <w:r w:rsidR="000D0262">
        <w:rPr>
          <w:sz w:val="16"/>
          <w:lang w:val="fr-CA"/>
        </w:rPr>
        <w:t>devrait avoir été soumise en 2018.</w:t>
      </w:r>
    </w:p>
    <w:tbl>
      <w:tblPr>
        <w:tblStyle w:val="TableGrid"/>
        <w:tblpPr w:leftFromText="180" w:rightFromText="180" w:vertAnchor="text" w:horzAnchor="margin" w:tblpXSpec="center" w:tblpY="239"/>
        <w:tblW w:w="11165"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4928"/>
        <w:gridCol w:w="6237"/>
      </w:tblGrid>
      <w:tr w:rsidR="00085BCB" w:rsidRPr="00721EBF" w:rsidTr="007A66C5">
        <w:trPr>
          <w:trHeight w:val="340"/>
        </w:trPr>
        <w:tc>
          <w:tcPr>
            <w:tcW w:w="4928" w:type="dxa"/>
            <w:shd w:val="clear" w:color="auto" w:fill="auto"/>
          </w:tcPr>
          <w:p w:rsidR="00085BCB" w:rsidRPr="00721EBF" w:rsidRDefault="00085BCB" w:rsidP="007A66C5">
            <w:pPr>
              <w:jc w:val="left"/>
              <w:rPr>
                <w:b/>
                <w:sz w:val="18"/>
                <w:lang w:val="en-CA"/>
              </w:rPr>
            </w:pPr>
            <w:r>
              <w:rPr>
                <w:b/>
                <w:sz w:val="18"/>
                <w:lang w:val="en-CA"/>
              </w:rPr>
              <w:t>Recommandation du Secrétariat :</w:t>
            </w:r>
          </w:p>
        </w:tc>
        <w:tc>
          <w:tcPr>
            <w:tcW w:w="6237" w:type="dxa"/>
            <w:shd w:val="clear" w:color="auto" w:fill="auto"/>
          </w:tcPr>
          <w:p w:rsidR="00085BCB" w:rsidRPr="00721EBF" w:rsidRDefault="00022B0B" w:rsidP="00022B0B">
            <w:pPr>
              <w:jc w:val="center"/>
              <w:rPr>
                <w:sz w:val="18"/>
                <w:lang w:val="en-CA"/>
              </w:rPr>
            </w:pPr>
            <w:r>
              <w:rPr>
                <w:sz w:val="18"/>
                <w:lang w:val="en-CA"/>
              </w:rPr>
              <w:t>Pour a</w:t>
            </w:r>
            <w:r w:rsidR="00085BCB">
              <w:rPr>
                <w:sz w:val="18"/>
                <w:lang w:val="en-CA"/>
              </w:rPr>
              <w:t>pprobation globale</w:t>
            </w:r>
          </w:p>
        </w:tc>
      </w:tr>
      <w:bookmarkEnd w:id="1"/>
    </w:tbl>
    <w:p w:rsidR="00085BCB" w:rsidRDefault="00085BCB">
      <w:pPr>
        <w:jc w:val="left"/>
        <w:rPr>
          <w:lang w:val="fr-FR"/>
        </w:rPr>
      </w:pPr>
    </w:p>
    <w:p w:rsidR="00441083" w:rsidRDefault="00E60D9C">
      <w:pPr>
        <w:jc w:val="left"/>
        <w:rPr>
          <w:sz w:val="20"/>
          <w:lang w:val="fr-FR"/>
        </w:rPr>
      </w:pPr>
      <w:r>
        <w:rPr>
          <w:lang w:val="fr-FR"/>
        </w:rPr>
        <w:br w:type="page"/>
      </w:r>
    </w:p>
    <w:p w:rsidR="00F63BD4" w:rsidRDefault="00F63BD4" w:rsidP="00436527">
      <w:pPr>
        <w:jc w:val="center"/>
        <w:rPr>
          <w:b/>
          <w:lang w:val="fr-FR"/>
        </w:rPr>
      </w:pPr>
    </w:p>
    <w:p w:rsidR="00F63BD4" w:rsidRDefault="00F63BD4" w:rsidP="00436527">
      <w:pPr>
        <w:jc w:val="center"/>
        <w:rPr>
          <w:b/>
          <w:lang w:val="fr-FR"/>
        </w:rPr>
      </w:pPr>
    </w:p>
    <w:p w:rsidR="00436527" w:rsidRDefault="00436527" w:rsidP="00436527">
      <w:pPr>
        <w:jc w:val="center"/>
        <w:rPr>
          <w:b/>
          <w:lang w:val="fr-FR"/>
        </w:rPr>
      </w:pPr>
      <w:r w:rsidRPr="00436527">
        <w:rPr>
          <w:b/>
          <w:lang w:val="fr-FR"/>
        </w:rPr>
        <w:t>DESCRIPTION DU PROJET</w:t>
      </w:r>
    </w:p>
    <w:p w:rsidR="00264F4B" w:rsidRPr="00A4172F" w:rsidRDefault="00264F4B" w:rsidP="00264F4B">
      <w:pPr>
        <w:rPr>
          <w:lang w:val="en-CA"/>
        </w:rPr>
      </w:pPr>
    </w:p>
    <w:p w:rsidR="00264F4B" w:rsidRPr="00D570C5" w:rsidRDefault="000D0262" w:rsidP="00264F4B">
      <w:pPr>
        <w:pStyle w:val="Heading1"/>
        <w:rPr>
          <w:lang w:val="fr-CA"/>
        </w:rPr>
      </w:pPr>
      <w:r w:rsidRPr="0065250C">
        <w:rPr>
          <w:lang w:val="fr-CA"/>
        </w:rPr>
        <w:t>Au nom du gouvernement du Togo, le PNUE a présenté, à titre d’agence d’exécution principale, une demande de financement pour la quatrième tranche de la phase</w:t>
      </w:r>
      <w:r w:rsidR="0065250C" w:rsidRPr="0065250C">
        <w:rPr>
          <w:lang w:val="fr-CA"/>
        </w:rPr>
        <w:t> </w:t>
      </w:r>
      <w:r w:rsidRPr="0065250C">
        <w:rPr>
          <w:lang w:val="fr-CA"/>
        </w:rPr>
        <w:t>I du plan de gestion de l’élimination des HCFC (PGEH), pour un montant de 40 000</w:t>
      </w:r>
      <w:r w:rsidR="00D570C5">
        <w:rPr>
          <w:lang w:val="fr-CA"/>
        </w:rPr>
        <w:t> </w:t>
      </w:r>
      <w:r w:rsidRPr="0065250C">
        <w:rPr>
          <w:lang w:val="fr-CA"/>
        </w:rPr>
        <w:t>$US, plus les coûts d’appui d’agence de 5</w:t>
      </w:r>
      <w:r w:rsidR="0065250C" w:rsidRPr="0065250C">
        <w:rPr>
          <w:lang w:val="fr-CA"/>
        </w:rPr>
        <w:t> </w:t>
      </w:r>
      <w:r w:rsidRPr="0065250C">
        <w:rPr>
          <w:lang w:val="fr-CA"/>
        </w:rPr>
        <w:t>200</w:t>
      </w:r>
      <w:r w:rsidR="00D570C5">
        <w:rPr>
          <w:lang w:val="fr-CA"/>
        </w:rPr>
        <w:t> </w:t>
      </w:r>
      <w:r w:rsidRPr="0065250C">
        <w:rPr>
          <w:lang w:val="fr-CA"/>
        </w:rPr>
        <w:t>$US pour le PNUE</w:t>
      </w:r>
      <w:r w:rsidR="00264F4B" w:rsidRPr="0065250C">
        <w:rPr>
          <w:lang w:val="fr-CA"/>
        </w:rPr>
        <w:t>.</w:t>
      </w:r>
      <w:r w:rsidR="00264F4B" w:rsidRPr="00A4172F">
        <w:rPr>
          <w:rStyle w:val="FootnoteReference"/>
          <w:lang w:val="en-CA"/>
        </w:rPr>
        <w:footnoteReference w:id="1"/>
      </w:r>
      <w:r w:rsidR="00264F4B" w:rsidRPr="0065250C">
        <w:rPr>
          <w:lang w:val="fr-CA"/>
        </w:rPr>
        <w:t xml:space="preserve"> </w:t>
      </w:r>
      <w:r>
        <w:rPr>
          <w:lang w:val="fr-CA"/>
        </w:rPr>
        <w:t xml:space="preserve">La présentation comprend un rapport périodique sur la mise en œuvre de la troisième tranche, le rapport de vérification </w:t>
      </w:r>
      <w:r w:rsidR="00BC3E74">
        <w:rPr>
          <w:lang w:val="fr-CA"/>
        </w:rPr>
        <w:t>de</w:t>
      </w:r>
      <w:r>
        <w:rPr>
          <w:lang w:val="fr-CA"/>
        </w:rPr>
        <w:t xml:space="preserve"> la con</w:t>
      </w:r>
      <w:r w:rsidR="009D30E2">
        <w:rPr>
          <w:lang w:val="fr-CA"/>
        </w:rPr>
        <w:t>sommation</w:t>
      </w:r>
      <w:r>
        <w:rPr>
          <w:lang w:val="fr-CA"/>
        </w:rPr>
        <w:t xml:space="preserve"> </w:t>
      </w:r>
      <w:r w:rsidR="00B835E0">
        <w:rPr>
          <w:lang w:val="fr-CA"/>
        </w:rPr>
        <w:t>de H</w:t>
      </w:r>
      <w:r w:rsidR="009D30E2">
        <w:rPr>
          <w:lang w:val="fr-CA"/>
        </w:rPr>
        <w:t>C</w:t>
      </w:r>
      <w:r w:rsidR="00B835E0">
        <w:rPr>
          <w:lang w:val="fr-CA"/>
        </w:rPr>
        <w:t>FC pour la période</w:t>
      </w:r>
      <w:r w:rsidR="009D30E2">
        <w:rPr>
          <w:lang w:val="fr-CA"/>
        </w:rPr>
        <w:t> </w:t>
      </w:r>
      <w:r w:rsidR="00B835E0">
        <w:rPr>
          <w:lang w:val="fr-CA"/>
        </w:rPr>
        <w:t>2013</w:t>
      </w:r>
      <w:r w:rsidR="009D30E2">
        <w:rPr>
          <w:lang w:val="fr-CA"/>
        </w:rPr>
        <w:noBreakHyphen/>
      </w:r>
      <w:r w:rsidR="00B835E0">
        <w:rPr>
          <w:lang w:val="fr-CA"/>
        </w:rPr>
        <w:t xml:space="preserve">2018 et le plan de mise </w:t>
      </w:r>
      <w:r w:rsidR="00D570C5">
        <w:rPr>
          <w:lang w:val="fr-CA"/>
        </w:rPr>
        <w:t>en</w:t>
      </w:r>
      <w:r w:rsidR="00B835E0">
        <w:rPr>
          <w:lang w:val="fr-CA"/>
        </w:rPr>
        <w:t xml:space="preserve"> œuvre de la tranche pour</w:t>
      </w:r>
      <w:r w:rsidR="009D30E2">
        <w:rPr>
          <w:lang w:val="fr-CA"/>
        </w:rPr>
        <w:t> </w:t>
      </w:r>
      <w:r w:rsidR="00B835E0">
        <w:rPr>
          <w:lang w:val="fr-CA"/>
        </w:rPr>
        <w:t>2019</w:t>
      </w:r>
      <w:r w:rsidR="009D30E2">
        <w:rPr>
          <w:lang w:val="fr-CA"/>
        </w:rPr>
        <w:noBreakHyphen/>
      </w:r>
      <w:r w:rsidR="00B835E0">
        <w:rPr>
          <w:lang w:val="fr-CA"/>
        </w:rPr>
        <w:t>2021.</w:t>
      </w:r>
    </w:p>
    <w:p w:rsidR="00264F4B" w:rsidRPr="00B835E0" w:rsidRDefault="00B835E0" w:rsidP="00264F4B">
      <w:pPr>
        <w:rPr>
          <w:u w:val="single"/>
          <w:lang w:val="fr-CA"/>
        </w:rPr>
      </w:pPr>
      <w:r w:rsidRPr="00B835E0">
        <w:rPr>
          <w:u w:val="single"/>
          <w:lang w:val="fr-CA"/>
        </w:rPr>
        <w:t>Rapport sur la consommation de H</w:t>
      </w:r>
      <w:r w:rsidR="009D30E2">
        <w:rPr>
          <w:u w:val="single"/>
          <w:lang w:val="fr-CA"/>
        </w:rPr>
        <w:t>C</w:t>
      </w:r>
      <w:r w:rsidRPr="00B835E0">
        <w:rPr>
          <w:u w:val="single"/>
          <w:lang w:val="fr-CA"/>
        </w:rPr>
        <w:t>FC</w:t>
      </w:r>
    </w:p>
    <w:p w:rsidR="00264F4B" w:rsidRPr="00B835E0" w:rsidRDefault="00264F4B" w:rsidP="00264F4B">
      <w:pPr>
        <w:rPr>
          <w:lang w:val="fr-CA"/>
        </w:rPr>
      </w:pPr>
    </w:p>
    <w:p w:rsidR="00264F4B" w:rsidRPr="009D30E2" w:rsidRDefault="009D30E2" w:rsidP="00264F4B">
      <w:pPr>
        <w:pStyle w:val="Heading1"/>
        <w:rPr>
          <w:lang w:val="fr-CA"/>
        </w:rPr>
      </w:pPr>
      <w:r>
        <w:rPr>
          <w:lang w:val="fr-CA"/>
        </w:rPr>
        <w:t>L</w:t>
      </w:r>
      <w:r w:rsidR="00B835E0" w:rsidRPr="00B835E0">
        <w:rPr>
          <w:lang w:val="fr-CA"/>
        </w:rPr>
        <w:t xml:space="preserve">e gouvernement du Togo </w:t>
      </w:r>
      <w:r>
        <w:rPr>
          <w:lang w:val="fr-CA"/>
        </w:rPr>
        <w:t>a</w:t>
      </w:r>
      <w:r w:rsidR="00B835E0" w:rsidRPr="00B835E0">
        <w:rPr>
          <w:lang w:val="fr-CA"/>
        </w:rPr>
        <w:t xml:space="preserve"> déclaré une consommation de 14,19</w:t>
      </w:r>
      <w:r>
        <w:rPr>
          <w:lang w:val="fr-CA"/>
        </w:rPr>
        <w:t> </w:t>
      </w:r>
      <w:r w:rsidR="00B835E0" w:rsidRPr="00B835E0">
        <w:rPr>
          <w:lang w:val="fr-CA"/>
        </w:rPr>
        <w:t>tonnes</w:t>
      </w:r>
      <w:r>
        <w:rPr>
          <w:lang w:val="fr-CA"/>
        </w:rPr>
        <w:t> </w:t>
      </w:r>
      <w:r w:rsidR="00B835E0" w:rsidRPr="00B835E0">
        <w:rPr>
          <w:lang w:val="fr-CA"/>
        </w:rPr>
        <w:t>PAO de HCFC en</w:t>
      </w:r>
      <w:r>
        <w:rPr>
          <w:lang w:val="fr-CA"/>
        </w:rPr>
        <w:t> </w:t>
      </w:r>
      <w:r w:rsidR="00B835E0" w:rsidRPr="00B835E0">
        <w:rPr>
          <w:lang w:val="fr-CA"/>
        </w:rPr>
        <w:t>2018, qui est inférieure de 29</w:t>
      </w:r>
      <w:r>
        <w:rPr>
          <w:lang w:val="fr-CA"/>
        </w:rPr>
        <w:t> </w:t>
      </w:r>
      <w:r w:rsidR="00B835E0" w:rsidRPr="00B835E0">
        <w:rPr>
          <w:lang w:val="fr-CA"/>
        </w:rPr>
        <w:t xml:space="preserve">pour cent </w:t>
      </w:r>
      <w:r w:rsidR="00B835E0">
        <w:rPr>
          <w:lang w:val="fr-CA"/>
        </w:rPr>
        <w:t xml:space="preserve">à la valeur de référence. </w:t>
      </w:r>
      <w:r w:rsidRPr="009D30E2">
        <w:rPr>
          <w:lang w:val="fr-CA"/>
        </w:rPr>
        <w:t>L</w:t>
      </w:r>
      <w:r w:rsidR="00B835E0" w:rsidRPr="009D30E2">
        <w:rPr>
          <w:lang w:val="fr-CA"/>
        </w:rPr>
        <w:t>a consommation de H</w:t>
      </w:r>
      <w:r w:rsidRPr="009D30E2">
        <w:rPr>
          <w:lang w:val="fr-CA"/>
        </w:rPr>
        <w:t>C</w:t>
      </w:r>
      <w:r w:rsidR="00B835E0" w:rsidRPr="009D30E2">
        <w:rPr>
          <w:lang w:val="fr-CA"/>
        </w:rPr>
        <w:t>FC pour</w:t>
      </w:r>
      <w:r w:rsidRPr="009D30E2">
        <w:rPr>
          <w:lang w:val="fr-CA"/>
        </w:rPr>
        <w:t> </w:t>
      </w:r>
      <w:r w:rsidR="00B835E0" w:rsidRPr="009D30E2">
        <w:rPr>
          <w:lang w:val="fr-CA"/>
        </w:rPr>
        <w:t>2014</w:t>
      </w:r>
      <w:r w:rsidRPr="009D30E2">
        <w:rPr>
          <w:lang w:val="fr-CA"/>
        </w:rPr>
        <w:noBreakHyphen/>
      </w:r>
      <w:r w:rsidR="00B835E0" w:rsidRPr="009D30E2">
        <w:rPr>
          <w:lang w:val="fr-CA"/>
        </w:rPr>
        <w:t>2018 figure au tableau</w:t>
      </w:r>
      <w:r w:rsidRPr="009D30E2">
        <w:rPr>
          <w:lang w:val="fr-CA"/>
        </w:rPr>
        <w:t> </w:t>
      </w:r>
      <w:r w:rsidR="00B835E0" w:rsidRPr="009D30E2">
        <w:rPr>
          <w:lang w:val="fr-CA"/>
        </w:rPr>
        <w:t>1 ci-après</w:t>
      </w:r>
      <w:r w:rsidR="00D570C5">
        <w:rPr>
          <w:lang w:val="fr-CA"/>
        </w:rPr>
        <w:t> </w:t>
      </w:r>
      <w:r w:rsidR="00B835E0" w:rsidRPr="009D30E2">
        <w:rPr>
          <w:lang w:val="fr-CA"/>
        </w:rPr>
        <w:t>:</w:t>
      </w:r>
      <w:r w:rsidR="00264F4B" w:rsidRPr="009D30E2">
        <w:rPr>
          <w:lang w:val="fr-CA"/>
        </w:rPr>
        <w:t xml:space="preserve">  </w:t>
      </w:r>
    </w:p>
    <w:p w:rsidR="00264F4B" w:rsidRPr="00B835E0" w:rsidRDefault="00264F4B" w:rsidP="00264F4B">
      <w:pPr>
        <w:rPr>
          <w:b/>
          <w:lang w:val="fr-CA"/>
        </w:rPr>
      </w:pPr>
      <w:r w:rsidRPr="00B835E0">
        <w:rPr>
          <w:b/>
          <w:lang w:val="fr-CA"/>
        </w:rPr>
        <w:t>Table</w:t>
      </w:r>
      <w:r w:rsidR="000D0262" w:rsidRPr="00B835E0">
        <w:rPr>
          <w:b/>
          <w:lang w:val="fr-CA"/>
        </w:rPr>
        <w:t>au</w:t>
      </w:r>
      <w:r w:rsidRPr="00B835E0">
        <w:rPr>
          <w:b/>
          <w:lang w:val="fr-CA"/>
        </w:rPr>
        <w:t xml:space="preserve"> 1. </w:t>
      </w:r>
      <w:r w:rsidR="00B835E0" w:rsidRPr="00B835E0">
        <w:rPr>
          <w:b/>
          <w:lang w:val="fr-CA"/>
        </w:rPr>
        <w:t>Consommation de HCFC au Togo (données de l’article</w:t>
      </w:r>
      <w:r w:rsidR="00D570C5">
        <w:rPr>
          <w:b/>
          <w:lang w:val="fr-CA"/>
        </w:rPr>
        <w:t> </w:t>
      </w:r>
      <w:r w:rsidR="00B835E0" w:rsidRPr="00B835E0">
        <w:rPr>
          <w:b/>
          <w:lang w:val="fr-CA"/>
        </w:rPr>
        <w:t>7</w:t>
      </w:r>
      <w:r w:rsidR="009D30E2">
        <w:rPr>
          <w:b/>
          <w:lang w:val="fr-CA"/>
        </w:rPr>
        <w:t xml:space="preserve"> </w:t>
      </w:r>
      <w:r w:rsidR="00B835E0">
        <w:rPr>
          <w:b/>
          <w:lang w:val="fr-CA"/>
        </w:rPr>
        <w:t>pour</w:t>
      </w:r>
      <w:r w:rsidR="009D30E2">
        <w:rPr>
          <w:b/>
          <w:lang w:val="fr-CA"/>
        </w:rPr>
        <w:t> </w:t>
      </w:r>
      <w:r w:rsidR="00B835E0">
        <w:rPr>
          <w:b/>
          <w:lang w:val="fr-CA"/>
        </w:rPr>
        <w:t>2014</w:t>
      </w:r>
      <w:r w:rsidR="009D30E2">
        <w:rPr>
          <w:b/>
          <w:lang w:val="fr-CA"/>
        </w:rPr>
        <w:noBreakHyphen/>
      </w:r>
      <w:r w:rsidR="00B835E0">
        <w:rPr>
          <w:b/>
          <w:lang w:val="fr-CA"/>
        </w:rPr>
        <w:t>2018)</w:t>
      </w:r>
    </w:p>
    <w:tbl>
      <w:tblPr>
        <w:tblW w:w="5000" w:type="pct"/>
        <w:tblLayout w:type="fixed"/>
        <w:tblLook w:val="04A0" w:firstRow="1" w:lastRow="0" w:firstColumn="1" w:lastColumn="0" w:noHBand="0" w:noVBand="1"/>
      </w:tblPr>
      <w:tblGrid>
        <w:gridCol w:w="3201"/>
        <w:gridCol w:w="1007"/>
        <w:gridCol w:w="1007"/>
        <w:gridCol w:w="1006"/>
        <w:gridCol w:w="1006"/>
        <w:gridCol w:w="1008"/>
        <w:gridCol w:w="1276"/>
      </w:tblGrid>
      <w:tr w:rsidR="00264F4B" w:rsidRPr="00A4172F" w:rsidTr="00F63BD4">
        <w:trPr>
          <w:tblHeader/>
        </w:trPr>
        <w:tc>
          <w:tcPr>
            <w:tcW w:w="1682"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hideMark/>
          </w:tcPr>
          <w:p w:rsidR="00264F4B" w:rsidRPr="00A4172F" w:rsidRDefault="00264F4B" w:rsidP="007A66C5">
            <w:pPr>
              <w:widowControl w:val="0"/>
              <w:jc w:val="left"/>
              <w:rPr>
                <w:b/>
                <w:bCs/>
                <w:color w:val="000000"/>
                <w:sz w:val="20"/>
                <w:szCs w:val="20"/>
                <w:lang w:val="en-CA"/>
              </w:rPr>
            </w:pPr>
            <w:r w:rsidRPr="00A4172F">
              <w:rPr>
                <w:b/>
                <w:bCs/>
                <w:color w:val="000000"/>
                <w:sz w:val="20"/>
                <w:szCs w:val="20"/>
                <w:lang w:val="en-CA"/>
              </w:rPr>
              <w:t>HCFC</w:t>
            </w:r>
          </w:p>
        </w:tc>
        <w:tc>
          <w:tcPr>
            <w:tcW w:w="529" w:type="pct"/>
            <w:tcBorders>
              <w:top w:val="single" w:sz="4" w:space="0" w:color="auto"/>
              <w:left w:val="nil"/>
              <w:bottom w:val="single" w:sz="4" w:space="0" w:color="auto"/>
              <w:right w:val="single" w:sz="4" w:space="0" w:color="auto"/>
            </w:tcBorders>
            <w:shd w:val="clear" w:color="auto" w:fill="auto"/>
            <w:noWrap/>
            <w:hideMark/>
          </w:tcPr>
          <w:p w:rsidR="00264F4B" w:rsidRPr="00A4172F" w:rsidRDefault="00264F4B" w:rsidP="007A66C5">
            <w:pPr>
              <w:widowControl w:val="0"/>
              <w:jc w:val="center"/>
              <w:rPr>
                <w:b/>
                <w:bCs/>
                <w:color w:val="000000"/>
                <w:sz w:val="20"/>
                <w:szCs w:val="20"/>
                <w:lang w:val="en-CA"/>
              </w:rPr>
            </w:pPr>
            <w:r w:rsidRPr="00A4172F">
              <w:rPr>
                <w:b/>
                <w:bCs/>
                <w:color w:val="000000"/>
                <w:sz w:val="20"/>
                <w:szCs w:val="20"/>
                <w:lang w:val="en-CA"/>
              </w:rPr>
              <w:t>2014</w:t>
            </w:r>
          </w:p>
        </w:tc>
        <w:tc>
          <w:tcPr>
            <w:tcW w:w="529" w:type="pct"/>
            <w:tcBorders>
              <w:top w:val="single" w:sz="4" w:space="0" w:color="auto"/>
              <w:left w:val="nil"/>
              <w:bottom w:val="single" w:sz="4" w:space="0" w:color="auto"/>
              <w:right w:val="single" w:sz="4" w:space="0" w:color="auto"/>
            </w:tcBorders>
            <w:shd w:val="clear" w:color="auto" w:fill="auto"/>
            <w:noWrap/>
            <w:hideMark/>
          </w:tcPr>
          <w:p w:rsidR="00264F4B" w:rsidRPr="00A4172F" w:rsidRDefault="00264F4B" w:rsidP="007A66C5">
            <w:pPr>
              <w:widowControl w:val="0"/>
              <w:jc w:val="center"/>
              <w:rPr>
                <w:b/>
                <w:bCs/>
                <w:color w:val="000000"/>
                <w:sz w:val="20"/>
                <w:szCs w:val="20"/>
                <w:lang w:val="en-CA"/>
              </w:rPr>
            </w:pPr>
            <w:r w:rsidRPr="00A4172F">
              <w:rPr>
                <w:b/>
                <w:bCs/>
                <w:color w:val="000000"/>
                <w:sz w:val="20"/>
                <w:szCs w:val="20"/>
                <w:lang w:val="en-CA"/>
              </w:rPr>
              <w:t>2015</w:t>
            </w:r>
          </w:p>
        </w:tc>
        <w:tc>
          <w:tcPr>
            <w:tcW w:w="529" w:type="pct"/>
            <w:tcBorders>
              <w:top w:val="single" w:sz="4" w:space="0" w:color="auto"/>
              <w:left w:val="nil"/>
              <w:bottom w:val="single" w:sz="4" w:space="0" w:color="auto"/>
              <w:right w:val="single" w:sz="4" w:space="0" w:color="auto"/>
            </w:tcBorders>
            <w:shd w:val="clear" w:color="auto" w:fill="auto"/>
            <w:noWrap/>
            <w:hideMark/>
          </w:tcPr>
          <w:p w:rsidR="00264F4B" w:rsidRPr="00A4172F" w:rsidRDefault="00264F4B" w:rsidP="007A66C5">
            <w:pPr>
              <w:widowControl w:val="0"/>
              <w:jc w:val="center"/>
              <w:rPr>
                <w:b/>
                <w:bCs/>
                <w:color w:val="000000"/>
                <w:sz w:val="20"/>
                <w:szCs w:val="20"/>
                <w:lang w:val="en-CA"/>
              </w:rPr>
            </w:pPr>
            <w:r w:rsidRPr="00A4172F">
              <w:rPr>
                <w:b/>
                <w:bCs/>
                <w:color w:val="000000"/>
                <w:sz w:val="20"/>
                <w:szCs w:val="20"/>
                <w:lang w:val="en-CA"/>
              </w:rPr>
              <w:t>2016</w:t>
            </w:r>
          </w:p>
        </w:tc>
        <w:tc>
          <w:tcPr>
            <w:tcW w:w="529" w:type="pct"/>
            <w:tcBorders>
              <w:top w:val="single" w:sz="4" w:space="0" w:color="auto"/>
              <w:left w:val="nil"/>
              <w:bottom w:val="single" w:sz="4" w:space="0" w:color="auto"/>
              <w:right w:val="single" w:sz="4" w:space="0" w:color="auto"/>
            </w:tcBorders>
          </w:tcPr>
          <w:p w:rsidR="00264F4B" w:rsidRPr="00A4172F" w:rsidRDefault="00264F4B" w:rsidP="007A66C5">
            <w:pPr>
              <w:widowControl w:val="0"/>
              <w:jc w:val="center"/>
              <w:rPr>
                <w:b/>
                <w:bCs/>
                <w:color w:val="000000"/>
                <w:sz w:val="20"/>
                <w:szCs w:val="20"/>
                <w:lang w:val="en-CA"/>
              </w:rPr>
            </w:pPr>
            <w:r w:rsidRPr="00A4172F">
              <w:rPr>
                <w:b/>
                <w:bCs/>
                <w:color w:val="000000"/>
                <w:sz w:val="20"/>
                <w:szCs w:val="20"/>
                <w:lang w:val="en-CA"/>
              </w:rPr>
              <w:t>2017</w:t>
            </w:r>
          </w:p>
        </w:tc>
        <w:tc>
          <w:tcPr>
            <w:tcW w:w="530" w:type="pct"/>
            <w:tcBorders>
              <w:top w:val="single" w:sz="4" w:space="0" w:color="auto"/>
              <w:left w:val="single" w:sz="4" w:space="0" w:color="auto"/>
              <w:bottom w:val="single" w:sz="4" w:space="0" w:color="auto"/>
              <w:right w:val="single" w:sz="4" w:space="0" w:color="auto"/>
            </w:tcBorders>
          </w:tcPr>
          <w:p w:rsidR="00264F4B" w:rsidRPr="00A4172F" w:rsidRDefault="00264F4B" w:rsidP="007A66C5">
            <w:pPr>
              <w:widowControl w:val="0"/>
              <w:jc w:val="center"/>
              <w:rPr>
                <w:b/>
                <w:bCs/>
                <w:color w:val="000000"/>
                <w:sz w:val="20"/>
                <w:szCs w:val="20"/>
                <w:lang w:val="en-CA"/>
              </w:rPr>
            </w:pPr>
            <w:r>
              <w:rPr>
                <w:b/>
                <w:bCs/>
                <w:color w:val="000000"/>
                <w:sz w:val="20"/>
                <w:szCs w:val="20"/>
                <w:lang w:val="en-CA"/>
              </w:rPr>
              <w:t>2018</w:t>
            </w:r>
          </w:p>
        </w:tc>
        <w:tc>
          <w:tcPr>
            <w:tcW w:w="671" w:type="pct"/>
            <w:tcBorders>
              <w:top w:val="single" w:sz="4" w:space="0" w:color="auto"/>
              <w:left w:val="single" w:sz="4" w:space="0" w:color="auto"/>
              <w:bottom w:val="single" w:sz="4" w:space="0" w:color="auto"/>
              <w:right w:val="single" w:sz="4" w:space="0" w:color="auto"/>
            </w:tcBorders>
            <w:shd w:val="clear" w:color="auto" w:fill="auto"/>
            <w:noWrap/>
            <w:hideMark/>
          </w:tcPr>
          <w:p w:rsidR="00264F4B" w:rsidRPr="00A4172F" w:rsidRDefault="00B835E0" w:rsidP="007A66C5">
            <w:pPr>
              <w:widowControl w:val="0"/>
              <w:jc w:val="center"/>
              <w:rPr>
                <w:b/>
                <w:bCs/>
                <w:color w:val="000000"/>
                <w:sz w:val="20"/>
                <w:szCs w:val="20"/>
                <w:lang w:val="en-CA"/>
              </w:rPr>
            </w:pPr>
            <w:r>
              <w:rPr>
                <w:b/>
                <w:bCs/>
                <w:color w:val="000000"/>
                <w:sz w:val="20"/>
                <w:szCs w:val="20"/>
                <w:lang w:val="en-CA"/>
              </w:rPr>
              <w:t xml:space="preserve"> </w:t>
            </w:r>
            <w:r w:rsidR="009D30E2">
              <w:rPr>
                <w:b/>
                <w:bCs/>
                <w:color w:val="000000"/>
                <w:sz w:val="20"/>
                <w:szCs w:val="20"/>
                <w:lang w:val="en-CA"/>
              </w:rPr>
              <w:t>V</w:t>
            </w:r>
            <w:r>
              <w:rPr>
                <w:b/>
                <w:bCs/>
                <w:color w:val="000000"/>
                <w:sz w:val="20"/>
                <w:szCs w:val="20"/>
                <w:lang w:val="en-CA"/>
              </w:rPr>
              <w:t xml:space="preserve">aleur de référence </w:t>
            </w:r>
          </w:p>
        </w:tc>
      </w:tr>
      <w:tr w:rsidR="00264F4B" w:rsidRPr="00A4172F" w:rsidTr="007A66C5">
        <w:tc>
          <w:tcPr>
            <w:tcW w:w="1682"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rsidR="00264F4B" w:rsidRPr="00A4172F" w:rsidRDefault="000D0262" w:rsidP="007A66C5">
            <w:pPr>
              <w:widowControl w:val="0"/>
              <w:jc w:val="left"/>
              <w:rPr>
                <w:b/>
                <w:bCs/>
                <w:color w:val="000000"/>
                <w:sz w:val="20"/>
                <w:szCs w:val="20"/>
                <w:lang w:val="en-CA"/>
              </w:rPr>
            </w:pPr>
            <w:r>
              <w:rPr>
                <w:b/>
                <w:bCs/>
                <w:color w:val="000000"/>
                <w:sz w:val="20"/>
                <w:szCs w:val="20"/>
                <w:lang w:val="en-CA"/>
              </w:rPr>
              <w:t>Tonnes métriques</w:t>
            </w:r>
          </w:p>
        </w:tc>
        <w:tc>
          <w:tcPr>
            <w:tcW w:w="529" w:type="pct"/>
            <w:tcBorders>
              <w:top w:val="nil"/>
              <w:left w:val="nil"/>
              <w:bottom w:val="single" w:sz="4" w:space="0" w:color="auto"/>
              <w:right w:val="single" w:sz="4" w:space="0" w:color="auto"/>
            </w:tcBorders>
            <w:shd w:val="clear" w:color="auto" w:fill="auto"/>
            <w:noWrap/>
            <w:vAlign w:val="center"/>
            <w:hideMark/>
          </w:tcPr>
          <w:p w:rsidR="00264F4B" w:rsidRPr="00A4172F" w:rsidRDefault="00264F4B" w:rsidP="007A66C5">
            <w:pPr>
              <w:widowControl w:val="0"/>
              <w:jc w:val="right"/>
              <w:rPr>
                <w:bCs/>
                <w:color w:val="000000"/>
                <w:sz w:val="20"/>
                <w:szCs w:val="20"/>
                <w:lang w:val="en-CA"/>
              </w:rPr>
            </w:pPr>
            <w:r w:rsidRPr="00A4172F">
              <w:rPr>
                <w:bCs/>
                <w:color w:val="000000"/>
                <w:sz w:val="20"/>
                <w:szCs w:val="20"/>
                <w:lang w:val="en-CA"/>
              </w:rPr>
              <w:t>325</w:t>
            </w:r>
            <w:r w:rsidR="009D30E2">
              <w:rPr>
                <w:bCs/>
                <w:color w:val="000000"/>
                <w:sz w:val="20"/>
                <w:szCs w:val="20"/>
                <w:lang w:val="en-CA"/>
              </w:rPr>
              <w:t>,</w:t>
            </w:r>
            <w:r w:rsidRPr="00A4172F">
              <w:rPr>
                <w:bCs/>
                <w:color w:val="000000"/>
                <w:sz w:val="20"/>
                <w:szCs w:val="20"/>
                <w:lang w:val="en-CA"/>
              </w:rPr>
              <w:t>00</w:t>
            </w:r>
          </w:p>
        </w:tc>
        <w:tc>
          <w:tcPr>
            <w:tcW w:w="529" w:type="pct"/>
            <w:tcBorders>
              <w:top w:val="nil"/>
              <w:left w:val="nil"/>
              <w:bottom w:val="single" w:sz="4" w:space="0" w:color="auto"/>
              <w:right w:val="single" w:sz="4" w:space="0" w:color="auto"/>
            </w:tcBorders>
            <w:shd w:val="clear" w:color="auto" w:fill="auto"/>
            <w:noWrap/>
            <w:vAlign w:val="center"/>
            <w:hideMark/>
          </w:tcPr>
          <w:p w:rsidR="00264F4B" w:rsidRPr="00A4172F" w:rsidRDefault="00264F4B" w:rsidP="007A66C5">
            <w:pPr>
              <w:widowControl w:val="0"/>
              <w:jc w:val="right"/>
              <w:rPr>
                <w:bCs/>
                <w:color w:val="000000"/>
                <w:sz w:val="20"/>
                <w:szCs w:val="20"/>
                <w:lang w:val="en-CA"/>
              </w:rPr>
            </w:pPr>
            <w:r w:rsidRPr="00A4172F">
              <w:rPr>
                <w:bCs/>
                <w:color w:val="000000"/>
                <w:sz w:val="20"/>
                <w:szCs w:val="20"/>
                <w:lang w:val="en-CA"/>
              </w:rPr>
              <w:t>302</w:t>
            </w:r>
            <w:r w:rsidR="009D30E2">
              <w:rPr>
                <w:bCs/>
                <w:color w:val="000000"/>
                <w:sz w:val="20"/>
                <w:szCs w:val="20"/>
                <w:lang w:val="en-CA"/>
              </w:rPr>
              <w:t>,</w:t>
            </w:r>
            <w:r w:rsidRPr="00A4172F">
              <w:rPr>
                <w:bCs/>
                <w:color w:val="000000"/>
                <w:sz w:val="20"/>
                <w:szCs w:val="20"/>
                <w:lang w:val="en-CA"/>
              </w:rPr>
              <w:t>00</w:t>
            </w:r>
          </w:p>
        </w:tc>
        <w:tc>
          <w:tcPr>
            <w:tcW w:w="529" w:type="pct"/>
            <w:tcBorders>
              <w:top w:val="nil"/>
              <w:left w:val="nil"/>
              <w:bottom w:val="single" w:sz="4" w:space="0" w:color="auto"/>
              <w:right w:val="single" w:sz="4" w:space="0" w:color="auto"/>
            </w:tcBorders>
            <w:shd w:val="clear" w:color="auto" w:fill="auto"/>
            <w:noWrap/>
            <w:vAlign w:val="center"/>
            <w:hideMark/>
          </w:tcPr>
          <w:p w:rsidR="00264F4B" w:rsidRPr="00A4172F" w:rsidRDefault="00264F4B" w:rsidP="007A66C5">
            <w:pPr>
              <w:widowControl w:val="0"/>
              <w:jc w:val="right"/>
              <w:rPr>
                <w:bCs/>
                <w:color w:val="000000"/>
                <w:sz w:val="20"/>
                <w:szCs w:val="20"/>
                <w:lang w:val="en-CA"/>
              </w:rPr>
            </w:pPr>
            <w:r w:rsidRPr="00A4172F">
              <w:rPr>
                <w:bCs/>
                <w:color w:val="000000"/>
                <w:sz w:val="20"/>
                <w:szCs w:val="20"/>
                <w:lang w:val="en-CA"/>
              </w:rPr>
              <w:t>280</w:t>
            </w:r>
            <w:r w:rsidR="009D30E2">
              <w:rPr>
                <w:bCs/>
                <w:color w:val="000000"/>
                <w:sz w:val="20"/>
                <w:szCs w:val="20"/>
                <w:lang w:val="en-CA"/>
              </w:rPr>
              <w:t>,</w:t>
            </w:r>
            <w:r w:rsidRPr="00A4172F">
              <w:rPr>
                <w:bCs/>
                <w:color w:val="000000"/>
                <w:sz w:val="20"/>
                <w:szCs w:val="20"/>
                <w:lang w:val="en-CA"/>
              </w:rPr>
              <w:t>0</w:t>
            </w:r>
          </w:p>
        </w:tc>
        <w:tc>
          <w:tcPr>
            <w:tcW w:w="529" w:type="pct"/>
            <w:tcBorders>
              <w:top w:val="single" w:sz="4" w:space="0" w:color="auto"/>
              <w:left w:val="nil"/>
              <w:bottom w:val="single" w:sz="4" w:space="0" w:color="auto"/>
              <w:right w:val="single" w:sz="4" w:space="0" w:color="auto"/>
            </w:tcBorders>
          </w:tcPr>
          <w:p w:rsidR="00264F4B" w:rsidRPr="00A4172F" w:rsidRDefault="00264F4B" w:rsidP="007A66C5">
            <w:pPr>
              <w:widowControl w:val="0"/>
              <w:jc w:val="right"/>
              <w:rPr>
                <w:bCs/>
                <w:color w:val="000000"/>
                <w:sz w:val="20"/>
                <w:szCs w:val="20"/>
                <w:lang w:val="en-CA"/>
              </w:rPr>
            </w:pPr>
            <w:r w:rsidRPr="00A4172F">
              <w:rPr>
                <w:bCs/>
                <w:color w:val="000000"/>
                <w:sz w:val="20"/>
                <w:szCs w:val="20"/>
                <w:lang w:val="en-CA"/>
              </w:rPr>
              <w:t>272</w:t>
            </w:r>
            <w:r w:rsidR="009D30E2">
              <w:rPr>
                <w:bCs/>
                <w:color w:val="000000"/>
                <w:sz w:val="20"/>
                <w:szCs w:val="20"/>
                <w:lang w:val="en-CA"/>
              </w:rPr>
              <w:t>,</w:t>
            </w:r>
            <w:r w:rsidRPr="00A4172F">
              <w:rPr>
                <w:bCs/>
                <w:color w:val="000000"/>
                <w:sz w:val="20"/>
                <w:szCs w:val="20"/>
                <w:lang w:val="en-CA"/>
              </w:rPr>
              <w:t>00</w:t>
            </w:r>
          </w:p>
        </w:tc>
        <w:tc>
          <w:tcPr>
            <w:tcW w:w="530" w:type="pct"/>
            <w:tcBorders>
              <w:top w:val="nil"/>
              <w:left w:val="single" w:sz="4" w:space="0" w:color="auto"/>
              <w:bottom w:val="single" w:sz="4" w:space="0" w:color="auto"/>
              <w:right w:val="single" w:sz="4" w:space="0" w:color="auto"/>
            </w:tcBorders>
          </w:tcPr>
          <w:p w:rsidR="00264F4B" w:rsidRPr="00A4172F" w:rsidRDefault="00264F4B" w:rsidP="007A66C5">
            <w:pPr>
              <w:widowControl w:val="0"/>
              <w:jc w:val="right"/>
              <w:rPr>
                <w:bCs/>
                <w:color w:val="000000"/>
                <w:sz w:val="20"/>
                <w:szCs w:val="20"/>
                <w:lang w:val="en-CA"/>
              </w:rPr>
            </w:pPr>
            <w:r w:rsidRPr="00A4172F">
              <w:rPr>
                <w:bCs/>
                <w:color w:val="000000"/>
                <w:sz w:val="20"/>
                <w:szCs w:val="20"/>
                <w:lang w:val="en-CA"/>
              </w:rPr>
              <w:t>258</w:t>
            </w:r>
            <w:r w:rsidR="009D30E2">
              <w:rPr>
                <w:bCs/>
                <w:color w:val="000000"/>
                <w:sz w:val="20"/>
                <w:szCs w:val="20"/>
                <w:lang w:val="en-CA"/>
              </w:rPr>
              <w:t>,</w:t>
            </w:r>
            <w:r w:rsidRPr="00A4172F">
              <w:rPr>
                <w:bCs/>
                <w:color w:val="000000"/>
                <w:sz w:val="20"/>
                <w:szCs w:val="20"/>
                <w:lang w:val="en-CA"/>
              </w:rPr>
              <w:t>00</w:t>
            </w:r>
          </w:p>
        </w:tc>
        <w:tc>
          <w:tcPr>
            <w:tcW w:w="671" w:type="pct"/>
            <w:tcBorders>
              <w:top w:val="nil"/>
              <w:left w:val="single" w:sz="4" w:space="0" w:color="auto"/>
              <w:bottom w:val="single" w:sz="4" w:space="0" w:color="auto"/>
              <w:right w:val="single" w:sz="4" w:space="0" w:color="auto"/>
            </w:tcBorders>
            <w:shd w:val="clear" w:color="auto" w:fill="auto"/>
            <w:noWrap/>
            <w:vAlign w:val="center"/>
            <w:hideMark/>
          </w:tcPr>
          <w:p w:rsidR="00264F4B" w:rsidRPr="00A4172F" w:rsidRDefault="00264F4B" w:rsidP="007A66C5">
            <w:pPr>
              <w:widowControl w:val="0"/>
              <w:jc w:val="right"/>
              <w:rPr>
                <w:bCs/>
                <w:color w:val="000000"/>
                <w:sz w:val="20"/>
                <w:szCs w:val="20"/>
                <w:lang w:val="en-CA"/>
              </w:rPr>
            </w:pPr>
            <w:r w:rsidRPr="00A4172F">
              <w:rPr>
                <w:bCs/>
                <w:color w:val="000000"/>
                <w:sz w:val="20"/>
                <w:szCs w:val="20"/>
                <w:lang w:val="en-CA"/>
              </w:rPr>
              <w:t>362</w:t>
            </w:r>
            <w:r w:rsidR="009D30E2">
              <w:rPr>
                <w:bCs/>
                <w:color w:val="000000"/>
                <w:sz w:val="20"/>
                <w:szCs w:val="20"/>
                <w:lang w:val="en-CA"/>
              </w:rPr>
              <w:t>,</w:t>
            </w:r>
            <w:r w:rsidRPr="00A4172F">
              <w:rPr>
                <w:bCs/>
                <w:color w:val="000000"/>
                <w:sz w:val="20"/>
                <w:szCs w:val="20"/>
                <w:lang w:val="en-CA"/>
              </w:rPr>
              <w:t>60</w:t>
            </w:r>
          </w:p>
        </w:tc>
      </w:tr>
      <w:tr w:rsidR="00264F4B" w:rsidRPr="00A4172F" w:rsidTr="007A66C5">
        <w:tc>
          <w:tcPr>
            <w:tcW w:w="1682"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rsidR="00264F4B" w:rsidRPr="00A4172F" w:rsidRDefault="000D0262" w:rsidP="007A66C5">
            <w:pPr>
              <w:widowControl w:val="0"/>
              <w:jc w:val="left"/>
              <w:rPr>
                <w:b/>
                <w:bCs/>
                <w:color w:val="000000"/>
                <w:sz w:val="20"/>
                <w:szCs w:val="20"/>
                <w:lang w:val="en-CA"/>
              </w:rPr>
            </w:pPr>
            <w:r>
              <w:rPr>
                <w:b/>
                <w:bCs/>
                <w:color w:val="000000"/>
                <w:sz w:val="20"/>
                <w:szCs w:val="20"/>
                <w:lang w:val="en-CA"/>
              </w:rPr>
              <w:t>Tonnes PAO</w:t>
            </w: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4F4B" w:rsidRPr="00A4172F" w:rsidRDefault="00264F4B" w:rsidP="007A66C5">
            <w:pPr>
              <w:widowControl w:val="0"/>
              <w:jc w:val="right"/>
              <w:rPr>
                <w:color w:val="000000"/>
                <w:sz w:val="20"/>
                <w:szCs w:val="20"/>
                <w:lang w:val="en-CA"/>
              </w:rPr>
            </w:pPr>
            <w:r w:rsidRPr="00A4172F">
              <w:rPr>
                <w:color w:val="000000"/>
                <w:sz w:val="20"/>
                <w:szCs w:val="20"/>
                <w:lang w:val="en-CA"/>
              </w:rPr>
              <w:t>17</w:t>
            </w:r>
            <w:r w:rsidR="009D30E2">
              <w:rPr>
                <w:color w:val="000000"/>
                <w:sz w:val="20"/>
                <w:szCs w:val="20"/>
                <w:lang w:val="en-CA"/>
              </w:rPr>
              <w:t>,</w:t>
            </w:r>
            <w:r w:rsidRPr="00A4172F">
              <w:rPr>
                <w:color w:val="000000"/>
                <w:sz w:val="20"/>
                <w:szCs w:val="20"/>
                <w:lang w:val="en-CA"/>
              </w:rPr>
              <w:t>88</w:t>
            </w: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4F4B" w:rsidRPr="00A4172F" w:rsidRDefault="00264F4B" w:rsidP="007A66C5">
            <w:pPr>
              <w:widowControl w:val="0"/>
              <w:jc w:val="right"/>
              <w:rPr>
                <w:color w:val="000000"/>
                <w:sz w:val="20"/>
                <w:szCs w:val="20"/>
                <w:lang w:val="en-CA"/>
              </w:rPr>
            </w:pPr>
            <w:r w:rsidRPr="00A4172F">
              <w:rPr>
                <w:color w:val="000000"/>
                <w:sz w:val="20"/>
                <w:szCs w:val="20"/>
                <w:lang w:val="en-CA"/>
              </w:rPr>
              <w:t>16</w:t>
            </w:r>
            <w:r w:rsidR="009D30E2">
              <w:rPr>
                <w:color w:val="000000"/>
                <w:sz w:val="20"/>
                <w:szCs w:val="20"/>
                <w:lang w:val="en-CA"/>
              </w:rPr>
              <w:t>,</w:t>
            </w:r>
            <w:r w:rsidRPr="00A4172F">
              <w:rPr>
                <w:color w:val="000000"/>
                <w:sz w:val="20"/>
                <w:szCs w:val="20"/>
                <w:lang w:val="en-CA"/>
              </w:rPr>
              <w:t>61</w:t>
            </w: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264F4B" w:rsidRPr="00A4172F" w:rsidRDefault="00264F4B" w:rsidP="007A66C5">
            <w:pPr>
              <w:widowControl w:val="0"/>
              <w:jc w:val="right"/>
              <w:rPr>
                <w:color w:val="000000"/>
                <w:sz w:val="20"/>
                <w:szCs w:val="20"/>
                <w:lang w:val="en-CA"/>
              </w:rPr>
            </w:pPr>
            <w:r w:rsidRPr="00A4172F">
              <w:rPr>
                <w:color w:val="000000"/>
                <w:sz w:val="20"/>
                <w:szCs w:val="20"/>
                <w:lang w:val="en-CA"/>
              </w:rPr>
              <w:t>15</w:t>
            </w:r>
            <w:r w:rsidR="009D30E2">
              <w:rPr>
                <w:color w:val="000000"/>
                <w:sz w:val="20"/>
                <w:szCs w:val="20"/>
                <w:lang w:val="en-CA"/>
              </w:rPr>
              <w:t>,</w:t>
            </w:r>
            <w:r w:rsidRPr="00A4172F">
              <w:rPr>
                <w:color w:val="000000"/>
                <w:sz w:val="20"/>
                <w:szCs w:val="20"/>
                <w:lang w:val="en-CA"/>
              </w:rPr>
              <w:t>40</w:t>
            </w:r>
          </w:p>
        </w:tc>
        <w:tc>
          <w:tcPr>
            <w:tcW w:w="529" w:type="pct"/>
            <w:tcBorders>
              <w:top w:val="single" w:sz="4" w:space="0" w:color="auto"/>
              <w:left w:val="single" w:sz="4" w:space="0" w:color="auto"/>
              <w:bottom w:val="single" w:sz="4" w:space="0" w:color="auto"/>
              <w:right w:val="single" w:sz="4" w:space="0" w:color="auto"/>
            </w:tcBorders>
          </w:tcPr>
          <w:p w:rsidR="00264F4B" w:rsidRPr="00A4172F" w:rsidRDefault="00264F4B" w:rsidP="007A66C5">
            <w:pPr>
              <w:widowControl w:val="0"/>
              <w:jc w:val="right"/>
              <w:rPr>
                <w:color w:val="000000"/>
                <w:sz w:val="20"/>
                <w:szCs w:val="20"/>
                <w:lang w:val="en-CA"/>
              </w:rPr>
            </w:pPr>
            <w:r w:rsidRPr="00A4172F">
              <w:rPr>
                <w:color w:val="000000"/>
                <w:sz w:val="20"/>
                <w:szCs w:val="20"/>
                <w:lang w:val="en-CA"/>
              </w:rPr>
              <w:t>14</w:t>
            </w:r>
            <w:r w:rsidR="009D30E2">
              <w:rPr>
                <w:color w:val="000000"/>
                <w:sz w:val="20"/>
                <w:szCs w:val="20"/>
                <w:lang w:val="en-CA"/>
              </w:rPr>
              <w:t>,</w:t>
            </w:r>
            <w:r w:rsidRPr="00A4172F">
              <w:rPr>
                <w:color w:val="000000"/>
                <w:sz w:val="20"/>
                <w:szCs w:val="20"/>
                <w:lang w:val="en-CA"/>
              </w:rPr>
              <w:t>96</w:t>
            </w:r>
          </w:p>
        </w:tc>
        <w:tc>
          <w:tcPr>
            <w:tcW w:w="530" w:type="pct"/>
            <w:tcBorders>
              <w:top w:val="single" w:sz="4" w:space="0" w:color="auto"/>
              <w:left w:val="single" w:sz="4" w:space="0" w:color="auto"/>
              <w:bottom w:val="single" w:sz="4" w:space="0" w:color="auto"/>
              <w:right w:val="single" w:sz="4" w:space="0" w:color="auto"/>
            </w:tcBorders>
          </w:tcPr>
          <w:p w:rsidR="00264F4B" w:rsidRPr="00A4172F" w:rsidRDefault="00264F4B" w:rsidP="007A66C5">
            <w:pPr>
              <w:widowControl w:val="0"/>
              <w:jc w:val="right"/>
              <w:rPr>
                <w:color w:val="000000"/>
                <w:sz w:val="20"/>
                <w:szCs w:val="20"/>
                <w:lang w:val="en-CA"/>
              </w:rPr>
            </w:pPr>
            <w:r w:rsidRPr="00A4172F">
              <w:rPr>
                <w:color w:val="000000"/>
                <w:sz w:val="20"/>
                <w:szCs w:val="20"/>
                <w:lang w:val="en-CA"/>
              </w:rPr>
              <w:t>14</w:t>
            </w:r>
            <w:r w:rsidR="009D30E2">
              <w:rPr>
                <w:color w:val="000000"/>
                <w:sz w:val="20"/>
                <w:szCs w:val="20"/>
                <w:lang w:val="en-CA"/>
              </w:rPr>
              <w:t>,</w:t>
            </w:r>
            <w:r w:rsidRPr="00A4172F">
              <w:rPr>
                <w:color w:val="000000"/>
                <w:sz w:val="20"/>
                <w:szCs w:val="20"/>
                <w:lang w:val="en-CA"/>
              </w:rPr>
              <w:t>19</w:t>
            </w:r>
          </w:p>
        </w:tc>
        <w:tc>
          <w:tcPr>
            <w:tcW w:w="6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4F4B" w:rsidRPr="00A4172F" w:rsidRDefault="00264F4B" w:rsidP="007A66C5">
            <w:pPr>
              <w:widowControl w:val="0"/>
              <w:jc w:val="right"/>
              <w:rPr>
                <w:color w:val="000000"/>
                <w:sz w:val="20"/>
                <w:szCs w:val="20"/>
                <w:lang w:val="en-CA"/>
              </w:rPr>
            </w:pPr>
            <w:r w:rsidRPr="00A4172F">
              <w:rPr>
                <w:color w:val="000000"/>
                <w:sz w:val="20"/>
                <w:szCs w:val="20"/>
                <w:lang w:val="en-CA"/>
              </w:rPr>
              <w:t>20</w:t>
            </w:r>
            <w:r w:rsidR="009D30E2">
              <w:rPr>
                <w:color w:val="000000"/>
                <w:sz w:val="20"/>
                <w:szCs w:val="20"/>
                <w:lang w:val="en-CA"/>
              </w:rPr>
              <w:t>,</w:t>
            </w:r>
            <w:r w:rsidRPr="00A4172F">
              <w:rPr>
                <w:color w:val="000000"/>
                <w:sz w:val="20"/>
                <w:szCs w:val="20"/>
                <w:lang w:val="en-CA"/>
              </w:rPr>
              <w:t>00</w:t>
            </w:r>
          </w:p>
        </w:tc>
      </w:tr>
    </w:tbl>
    <w:p w:rsidR="00264F4B" w:rsidRPr="00A4172F" w:rsidRDefault="00264F4B" w:rsidP="00264F4B">
      <w:pPr>
        <w:rPr>
          <w:lang w:val="en-CA"/>
        </w:rPr>
      </w:pPr>
    </w:p>
    <w:p w:rsidR="00264F4B" w:rsidRPr="009D30E2" w:rsidRDefault="00B835E0" w:rsidP="00264F4B">
      <w:pPr>
        <w:pStyle w:val="Heading1"/>
        <w:rPr>
          <w:lang w:val="fr-CA"/>
        </w:rPr>
      </w:pPr>
      <w:r w:rsidRPr="00B835E0">
        <w:rPr>
          <w:lang w:val="fr-CA"/>
        </w:rPr>
        <w:t xml:space="preserve"> Le HCFC-22 a été l</w:t>
      </w:r>
      <w:r w:rsidR="009D30E2">
        <w:rPr>
          <w:lang w:val="fr-CA"/>
        </w:rPr>
        <w:t>a</w:t>
      </w:r>
      <w:r w:rsidRPr="00B835E0">
        <w:rPr>
          <w:lang w:val="fr-CA"/>
        </w:rPr>
        <w:t xml:space="preserve"> seule substance consommée dans le pays, et uniquement dans le secteur de l’entretien des appareils de réfrigération.</w:t>
      </w:r>
      <w:r>
        <w:rPr>
          <w:lang w:val="fr-CA"/>
        </w:rPr>
        <w:t xml:space="preserve"> </w:t>
      </w:r>
      <w:r w:rsidR="009D30E2">
        <w:rPr>
          <w:lang w:val="fr-CA"/>
        </w:rPr>
        <w:t>C</w:t>
      </w:r>
      <w:r>
        <w:rPr>
          <w:lang w:val="fr-CA"/>
        </w:rPr>
        <w:t xml:space="preserve">ette consommation </w:t>
      </w:r>
      <w:r w:rsidR="009D30E2">
        <w:rPr>
          <w:lang w:val="fr-CA"/>
        </w:rPr>
        <w:t>a</w:t>
      </w:r>
      <w:r>
        <w:rPr>
          <w:lang w:val="fr-CA"/>
        </w:rPr>
        <w:t xml:space="preserve"> diminué de manière constante avec la mise en œuvre des activités </w:t>
      </w:r>
      <w:r w:rsidR="009D30E2">
        <w:rPr>
          <w:lang w:val="fr-CA"/>
        </w:rPr>
        <w:t>r</w:t>
      </w:r>
      <w:r>
        <w:rPr>
          <w:lang w:val="fr-CA"/>
        </w:rPr>
        <w:t>elevant du PGEH,</w:t>
      </w:r>
      <w:r w:rsidR="009D30E2">
        <w:rPr>
          <w:lang w:val="fr-CA"/>
        </w:rPr>
        <w:t xml:space="preserve"> </w:t>
      </w:r>
      <w:r>
        <w:rPr>
          <w:lang w:val="fr-CA"/>
        </w:rPr>
        <w:t>qui ont permis d’améliorer les pratiques d’entretien et de réduire l’importation d’équipement à base de HCFC</w:t>
      </w:r>
      <w:r w:rsidR="009D30E2">
        <w:rPr>
          <w:lang w:val="fr-CA"/>
        </w:rPr>
        <w:noBreakHyphen/>
      </w:r>
      <w:r>
        <w:rPr>
          <w:lang w:val="fr-CA"/>
        </w:rPr>
        <w:t xml:space="preserve">22. </w:t>
      </w:r>
      <w:r w:rsidR="009D30E2">
        <w:rPr>
          <w:lang w:val="fr-CA"/>
        </w:rPr>
        <w:t>E</w:t>
      </w:r>
      <w:r w:rsidRPr="00B835E0">
        <w:rPr>
          <w:lang w:val="fr-CA"/>
        </w:rPr>
        <w:t xml:space="preserve">n revanche, les importations d’équipement à base de </w:t>
      </w:r>
      <w:r w:rsidR="009D30E2">
        <w:rPr>
          <w:lang w:val="fr-CA"/>
        </w:rPr>
        <w:t>R-</w:t>
      </w:r>
      <w:r w:rsidRPr="00B835E0">
        <w:rPr>
          <w:lang w:val="fr-CA"/>
        </w:rPr>
        <w:t>410</w:t>
      </w:r>
      <w:r w:rsidR="009D30E2">
        <w:rPr>
          <w:lang w:val="fr-CA"/>
        </w:rPr>
        <w:t>A</w:t>
      </w:r>
      <w:r w:rsidRPr="00B835E0">
        <w:rPr>
          <w:lang w:val="fr-CA"/>
        </w:rPr>
        <w:t xml:space="preserve"> ont augmenté.</w:t>
      </w:r>
    </w:p>
    <w:p w:rsidR="00264F4B" w:rsidRPr="00B835E0" w:rsidRDefault="009D30E2" w:rsidP="00264F4B">
      <w:pPr>
        <w:rPr>
          <w:i/>
          <w:lang w:val="fr-CA"/>
        </w:rPr>
      </w:pPr>
      <w:r>
        <w:rPr>
          <w:i/>
          <w:lang w:val="fr-CA"/>
        </w:rPr>
        <w:t>R</w:t>
      </w:r>
      <w:r w:rsidR="00B835E0" w:rsidRPr="00B835E0">
        <w:rPr>
          <w:i/>
          <w:lang w:val="fr-CA"/>
        </w:rPr>
        <w:t xml:space="preserve">apport sur la mise en œuvre du programme de pays </w:t>
      </w:r>
    </w:p>
    <w:p w:rsidR="00264F4B" w:rsidRPr="00B835E0" w:rsidRDefault="00264F4B" w:rsidP="00264F4B">
      <w:pPr>
        <w:rPr>
          <w:lang w:val="fr-CA"/>
        </w:rPr>
      </w:pPr>
    </w:p>
    <w:p w:rsidR="00264F4B" w:rsidRPr="00D570C5" w:rsidRDefault="00B835E0" w:rsidP="00264F4B">
      <w:pPr>
        <w:pStyle w:val="Heading1"/>
        <w:rPr>
          <w:lang w:val="fr-CA"/>
        </w:rPr>
      </w:pPr>
      <w:r w:rsidRPr="00B835E0">
        <w:rPr>
          <w:lang w:val="fr-CA"/>
        </w:rPr>
        <w:t xml:space="preserve"> Le gouvernement du Togo a déclaré des données de consommation </w:t>
      </w:r>
      <w:r w:rsidR="00BC3E74">
        <w:rPr>
          <w:lang w:val="fr-CA"/>
        </w:rPr>
        <w:t>du secteur des</w:t>
      </w:r>
      <w:r w:rsidRPr="00B835E0">
        <w:rPr>
          <w:lang w:val="fr-CA"/>
        </w:rPr>
        <w:t xml:space="preserve"> H</w:t>
      </w:r>
      <w:r w:rsidR="009D30E2">
        <w:rPr>
          <w:lang w:val="fr-CA"/>
        </w:rPr>
        <w:t>C</w:t>
      </w:r>
      <w:r w:rsidRPr="00B835E0">
        <w:rPr>
          <w:lang w:val="fr-CA"/>
        </w:rPr>
        <w:t xml:space="preserve">FC dans le rapport sur la mise en œuvre du programme de pays </w:t>
      </w:r>
      <w:r>
        <w:rPr>
          <w:lang w:val="fr-CA"/>
        </w:rPr>
        <w:t>pour</w:t>
      </w:r>
      <w:r w:rsidR="009D30E2">
        <w:rPr>
          <w:lang w:val="fr-CA"/>
        </w:rPr>
        <w:t> </w:t>
      </w:r>
      <w:r>
        <w:rPr>
          <w:lang w:val="fr-CA"/>
        </w:rPr>
        <w:t>2018 qui corresponde</w:t>
      </w:r>
      <w:r w:rsidR="009D30E2">
        <w:rPr>
          <w:lang w:val="fr-CA"/>
        </w:rPr>
        <w:t>nt</w:t>
      </w:r>
      <w:r>
        <w:rPr>
          <w:lang w:val="fr-CA"/>
        </w:rPr>
        <w:t xml:space="preserve"> aux données communiquées en vertu de l’article</w:t>
      </w:r>
      <w:r w:rsidR="00D570C5">
        <w:rPr>
          <w:lang w:val="fr-CA"/>
        </w:rPr>
        <w:t> </w:t>
      </w:r>
      <w:r>
        <w:rPr>
          <w:lang w:val="fr-CA"/>
        </w:rPr>
        <w:t xml:space="preserve">7 du Protocole de Montréal. </w:t>
      </w:r>
    </w:p>
    <w:p w:rsidR="00264F4B" w:rsidRPr="00B835E0" w:rsidRDefault="00B835E0" w:rsidP="00264F4B">
      <w:pPr>
        <w:rPr>
          <w:i/>
          <w:lang w:val="fr-CA"/>
        </w:rPr>
      </w:pPr>
      <w:r w:rsidRPr="00B835E0">
        <w:rPr>
          <w:i/>
          <w:lang w:val="fr-CA"/>
        </w:rPr>
        <w:t>Rapport de vérification</w:t>
      </w:r>
    </w:p>
    <w:p w:rsidR="00264F4B" w:rsidRPr="00B835E0" w:rsidRDefault="00264F4B" w:rsidP="00264F4B">
      <w:pPr>
        <w:rPr>
          <w:lang w:val="fr-CA"/>
        </w:rPr>
      </w:pPr>
    </w:p>
    <w:p w:rsidR="00264F4B" w:rsidRPr="00931F92" w:rsidRDefault="00B835E0" w:rsidP="00264F4B">
      <w:pPr>
        <w:pStyle w:val="Heading1"/>
        <w:rPr>
          <w:lang w:val="fr-CA"/>
        </w:rPr>
      </w:pPr>
      <w:r w:rsidRPr="00B835E0">
        <w:rPr>
          <w:lang w:val="fr-CA"/>
        </w:rPr>
        <w:t xml:space="preserve">Le rapport de vérification a confirmé que le gouvernement a mis en place un système d’octroi de licences et de quotas </w:t>
      </w:r>
      <w:r>
        <w:rPr>
          <w:lang w:val="fr-CA"/>
        </w:rPr>
        <w:t>pour les importations et les exportations de HCFC et que la consommation totale de H</w:t>
      </w:r>
      <w:r w:rsidR="009D30E2">
        <w:rPr>
          <w:lang w:val="fr-CA"/>
        </w:rPr>
        <w:t>C</w:t>
      </w:r>
      <w:r>
        <w:rPr>
          <w:lang w:val="fr-CA"/>
        </w:rPr>
        <w:t>FC pour la période</w:t>
      </w:r>
      <w:r w:rsidR="009D30E2">
        <w:rPr>
          <w:lang w:val="fr-CA"/>
        </w:rPr>
        <w:t> </w:t>
      </w:r>
      <w:r>
        <w:rPr>
          <w:lang w:val="fr-CA"/>
        </w:rPr>
        <w:t>2013</w:t>
      </w:r>
      <w:r w:rsidR="009D30E2">
        <w:rPr>
          <w:lang w:val="fr-CA"/>
        </w:rPr>
        <w:noBreakHyphen/>
      </w:r>
      <w:r>
        <w:rPr>
          <w:lang w:val="fr-CA"/>
        </w:rPr>
        <w:t xml:space="preserve">2018 était respectivement de </w:t>
      </w:r>
      <w:r w:rsidRPr="00B835E0">
        <w:rPr>
          <w:lang w:val="fr-CA"/>
        </w:rPr>
        <w:t>18</w:t>
      </w:r>
      <w:r w:rsidR="009D30E2">
        <w:rPr>
          <w:lang w:val="fr-CA"/>
        </w:rPr>
        <w:t>,</w:t>
      </w:r>
      <w:r w:rsidRPr="00B835E0">
        <w:rPr>
          <w:lang w:val="fr-CA"/>
        </w:rPr>
        <w:t>98, 17</w:t>
      </w:r>
      <w:r w:rsidR="009D30E2">
        <w:rPr>
          <w:lang w:val="fr-CA"/>
        </w:rPr>
        <w:t>,</w:t>
      </w:r>
      <w:r w:rsidRPr="00B835E0">
        <w:rPr>
          <w:lang w:val="fr-CA"/>
        </w:rPr>
        <w:t>88, 16</w:t>
      </w:r>
      <w:r w:rsidR="009D30E2">
        <w:rPr>
          <w:lang w:val="fr-CA"/>
        </w:rPr>
        <w:t>,</w:t>
      </w:r>
      <w:r w:rsidRPr="00B835E0">
        <w:rPr>
          <w:lang w:val="fr-CA"/>
        </w:rPr>
        <w:t>61, 15</w:t>
      </w:r>
      <w:r w:rsidR="009D30E2">
        <w:rPr>
          <w:lang w:val="fr-CA"/>
        </w:rPr>
        <w:t>,</w:t>
      </w:r>
      <w:r w:rsidRPr="00B835E0">
        <w:rPr>
          <w:lang w:val="fr-CA"/>
        </w:rPr>
        <w:t>40, 14</w:t>
      </w:r>
      <w:r w:rsidR="009D30E2">
        <w:rPr>
          <w:lang w:val="fr-CA"/>
        </w:rPr>
        <w:t>,</w:t>
      </w:r>
      <w:r w:rsidRPr="00B835E0">
        <w:rPr>
          <w:lang w:val="fr-CA"/>
        </w:rPr>
        <w:t xml:space="preserve">96 </w:t>
      </w:r>
      <w:r w:rsidR="009D30E2">
        <w:rPr>
          <w:lang w:val="fr-CA"/>
        </w:rPr>
        <w:t>et</w:t>
      </w:r>
      <w:r w:rsidRPr="00B835E0">
        <w:rPr>
          <w:lang w:val="fr-CA"/>
        </w:rPr>
        <w:t xml:space="preserve"> 14</w:t>
      </w:r>
      <w:r w:rsidR="009D30E2">
        <w:rPr>
          <w:lang w:val="fr-CA"/>
        </w:rPr>
        <w:t>,</w:t>
      </w:r>
      <w:r w:rsidRPr="00B835E0">
        <w:rPr>
          <w:lang w:val="fr-CA"/>
        </w:rPr>
        <w:t>19</w:t>
      </w:r>
      <w:r w:rsidR="009D30E2">
        <w:rPr>
          <w:lang w:val="fr-CA"/>
        </w:rPr>
        <w:t> </w:t>
      </w:r>
      <w:r>
        <w:rPr>
          <w:lang w:val="fr-CA"/>
        </w:rPr>
        <w:t>tonnes</w:t>
      </w:r>
      <w:r w:rsidR="009D30E2">
        <w:rPr>
          <w:lang w:val="fr-CA"/>
        </w:rPr>
        <w:t> </w:t>
      </w:r>
      <w:r>
        <w:rPr>
          <w:lang w:val="fr-CA"/>
        </w:rPr>
        <w:t xml:space="preserve">PAO. </w:t>
      </w:r>
      <w:r w:rsidRPr="00B835E0">
        <w:rPr>
          <w:lang w:val="fr-CA"/>
        </w:rPr>
        <w:t xml:space="preserve">Selon la vérification, le Togo </w:t>
      </w:r>
      <w:r w:rsidR="006E1739">
        <w:rPr>
          <w:lang w:val="fr-CA"/>
        </w:rPr>
        <w:t>a</w:t>
      </w:r>
      <w:r w:rsidRPr="00B835E0">
        <w:rPr>
          <w:lang w:val="fr-CA"/>
        </w:rPr>
        <w:t xml:space="preserve"> respect</w:t>
      </w:r>
      <w:r w:rsidR="006E1739">
        <w:rPr>
          <w:lang w:val="fr-CA"/>
        </w:rPr>
        <w:t>é</w:t>
      </w:r>
      <w:r w:rsidRPr="00B835E0">
        <w:rPr>
          <w:lang w:val="fr-CA"/>
        </w:rPr>
        <w:t xml:space="preserve"> à la fois le calendrier de réduction du Protocole de Montréal </w:t>
      </w:r>
      <w:r>
        <w:rPr>
          <w:lang w:val="fr-CA"/>
        </w:rPr>
        <w:t xml:space="preserve">et la consommation maximale autorisée </w:t>
      </w:r>
      <w:r w:rsidR="00BC3E74">
        <w:rPr>
          <w:lang w:val="fr-CA"/>
        </w:rPr>
        <w:t xml:space="preserve">établie </w:t>
      </w:r>
      <w:r>
        <w:rPr>
          <w:lang w:val="fr-CA"/>
        </w:rPr>
        <w:t>dans l’Accord relati</w:t>
      </w:r>
      <w:r w:rsidR="003B3252">
        <w:rPr>
          <w:lang w:val="fr-CA"/>
        </w:rPr>
        <w:t>f</w:t>
      </w:r>
      <w:r>
        <w:rPr>
          <w:lang w:val="fr-CA"/>
        </w:rPr>
        <w:t xml:space="preserve"> aux substances de l’annexe</w:t>
      </w:r>
      <w:r w:rsidR="006E1739">
        <w:rPr>
          <w:lang w:val="fr-CA"/>
        </w:rPr>
        <w:t> </w:t>
      </w:r>
      <w:r>
        <w:rPr>
          <w:lang w:val="fr-CA"/>
        </w:rPr>
        <w:t xml:space="preserve">C, </w:t>
      </w:r>
      <w:r w:rsidR="006E1739">
        <w:rPr>
          <w:lang w:val="fr-CA"/>
        </w:rPr>
        <w:t>g</w:t>
      </w:r>
      <w:r>
        <w:rPr>
          <w:lang w:val="fr-CA"/>
        </w:rPr>
        <w:t>roupe</w:t>
      </w:r>
      <w:r w:rsidR="006E1739">
        <w:rPr>
          <w:lang w:val="fr-CA"/>
        </w:rPr>
        <w:t> </w:t>
      </w:r>
      <w:r>
        <w:rPr>
          <w:lang w:val="fr-CA"/>
        </w:rPr>
        <w:t>I pour la période</w:t>
      </w:r>
      <w:r w:rsidR="006E1739">
        <w:rPr>
          <w:lang w:val="fr-CA"/>
        </w:rPr>
        <w:t> </w:t>
      </w:r>
      <w:r>
        <w:rPr>
          <w:lang w:val="fr-CA"/>
        </w:rPr>
        <w:t>2013</w:t>
      </w:r>
      <w:r w:rsidR="006E1739">
        <w:rPr>
          <w:lang w:val="fr-CA"/>
        </w:rPr>
        <w:noBreakHyphen/>
      </w:r>
      <w:r>
        <w:rPr>
          <w:lang w:val="fr-CA"/>
        </w:rPr>
        <w:t xml:space="preserve">2018. </w:t>
      </w:r>
    </w:p>
    <w:p w:rsidR="00264F4B" w:rsidRPr="00BC3E74" w:rsidRDefault="00B835E0" w:rsidP="00264F4B">
      <w:pPr>
        <w:pStyle w:val="Heading1"/>
        <w:rPr>
          <w:lang w:val="fr-CA"/>
        </w:rPr>
      </w:pPr>
      <w:r w:rsidRPr="008B2E8B">
        <w:rPr>
          <w:lang w:val="fr-CA"/>
        </w:rPr>
        <w:t xml:space="preserve">La vérification a souligné qu’en cas d’infraction aux dispositions </w:t>
      </w:r>
      <w:r w:rsidR="00BC3E74">
        <w:rPr>
          <w:lang w:val="fr-CA"/>
        </w:rPr>
        <w:t>des</w:t>
      </w:r>
      <w:r w:rsidRPr="008B2E8B">
        <w:rPr>
          <w:lang w:val="fr-CA"/>
        </w:rPr>
        <w:t xml:space="preserve"> décret</w:t>
      </w:r>
      <w:r w:rsidR="00BC3E74">
        <w:rPr>
          <w:lang w:val="fr-CA"/>
        </w:rPr>
        <w:t>s</w:t>
      </w:r>
      <w:r w:rsidRPr="008B2E8B">
        <w:rPr>
          <w:lang w:val="fr-CA"/>
        </w:rPr>
        <w:t xml:space="preserve"> du Togo sur les SAO </w:t>
      </w:r>
      <w:r w:rsidR="00B756B6">
        <w:rPr>
          <w:lang w:val="fr-CA"/>
        </w:rPr>
        <w:t xml:space="preserve">ou </w:t>
      </w:r>
      <w:r w:rsidRPr="008B2E8B">
        <w:rPr>
          <w:lang w:val="fr-CA"/>
        </w:rPr>
        <w:t xml:space="preserve">aux modalités d’application par un importateur approuvé, ce dernier pourrait faire l’objet </w:t>
      </w:r>
      <w:r w:rsidR="008B2E8B" w:rsidRPr="008B2E8B">
        <w:rPr>
          <w:lang w:val="fr-CA"/>
        </w:rPr>
        <w:t>d’une suspension provisoire et d</w:t>
      </w:r>
      <w:r w:rsidR="00B756B6">
        <w:rPr>
          <w:lang w:val="fr-CA"/>
        </w:rPr>
        <w:t>’un</w:t>
      </w:r>
      <w:r w:rsidR="008B2E8B" w:rsidRPr="008B2E8B">
        <w:rPr>
          <w:lang w:val="fr-CA"/>
        </w:rPr>
        <w:t xml:space="preserve"> retrait de l’approbation de </w:t>
      </w:r>
      <w:r w:rsidR="00BC3E74">
        <w:rPr>
          <w:lang w:val="fr-CA"/>
        </w:rPr>
        <w:t>ses</w:t>
      </w:r>
      <w:r w:rsidR="008B2E8B" w:rsidRPr="008B2E8B">
        <w:rPr>
          <w:lang w:val="fr-CA"/>
        </w:rPr>
        <w:t xml:space="preserve"> quotas. </w:t>
      </w:r>
      <w:r w:rsidR="008B2E8B" w:rsidRPr="00BC3E74">
        <w:rPr>
          <w:lang w:val="fr-CA"/>
        </w:rPr>
        <w:t xml:space="preserve">Cela ne s’est pas encore produit jusqu’ici. </w:t>
      </w:r>
    </w:p>
    <w:p w:rsidR="00264F4B" w:rsidRPr="00D570C5" w:rsidRDefault="008B2E8B" w:rsidP="00F63BD4">
      <w:pPr>
        <w:pStyle w:val="Heading1"/>
        <w:keepNext/>
        <w:keepLines/>
        <w:rPr>
          <w:lang w:val="fr-CA"/>
        </w:rPr>
      </w:pPr>
      <w:r w:rsidRPr="008B2E8B">
        <w:rPr>
          <w:lang w:val="fr-CA"/>
        </w:rPr>
        <w:lastRenderedPageBreak/>
        <w:t>Le rapport de vérification a fait état de petits écarts entre les données des services de</w:t>
      </w:r>
      <w:r w:rsidR="00B756B6">
        <w:rPr>
          <w:lang w:val="fr-CA"/>
        </w:rPr>
        <w:t>s</w:t>
      </w:r>
      <w:r w:rsidRPr="008B2E8B">
        <w:rPr>
          <w:lang w:val="fr-CA"/>
        </w:rPr>
        <w:t xml:space="preserve"> douanes et celles </w:t>
      </w:r>
      <w:r w:rsidR="00BC3E74">
        <w:rPr>
          <w:lang w:val="fr-CA"/>
        </w:rPr>
        <w:t>signalées</w:t>
      </w:r>
      <w:r w:rsidRPr="008B2E8B">
        <w:rPr>
          <w:lang w:val="fr-CA"/>
        </w:rPr>
        <w:t xml:space="preserve"> par </w:t>
      </w:r>
      <w:r w:rsidR="00B756B6">
        <w:rPr>
          <w:lang w:val="fr-CA"/>
        </w:rPr>
        <w:t>l</w:t>
      </w:r>
      <w:r w:rsidRPr="008B2E8B">
        <w:rPr>
          <w:lang w:val="fr-CA"/>
        </w:rPr>
        <w:t xml:space="preserve">es importateurs. Cela est vraisemblablement attribuable à la libre circulation des biens </w:t>
      </w:r>
      <w:r>
        <w:rPr>
          <w:lang w:val="fr-CA"/>
        </w:rPr>
        <w:t>en vigueur entre les 15</w:t>
      </w:r>
      <w:r w:rsidR="00B756B6">
        <w:rPr>
          <w:lang w:val="fr-CA"/>
        </w:rPr>
        <w:t> </w:t>
      </w:r>
      <w:r>
        <w:rPr>
          <w:lang w:val="fr-CA"/>
        </w:rPr>
        <w:t xml:space="preserve">pays membres de la Communauté économique des </w:t>
      </w:r>
      <w:r w:rsidR="00B756B6">
        <w:rPr>
          <w:lang w:val="fr-CA"/>
        </w:rPr>
        <w:t>É</w:t>
      </w:r>
      <w:r>
        <w:rPr>
          <w:lang w:val="fr-CA"/>
        </w:rPr>
        <w:t xml:space="preserve">tats de l’Afrique de l’Ouest, qui fait que les petites importations ne sont pas consignées par les douanes. </w:t>
      </w:r>
      <w:r w:rsidRPr="008B2E8B">
        <w:rPr>
          <w:lang w:val="fr-CA"/>
        </w:rPr>
        <w:t xml:space="preserve">Conformément aux recommandations du vérificateur, le gouvernement entend s’assurer </w:t>
      </w:r>
      <w:r>
        <w:rPr>
          <w:lang w:val="fr-CA"/>
        </w:rPr>
        <w:t>que toutes les importations associées à la phase</w:t>
      </w:r>
      <w:r w:rsidR="00B756B6">
        <w:rPr>
          <w:lang w:val="fr-CA"/>
        </w:rPr>
        <w:t> </w:t>
      </w:r>
      <w:r>
        <w:rPr>
          <w:lang w:val="fr-CA"/>
        </w:rPr>
        <w:t xml:space="preserve">II du PGEH </w:t>
      </w:r>
      <w:r w:rsidR="00BC3E74">
        <w:rPr>
          <w:lang w:val="fr-CA"/>
        </w:rPr>
        <w:t>seront</w:t>
      </w:r>
      <w:r>
        <w:rPr>
          <w:lang w:val="fr-CA"/>
        </w:rPr>
        <w:t xml:space="preserve"> </w:t>
      </w:r>
      <w:r w:rsidR="00D570C5">
        <w:rPr>
          <w:lang w:val="fr-CA"/>
        </w:rPr>
        <w:t>enregistrées</w:t>
      </w:r>
      <w:r>
        <w:rPr>
          <w:lang w:val="fr-CA"/>
        </w:rPr>
        <w:t xml:space="preserve"> par le </w:t>
      </w:r>
      <w:r w:rsidR="00B756B6">
        <w:rPr>
          <w:lang w:val="fr-CA"/>
        </w:rPr>
        <w:t>s</w:t>
      </w:r>
      <w:r>
        <w:rPr>
          <w:lang w:val="fr-CA"/>
        </w:rPr>
        <w:t xml:space="preserve">ervice des douanes. </w:t>
      </w:r>
    </w:p>
    <w:p w:rsidR="00264F4B" w:rsidRPr="008B2E8B" w:rsidRDefault="008B2E8B" w:rsidP="00264F4B">
      <w:pPr>
        <w:keepNext/>
        <w:keepLines/>
        <w:rPr>
          <w:u w:val="single"/>
          <w:lang w:val="fr-CA"/>
        </w:rPr>
      </w:pPr>
      <w:r w:rsidRPr="008B2E8B">
        <w:rPr>
          <w:u w:val="single"/>
          <w:lang w:val="fr-CA"/>
        </w:rPr>
        <w:t xml:space="preserve">Rapport périodique sur la mise en œuvre de la troisième tranche du PGEH </w:t>
      </w:r>
    </w:p>
    <w:p w:rsidR="00264F4B" w:rsidRPr="008B2E8B" w:rsidRDefault="00264F4B" w:rsidP="00264F4B">
      <w:pPr>
        <w:keepNext/>
        <w:keepLines/>
        <w:rPr>
          <w:lang w:val="fr-CA"/>
        </w:rPr>
      </w:pPr>
    </w:p>
    <w:p w:rsidR="00264F4B" w:rsidRPr="008B2E8B" w:rsidRDefault="008B2E8B" w:rsidP="00264F4B">
      <w:pPr>
        <w:keepNext/>
        <w:keepLines/>
        <w:rPr>
          <w:i/>
          <w:lang w:val="fr-CA"/>
        </w:rPr>
      </w:pPr>
      <w:r>
        <w:rPr>
          <w:i/>
          <w:lang w:val="fr-CA"/>
        </w:rPr>
        <w:t>Cadre juridiqu</w:t>
      </w:r>
      <w:r w:rsidR="00B756B6">
        <w:rPr>
          <w:i/>
          <w:lang w:val="fr-CA"/>
        </w:rPr>
        <w:t>e</w:t>
      </w:r>
    </w:p>
    <w:p w:rsidR="00264F4B" w:rsidRPr="008B2E8B" w:rsidRDefault="00264F4B" w:rsidP="00264F4B">
      <w:pPr>
        <w:rPr>
          <w:lang w:val="fr-CA"/>
        </w:rPr>
      </w:pPr>
    </w:p>
    <w:p w:rsidR="00264F4B" w:rsidRPr="00B756B6" w:rsidRDefault="008B2E8B" w:rsidP="00264F4B">
      <w:pPr>
        <w:pStyle w:val="Heading1"/>
        <w:rPr>
          <w:lang w:val="fr-CA"/>
        </w:rPr>
      </w:pPr>
      <w:r w:rsidRPr="008B2E8B">
        <w:rPr>
          <w:lang w:val="fr-CA" w:eastAsia="zh-CN"/>
        </w:rPr>
        <w:t xml:space="preserve">Le système d’octroi de licences et de quotas pour les HCFC </w:t>
      </w:r>
      <w:r w:rsidR="00D570C5">
        <w:rPr>
          <w:lang w:val="fr-CA" w:eastAsia="zh-CN"/>
        </w:rPr>
        <w:t>fonctionne</w:t>
      </w:r>
      <w:r>
        <w:rPr>
          <w:lang w:val="fr-CA" w:eastAsia="zh-CN"/>
        </w:rPr>
        <w:t xml:space="preserve"> de manière efficace, des quotas étant émis depuis</w:t>
      </w:r>
      <w:r w:rsidR="00B756B6">
        <w:rPr>
          <w:lang w:val="fr-CA" w:eastAsia="zh-CN"/>
        </w:rPr>
        <w:t> </w:t>
      </w:r>
      <w:r>
        <w:rPr>
          <w:lang w:val="fr-CA" w:eastAsia="zh-CN"/>
        </w:rPr>
        <w:t xml:space="preserve">2013. </w:t>
      </w:r>
      <w:r w:rsidRPr="008B2E8B">
        <w:rPr>
          <w:lang w:val="fr-CA" w:eastAsia="zh-CN"/>
        </w:rPr>
        <w:t xml:space="preserve">En collaboration avec les autres membres de l’Union économique et monétaire </w:t>
      </w:r>
      <w:r>
        <w:rPr>
          <w:lang w:val="fr-CA" w:eastAsia="zh-CN"/>
        </w:rPr>
        <w:t>ouest</w:t>
      </w:r>
      <w:r w:rsidR="00B756B6">
        <w:rPr>
          <w:lang w:val="fr-CA" w:eastAsia="zh-CN"/>
        </w:rPr>
        <w:t>-</w:t>
      </w:r>
      <w:r>
        <w:rPr>
          <w:lang w:val="fr-CA" w:eastAsia="zh-CN"/>
        </w:rPr>
        <w:t>africaine, le gouvernement prévoit décréter une interdiction qui frappera l’importation des appareils de réfrigération et de climatisation à base de HCFC; on ne sait pas encore le temps que prendra ce processus.</w:t>
      </w:r>
      <w:r w:rsidR="00264F4B" w:rsidRPr="00B756B6">
        <w:rPr>
          <w:lang w:val="fr-CA" w:eastAsia="zh-CN"/>
        </w:rPr>
        <w:t xml:space="preserve"> </w:t>
      </w:r>
    </w:p>
    <w:p w:rsidR="00264F4B" w:rsidRPr="008B2E8B" w:rsidRDefault="008B2E8B" w:rsidP="00264F4B">
      <w:pPr>
        <w:keepNext/>
        <w:keepLines/>
        <w:rPr>
          <w:i/>
          <w:lang w:val="fr-CA"/>
        </w:rPr>
      </w:pPr>
      <w:r w:rsidRPr="008B2E8B">
        <w:rPr>
          <w:i/>
          <w:lang w:val="fr-CA"/>
        </w:rPr>
        <w:t>Secteur de l’entretien des appareils de réfrigération</w:t>
      </w:r>
    </w:p>
    <w:p w:rsidR="00264F4B" w:rsidRPr="008B2E8B" w:rsidRDefault="00264F4B" w:rsidP="00264F4B">
      <w:pPr>
        <w:keepNext/>
        <w:keepLines/>
        <w:rPr>
          <w:lang w:val="fr-CA"/>
        </w:rPr>
      </w:pPr>
    </w:p>
    <w:p w:rsidR="00264F4B" w:rsidRPr="00D570C5" w:rsidRDefault="008B2E8B" w:rsidP="00264F4B">
      <w:pPr>
        <w:pStyle w:val="Heading1"/>
        <w:keepNext/>
        <w:keepLines/>
        <w:rPr>
          <w:shd w:val="clear" w:color="auto" w:fill="FFFFFF"/>
          <w:lang w:val="fr-CA" w:eastAsia="ja-JP"/>
        </w:rPr>
      </w:pPr>
      <w:r w:rsidRPr="008B2E8B">
        <w:rPr>
          <w:lang w:val="fr-CA"/>
        </w:rPr>
        <w:t>Les activités suivantes ont été menées dans le cadre de la troisième tranche du PGEH</w:t>
      </w:r>
      <w:r w:rsidR="00D570C5">
        <w:rPr>
          <w:lang w:val="fr-CA"/>
        </w:rPr>
        <w:t> </w:t>
      </w:r>
      <w:r w:rsidRPr="008B2E8B">
        <w:rPr>
          <w:lang w:val="fr-CA"/>
        </w:rPr>
        <w:t>: formation de 107</w:t>
      </w:r>
      <w:r w:rsidR="00D570C5">
        <w:rPr>
          <w:lang w:val="fr-CA"/>
        </w:rPr>
        <w:t> </w:t>
      </w:r>
      <w:r w:rsidRPr="008B2E8B">
        <w:rPr>
          <w:lang w:val="fr-CA"/>
        </w:rPr>
        <w:t>agents des douanes et de 10</w:t>
      </w:r>
      <w:r w:rsidR="00D570C5">
        <w:rPr>
          <w:lang w:val="fr-CA"/>
        </w:rPr>
        <w:t> </w:t>
      </w:r>
      <w:r w:rsidRPr="008B2E8B">
        <w:rPr>
          <w:lang w:val="fr-CA"/>
        </w:rPr>
        <w:t xml:space="preserve">inspecteurs de l’environnement sur la reconnaissance et le contrôle des HCFC, y compris les techniques d’inspection </w:t>
      </w:r>
      <w:r w:rsidR="00FB2437">
        <w:rPr>
          <w:lang w:val="fr-CA"/>
        </w:rPr>
        <w:t>des</w:t>
      </w:r>
      <w:r w:rsidRPr="008B2E8B">
        <w:rPr>
          <w:lang w:val="fr-CA"/>
        </w:rPr>
        <w:t xml:space="preserve"> HCFC et </w:t>
      </w:r>
      <w:r w:rsidR="00FB2437">
        <w:rPr>
          <w:lang w:val="fr-CA"/>
        </w:rPr>
        <w:t xml:space="preserve">de </w:t>
      </w:r>
      <w:r w:rsidRPr="008B2E8B">
        <w:rPr>
          <w:lang w:val="fr-CA"/>
        </w:rPr>
        <w:t>l’équipement à base de HCFC et la surveillance du système d’octroi de licences et de quotas; formation de 195</w:t>
      </w:r>
      <w:r w:rsidR="00D570C5">
        <w:rPr>
          <w:lang w:val="fr-CA"/>
        </w:rPr>
        <w:t> </w:t>
      </w:r>
      <w:r w:rsidRPr="008B2E8B">
        <w:rPr>
          <w:lang w:val="fr-CA"/>
        </w:rPr>
        <w:t xml:space="preserve">techniciens en réfrigération </w:t>
      </w:r>
      <w:r>
        <w:rPr>
          <w:lang w:val="fr-CA"/>
        </w:rPr>
        <w:t>sur les pratiques exemplaires en matière d’entretien des appareils de réfrigération, dont la prévention des fuites et les pratiques d’économie d’énergie, et les pratiques sécuritaires pour l’entretien et l’installation de l’équipement de réfrigération et de climatisation à base de</w:t>
      </w:r>
      <w:r w:rsidR="0065250C">
        <w:rPr>
          <w:lang w:val="fr-CA"/>
        </w:rPr>
        <w:t xml:space="preserve"> R-290</w:t>
      </w:r>
      <w:r>
        <w:rPr>
          <w:lang w:val="fr-CA"/>
        </w:rPr>
        <w:t>, y compris en utilisant le</w:t>
      </w:r>
      <w:r w:rsidR="00A50B2D">
        <w:rPr>
          <w:lang w:val="fr-CA"/>
        </w:rPr>
        <w:t>s trois</w:t>
      </w:r>
      <w:r>
        <w:rPr>
          <w:lang w:val="fr-CA"/>
        </w:rPr>
        <w:t xml:space="preserve"> climatiseur</w:t>
      </w:r>
      <w:r w:rsidR="00A50B2D">
        <w:rPr>
          <w:lang w:val="fr-CA"/>
        </w:rPr>
        <w:t>s</w:t>
      </w:r>
      <w:r>
        <w:rPr>
          <w:lang w:val="fr-CA"/>
        </w:rPr>
        <w:t xml:space="preserve"> à base de</w:t>
      </w:r>
      <w:r w:rsidR="0065250C">
        <w:rPr>
          <w:lang w:val="fr-CA"/>
        </w:rPr>
        <w:t xml:space="preserve"> R-290</w:t>
      </w:r>
      <w:r>
        <w:rPr>
          <w:lang w:val="fr-CA"/>
        </w:rPr>
        <w:t xml:space="preserve"> achetés lors de la troisième tranche; et achat d’outils et d’équipement de réfrigération et de climatisation, </w:t>
      </w:r>
      <w:r w:rsidR="00C3742A">
        <w:rPr>
          <w:lang w:val="fr-CA"/>
        </w:rPr>
        <w:t xml:space="preserve">notamment six identificateurs de frigorigène, unités de récupération, détecteurs de gaz </w:t>
      </w:r>
      <w:r w:rsidR="00A50B2D">
        <w:rPr>
          <w:lang w:val="fr-CA"/>
        </w:rPr>
        <w:t>halogénés</w:t>
      </w:r>
      <w:r w:rsidR="00C3742A">
        <w:rPr>
          <w:lang w:val="fr-CA"/>
        </w:rPr>
        <w:t>, détecteurs de gaz inflammables, et unité</w:t>
      </w:r>
      <w:r w:rsidR="00A50B2D">
        <w:rPr>
          <w:lang w:val="fr-CA"/>
        </w:rPr>
        <w:t>s</w:t>
      </w:r>
      <w:r w:rsidR="00C3742A">
        <w:rPr>
          <w:lang w:val="fr-CA"/>
        </w:rPr>
        <w:t xml:space="preserve"> d</w:t>
      </w:r>
      <w:r w:rsidR="00A50B2D">
        <w:rPr>
          <w:lang w:val="fr-CA"/>
        </w:rPr>
        <w:t xml:space="preserve">e </w:t>
      </w:r>
      <w:r w:rsidR="00C3742A">
        <w:rPr>
          <w:lang w:val="fr-CA"/>
        </w:rPr>
        <w:t>brasage, et un banc d’essai pour l</w:t>
      </w:r>
      <w:r w:rsidR="00A50B2D">
        <w:rPr>
          <w:lang w:val="fr-CA"/>
        </w:rPr>
        <w:t>a pression et</w:t>
      </w:r>
      <w:r w:rsidR="00C3742A">
        <w:rPr>
          <w:lang w:val="fr-CA"/>
        </w:rPr>
        <w:t xml:space="preserve"> la température, avec l’équipement associé. </w:t>
      </w:r>
    </w:p>
    <w:p w:rsidR="00264F4B" w:rsidRPr="00381FE6" w:rsidRDefault="00C3742A" w:rsidP="00264F4B">
      <w:pPr>
        <w:pStyle w:val="Heading1"/>
        <w:rPr>
          <w:lang w:val="fr-CA"/>
        </w:rPr>
      </w:pPr>
      <w:r w:rsidRPr="00C3742A">
        <w:rPr>
          <w:lang w:val="fr-CA"/>
        </w:rPr>
        <w:t>Le programme d’incitation financière, qui visait à l’origine à reconvertir à des technologies à faible potentiel de réchauffement de la planète (PRP) des appareils de réfrigération commerciaux à base de HCFC</w:t>
      </w:r>
      <w:r w:rsidR="00381FE6">
        <w:rPr>
          <w:lang w:val="fr-CA"/>
        </w:rPr>
        <w:noBreakHyphen/>
      </w:r>
      <w:r w:rsidRPr="00C3742A">
        <w:rPr>
          <w:lang w:val="fr-CA"/>
        </w:rPr>
        <w:t xml:space="preserve">22 appartenant à trois bénéficiaires, </w:t>
      </w:r>
      <w:r>
        <w:rPr>
          <w:lang w:val="fr-CA"/>
        </w:rPr>
        <w:t xml:space="preserve">a été modifié en raison des coûts élevés de l’équipement de remplacement. </w:t>
      </w:r>
      <w:r w:rsidRPr="00C3742A">
        <w:rPr>
          <w:lang w:val="fr-CA"/>
        </w:rPr>
        <w:t>Cette activité sera plutôt intégrée au programme de remplacement de l’équipement de climatisation par environ 40 à 50</w:t>
      </w:r>
      <w:r w:rsidR="00381FE6">
        <w:rPr>
          <w:lang w:val="fr-CA"/>
        </w:rPr>
        <w:t> </w:t>
      </w:r>
      <w:r w:rsidRPr="00C3742A">
        <w:rPr>
          <w:lang w:val="fr-CA"/>
        </w:rPr>
        <w:t xml:space="preserve">climatiseurs à base </w:t>
      </w:r>
      <w:r>
        <w:rPr>
          <w:lang w:val="fr-CA"/>
        </w:rPr>
        <w:t>de</w:t>
      </w:r>
      <w:r w:rsidR="0065250C">
        <w:rPr>
          <w:lang w:val="fr-CA"/>
        </w:rPr>
        <w:t xml:space="preserve"> R</w:t>
      </w:r>
      <w:r w:rsidR="00381FE6">
        <w:rPr>
          <w:lang w:val="fr-CA"/>
        </w:rPr>
        <w:noBreakHyphen/>
      </w:r>
      <w:r w:rsidR="0065250C">
        <w:rPr>
          <w:lang w:val="fr-CA"/>
        </w:rPr>
        <w:t>290</w:t>
      </w:r>
      <w:r>
        <w:rPr>
          <w:lang w:val="fr-CA"/>
        </w:rPr>
        <w:t>, qui donnera lieu à l’achat d’à peu près 70</w:t>
      </w:r>
      <w:r w:rsidR="00381FE6">
        <w:rPr>
          <w:lang w:val="fr-CA"/>
        </w:rPr>
        <w:t> </w:t>
      </w:r>
      <w:r>
        <w:rPr>
          <w:lang w:val="fr-CA"/>
        </w:rPr>
        <w:t xml:space="preserve">climatiseurs </w:t>
      </w:r>
      <w:r w:rsidR="00FB2437">
        <w:rPr>
          <w:lang w:val="fr-CA"/>
        </w:rPr>
        <w:t>de ce type</w:t>
      </w:r>
      <w:r>
        <w:rPr>
          <w:lang w:val="fr-CA"/>
        </w:rPr>
        <w:t xml:space="preserve"> qui seront installés chez trois bénéficiaires (un hôpital, une entreprise et un centre de convention). </w:t>
      </w:r>
      <w:r w:rsidRPr="00C3742A">
        <w:rPr>
          <w:lang w:val="fr-CA"/>
        </w:rPr>
        <w:t>Ce</w:t>
      </w:r>
      <w:r w:rsidR="00381FE6">
        <w:rPr>
          <w:lang w:val="fr-CA"/>
        </w:rPr>
        <w:t>s</w:t>
      </w:r>
      <w:r w:rsidRPr="00C3742A">
        <w:rPr>
          <w:lang w:val="fr-CA"/>
        </w:rPr>
        <w:t xml:space="preserve"> dernier</w:t>
      </w:r>
      <w:r w:rsidR="00381FE6">
        <w:rPr>
          <w:lang w:val="fr-CA"/>
        </w:rPr>
        <w:t>s</w:t>
      </w:r>
      <w:r w:rsidRPr="00C3742A">
        <w:rPr>
          <w:lang w:val="fr-CA"/>
        </w:rPr>
        <w:t xml:space="preserve"> prendront en charge les coûts du transport à l’intérieur du pays et de l’installation. Ce processus est en cours, et la livraison et l’installation devrai</w:t>
      </w:r>
      <w:r w:rsidR="00381FE6">
        <w:rPr>
          <w:lang w:val="fr-CA"/>
        </w:rPr>
        <w:t>en</w:t>
      </w:r>
      <w:r w:rsidRPr="00C3742A">
        <w:rPr>
          <w:lang w:val="fr-CA"/>
        </w:rPr>
        <w:t>t être effectuée</w:t>
      </w:r>
      <w:r w:rsidR="00381FE6">
        <w:rPr>
          <w:lang w:val="fr-CA"/>
        </w:rPr>
        <w:t>s</w:t>
      </w:r>
      <w:r w:rsidRPr="00C3742A">
        <w:rPr>
          <w:lang w:val="fr-CA"/>
        </w:rPr>
        <w:t xml:space="preserve"> d’ici le 31</w:t>
      </w:r>
      <w:r w:rsidR="00D570C5">
        <w:rPr>
          <w:lang w:val="fr-CA"/>
        </w:rPr>
        <w:t> </w:t>
      </w:r>
      <w:r w:rsidRPr="00C3742A">
        <w:rPr>
          <w:lang w:val="fr-CA"/>
        </w:rPr>
        <w:t>décembre</w:t>
      </w:r>
      <w:r w:rsidR="00D570C5">
        <w:rPr>
          <w:lang w:val="fr-CA"/>
        </w:rPr>
        <w:t> </w:t>
      </w:r>
      <w:r w:rsidRPr="00C3742A">
        <w:rPr>
          <w:lang w:val="fr-CA"/>
        </w:rPr>
        <w:t>2019. Les directives concernant l’installation et l’utilisation du</w:t>
      </w:r>
      <w:r w:rsidR="0065250C">
        <w:rPr>
          <w:lang w:val="fr-CA"/>
        </w:rPr>
        <w:t xml:space="preserve"> R</w:t>
      </w:r>
      <w:r w:rsidR="00381FE6">
        <w:rPr>
          <w:lang w:val="fr-CA"/>
        </w:rPr>
        <w:noBreakHyphen/>
      </w:r>
      <w:r w:rsidR="0065250C">
        <w:rPr>
          <w:lang w:val="fr-CA"/>
        </w:rPr>
        <w:t>290</w:t>
      </w:r>
      <w:r w:rsidRPr="00C3742A">
        <w:rPr>
          <w:lang w:val="fr-CA"/>
        </w:rPr>
        <w:t xml:space="preserve"> seront élaboré</w:t>
      </w:r>
      <w:r w:rsidR="00381FE6">
        <w:rPr>
          <w:lang w:val="fr-CA"/>
        </w:rPr>
        <w:t>e</w:t>
      </w:r>
      <w:r w:rsidRPr="00C3742A">
        <w:rPr>
          <w:lang w:val="fr-CA"/>
        </w:rPr>
        <w:t xml:space="preserve">s, avec la collaboration d’experts nationaux et internationaux, et </w:t>
      </w:r>
      <w:r w:rsidR="00D570C5">
        <w:rPr>
          <w:lang w:val="fr-CA"/>
        </w:rPr>
        <w:t>bénéficieront</w:t>
      </w:r>
      <w:r w:rsidRPr="00C3742A">
        <w:rPr>
          <w:lang w:val="fr-CA"/>
        </w:rPr>
        <w:t xml:space="preserve"> de l’expérience acquise </w:t>
      </w:r>
      <w:r>
        <w:rPr>
          <w:lang w:val="fr-CA"/>
        </w:rPr>
        <w:t>dans le cadre du programme d’incitation.</w:t>
      </w:r>
      <w:r w:rsidR="00264F4B" w:rsidRPr="00381FE6">
        <w:rPr>
          <w:lang w:val="fr-CA"/>
        </w:rPr>
        <w:t xml:space="preserve">  </w:t>
      </w:r>
    </w:p>
    <w:p w:rsidR="00264F4B" w:rsidRPr="00C3742A" w:rsidRDefault="00C3742A" w:rsidP="00264F4B">
      <w:pPr>
        <w:pStyle w:val="Heading1"/>
        <w:numPr>
          <w:ilvl w:val="0"/>
          <w:numId w:val="0"/>
        </w:numPr>
        <w:rPr>
          <w:i/>
          <w:lang w:val="fr-CA"/>
        </w:rPr>
      </w:pPr>
      <w:r w:rsidRPr="00C3742A">
        <w:rPr>
          <w:i/>
          <w:lang w:val="fr-CA"/>
        </w:rPr>
        <w:t xml:space="preserve">Mise en </w:t>
      </w:r>
      <w:r w:rsidR="00D570C5">
        <w:rPr>
          <w:i/>
          <w:lang w:val="fr-CA"/>
        </w:rPr>
        <w:t>œuvre</w:t>
      </w:r>
      <w:r w:rsidRPr="00C3742A">
        <w:rPr>
          <w:i/>
          <w:lang w:val="fr-CA"/>
        </w:rPr>
        <w:t xml:space="preserve"> et surveillance du projet</w:t>
      </w:r>
    </w:p>
    <w:p w:rsidR="00264F4B" w:rsidRPr="00381FE6" w:rsidRDefault="00C3742A" w:rsidP="00264F4B">
      <w:pPr>
        <w:pStyle w:val="Heading1"/>
        <w:rPr>
          <w:lang w:val="fr-CA"/>
        </w:rPr>
      </w:pPr>
      <w:r w:rsidRPr="00C3742A">
        <w:rPr>
          <w:lang w:val="fr-CA"/>
        </w:rPr>
        <w:t xml:space="preserve">L’Unité nationale d’ozone </w:t>
      </w:r>
      <w:r w:rsidR="00381FE6">
        <w:rPr>
          <w:lang w:val="fr-CA"/>
        </w:rPr>
        <w:t>a</w:t>
      </w:r>
      <w:r w:rsidRPr="00C3742A">
        <w:rPr>
          <w:lang w:val="fr-CA"/>
        </w:rPr>
        <w:t xml:space="preserve"> surveill</w:t>
      </w:r>
      <w:r w:rsidR="00381FE6">
        <w:rPr>
          <w:lang w:val="fr-CA"/>
        </w:rPr>
        <w:t>é</w:t>
      </w:r>
      <w:r w:rsidRPr="00C3742A">
        <w:rPr>
          <w:lang w:val="fr-CA"/>
        </w:rPr>
        <w:t xml:space="preserve"> la mise en </w:t>
      </w:r>
      <w:r w:rsidR="00D570C5">
        <w:rPr>
          <w:lang w:val="fr-CA"/>
        </w:rPr>
        <w:t>œuvre</w:t>
      </w:r>
      <w:r w:rsidRPr="00C3742A">
        <w:rPr>
          <w:lang w:val="fr-CA"/>
        </w:rPr>
        <w:t xml:space="preserve"> des activités menées </w:t>
      </w:r>
      <w:r>
        <w:rPr>
          <w:lang w:val="fr-CA"/>
        </w:rPr>
        <w:t>dans le cadre du PGEH, avec le concours de deux consultants.</w:t>
      </w:r>
      <w:r w:rsidR="00264F4B" w:rsidRPr="00381FE6">
        <w:rPr>
          <w:lang w:val="fr-CA"/>
        </w:rPr>
        <w:t xml:space="preserve"> </w:t>
      </w:r>
    </w:p>
    <w:p w:rsidR="00264F4B" w:rsidRPr="00C3742A" w:rsidRDefault="00C3742A" w:rsidP="00264F4B">
      <w:pPr>
        <w:rPr>
          <w:u w:val="single"/>
          <w:lang w:val="fr-CA"/>
        </w:rPr>
      </w:pPr>
      <w:r w:rsidRPr="00C3742A">
        <w:rPr>
          <w:u w:val="single"/>
          <w:lang w:val="fr-CA"/>
        </w:rPr>
        <w:t>Niveau de décaissement</w:t>
      </w:r>
    </w:p>
    <w:p w:rsidR="00264F4B" w:rsidRPr="00C3742A" w:rsidRDefault="00264F4B" w:rsidP="00264F4B">
      <w:pPr>
        <w:rPr>
          <w:lang w:val="fr-CA"/>
        </w:rPr>
      </w:pPr>
    </w:p>
    <w:p w:rsidR="00264F4B" w:rsidRPr="00D570C5" w:rsidRDefault="00C3742A" w:rsidP="00264F4B">
      <w:pPr>
        <w:pStyle w:val="Heading1"/>
        <w:rPr>
          <w:lang w:val="fr-CA"/>
        </w:rPr>
      </w:pPr>
      <w:r w:rsidRPr="00C3742A">
        <w:rPr>
          <w:lang w:val="fr-CA"/>
        </w:rPr>
        <w:t>En date de mars</w:t>
      </w:r>
      <w:r w:rsidR="00D570C5">
        <w:rPr>
          <w:lang w:val="fr-CA"/>
        </w:rPr>
        <w:t> </w:t>
      </w:r>
      <w:r w:rsidRPr="00C3742A">
        <w:rPr>
          <w:lang w:val="fr-CA"/>
        </w:rPr>
        <w:t>2019, sur le montant de 527 000</w:t>
      </w:r>
      <w:r w:rsidR="00D570C5">
        <w:rPr>
          <w:lang w:val="fr-CA"/>
        </w:rPr>
        <w:t> </w:t>
      </w:r>
      <w:r w:rsidRPr="00C3742A">
        <w:rPr>
          <w:lang w:val="fr-CA"/>
        </w:rPr>
        <w:t>$US approuvé jusqu’ici, 428 475</w:t>
      </w:r>
      <w:r w:rsidR="00D570C5">
        <w:rPr>
          <w:lang w:val="fr-CA"/>
        </w:rPr>
        <w:t> </w:t>
      </w:r>
      <w:r w:rsidRPr="00C3742A">
        <w:rPr>
          <w:lang w:val="fr-CA"/>
        </w:rPr>
        <w:t>$US ont été décaissés (145 000</w:t>
      </w:r>
      <w:r w:rsidR="00D570C5">
        <w:rPr>
          <w:lang w:val="fr-CA"/>
        </w:rPr>
        <w:t> </w:t>
      </w:r>
      <w:r w:rsidRPr="00C3742A">
        <w:rPr>
          <w:lang w:val="fr-CA"/>
        </w:rPr>
        <w:t>$US pour le PNUE et 283 475</w:t>
      </w:r>
      <w:r w:rsidR="00D570C5">
        <w:rPr>
          <w:lang w:val="fr-CA"/>
        </w:rPr>
        <w:t> </w:t>
      </w:r>
      <w:r w:rsidRPr="00C3742A">
        <w:rPr>
          <w:lang w:val="fr-CA"/>
        </w:rPr>
        <w:t>$US pour l’ONUDI), comme le montre le tableau</w:t>
      </w:r>
      <w:r w:rsidR="00D570C5">
        <w:rPr>
          <w:lang w:val="fr-CA"/>
        </w:rPr>
        <w:t> </w:t>
      </w:r>
      <w:r w:rsidR="00381FE6">
        <w:rPr>
          <w:lang w:val="fr-CA"/>
        </w:rPr>
        <w:t xml:space="preserve">2. </w:t>
      </w:r>
      <w:r w:rsidR="00381FE6" w:rsidRPr="00D570C5">
        <w:rPr>
          <w:lang w:val="fr-CA"/>
        </w:rPr>
        <w:t>L</w:t>
      </w:r>
      <w:r w:rsidRPr="00D570C5">
        <w:rPr>
          <w:lang w:val="fr-CA"/>
        </w:rPr>
        <w:t>e solde, qui s’élève à 98 525</w:t>
      </w:r>
      <w:r w:rsidR="00D570C5" w:rsidRPr="00D570C5">
        <w:rPr>
          <w:lang w:val="fr-CA"/>
        </w:rPr>
        <w:t> </w:t>
      </w:r>
      <w:r w:rsidRPr="00D570C5">
        <w:rPr>
          <w:lang w:val="fr-CA"/>
        </w:rPr>
        <w:t>$US, sera décaissé en</w:t>
      </w:r>
      <w:r w:rsidR="00381FE6" w:rsidRPr="00D570C5">
        <w:rPr>
          <w:lang w:val="fr-CA"/>
        </w:rPr>
        <w:t> </w:t>
      </w:r>
      <w:r w:rsidRPr="00D570C5">
        <w:rPr>
          <w:lang w:val="fr-CA"/>
        </w:rPr>
        <w:t>2019</w:t>
      </w:r>
      <w:r w:rsidR="00381FE6" w:rsidRPr="00D570C5">
        <w:rPr>
          <w:lang w:val="fr-CA"/>
        </w:rPr>
        <w:noBreakHyphen/>
      </w:r>
      <w:r w:rsidRPr="00D570C5">
        <w:rPr>
          <w:lang w:val="fr-CA"/>
        </w:rPr>
        <w:t>2021</w:t>
      </w:r>
      <w:r w:rsidR="00264F4B" w:rsidRPr="00D570C5">
        <w:rPr>
          <w:lang w:val="fr-CA"/>
        </w:rPr>
        <w:t>.</w:t>
      </w:r>
    </w:p>
    <w:p w:rsidR="00264F4B" w:rsidRPr="00931F92" w:rsidRDefault="00264F4B" w:rsidP="00264F4B">
      <w:pPr>
        <w:rPr>
          <w:b/>
          <w:lang w:val="fr-CA"/>
        </w:rPr>
      </w:pPr>
      <w:r w:rsidRPr="00931F92">
        <w:rPr>
          <w:b/>
          <w:lang w:val="fr-CA"/>
        </w:rPr>
        <w:lastRenderedPageBreak/>
        <w:t>Table</w:t>
      </w:r>
      <w:r w:rsidR="00381FE6" w:rsidRPr="00931F92">
        <w:rPr>
          <w:b/>
          <w:lang w:val="fr-CA"/>
        </w:rPr>
        <w:t>au</w:t>
      </w:r>
      <w:r w:rsidRPr="00931F92">
        <w:rPr>
          <w:b/>
          <w:lang w:val="fr-CA"/>
        </w:rPr>
        <w:t xml:space="preserve"> 2. </w:t>
      </w:r>
      <w:r w:rsidR="00C3742A" w:rsidRPr="00931F92">
        <w:rPr>
          <w:b/>
          <w:lang w:val="fr-CA"/>
        </w:rPr>
        <w:t>Rapport financier sur la phase</w:t>
      </w:r>
      <w:r w:rsidR="00381FE6" w:rsidRPr="00931F92">
        <w:rPr>
          <w:b/>
          <w:lang w:val="fr-CA"/>
        </w:rPr>
        <w:t> </w:t>
      </w:r>
      <w:r w:rsidR="00C3742A" w:rsidRPr="00931F92">
        <w:rPr>
          <w:b/>
          <w:lang w:val="fr-CA"/>
        </w:rPr>
        <w:t>I du PGEH pour le Togo ($US)</w:t>
      </w:r>
    </w:p>
    <w:tbl>
      <w:tblPr>
        <w:tblW w:w="933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7"/>
        <w:gridCol w:w="1134"/>
        <w:gridCol w:w="1417"/>
        <w:gridCol w:w="1417"/>
        <w:gridCol w:w="1418"/>
        <w:gridCol w:w="2410"/>
      </w:tblGrid>
      <w:tr w:rsidR="00264F4B" w:rsidRPr="00C3742A" w:rsidTr="007A66C5">
        <w:trPr>
          <w:trHeight w:val="404"/>
        </w:trPr>
        <w:tc>
          <w:tcPr>
            <w:tcW w:w="2671" w:type="dxa"/>
            <w:gridSpan w:val="2"/>
            <w:shd w:val="clear" w:color="auto" w:fill="auto"/>
            <w:noWrap/>
            <w:vAlign w:val="center"/>
            <w:hideMark/>
          </w:tcPr>
          <w:p w:rsidR="00264F4B" w:rsidRPr="00A4172F" w:rsidRDefault="00264F4B" w:rsidP="007A66C5">
            <w:pPr>
              <w:rPr>
                <w:b/>
                <w:bCs/>
                <w:color w:val="000000"/>
                <w:sz w:val="20"/>
                <w:szCs w:val="20"/>
                <w:lang w:val="en-CA" w:eastAsia="en-CA"/>
              </w:rPr>
            </w:pPr>
            <w:r w:rsidRPr="00A4172F">
              <w:rPr>
                <w:b/>
                <w:bCs/>
                <w:color w:val="000000"/>
                <w:sz w:val="20"/>
                <w:szCs w:val="20"/>
                <w:lang w:val="en-CA" w:eastAsia="en-CA"/>
              </w:rPr>
              <w:t>Tranche</w:t>
            </w:r>
          </w:p>
        </w:tc>
        <w:tc>
          <w:tcPr>
            <w:tcW w:w="1417" w:type="dxa"/>
            <w:shd w:val="clear" w:color="auto" w:fill="auto"/>
            <w:noWrap/>
            <w:vAlign w:val="center"/>
            <w:hideMark/>
          </w:tcPr>
          <w:p w:rsidR="00264F4B" w:rsidRPr="00A4172F" w:rsidRDefault="00C3742A" w:rsidP="007A66C5">
            <w:pPr>
              <w:jc w:val="center"/>
              <w:rPr>
                <w:b/>
                <w:color w:val="000000"/>
                <w:sz w:val="20"/>
                <w:szCs w:val="20"/>
                <w:lang w:val="en-CA" w:eastAsia="en-CA"/>
              </w:rPr>
            </w:pPr>
            <w:r>
              <w:rPr>
                <w:b/>
                <w:color w:val="000000"/>
                <w:sz w:val="20"/>
                <w:szCs w:val="20"/>
                <w:lang w:val="en-CA" w:eastAsia="en-CA"/>
              </w:rPr>
              <w:t>PNUE</w:t>
            </w:r>
          </w:p>
        </w:tc>
        <w:tc>
          <w:tcPr>
            <w:tcW w:w="1417" w:type="dxa"/>
            <w:vAlign w:val="center"/>
          </w:tcPr>
          <w:p w:rsidR="00264F4B" w:rsidRPr="00A4172F" w:rsidRDefault="00C3742A" w:rsidP="007A66C5">
            <w:pPr>
              <w:jc w:val="center"/>
              <w:rPr>
                <w:b/>
                <w:color w:val="000000"/>
                <w:sz w:val="20"/>
                <w:szCs w:val="20"/>
                <w:lang w:val="en-CA" w:eastAsia="en-CA"/>
              </w:rPr>
            </w:pPr>
            <w:r>
              <w:rPr>
                <w:b/>
                <w:color w:val="000000"/>
                <w:sz w:val="20"/>
                <w:szCs w:val="20"/>
                <w:lang w:val="en-CA" w:eastAsia="en-CA"/>
              </w:rPr>
              <w:t>ONUDI</w:t>
            </w:r>
          </w:p>
        </w:tc>
        <w:tc>
          <w:tcPr>
            <w:tcW w:w="1418" w:type="dxa"/>
            <w:shd w:val="clear" w:color="auto" w:fill="auto"/>
            <w:noWrap/>
            <w:vAlign w:val="center"/>
            <w:hideMark/>
          </w:tcPr>
          <w:p w:rsidR="00264F4B" w:rsidRPr="00A4172F" w:rsidRDefault="00264F4B" w:rsidP="007A66C5">
            <w:pPr>
              <w:jc w:val="center"/>
              <w:rPr>
                <w:b/>
                <w:color w:val="000000"/>
                <w:sz w:val="20"/>
                <w:szCs w:val="20"/>
                <w:lang w:val="en-CA" w:eastAsia="en-CA"/>
              </w:rPr>
            </w:pPr>
            <w:r w:rsidRPr="00A4172F">
              <w:rPr>
                <w:b/>
                <w:color w:val="000000"/>
                <w:sz w:val="20"/>
                <w:szCs w:val="20"/>
                <w:lang w:val="en-CA" w:eastAsia="en-CA"/>
              </w:rPr>
              <w:t>Total</w:t>
            </w:r>
          </w:p>
        </w:tc>
        <w:tc>
          <w:tcPr>
            <w:tcW w:w="2410" w:type="dxa"/>
            <w:shd w:val="clear" w:color="auto" w:fill="auto"/>
            <w:noWrap/>
            <w:vAlign w:val="center"/>
            <w:hideMark/>
          </w:tcPr>
          <w:p w:rsidR="00264F4B" w:rsidRPr="00C3742A" w:rsidRDefault="00C3742A" w:rsidP="007A66C5">
            <w:pPr>
              <w:jc w:val="center"/>
              <w:rPr>
                <w:b/>
                <w:color w:val="000000"/>
                <w:sz w:val="20"/>
                <w:szCs w:val="20"/>
                <w:lang w:val="fr-CA" w:eastAsia="en-CA"/>
              </w:rPr>
            </w:pPr>
            <w:r w:rsidRPr="00C3742A">
              <w:rPr>
                <w:b/>
                <w:color w:val="000000"/>
                <w:sz w:val="20"/>
                <w:szCs w:val="20"/>
                <w:lang w:val="fr-CA" w:eastAsia="en-CA"/>
              </w:rPr>
              <w:t xml:space="preserve">Taux de décaissement </w:t>
            </w:r>
            <w:r w:rsidR="00264F4B" w:rsidRPr="00C3742A">
              <w:rPr>
                <w:b/>
                <w:color w:val="000000"/>
                <w:sz w:val="20"/>
                <w:szCs w:val="20"/>
                <w:lang w:val="fr-CA" w:eastAsia="en-CA"/>
              </w:rPr>
              <w:t>(%)</w:t>
            </w:r>
          </w:p>
        </w:tc>
      </w:tr>
      <w:tr w:rsidR="00264F4B" w:rsidRPr="00A4172F" w:rsidTr="007A66C5">
        <w:trPr>
          <w:trHeight w:val="179"/>
        </w:trPr>
        <w:tc>
          <w:tcPr>
            <w:tcW w:w="1537" w:type="dxa"/>
            <w:vMerge w:val="restart"/>
            <w:shd w:val="clear" w:color="auto" w:fill="auto"/>
            <w:noWrap/>
            <w:vAlign w:val="center"/>
            <w:hideMark/>
          </w:tcPr>
          <w:p w:rsidR="00264F4B" w:rsidRPr="00A4172F" w:rsidRDefault="00C3742A" w:rsidP="007A66C5">
            <w:pPr>
              <w:jc w:val="left"/>
              <w:rPr>
                <w:bCs/>
                <w:color w:val="000000"/>
                <w:sz w:val="20"/>
                <w:szCs w:val="20"/>
                <w:lang w:val="en-CA" w:eastAsia="en-CA"/>
              </w:rPr>
            </w:pPr>
            <w:r>
              <w:rPr>
                <w:bCs/>
                <w:color w:val="000000"/>
                <w:sz w:val="20"/>
                <w:szCs w:val="20"/>
                <w:lang w:val="en-CA" w:eastAsia="en-CA"/>
              </w:rPr>
              <w:t xml:space="preserve">Première tranche </w:t>
            </w:r>
          </w:p>
        </w:tc>
        <w:tc>
          <w:tcPr>
            <w:tcW w:w="1134" w:type="dxa"/>
            <w:shd w:val="clear" w:color="auto" w:fill="auto"/>
            <w:noWrap/>
            <w:vAlign w:val="center"/>
            <w:hideMark/>
          </w:tcPr>
          <w:p w:rsidR="00264F4B" w:rsidRPr="00A4172F" w:rsidRDefault="00264F4B" w:rsidP="007A66C5">
            <w:pPr>
              <w:rPr>
                <w:bCs/>
                <w:color w:val="000000"/>
                <w:sz w:val="20"/>
                <w:szCs w:val="20"/>
                <w:lang w:val="en-CA" w:eastAsia="en-CA"/>
              </w:rPr>
            </w:pPr>
            <w:r w:rsidRPr="00A4172F">
              <w:rPr>
                <w:bCs/>
                <w:color w:val="000000"/>
                <w:sz w:val="20"/>
                <w:szCs w:val="20"/>
                <w:lang w:val="en-CA" w:eastAsia="en-CA"/>
              </w:rPr>
              <w:t>Appro</w:t>
            </w:r>
            <w:r w:rsidR="00381FE6">
              <w:rPr>
                <w:bCs/>
                <w:color w:val="000000"/>
                <w:sz w:val="20"/>
                <w:szCs w:val="20"/>
                <w:lang w:val="en-CA" w:eastAsia="en-CA"/>
              </w:rPr>
              <w:t>uvé</w:t>
            </w:r>
            <w:r w:rsidRPr="00A4172F">
              <w:rPr>
                <w:bCs/>
                <w:color w:val="000000"/>
                <w:sz w:val="20"/>
                <w:szCs w:val="20"/>
                <w:lang w:val="en-CA" w:eastAsia="en-CA"/>
              </w:rPr>
              <w:t xml:space="preserve"> </w:t>
            </w:r>
          </w:p>
        </w:tc>
        <w:tc>
          <w:tcPr>
            <w:tcW w:w="1417" w:type="dxa"/>
            <w:shd w:val="clear" w:color="auto" w:fill="auto"/>
            <w:noWrap/>
            <w:vAlign w:val="center"/>
          </w:tcPr>
          <w:p w:rsidR="00264F4B" w:rsidRPr="00A4172F" w:rsidRDefault="00264F4B" w:rsidP="007A66C5">
            <w:pPr>
              <w:jc w:val="right"/>
              <w:rPr>
                <w:color w:val="000000"/>
                <w:sz w:val="20"/>
                <w:szCs w:val="20"/>
                <w:lang w:val="en-CA"/>
              </w:rPr>
            </w:pPr>
            <w:r w:rsidRPr="00A4172F">
              <w:rPr>
                <w:color w:val="000000"/>
                <w:sz w:val="20"/>
                <w:szCs w:val="20"/>
                <w:lang w:val="en-CA"/>
              </w:rPr>
              <w:t>70</w:t>
            </w:r>
            <w:r w:rsidR="00381FE6">
              <w:rPr>
                <w:color w:val="000000"/>
                <w:sz w:val="20"/>
                <w:szCs w:val="20"/>
                <w:lang w:val="en-CA"/>
              </w:rPr>
              <w:t> </w:t>
            </w:r>
            <w:r w:rsidRPr="00A4172F">
              <w:rPr>
                <w:color w:val="000000"/>
                <w:sz w:val="20"/>
                <w:szCs w:val="20"/>
                <w:lang w:val="en-CA"/>
              </w:rPr>
              <w:t>000</w:t>
            </w:r>
          </w:p>
        </w:tc>
        <w:tc>
          <w:tcPr>
            <w:tcW w:w="1417" w:type="dxa"/>
            <w:shd w:val="clear" w:color="auto" w:fill="auto"/>
            <w:vAlign w:val="center"/>
          </w:tcPr>
          <w:p w:rsidR="00264F4B" w:rsidRPr="00A4172F" w:rsidRDefault="00264F4B" w:rsidP="007A66C5">
            <w:pPr>
              <w:jc w:val="right"/>
              <w:rPr>
                <w:color w:val="000000"/>
                <w:sz w:val="20"/>
                <w:szCs w:val="20"/>
                <w:lang w:val="en-CA"/>
              </w:rPr>
            </w:pPr>
            <w:r w:rsidRPr="00A4172F">
              <w:rPr>
                <w:color w:val="000000"/>
                <w:sz w:val="20"/>
                <w:szCs w:val="20"/>
                <w:lang w:val="en-CA"/>
              </w:rPr>
              <w:t>200</w:t>
            </w:r>
            <w:r w:rsidR="00381FE6">
              <w:rPr>
                <w:color w:val="000000"/>
                <w:sz w:val="20"/>
                <w:szCs w:val="20"/>
                <w:lang w:val="en-CA"/>
              </w:rPr>
              <w:t> </w:t>
            </w:r>
            <w:r w:rsidRPr="00A4172F">
              <w:rPr>
                <w:color w:val="000000"/>
                <w:sz w:val="20"/>
                <w:szCs w:val="20"/>
                <w:lang w:val="en-CA"/>
              </w:rPr>
              <w:t>000</w:t>
            </w:r>
          </w:p>
        </w:tc>
        <w:tc>
          <w:tcPr>
            <w:tcW w:w="1418" w:type="dxa"/>
            <w:shd w:val="clear" w:color="auto" w:fill="auto"/>
            <w:noWrap/>
            <w:vAlign w:val="center"/>
          </w:tcPr>
          <w:p w:rsidR="00264F4B" w:rsidRPr="00A4172F" w:rsidRDefault="00264F4B" w:rsidP="007A66C5">
            <w:pPr>
              <w:jc w:val="right"/>
              <w:rPr>
                <w:color w:val="000000"/>
                <w:sz w:val="20"/>
                <w:szCs w:val="20"/>
                <w:lang w:val="en-CA"/>
              </w:rPr>
            </w:pPr>
            <w:r w:rsidRPr="00A4172F">
              <w:rPr>
                <w:color w:val="000000"/>
                <w:sz w:val="20"/>
                <w:szCs w:val="20"/>
                <w:lang w:val="en-CA"/>
              </w:rPr>
              <w:t>270</w:t>
            </w:r>
            <w:r w:rsidR="00381FE6">
              <w:rPr>
                <w:color w:val="000000"/>
                <w:sz w:val="20"/>
                <w:szCs w:val="20"/>
                <w:lang w:val="en-CA"/>
              </w:rPr>
              <w:t> </w:t>
            </w:r>
            <w:r w:rsidRPr="00A4172F">
              <w:rPr>
                <w:color w:val="000000"/>
                <w:sz w:val="20"/>
                <w:szCs w:val="20"/>
                <w:lang w:val="en-CA"/>
              </w:rPr>
              <w:t>000</w:t>
            </w:r>
          </w:p>
        </w:tc>
        <w:tc>
          <w:tcPr>
            <w:tcW w:w="2410" w:type="dxa"/>
            <w:vMerge w:val="restart"/>
            <w:shd w:val="clear" w:color="auto" w:fill="auto"/>
            <w:noWrap/>
            <w:vAlign w:val="center"/>
          </w:tcPr>
          <w:p w:rsidR="00264F4B" w:rsidRPr="00A4172F" w:rsidRDefault="00264F4B" w:rsidP="007A66C5">
            <w:pPr>
              <w:jc w:val="center"/>
              <w:rPr>
                <w:color w:val="000000"/>
                <w:sz w:val="20"/>
                <w:szCs w:val="20"/>
                <w:lang w:val="en-CA"/>
              </w:rPr>
            </w:pPr>
            <w:r w:rsidRPr="00A4172F">
              <w:rPr>
                <w:color w:val="000000"/>
                <w:sz w:val="20"/>
                <w:szCs w:val="20"/>
                <w:lang w:val="en-CA"/>
              </w:rPr>
              <w:t>100</w:t>
            </w:r>
          </w:p>
        </w:tc>
      </w:tr>
      <w:tr w:rsidR="00264F4B" w:rsidRPr="00A4172F" w:rsidTr="007A66C5">
        <w:trPr>
          <w:trHeight w:val="215"/>
        </w:trPr>
        <w:tc>
          <w:tcPr>
            <w:tcW w:w="1537" w:type="dxa"/>
            <w:vMerge/>
            <w:vAlign w:val="center"/>
            <w:hideMark/>
          </w:tcPr>
          <w:p w:rsidR="00264F4B" w:rsidRPr="00A4172F" w:rsidRDefault="00264F4B" w:rsidP="007A66C5">
            <w:pPr>
              <w:jc w:val="left"/>
              <w:rPr>
                <w:bCs/>
                <w:color w:val="000000"/>
                <w:sz w:val="20"/>
                <w:szCs w:val="20"/>
                <w:lang w:val="en-CA" w:eastAsia="en-CA"/>
              </w:rPr>
            </w:pPr>
          </w:p>
        </w:tc>
        <w:tc>
          <w:tcPr>
            <w:tcW w:w="1134" w:type="dxa"/>
            <w:shd w:val="clear" w:color="auto" w:fill="auto"/>
            <w:noWrap/>
            <w:vAlign w:val="center"/>
            <w:hideMark/>
          </w:tcPr>
          <w:p w:rsidR="00264F4B" w:rsidRPr="00A4172F" w:rsidRDefault="00264F4B" w:rsidP="007A66C5">
            <w:pPr>
              <w:rPr>
                <w:bCs/>
                <w:color w:val="000000"/>
                <w:sz w:val="20"/>
                <w:szCs w:val="20"/>
                <w:lang w:val="en-CA" w:eastAsia="en-CA"/>
              </w:rPr>
            </w:pPr>
            <w:r w:rsidRPr="00A4172F">
              <w:rPr>
                <w:bCs/>
                <w:color w:val="000000"/>
                <w:sz w:val="20"/>
                <w:szCs w:val="20"/>
                <w:lang w:val="en-CA" w:eastAsia="en-CA"/>
              </w:rPr>
              <w:t>D</w:t>
            </w:r>
            <w:r w:rsidR="00381FE6">
              <w:rPr>
                <w:bCs/>
                <w:color w:val="000000"/>
                <w:sz w:val="20"/>
                <w:szCs w:val="20"/>
                <w:lang w:val="en-CA" w:eastAsia="en-CA"/>
              </w:rPr>
              <w:t>écaissé</w:t>
            </w:r>
            <w:r w:rsidRPr="00A4172F">
              <w:rPr>
                <w:bCs/>
                <w:color w:val="000000"/>
                <w:sz w:val="20"/>
                <w:szCs w:val="20"/>
                <w:lang w:val="en-CA" w:eastAsia="en-CA"/>
              </w:rPr>
              <w:t xml:space="preserve"> </w:t>
            </w:r>
          </w:p>
        </w:tc>
        <w:tc>
          <w:tcPr>
            <w:tcW w:w="1417" w:type="dxa"/>
            <w:shd w:val="clear" w:color="auto" w:fill="auto"/>
            <w:noWrap/>
            <w:vAlign w:val="center"/>
          </w:tcPr>
          <w:p w:rsidR="00264F4B" w:rsidRPr="00A4172F" w:rsidRDefault="00264F4B" w:rsidP="007A66C5">
            <w:pPr>
              <w:jc w:val="right"/>
              <w:rPr>
                <w:color w:val="000000"/>
                <w:sz w:val="20"/>
                <w:szCs w:val="20"/>
                <w:lang w:val="en-CA"/>
              </w:rPr>
            </w:pPr>
            <w:r w:rsidRPr="00A4172F">
              <w:rPr>
                <w:color w:val="000000"/>
                <w:sz w:val="20"/>
                <w:szCs w:val="20"/>
                <w:lang w:val="en-CA"/>
              </w:rPr>
              <w:t>70</w:t>
            </w:r>
            <w:r w:rsidR="00381FE6">
              <w:rPr>
                <w:color w:val="000000"/>
                <w:sz w:val="20"/>
                <w:szCs w:val="20"/>
                <w:lang w:val="en-CA"/>
              </w:rPr>
              <w:t> </w:t>
            </w:r>
            <w:r w:rsidRPr="00A4172F">
              <w:rPr>
                <w:color w:val="000000"/>
                <w:sz w:val="20"/>
                <w:szCs w:val="20"/>
                <w:lang w:val="en-CA"/>
              </w:rPr>
              <w:t>000</w:t>
            </w:r>
          </w:p>
        </w:tc>
        <w:tc>
          <w:tcPr>
            <w:tcW w:w="1417" w:type="dxa"/>
            <w:shd w:val="clear" w:color="auto" w:fill="auto"/>
            <w:vAlign w:val="center"/>
          </w:tcPr>
          <w:p w:rsidR="00264F4B" w:rsidRPr="00A4172F" w:rsidRDefault="00264F4B" w:rsidP="007A66C5">
            <w:pPr>
              <w:jc w:val="right"/>
              <w:rPr>
                <w:color w:val="000000"/>
                <w:sz w:val="20"/>
                <w:szCs w:val="20"/>
                <w:lang w:val="en-CA"/>
              </w:rPr>
            </w:pPr>
            <w:r w:rsidRPr="00A4172F">
              <w:rPr>
                <w:color w:val="000000"/>
                <w:sz w:val="20"/>
                <w:szCs w:val="20"/>
                <w:lang w:val="en-CA"/>
              </w:rPr>
              <w:t>200</w:t>
            </w:r>
            <w:r w:rsidR="00381FE6">
              <w:rPr>
                <w:color w:val="000000"/>
                <w:sz w:val="20"/>
                <w:szCs w:val="20"/>
                <w:lang w:val="en-CA"/>
              </w:rPr>
              <w:t> </w:t>
            </w:r>
            <w:r w:rsidRPr="00A4172F">
              <w:rPr>
                <w:color w:val="000000"/>
                <w:sz w:val="20"/>
                <w:szCs w:val="20"/>
                <w:lang w:val="en-CA"/>
              </w:rPr>
              <w:t>000</w:t>
            </w:r>
          </w:p>
        </w:tc>
        <w:tc>
          <w:tcPr>
            <w:tcW w:w="1418" w:type="dxa"/>
            <w:shd w:val="clear" w:color="auto" w:fill="auto"/>
            <w:noWrap/>
            <w:vAlign w:val="center"/>
          </w:tcPr>
          <w:p w:rsidR="00264F4B" w:rsidRPr="00A4172F" w:rsidRDefault="00264F4B" w:rsidP="007A66C5">
            <w:pPr>
              <w:jc w:val="right"/>
              <w:rPr>
                <w:color w:val="000000"/>
                <w:sz w:val="20"/>
                <w:szCs w:val="20"/>
                <w:lang w:val="en-CA"/>
              </w:rPr>
            </w:pPr>
            <w:r w:rsidRPr="00A4172F">
              <w:rPr>
                <w:color w:val="000000"/>
                <w:sz w:val="20"/>
                <w:szCs w:val="20"/>
                <w:lang w:val="en-CA"/>
              </w:rPr>
              <w:t>270</w:t>
            </w:r>
            <w:r w:rsidR="00381FE6">
              <w:rPr>
                <w:color w:val="000000"/>
                <w:sz w:val="20"/>
                <w:szCs w:val="20"/>
                <w:lang w:val="en-CA"/>
              </w:rPr>
              <w:t> </w:t>
            </w:r>
            <w:r w:rsidRPr="00A4172F">
              <w:rPr>
                <w:color w:val="000000"/>
                <w:sz w:val="20"/>
                <w:szCs w:val="20"/>
                <w:lang w:val="en-CA"/>
              </w:rPr>
              <w:t>000</w:t>
            </w:r>
          </w:p>
        </w:tc>
        <w:tc>
          <w:tcPr>
            <w:tcW w:w="2410" w:type="dxa"/>
            <w:vMerge/>
            <w:vAlign w:val="center"/>
          </w:tcPr>
          <w:p w:rsidR="00264F4B" w:rsidRPr="00A4172F" w:rsidRDefault="00264F4B" w:rsidP="007A66C5">
            <w:pPr>
              <w:jc w:val="center"/>
              <w:rPr>
                <w:color w:val="000000"/>
                <w:sz w:val="20"/>
                <w:szCs w:val="20"/>
                <w:lang w:val="en-CA" w:eastAsia="en-CA"/>
              </w:rPr>
            </w:pPr>
          </w:p>
        </w:tc>
      </w:tr>
      <w:tr w:rsidR="00381FE6" w:rsidRPr="00A4172F" w:rsidTr="007A66C5">
        <w:trPr>
          <w:trHeight w:val="152"/>
        </w:trPr>
        <w:tc>
          <w:tcPr>
            <w:tcW w:w="1537" w:type="dxa"/>
            <w:vMerge w:val="restart"/>
            <w:shd w:val="clear" w:color="auto" w:fill="auto"/>
            <w:noWrap/>
            <w:vAlign w:val="center"/>
            <w:hideMark/>
          </w:tcPr>
          <w:p w:rsidR="00381FE6" w:rsidRPr="00A4172F" w:rsidRDefault="00381FE6" w:rsidP="00381FE6">
            <w:pPr>
              <w:jc w:val="left"/>
              <w:rPr>
                <w:bCs/>
                <w:color w:val="000000"/>
                <w:sz w:val="20"/>
                <w:szCs w:val="20"/>
                <w:lang w:val="en-CA" w:eastAsia="en-CA"/>
              </w:rPr>
            </w:pPr>
            <w:r>
              <w:rPr>
                <w:bCs/>
                <w:color w:val="000000"/>
                <w:sz w:val="20"/>
                <w:szCs w:val="20"/>
                <w:lang w:val="en-CA" w:eastAsia="en-CA"/>
              </w:rPr>
              <w:t>Deuxième tranche</w:t>
            </w:r>
          </w:p>
        </w:tc>
        <w:tc>
          <w:tcPr>
            <w:tcW w:w="1134" w:type="dxa"/>
            <w:shd w:val="clear" w:color="auto" w:fill="auto"/>
            <w:noWrap/>
            <w:vAlign w:val="center"/>
            <w:hideMark/>
          </w:tcPr>
          <w:p w:rsidR="00381FE6" w:rsidRPr="00A4172F" w:rsidRDefault="00381FE6" w:rsidP="00381FE6">
            <w:pPr>
              <w:rPr>
                <w:bCs/>
                <w:color w:val="000000"/>
                <w:sz w:val="20"/>
                <w:szCs w:val="20"/>
                <w:lang w:val="en-CA" w:eastAsia="en-CA"/>
              </w:rPr>
            </w:pPr>
            <w:r w:rsidRPr="00A4172F">
              <w:rPr>
                <w:bCs/>
                <w:color w:val="000000"/>
                <w:sz w:val="20"/>
                <w:szCs w:val="20"/>
                <w:lang w:val="en-CA" w:eastAsia="en-CA"/>
              </w:rPr>
              <w:t>Appro</w:t>
            </w:r>
            <w:r>
              <w:rPr>
                <w:bCs/>
                <w:color w:val="000000"/>
                <w:sz w:val="20"/>
                <w:szCs w:val="20"/>
                <w:lang w:val="en-CA" w:eastAsia="en-CA"/>
              </w:rPr>
              <w:t>uvé</w:t>
            </w:r>
            <w:r w:rsidRPr="00A4172F">
              <w:rPr>
                <w:bCs/>
                <w:color w:val="000000"/>
                <w:sz w:val="20"/>
                <w:szCs w:val="20"/>
                <w:lang w:val="en-CA" w:eastAsia="en-CA"/>
              </w:rPr>
              <w:t xml:space="preserve"> </w:t>
            </w:r>
          </w:p>
        </w:tc>
        <w:tc>
          <w:tcPr>
            <w:tcW w:w="1417" w:type="dxa"/>
            <w:shd w:val="clear" w:color="auto" w:fill="auto"/>
            <w:noWrap/>
            <w:vAlign w:val="center"/>
          </w:tcPr>
          <w:p w:rsidR="00381FE6" w:rsidRPr="00A4172F" w:rsidRDefault="00381FE6" w:rsidP="00381FE6">
            <w:pPr>
              <w:jc w:val="right"/>
              <w:rPr>
                <w:color w:val="000000"/>
                <w:sz w:val="20"/>
                <w:szCs w:val="20"/>
                <w:lang w:val="en-CA"/>
              </w:rPr>
            </w:pPr>
            <w:r w:rsidRPr="00A4172F">
              <w:rPr>
                <w:color w:val="000000"/>
                <w:sz w:val="20"/>
                <w:szCs w:val="20"/>
                <w:lang w:val="en-CA"/>
              </w:rPr>
              <w:t>45</w:t>
            </w:r>
            <w:r>
              <w:rPr>
                <w:color w:val="000000"/>
                <w:sz w:val="20"/>
                <w:szCs w:val="20"/>
                <w:lang w:val="en-CA"/>
              </w:rPr>
              <w:t> </w:t>
            </w:r>
            <w:r w:rsidRPr="00A4172F">
              <w:rPr>
                <w:color w:val="000000"/>
                <w:sz w:val="20"/>
                <w:szCs w:val="20"/>
                <w:lang w:val="en-CA"/>
              </w:rPr>
              <w:t>000</w:t>
            </w:r>
          </w:p>
        </w:tc>
        <w:tc>
          <w:tcPr>
            <w:tcW w:w="1417" w:type="dxa"/>
            <w:shd w:val="clear" w:color="auto" w:fill="auto"/>
            <w:vAlign w:val="center"/>
          </w:tcPr>
          <w:p w:rsidR="00381FE6" w:rsidRPr="00A4172F" w:rsidRDefault="00381FE6" w:rsidP="00381FE6">
            <w:pPr>
              <w:jc w:val="right"/>
              <w:rPr>
                <w:color w:val="000000"/>
                <w:sz w:val="20"/>
                <w:szCs w:val="20"/>
                <w:lang w:val="en-CA"/>
              </w:rPr>
            </w:pPr>
            <w:r w:rsidRPr="00A4172F">
              <w:rPr>
                <w:color w:val="000000"/>
                <w:sz w:val="20"/>
                <w:szCs w:val="20"/>
                <w:lang w:val="en-CA"/>
              </w:rPr>
              <w:t>0</w:t>
            </w:r>
          </w:p>
        </w:tc>
        <w:tc>
          <w:tcPr>
            <w:tcW w:w="1418" w:type="dxa"/>
            <w:shd w:val="clear" w:color="auto" w:fill="auto"/>
            <w:noWrap/>
            <w:vAlign w:val="center"/>
          </w:tcPr>
          <w:p w:rsidR="00381FE6" w:rsidRPr="00A4172F" w:rsidRDefault="00381FE6" w:rsidP="00381FE6">
            <w:pPr>
              <w:jc w:val="right"/>
              <w:rPr>
                <w:color w:val="000000"/>
                <w:sz w:val="20"/>
                <w:szCs w:val="20"/>
                <w:lang w:val="en-CA"/>
              </w:rPr>
            </w:pPr>
            <w:r w:rsidRPr="00A4172F">
              <w:rPr>
                <w:color w:val="000000"/>
                <w:sz w:val="20"/>
                <w:szCs w:val="20"/>
                <w:lang w:val="en-CA"/>
              </w:rPr>
              <w:t>45</w:t>
            </w:r>
            <w:r>
              <w:rPr>
                <w:color w:val="000000"/>
                <w:sz w:val="20"/>
                <w:szCs w:val="20"/>
                <w:lang w:val="en-CA"/>
              </w:rPr>
              <w:t> </w:t>
            </w:r>
            <w:r w:rsidRPr="00A4172F">
              <w:rPr>
                <w:color w:val="000000"/>
                <w:sz w:val="20"/>
                <w:szCs w:val="20"/>
                <w:lang w:val="en-CA"/>
              </w:rPr>
              <w:t>000</w:t>
            </w:r>
          </w:p>
        </w:tc>
        <w:tc>
          <w:tcPr>
            <w:tcW w:w="2410" w:type="dxa"/>
            <w:vMerge w:val="restart"/>
            <w:shd w:val="clear" w:color="auto" w:fill="auto"/>
            <w:noWrap/>
            <w:vAlign w:val="center"/>
          </w:tcPr>
          <w:p w:rsidR="00381FE6" w:rsidRPr="00A4172F" w:rsidRDefault="00381FE6" w:rsidP="00381FE6">
            <w:pPr>
              <w:jc w:val="center"/>
              <w:rPr>
                <w:color w:val="000000"/>
                <w:sz w:val="20"/>
                <w:szCs w:val="20"/>
                <w:lang w:val="en-CA"/>
              </w:rPr>
            </w:pPr>
            <w:r w:rsidRPr="00A4172F">
              <w:rPr>
                <w:color w:val="000000"/>
                <w:sz w:val="20"/>
                <w:szCs w:val="20"/>
                <w:lang w:val="en-CA"/>
              </w:rPr>
              <w:t>100</w:t>
            </w:r>
          </w:p>
        </w:tc>
      </w:tr>
      <w:tr w:rsidR="00381FE6" w:rsidRPr="00A4172F" w:rsidTr="007A66C5">
        <w:trPr>
          <w:trHeight w:val="179"/>
        </w:trPr>
        <w:tc>
          <w:tcPr>
            <w:tcW w:w="1537" w:type="dxa"/>
            <w:vMerge/>
            <w:vAlign w:val="center"/>
            <w:hideMark/>
          </w:tcPr>
          <w:p w:rsidR="00381FE6" w:rsidRPr="00A4172F" w:rsidRDefault="00381FE6" w:rsidP="00381FE6">
            <w:pPr>
              <w:jc w:val="left"/>
              <w:rPr>
                <w:bCs/>
                <w:color w:val="000000"/>
                <w:sz w:val="20"/>
                <w:szCs w:val="20"/>
                <w:lang w:val="en-CA" w:eastAsia="en-CA"/>
              </w:rPr>
            </w:pPr>
          </w:p>
        </w:tc>
        <w:tc>
          <w:tcPr>
            <w:tcW w:w="1134" w:type="dxa"/>
            <w:shd w:val="clear" w:color="auto" w:fill="auto"/>
            <w:noWrap/>
            <w:vAlign w:val="center"/>
            <w:hideMark/>
          </w:tcPr>
          <w:p w:rsidR="00381FE6" w:rsidRPr="00A4172F" w:rsidRDefault="00381FE6" w:rsidP="00381FE6">
            <w:pPr>
              <w:rPr>
                <w:bCs/>
                <w:color w:val="000000"/>
                <w:sz w:val="20"/>
                <w:szCs w:val="20"/>
                <w:lang w:val="en-CA" w:eastAsia="en-CA"/>
              </w:rPr>
            </w:pPr>
            <w:r w:rsidRPr="00A4172F">
              <w:rPr>
                <w:bCs/>
                <w:color w:val="000000"/>
                <w:sz w:val="20"/>
                <w:szCs w:val="20"/>
                <w:lang w:val="en-CA" w:eastAsia="en-CA"/>
              </w:rPr>
              <w:t>D</w:t>
            </w:r>
            <w:r>
              <w:rPr>
                <w:bCs/>
                <w:color w:val="000000"/>
                <w:sz w:val="20"/>
                <w:szCs w:val="20"/>
                <w:lang w:val="en-CA" w:eastAsia="en-CA"/>
              </w:rPr>
              <w:t>écaissé</w:t>
            </w:r>
            <w:r w:rsidRPr="00A4172F">
              <w:rPr>
                <w:bCs/>
                <w:color w:val="000000"/>
                <w:sz w:val="20"/>
                <w:szCs w:val="20"/>
                <w:lang w:val="en-CA" w:eastAsia="en-CA"/>
              </w:rPr>
              <w:t xml:space="preserve"> </w:t>
            </w:r>
          </w:p>
        </w:tc>
        <w:tc>
          <w:tcPr>
            <w:tcW w:w="1417" w:type="dxa"/>
            <w:shd w:val="clear" w:color="auto" w:fill="auto"/>
            <w:noWrap/>
            <w:vAlign w:val="center"/>
          </w:tcPr>
          <w:p w:rsidR="00381FE6" w:rsidRPr="00A4172F" w:rsidRDefault="00381FE6" w:rsidP="00381FE6">
            <w:pPr>
              <w:jc w:val="right"/>
              <w:rPr>
                <w:color w:val="000000"/>
                <w:sz w:val="20"/>
                <w:szCs w:val="20"/>
                <w:lang w:val="en-CA"/>
              </w:rPr>
            </w:pPr>
            <w:r w:rsidRPr="00A4172F">
              <w:rPr>
                <w:color w:val="000000"/>
                <w:sz w:val="20"/>
                <w:szCs w:val="20"/>
                <w:lang w:val="en-CA"/>
              </w:rPr>
              <w:t>45</w:t>
            </w:r>
            <w:r>
              <w:rPr>
                <w:color w:val="000000"/>
                <w:sz w:val="20"/>
                <w:szCs w:val="20"/>
                <w:lang w:val="en-CA"/>
              </w:rPr>
              <w:t> </w:t>
            </w:r>
            <w:r w:rsidRPr="00A4172F">
              <w:rPr>
                <w:color w:val="000000"/>
                <w:sz w:val="20"/>
                <w:szCs w:val="20"/>
                <w:lang w:val="en-CA"/>
              </w:rPr>
              <w:t>000</w:t>
            </w:r>
          </w:p>
        </w:tc>
        <w:tc>
          <w:tcPr>
            <w:tcW w:w="1417" w:type="dxa"/>
            <w:shd w:val="clear" w:color="auto" w:fill="auto"/>
            <w:vAlign w:val="center"/>
          </w:tcPr>
          <w:p w:rsidR="00381FE6" w:rsidRPr="00A4172F" w:rsidRDefault="00381FE6" w:rsidP="00381FE6">
            <w:pPr>
              <w:jc w:val="right"/>
              <w:rPr>
                <w:color w:val="000000"/>
                <w:sz w:val="20"/>
                <w:szCs w:val="20"/>
                <w:lang w:val="en-CA"/>
              </w:rPr>
            </w:pPr>
            <w:r w:rsidRPr="00A4172F">
              <w:rPr>
                <w:color w:val="000000"/>
                <w:sz w:val="20"/>
                <w:szCs w:val="20"/>
                <w:lang w:val="en-CA"/>
              </w:rPr>
              <w:t>0</w:t>
            </w:r>
          </w:p>
        </w:tc>
        <w:tc>
          <w:tcPr>
            <w:tcW w:w="1418" w:type="dxa"/>
            <w:shd w:val="clear" w:color="auto" w:fill="auto"/>
            <w:noWrap/>
            <w:vAlign w:val="center"/>
          </w:tcPr>
          <w:p w:rsidR="00381FE6" w:rsidRPr="00A4172F" w:rsidRDefault="00381FE6" w:rsidP="00381FE6">
            <w:pPr>
              <w:jc w:val="right"/>
              <w:rPr>
                <w:color w:val="000000"/>
                <w:sz w:val="20"/>
                <w:szCs w:val="20"/>
                <w:lang w:val="en-CA"/>
              </w:rPr>
            </w:pPr>
            <w:r w:rsidRPr="00A4172F">
              <w:rPr>
                <w:color w:val="000000"/>
                <w:sz w:val="20"/>
                <w:szCs w:val="20"/>
                <w:lang w:val="en-CA"/>
              </w:rPr>
              <w:t>45</w:t>
            </w:r>
            <w:r>
              <w:rPr>
                <w:color w:val="000000"/>
                <w:sz w:val="20"/>
                <w:szCs w:val="20"/>
                <w:lang w:val="en-CA"/>
              </w:rPr>
              <w:t> </w:t>
            </w:r>
            <w:r w:rsidRPr="00A4172F">
              <w:rPr>
                <w:color w:val="000000"/>
                <w:sz w:val="20"/>
                <w:szCs w:val="20"/>
                <w:lang w:val="en-CA"/>
              </w:rPr>
              <w:t>000</w:t>
            </w:r>
          </w:p>
        </w:tc>
        <w:tc>
          <w:tcPr>
            <w:tcW w:w="2410" w:type="dxa"/>
            <w:vMerge/>
            <w:vAlign w:val="center"/>
          </w:tcPr>
          <w:p w:rsidR="00381FE6" w:rsidRPr="00A4172F" w:rsidRDefault="00381FE6" w:rsidP="00381FE6">
            <w:pPr>
              <w:jc w:val="center"/>
              <w:rPr>
                <w:color w:val="000000"/>
                <w:sz w:val="20"/>
                <w:szCs w:val="20"/>
                <w:lang w:val="en-CA" w:eastAsia="en-CA"/>
              </w:rPr>
            </w:pPr>
          </w:p>
        </w:tc>
      </w:tr>
      <w:tr w:rsidR="00381FE6" w:rsidRPr="00A4172F" w:rsidTr="007A66C5">
        <w:trPr>
          <w:trHeight w:val="125"/>
        </w:trPr>
        <w:tc>
          <w:tcPr>
            <w:tcW w:w="1537" w:type="dxa"/>
            <w:vMerge w:val="restart"/>
            <w:shd w:val="clear" w:color="auto" w:fill="auto"/>
            <w:noWrap/>
            <w:vAlign w:val="center"/>
            <w:hideMark/>
          </w:tcPr>
          <w:p w:rsidR="00381FE6" w:rsidRPr="00A4172F" w:rsidRDefault="00381FE6" w:rsidP="00381FE6">
            <w:pPr>
              <w:jc w:val="left"/>
              <w:rPr>
                <w:bCs/>
                <w:color w:val="000000"/>
                <w:sz w:val="20"/>
                <w:szCs w:val="20"/>
                <w:lang w:val="en-CA" w:eastAsia="en-CA"/>
              </w:rPr>
            </w:pPr>
            <w:r>
              <w:rPr>
                <w:bCs/>
                <w:color w:val="000000"/>
                <w:sz w:val="20"/>
                <w:szCs w:val="20"/>
                <w:lang w:val="en-CA" w:eastAsia="en-CA"/>
              </w:rPr>
              <w:t>Troisième tranche</w:t>
            </w:r>
          </w:p>
        </w:tc>
        <w:tc>
          <w:tcPr>
            <w:tcW w:w="1134" w:type="dxa"/>
            <w:shd w:val="clear" w:color="auto" w:fill="auto"/>
            <w:noWrap/>
            <w:vAlign w:val="center"/>
            <w:hideMark/>
          </w:tcPr>
          <w:p w:rsidR="00381FE6" w:rsidRPr="00A4172F" w:rsidRDefault="00381FE6" w:rsidP="00381FE6">
            <w:pPr>
              <w:rPr>
                <w:bCs/>
                <w:color w:val="000000"/>
                <w:sz w:val="20"/>
                <w:szCs w:val="20"/>
                <w:lang w:val="en-CA" w:eastAsia="en-CA"/>
              </w:rPr>
            </w:pPr>
            <w:r w:rsidRPr="00A4172F">
              <w:rPr>
                <w:bCs/>
                <w:color w:val="000000"/>
                <w:sz w:val="20"/>
                <w:szCs w:val="20"/>
                <w:lang w:val="en-CA" w:eastAsia="en-CA"/>
              </w:rPr>
              <w:t>Appro</w:t>
            </w:r>
            <w:r>
              <w:rPr>
                <w:bCs/>
                <w:color w:val="000000"/>
                <w:sz w:val="20"/>
                <w:szCs w:val="20"/>
                <w:lang w:val="en-CA" w:eastAsia="en-CA"/>
              </w:rPr>
              <w:t>uvé</w:t>
            </w:r>
            <w:r w:rsidRPr="00A4172F">
              <w:rPr>
                <w:bCs/>
                <w:color w:val="000000"/>
                <w:sz w:val="20"/>
                <w:szCs w:val="20"/>
                <w:lang w:val="en-CA" w:eastAsia="en-CA"/>
              </w:rPr>
              <w:t xml:space="preserve"> </w:t>
            </w:r>
          </w:p>
        </w:tc>
        <w:tc>
          <w:tcPr>
            <w:tcW w:w="1417" w:type="dxa"/>
            <w:shd w:val="clear" w:color="auto" w:fill="auto"/>
            <w:noWrap/>
            <w:vAlign w:val="center"/>
          </w:tcPr>
          <w:p w:rsidR="00381FE6" w:rsidRPr="00A4172F" w:rsidRDefault="00381FE6" w:rsidP="00381FE6">
            <w:pPr>
              <w:jc w:val="right"/>
              <w:rPr>
                <w:color w:val="000000"/>
                <w:sz w:val="20"/>
                <w:szCs w:val="20"/>
                <w:lang w:val="en-CA"/>
              </w:rPr>
            </w:pPr>
            <w:r w:rsidRPr="00A4172F">
              <w:rPr>
                <w:color w:val="000000"/>
                <w:sz w:val="20"/>
                <w:szCs w:val="20"/>
                <w:lang w:val="en-CA"/>
              </w:rPr>
              <w:t>62</w:t>
            </w:r>
            <w:r>
              <w:rPr>
                <w:color w:val="000000"/>
                <w:sz w:val="20"/>
                <w:szCs w:val="20"/>
                <w:lang w:val="en-CA"/>
              </w:rPr>
              <w:t> </w:t>
            </w:r>
            <w:r w:rsidRPr="00A4172F">
              <w:rPr>
                <w:color w:val="000000"/>
                <w:sz w:val="20"/>
                <w:szCs w:val="20"/>
                <w:lang w:val="en-CA"/>
              </w:rPr>
              <w:t>000</w:t>
            </w:r>
          </w:p>
        </w:tc>
        <w:tc>
          <w:tcPr>
            <w:tcW w:w="1417" w:type="dxa"/>
            <w:shd w:val="clear" w:color="auto" w:fill="auto"/>
            <w:vAlign w:val="center"/>
          </w:tcPr>
          <w:p w:rsidR="00381FE6" w:rsidRPr="00A4172F" w:rsidRDefault="00381FE6" w:rsidP="00381FE6">
            <w:pPr>
              <w:jc w:val="right"/>
              <w:rPr>
                <w:color w:val="000000"/>
                <w:sz w:val="20"/>
                <w:szCs w:val="20"/>
                <w:lang w:val="en-CA"/>
              </w:rPr>
            </w:pPr>
            <w:r w:rsidRPr="00A4172F">
              <w:rPr>
                <w:color w:val="000000"/>
                <w:sz w:val="20"/>
                <w:szCs w:val="20"/>
                <w:lang w:val="en-CA"/>
              </w:rPr>
              <w:t>150</w:t>
            </w:r>
            <w:r>
              <w:rPr>
                <w:color w:val="000000"/>
                <w:sz w:val="20"/>
                <w:szCs w:val="20"/>
                <w:lang w:val="en-CA"/>
              </w:rPr>
              <w:t> </w:t>
            </w:r>
            <w:r w:rsidRPr="00A4172F">
              <w:rPr>
                <w:color w:val="000000"/>
                <w:sz w:val="20"/>
                <w:szCs w:val="20"/>
                <w:lang w:val="en-CA"/>
              </w:rPr>
              <w:t>000</w:t>
            </w:r>
          </w:p>
        </w:tc>
        <w:tc>
          <w:tcPr>
            <w:tcW w:w="1418" w:type="dxa"/>
            <w:shd w:val="clear" w:color="auto" w:fill="auto"/>
            <w:noWrap/>
            <w:vAlign w:val="center"/>
          </w:tcPr>
          <w:p w:rsidR="00381FE6" w:rsidRPr="00A4172F" w:rsidRDefault="00381FE6" w:rsidP="00381FE6">
            <w:pPr>
              <w:jc w:val="right"/>
              <w:rPr>
                <w:color w:val="000000"/>
                <w:sz w:val="20"/>
                <w:szCs w:val="20"/>
                <w:lang w:val="en-CA"/>
              </w:rPr>
            </w:pPr>
            <w:r w:rsidRPr="00A4172F">
              <w:rPr>
                <w:color w:val="000000"/>
                <w:sz w:val="20"/>
                <w:szCs w:val="20"/>
                <w:lang w:val="en-CA"/>
              </w:rPr>
              <w:t>212</w:t>
            </w:r>
            <w:r>
              <w:rPr>
                <w:color w:val="000000"/>
                <w:sz w:val="20"/>
                <w:szCs w:val="20"/>
                <w:lang w:val="en-CA"/>
              </w:rPr>
              <w:t> </w:t>
            </w:r>
            <w:r w:rsidRPr="00A4172F">
              <w:rPr>
                <w:color w:val="000000"/>
                <w:sz w:val="20"/>
                <w:szCs w:val="20"/>
                <w:lang w:val="en-CA"/>
              </w:rPr>
              <w:t>000</w:t>
            </w:r>
          </w:p>
        </w:tc>
        <w:tc>
          <w:tcPr>
            <w:tcW w:w="2410" w:type="dxa"/>
            <w:vMerge w:val="restart"/>
            <w:shd w:val="clear" w:color="auto" w:fill="auto"/>
            <w:noWrap/>
            <w:vAlign w:val="center"/>
          </w:tcPr>
          <w:p w:rsidR="00381FE6" w:rsidRPr="00A4172F" w:rsidRDefault="00381FE6" w:rsidP="00381FE6">
            <w:pPr>
              <w:jc w:val="center"/>
              <w:rPr>
                <w:color w:val="000000"/>
                <w:sz w:val="20"/>
                <w:szCs w:val="20"/>
                <w:lang w:val="en-CA"/>
              </w:rPr>
            </w:pPr>
            <w:r w:rsidRPr="00A4172F">
              <w:rPr>
                <w:color w:val="000000"/>
                <w:sz w:val="20"/>
                <w:szCs w:val="20"/>
                <w:lang w:val="en-CA"/>
              </w:rPr>
              <w:t>54</w:t>
            </w:r>
          </w:p>
        </w:tc>
      </w:tr>
      <w:tr w:rsidR="00381FE6" w:rsidRPr="00A4172F" w:rsidTr="007A66C5">
        <w:trPr>
          <w:trHeight w:val="58"/>
        </w:trPr>
        <w:tc>
          <w:tcPr>
            <w:tcW w:w="1537" w:type="dxa"/>
            <w:vMerge/>
            <w:vAlign w:val="center"/>
            <w:hideMark/>
          </w:tcPr>
          <w:p w:rsidR="00381FE6" w:rsidRPr="00A4172F" w:rsidRDefault="00381FE6" w:rsidP="00381FE6">
            <w:pPr>
              <w:jc w:val="left"/>
              <w:rPr>
                <w:bCs/>
                <w:color w:val="000000"/>
                <w:sz w:val="20"/>
                <w:szCs w:val="20"/>
                <w:lang w:val="en-CA" w:eastAsia="en-CA"/>
              </w:rPr>
            </w:pPr>
          </w:p>
        </w:tc>
        <w:tc>
          <w:tcPr>
            <w:tcW w:w="1134" w:type="dxa"/>
            <w:shd w:val="clear" w:color="auto" w:fill="auto"/>
            <w:noWrap/>
            <w:vAlign w:val="center"/>
            <w:hideMark/>
          </w:tcPr>
          <w:p w:rsidR="00381FE6" w:rsidRPr="00A4172F" w:rsidRDefault="00381FE6" w:rsidP="00381FE6">
            <w:pPr>
              <w:rPr>
                <w:bCs/>
                <w:color w:val="000000"/>
                <w:sz w:val="20"/>
                <w:szCs w:val="20"/>
                <w:lang w:val="en-CA" w:eastAsia="en-CA"/>
              </w:rPr>
            </w:pPr>
            <w:r w:rsidRPr="00A4172F">
              <w:rPr>
                <w:bCs/>
                <w:color w:val="000000"/>
                <w:sz w:val="20"/>
                <w:szCs w:val="20"/>
                <w:lang w:val="en-CA" w:eastAsia="en-CA"/>
              </w:rPr>
              <w:t>D</w:t>
            </w:r>
            <w:r>
              <w:rPr>
                <w:bCs/>
                <w:color w:val="000000"/>
                <w:sz w:val="20"/>
                <w:szCs w:val="20"/>
                <w:lang w:val="en-CA" w:eastAsia="en-CA"/>
              </w:rPr>
              <w:t>écaissé</w:t>
            </w:r>
            <w:r w:rsidRPr="00A4172F">
              <w:rPr>
                <w:bCs/>
                <w:color w:val="000000"/>
                <w:sz w:val="20"/>
                <w:szCs w:val="20"/>
                <w:lang w:val="en-CA" w:eastAsia="en-CA"/>
              </w:rPr>
              <w:t xml:space="preserve"> </w:t>
            </w:r>
          </w:p>
        </w:tc>
        <w:tc>
          <w:tcPr>
            <w:tcW w:w="1417" w:type="dxa"/>
            <w:shd w:val="clear" w:color="auto" w:fill="auto"/>
            <w:noWrap/>
            <w:vAlign w:val="center"/>
          </w:tcPr>
          <w:p w:rsidR="00381FE6" w:rsidRPr="00A4172F" w:rsidRDefault="00381FE6" w:rsidP="00381FE6">
            <w:pPr>
              <w:jc w:val="right"/>
              <w:rPr>
                <w:color w:val="000000"/>
                <w:sz w:val="20"/>
                <w:szCs w:val="20"/>
                <w:lang w:val="en-CA"/>
              </w:rPr>
            </w:pPr>
            <w:r w:rsidRPr="00A4172F">
              <w:rPr>
                <w:color w:val="000000"/>
                <w:sz w:val="20"/>
                <w:szCs w:val="20"/>
                <w:lang w:val="en-CA"/>
              </w:rPr>
              <w:t xml:space="preserve">            30</w:t>
            </w:r>
            <w:r>
              <w:rPr>
                <w:color w:val="000000"/>
                <w:sz w:val="20"/>
                <w:szCs w:val="20"/>
                <w:lang w:val="en-CA"/>
              </w:rPr>
              <w:t> </w:t>
            </w:r>
            <w:r w:rsidRPr="00A4172F">
              <w:rPr>
                <w:color w:val="000000"/>
                <w:sz w:val="20"/>
                <w:szCs w:val="20"/>
                <w:lang w:val="en-CA"/>
              </w:rPr>
              <w:t xml:space="preserve">000 </w:t>
            </w:r>
          </w:p>
        </w:tc>
        <w:tc>
          <w:tcPr>
            <w:tcW w:w="1417" w:type="dxa"/>
            <w:shd w:val="clear" w:color="auto" w:fill="auto"/>
            <w:vAlign w:val="center"/>
          </w:tcPr>
          <w:p w:rsidR="00381FE6" w:rsidRPr="00A4172F" w:rsidRDefault="00381FE6" w:rsidP="00381FE6">
            <w:pPr>
              <w:jc w:val="right"/>
              <w:rPr>
                <w:color w:val="000000"/>
                <w:sz w:val="20"/>
                <w:szCs w:val="20"/>
                <w:lang w:val="en-CA"/>
              </w:rPr>
            </w:pPr>
            <w:r w:rsidRPr="00A4172F">
              <w:rPr>
                <w:color w:val="000000"/>
                <w:sz w:val="20"/>
                <w:szCs w:val="20"/>
                <w:lang w:val="en-CA"/>
              </w:rPr>
              <w:t xml:space="preserve">             83</w:t>
            </w:r>
            <w:r>
              <w:rPr>
                <w:color w:val="000000"/>
                <w:sz w:val="20"/>
                <w:szCs w:val="20"/>
                <w:lang w:val="en-CA"/>
              </w:rPr>
              <w:t> </w:t>
            </w:r>
            <w:r w:rsidRPr="00A4172F">
              <w:rPr>
                <w:color w:val="000000"/>
                <w:sz w:val="20"/>
                <w:szCs w:val="20"/>
                <w:lang w:val="en-CA"/>
              </w:rPr>
              <w:t xml:space="preserve">475 </w:t>
            </w:r>
          </w:p>
        </w:tc>
        <w:tc>
          <w:tcPr>
            <w:tcW w:w="1418" w:type="dxa"/>
            <w:shd w:val="clear" w:color="auto" w:fill="auto"/>
            <w:noWrap/>
            <w:vAlign w:val="center"/>
          </w:tcPr>
          <w:p w:rsidR="00381FE6" w:rsidRPr="00A4172F" w:rsidRDefault="00381FE6" w:rsidP="00381FE6">
            <w:pPr>
              <w:jc w:val="right"/>
              <w:rPr>
                <w:color w:val="000000"/>
                <w:sz w:val="20"/>
                <w:szCs w:val="20"/>
                <w:lang w:val="en-CA"/>
              </w:rPr>
            </w:pPr>
            <w:r w:rsidRPr="00A4172F">
              <w:rPr>
                <w:color w:val="000000"/>
                <w:sz w:val="20"/>
                <w:szCs w:val="20"/>
                <w:lang w:val="en-CA"/>
              </w:rPr>
              <w:t>113</w:t>
            </w:r>
            <w:r>
              <w:rPr>
                <w:color w:val="000000"/>
                <w:sz w:val="20"/>
                <w:szCs w:val="20"/>
                <w:lang w:val="en-CA"/>
              </w:rPr>
              <w:t> </w:t>
            </w:r>
            <w:r w:rsidRPr="00A4172F">
              <w:rPr>
                <w:color w:val="000000"/>
                <w:sz w:val="20"/>
                <w:szCs w:val="20"/>
                <w:lang w:val="en-CA"/>
              </w:rPr>
              <w:t>475</w:t>
            </w:r>
          </w:p>
        </w:tc>
        <w:tc>
          <w:tcPr>
            <w:tcW w:w="2410" w:type="dxa"/>
            <w:vMerge/>
            <w:vAlign w:val="center"/>
          </w:tcPr>
          <w:p w:rsidR="00381FE6" w:rsidRPr="00A4172F" w:rsidRDefault="00381FE6" w:rsidP="00381FE6">
            <w:pPr>
              <w:jc w:val="center"/>
              <w:rPr>
                <w:color w:val="000000"/>
                <w:sz w:val="20"/>
                <w:szCs w:val="20"/>
                <w:lang w:val="en-CA" w:eastAsia="en-CA"/>
              </w:rPr>
            </w:pPr>
          </w:p>
        </w:tc>
      </w:tr>
      <w:tr w:rsidR="00381FE6" w:rsidRPr="00A4172F" w:rsidTr="007A66C5">
        <w:trPr>
          <w:trHeight w:val="58"/>
        </w:trPr>
        <w:tc>
          <w:tcPr>
            <w:tcW w:w="1537" w:type="dxa"/>
            <w:vMerge w:val="restart"/>
            <w:shd w:val="clear" w:color="auto" w:fill="auto"/>
            <w:vAlign w:val="center"/>
            <w:hideMark/>
          </w:tcPr>
          <w:p w:rsidR="00381FE6" w:rsidRPr="00A4172F" w:rsidRDefault="00381FE6" w:rsidP="00381FE6">
            <w:pPr>
              <w:jc w:val="left"/>
              <w:rPr>
                <w:bCs/>
                <w:color w:val="000000"/>
                <w:sz w:val="20"/>
                <w:szCs w:val="20"/>
                <w:lang w:val="en-CA" w:eastAsia="en-CA"/>
              </w:rPr>
            </w:pPr>
            <w:r w:rsidRPr="00A4172F">
              <w:rPr>
                <w:bCs/>
                <w:color w:val="000000"/>
                <w:sz w:val="20"/>
                <w:szCs w:val="20"/>
                <w:lang w:val="en-CA" w:eastAsia="en-CA"/>
              </w:rPr>
              <w:t>Total</w:t>
            </w:r>
          </w:p>
        </w:tc>
        <w:tc>
          <w:tcPr>
            <w:tcW w:w="1134" w:type="dxa"/>
            <w:shd w:val="clear" w:color="auto" w:fill="auto"/>
            <w:vAlign w:val="center"/>
            <w:hideMark/>
          </w:tcPr>
          <w:p w:rsidR="00381FE6" w:rsidRPr="00A4172F" w:rsidRDefault="00381FE6" w:rsidP="00381FE6">
            <w:pPr>
              <w:rPr>
                <w:bCs/>
                <w:color w:val="000000"/>
                <w:sz w:val="20"/>
                <w:szCs w:val="20"/>
                <w:lang w:val="en-CA" w:eastAsia="en-CA"/>
              </w:rPr>
            </w:pPr>
            <w:r w:rsidRPr="00A4172F">
              <w:rPr>
                <w:bCs/>
                <w:color w:val="000000"/>
                <w:sz w:val="20"/>
                <w:szCs w:val="20"/>
                <w:lang w:val="en-CA" w:eastAsia="en-CA"/>
              </w:rPr>
              <w:t>Appro</w:t>
            </w:r>
            <w:r>
              <w:rPr>
                <w:bCs/>
                <w:color w:val="000000"/>
                <w:sz w:val="20"/>
                <w:szCs w:val="20"/>
                <w:lang w:val="en-CA" w:eastAsia="en-CA"/>
              </w:rPr>
              <w:t>uvé</w:t>
            </w:r>
            <w:r w:rsidRPr="00A4172F">
              <w:rPr>
                <w:bCs/>
                <w:color w:val="000000"/>
                <w:sz w:val="20"/>
                <w:szCs w:val="20"/>
                <w:lang w:val="en-CA" w:eastAsia="en-CA"/>
              </w:rPr>
              <w:t xml:space="preserve"> </w:t>
            </w:r>
          </w:p>
        </w:tc>
        <w:tc>
          <w:tcPr>
            <w:tcW w:w="1417" w:type="dxa"/>
            <w:shd w:val="clear" w:color="auto" w:fill="auto"/>
            <w:vAlign w:val="center"/>
          </w:tcPr>
          <w:p w:rsidR="00381FE6" w:rsidRPr="00A4172F" w:rsidRDefault="00381FE6" w:rsidP="00381FE6">
            <w:pPr>
              <w:jc w:val="right"/>
              <w:rPr>
                <w:color w:val="000000"/>
                <w:sz w:val="20"/>
                <w:szCs w:val="20"/>
                <w:lang w:val="en-CA"/>
              </w:rPr>
            </w:pPr>
            <w:r w:rsidRPr="00A4172F">
              <w:rPr>
                <w:color w:val="000000"/>
                <w:sz w:val="20"/>
                <w:szCs w:val="20"/>
                <w:lang w:val="en-CA"/>
              </w:rPr>
              <w:t>177</w:t>
            </w:r>
            <w:r>
              <w:rPr>
                <w:color w:val="000000"/>
                <w:sz w:val="20"/>
                <w:szCs w:val="20"/>
                <w:lang w:val="en-CA"/>
              </w:rPr>
              <w:t> </w:t>
            </w:r>
            <w:r w:rsidRPr="00A4172F">
              <w:rPr>
                <w:color w:val="000000"/>
                <w:sz w:val="20"/>
                <w:szCs w:val="20"/>
                <w:lang w:val="en-CA"/>
              </w:rPr>
              <w:t>000</w:t>
            </w:r>
          </w:p>
        </w:tc>
        <w:tc>
          <w:tcPr>
            <w:tcW w:w="1417" w:type="dxa"/>
            <w:shd w:val="clear" w:color="auto" w:fill="auto"/>
            <w:vAlign w:val="center"/>
          </w:tcPr>
          <w:p w:rsidR="00381FE6" w:rsidRPr="00A4172F" w:rsidRDefault="00381FE6" w:rsidP="00381FE6">
            <w:pPr>
              <w:jc w:val="right"/>
              <w:rPr>
                <w:color w:val="000000"/>
                <w:sz w:val="20"/>
                <w:szCs w:val="20"/>
                <w:lang w:val="en-CA"/>
              </w:rPr>
            </w:pPr>
            <w:r w:rsidRPr="00A4172F">
              <w:rPr>
                <w:color w:val="000000"/>
                <w:sz w:val="20"/>
                <w:szCs w:val="20"/>
                <w:lang w:val="en-CA"/>
              </w:rPr>
              <w:t>350</w:t>
            </w:r>
            <w:r>
              <w:rPr>
                <w:color w:val="000000"/>
                <w:sz w:val="20"/>
                <w:szCs w:val="20"/>
                <w:lang w:val="en-CA"/>
              </w:rPr>
              <w:t> </w:t>
            </w:r>
            <w:r w:rsidRPr="00A4172F">
              <w:rPr>
                <w:color w:val="000000"/>
                <w:sz w:val="20"/>
                <w:szCs w:val="20"/>
                <w:lang w:val="en-CA"/>
              </w:rPr>
              <w:t>000</w:t>
            </w:r>
          </w:p>
        </w:tc>
        <w:tc>
          <w:tcPr>
            <w:tcW w:w="1418" w:type="dxa"/>
            <w:shd w:val="clear" w:color="auto" w:fill="auto"/>
            <w:vAlign w:val="center"/>
          </w:tcPr>
          <w:p w:rsidR="00381FE6" w:rsidRPr="00A4172F" w:rsidRDefault="00381FE6" w:rsidP="00381FE6">
            <w:pPr>
              <w:jc w:val="right"/>
              <w:rPr>
                <w:color w:val="000000"/>
                <w:sz w:val="20"/>
                <w:szCs w:val="20"/>
                <w:lang w:val="en-CA"/>
              </w:rPr>
            </w:pPr>
            <w:r w:rsidRPr="00A4172F">
              <w:rPr>
                <w:color w:val="000000"/>
                <w:sz w:val="20"/>
                <w:szCs w:val="20"/>
                <w:lang w:val="en-CA"/>
              </w:rPr>
              <w:t>527</w:t>
            </w:r>
            <w:r>
              <w:rPr>
                <w:color w:val="000000"/>
                <w:sz w:val="20"/>
                <w:szCs w:val="20"/>
                <w:lang w:val="en-CA"/>
              </w:rPr>
              <w:t> </w:t>
            </w:r>
            <w:r w:rsidRPr="00A4172F">
              <w:rPr>
                <w:color w:val="000000"/>
                <w:sz w:val="20"/>
                <w:szCs w:val="20"/>
                <w:lang w:val="en-CA"/>
              </w:rPr>
              <w:t>000</w:t>
            </w:r>
          </w:p>
        </w:tc>
        <w:tc>
          <w:tcPr>
            <w:tcW w:w="2410" w:type="dxa"/>
            <w:vMerge w:val="restart"/>
            <w:shd w:val="clear" w:color="auto" w:fill="auto"/>
            <w:vAlign w:val="center"/>
          </w:tcPr>
          <w:p w:rsidR="00381FE6" w:rsidRPr="00A4172F" w:rsidRDefault="00381FE6" w:rsidP="00381FE6">
            <w:pPr>
              <w:jc w:val="center"/>
              <w:rPr>
                <w:color w:val="000000"/>
                <w:sz w:val="20"/>
                <w:szCs w:val="20"/>
                <w:lang w:val="en-CA"/>
              </w:rPr>
            </w:pPr>
            <w:r w:rsidRPr="00A4172F">
              <w:rPr>
                <w:color w:val="000000"/>
                <w:sz w:val="20"/>
                <w:szCs w:val="20"/>
                <w:lang w:val="en-CA"/>
              </w:rPr>
              <w:t>81</w:t>
            </w:r>
          </w:p>
        </w:tc>
      </w:tr>
      <w:tr w:rsidR="00381FE6" w:rsidRPr="00A4172F" w:rsidTr="007A66C5">
        <w:trPr>
          <w:trHeight w:val="179"/>
        </w:trPr>
        <w:tc>
          <w:tcPr>
            <w:tcW w:w="1537" w:type="dxa"/>
            <w:vMerge/>
            <w:shd w:val="clear" w:color="auto" w:fill="auto"/>
            <w:vAlign w:val="center"/>
          </w:tcPr>
          <w:p w:rsidR="00381FE6" w:rsidRPr="00A4172F" w:rsidRDefault="00381FE6" w:rsidP="00381FE6">
            <w:pPr>
              <w:jc w:val="left"/>
              <w:rPr>
                <w:b/>
                <w:bCs/>
                <w:color w:val="000000"/>
                <w:sz w:val="20"/>
                <w:szCs w:val="20"/>
                <w:lang w:val="en-CA" w:eastAsia="en-CA"/>
              </w:rPr>
            </w:pPr>
          </w:p>
        </w:tc>
        <w:tc>
          <w:tcPr>
            <w:tcW w:w="1134" w:type="dxa"/>
            <w:shd w:val="clear" w:color="auto" w:fill="auto"/>
            <w:vAlign w:val="center"/>
          </w:tcPr>
          <w:p w:rsidR="00381FE6" w:rsidRPr="00A4172F" w:rsidRDefault="00381FE6" w:rsidP="00381FE6">
            <w:pPr>
              <w:rPr>
                <w:bCs/>
                <w:color w:val="000000"/>
                <w:sz w:val="20"/>
                <w:szCs w:val="20"/>
                <w:lang w:val="en-CA" w:eastAsia="en-CA"/>
              </w:rPr>
            </w:pPr>
            <w:r w:rsidRPr="00A4172F">
              <w:rPr>
                <w:bCs/>
                <w:color w:val="000000"/>
                <w:sz w:val="20"/>
                <w:szCs w:val="20"/>
                <w:lang w:val="en-CA" w:eastAsia="en-CA"/>
              </w:rPr>
              <w:t>D</w:t>
            </w:r>
            <w:r>
              <w:rPr>
                <w:bCs/>
                <w:color w:val="000000"/>
                <w:sz w:val="20"/>
                <w:szCs w:val="20"/>
                <w:lang w:val="en-CA" w:eastAsia="en-CA"/>
              </w:rPr>
              <w:t>écaissé</w:t>
            </w:r>
            <w:r w:rsidRPr="00A4172F">
              <w:rPr>
                <w:bCs/>
                <w:color w:val="000000"/>
                <w:sz w:val="20"/>
                <w:szCs w:val="20"/>
                <w:lang w:val="en-CA" w:eastAsia="en-CA"/>
              </w:rPr>
              <w:t xml:space="preserve"> </w:t>
            </w:r>
          </w:p>
        </w:tc>
        <w:tc>
          <w:tcPr>
            <w:tcW w:w="1417" w:type="dxa"/>
            <w:shd w:val="clear" w:color="auto" w:fill="auto"/>
            <w:vAlign w:val="center"/>
          </w:tcPr>
          <w:p w:rsidR="00381FE6" w:rsidRPr="00A4172F" w:rsidRDefault="00381FE6" w:rsidP="00381FE6">
            <w:pPr>
              <w:jc w:val="right"/>
              <w:rPr>
                <w:color w:val="000000"/>
                <w:sz w:val="20"/>
                <w:szCs w:val="20"/>
                <w:lang w:val="en-CA"/>
              </w:rPr>
            </w:pPr>
            <w:r w:rsidRPr="00A4172F">
              <w:rPr>
                <w:color w:val="000000"/>
                <w:sz w:val="20"/>
                <w:szCs w:val="20"/>
                <w:lang w:val="en-CA"/>
              </w:rPr>
              <w:t>145</w:t>
            </w:r>
            <w:r>
              <w:rPr>
                <w:color w:val="000000"/>
                <w:sz w:val="20"/>
                <w:szCs w:val="20"/>
                <w:lang w:val="en-CA"/>
              </w:rPr>
              <w:t> </w:t>
            </w:r>
            <w:r w:rsidRPr="00A4172F">
              <w:rPr>
                <w:color w:val="000000"/>
                <w:sz w:val="20"/>
                <w:szCs w:val="20"/>
                <w:lang w:val="en-CA"/>
              </w:rPr>
              <w:t>000</w:t>
            </w:r>
          </w:p>
        </w:tc>
        <w:tc>
          <w:tcPr>
            <w:tcW w:w="1417" w:type="dxa"/>
            <w:shd w:val="clear" w:color="auto" w:fill="auto"/>
            <w:vAlign w:val="center"/>
          </w:tcPr>
          <w:p w:rsidR="00381FE6" w:rsidRPr="00A4172F" w:rsidRDefault="00381FE6" w:rsidP="00381FE6">
            <w:pPr>
              <w:jc w:val="right"/>
              <w:rPr>
                <w:color w:val="000000"/>
                <w:sz w:val="20"/>
                <w:szCs w:val="20"/>
                <w:lang w:val="en-CA"/>
              </w:rPr>
            </w:pPr>
            <w:r w:rsidRPr="00A4172F">
              <w:rPr>
                <w:color w:val="000000"/>
                <w:sz w:val="20"/>
                <w:szCs w:val="20"/>
                <w:lang w:val="en-CA"/>
              </w:rPr>
              <w:t>283</w:t>
            </w:r>
            <w:r>
              <w:rPr>
                <w:color w:val="000000"/>
                <w:sz w:val="20"/>
                <w:szCs w:val="20"/>
                <w:lang w:val="en-CA"/>
              </w:rPr>
              <w:t> </w:t>
            </w:r>
            <w:r w:rsidRPr="00A4172F">
              <w:rPr>
                <w:color w:val="000000"/>
                <w:sz w:val="20"/>
                <w:szCs w:val="20"/>
                <w:lang w:val="en-CA"/>
              </w:rPr>
              <w:t>475</w:t>
            </w:r>
          </w:p>
        </w:tc>
        <w:tc>
          <w:tcPr>
            <w:tcW w:w="1418" w:type="dxa"/>
            <w:shd w:val="clear" w:color="auto" w:fill="auto"/>
            <w:vAlign w:val="center"/>
          </w:tcPr>
          <w:p w:rsidR="00381FE6" w:rsidRPr="00A4172F" w:rsidRDefault="00381FE6" w:rsidP="00381FE6">
            <w:pPr>
              <w:jc w:val="right"/>
              <w:rPr>
                <w:color w:val="000000"/>
                <w:sz w:val="20"/>
                <w:szCs w:val="20"/>
                <w:lang w:val="en-CA"/>
              </w:rPr>
            </w:pPr>
            <w:r w:rsidRPr="00A4172F">
              <w:rPr>
                <w:color w:val="000000"/>
                <w:sz w:val="20"/>
                <w:szCs w:val="20"/>
                <w:lang w:val="en-CA"/>
              </w:rPr>
              <w:t>428</w:t>
            </w:r>
            <w:r>
              <w:rPr>
                <w:color w:val="000000"/>
                <w:sz w:val="20"/>
                <w:szCs w:val="20"/>
                <w:lang w:val="en-CA"/>
              </w:rPr>
              <w:t> </w:t>
            </w:r>
            <w:r w:rsidRPr="00A4172F">
              <w:rPr>
                <w:color w:val="000000"/>
                <w:sz w:val="20"/>
                <w:szCs w:val="20"/>
                <w:lang w:val="en-CA"/>
              </w:rPr>
              <w:t>475</w:t>
            </w:r>
          </w:p>
        </w:tc>
        <w:tc>
          <w:tcPr>
            <w:tcW w:w="2410" w:type="dxa"/>
            <w:vMerge/>
            <w:shd w:val="clear" w:color="auto" w:fill="auto"/>
            <w:vAlign w:val="center"/>
          </w:tcPr>
          <w:p w:rsidR="00381FE6" w:rsidRPr="00A4172F" w:rsidRDefault="00381FE6" w:rsidP="00381FE6">
            <w:pPr>
              <w:jc w:val="center"/>
              <w:rPr>
                <w:color w:val="000000"/>
                <w:sz w:val="20"/>
                <w:szCs w:val="20"/>
                <w:lang w:val="en-CA" w:eastAsia="en-CA"/>
              </w:rPr>
            </w:pPr>
          </w:p>
        </w:tc>
      </w:tr>
    </w:tbl>
    <w:p w:rsidR="00264F4B" w:rsidRPr="00A4172F" w:rsidRDefault="00264F4B" w:rsidP="00264F4B">
      <w:pPr>
        <w:rPr>
          <w:u w:val="single"/>
          <w:lang w:val="en-CA"/>
        </w:rPr>
      </w:pPr>
    </w:p>
    <w:p w:rsidR="00264F4B" w:rsidRPr="009553A4" w:rsidRDefault="009553A4" w:rsidP="00264F4B">
      <w:pPr>
        <w:rPr>
          <w:u w:val="single"/>
          <w:lang w:val="fr-CA"/>
        </w:rPr>
      </w:pPr>
      <w:r w:rsidRPr="009553A4">
        <w:rPr>
          <w:u w:val="single"/>
          <w:lang w:val="fr-CA"/>
        </w:rPr>
        <w:t>Plan de mise en œuvre de la quatrième tranche du PGEH</w:t>
      </w:r>
    </w:p>
    <w:p w:rsidR="00264F4B" w:rsidRPr="009553A4" w:rsidRDefault="00264F4B" w:rsidP="00264F4B">
      <w:pPr>
        <w:rPr>
          <w:lang w:val="fr-CA"/>
        </w:rPr>
      </w:pPr>
    </w:p>
    <w:p w:rsidR="00264F4B" w:rsidRPr="009553A4" w:rsidRDefault="009553A4" w:rsidP="00264F4B">
      <w:pPr>
        <w:pStyle w:val="Heading1"/>
        <w:rPr>
          <w:lang w:val="fr-CA"/>
        </w:rPr>
      </w:pPr>
      <w:r w:rsidRPr="009553A4">
        <w:rPr>
          <w:lang w:val="fr-CA"/>
        </w:rPr>
        <w:t>Les activités ci-après seront mises en œuvre de juin</w:t>
      </w:r>
      <w:r w:rsidR="00381FE6">
        <w:rPr>
          <w:lang w:val="fr-CA"/>
        </w:rPr>
        <w:t> 20</w:t>
      </w:r>
      <w:r w:rsidRPr="009553A4">
        <w:rPr>
          <w:lang w:val="fr-CA"/>
        </w:rPr>
        <w:t xml:space="preserve">19 </w:t>
      </w:r>
      <w:r w:rsidR="00381FE6">
        <w:rPr>
          <w:lang w:val="fr-CA"/>
        </w:rPr>
        <w:t xml:space="preserve">à </w:t>
      </w:r>
      <w:r w:rsidRPr="009553A4">
        <w:rPr>
          <w:lang w:val="fr-CA"/>
        </w:rPr>
        <w:t>juin</w:t>
      </w:r>
      <w:r w:rsidR="00D570C5">
        <w:rPr>
          <w:lang w:val="fr-CA"/>
        </w:rPr>
        <w:t> </w:t>
      </w:r>
      <w:r w:rsidRPr="009553A4">
        <w:rPr>
          <w:lang w:val="fr-CA"/>
        </w:rPr>
        <w:t>2021</w:t>
      </w:r>
      <w:r w:rsidR="00D570C5">
        <w:rPr>
          <w:lang w:val="fr-CA"/>
        </w:rPr>
        <w:t> </w:t>
      </w:r>
      <w:r w:rsidRPr="009553A4">
        <w:rPr>
          <w:lang w:val="fr-CA"/>
        </w:rPr>
        <w:t>:</w:t>
      </w:r>
    </w:p>
    <w:p w:rsidR="00264F4B" w:rsidRPr="009553A4" w:rsidRDefault="009553A4" w:rsidP="00381FE6">
      <w:pPr>
        <w:pStyle w:val="Heading2"/>
        <w:rPr>
          <w:lang w:val="fr-CA"/>
        </w:rPr>
      </w:pPr>
      <w:r w:rsidRPr="009553A4">
        <w:rPr>
          <w:lang w:val="fr-CA"/>
        </w:rPr>
        <w:t>Formation</w:t>
      </w:r>
      <w:r w:rsidR="004068E6">
        <w:rPr>
          <w:lang w:val="fr-CA"/>
        </w:rPr>
        <w:t>s</w:t>
      </w:r>
      <w:r w:rsidRPr="009553A4">
        <w:rPr>
          <w:lang w:val="fr-CA"/>
        </w:rPr>
        <w:t xml:space="preserve"> complémentaire</w:t>
      </w:r>
      <w:r w:rsidR="004068E6">
        <w:rPr>
          <w:lang w:val="fr-CA"/>
        </w:rPr>
        <w:t>s</w:t>
      </w:r>
      <w:r w:rsidRPr="009553A4">
        <w:rPr>
          <w:lang w:val="fr-CA"/>
        </w:rPr>
        <w:t xml:space="preserve"> à l’intention de 60</w:t>
      </w:r>
      <w:r w:rsidR="00D570C5">
        <w:rPr>
          <w:lang w:val="fr-CA"/>
        </w:rPr>
        <w:t> </w:t>
      </w:r>
      <w:r w:rsidRPr="009553A4">
        <w:rPr>
          <w:lang w:val="fr-CA"/>
        </w:rPr>
        <w:t xml:space="preserve">agents des douanes et d’exécution de la loi sur la reconnaissance </w:t>
      </w:r>
      <w:r>
        <w:rPr>
          <w:lang w:val="fr-CA"/>
        </w:rPr>
        <w:t>des H</w:t>
      </w:r>
      <w:r w:rsidR="004068E6">
        <w:rPr>
          <w:lang w:val="fr-CA"/>
        </w:rPr>
        <w:t>C</w:t>
      </w:r>
      <w:r>
        <w:rPr>
          <w:lang w:val="fr-CA"/>
        </w:rPr>
        <w:t>FC, des HFC, des HC ou de leurs mélanges et sur le système d’octroi de licences et de quotas dans le cadre de la lutte contre le commerce illicite de SAO (PNUE) (15 000</w:t>
      </w:r>
      <w:r w:rsidR="00D570C5">
        <w:rPr>
          <w:lang w:val="fr-CA"/>
        </w:rPr>
        <w:t> </w:t>
      </w:r>
      <w:r>
        <w:rPr>
          <w:lang w:val="fr-CA"/>
        </w:rPr>
        <w:t xml:space="preserve">$US); </w:t>
      </w:r>
    </w:p>
    <w:p w:rsidR="00264F4B" w:rsidRPr="002933B2" w:rsidRDefault="002933B2" w:rsidP="00264F4B">
      <w:pPr>
        <w:pStyle w:val="Heading2"/>
        <w:keepNext/>
        <w:keepLines/>
        <w:rPr>
          <w:lang w:val="fr-CA"/>
        </w:rPr>
      </w:pPr>
      <w:r w:rsidRPr="002933B2">
        <w:rPr>
          <w:lang w:val="fr-CA"/>
        </w:rPr>
        <w:t>Formation</w:t>
      </w:r>
      <w:r w:rsidR="004068E6">
        <w:rPr>
          <w:lang w:val="fr-CA"/>
        </w:rPr>
        <w:t>s</w:t>
      </w:r>
      <w:r w:rsidRPr="002933B2">
        <w:rPr>
          <w:lang w:val="fr-CA"/>
        </w:rPr>
        <w:t xml:space="preserve"> complémentaire</w:t>
      </w:r>
      <w:r w:rsidR="004068E6">
        <w:rPr>
          <w:lang w:val="fr-CA"/>
        </w:rPr>
        <w:t>s</w:t>
      </w:r>
      <w:r w:rsidRPr="002933B2">
        <w:rPr>
          <w:lang w:val="fr-CA"/>
        </w:rPr>
        <w:t xml:space="preserve"> à l’intention de 75</w:t>
      </w:r>
      <w:r w:rsidR="00D570C5">
        <w:rPr>
          <w:lang w:val="fr-CA"/>
        </w:rPr>
        <w:t> </w:t>
      </w:r>
      <w:r w:rsidRPr="002933B2">
        <w:rPr>
          <w:lang w:val="fr-CA"/>
        </w:rPr>
        <w:t xml:space="preserve">techniciens en réfrigération sur les pratiques exemplaires </w:t>
      </w:r>
      <w:r>
        <w:rPr>
          <w:lang w:val="fr-CA"/>
        </w:rPr>
        <w:t>en matière d’entretien des appareils de réfrigération, y compris la récupération, le recyclage et l’utilisation en toute sécurité des frigorigènes à base de HC (PNUE) (15 000</w:t>
      </w:r>
      <w:r w:rsidR="00D570C5">
        <w:rPr>
          <w:lang w:val="fr-CA"/>
        </w:rPr>
        <w:t> </w:t>
      </w:r>
      <w:r>
        <w:rPr>
          <w:lang w:val="fr-CA"/>
        </w:rPr>
        <w:t>$US);</w:t>
      </w:r>
      <w:r w:rsidR="00F63BD4">
        <w:rPr>
          <w:lang w:val="fr-CA"/>
        </w:rPr>
        <w:t xml:space="preserve"> et</w:t>
      </w:r>
    </w:p>
    <w:p w:rsidR="00264F4B" w:rsidRPr="00D570C5" w:rsidRDefault="002933B2" w:rsidP="00264F4B">
      <w:pPr>
        <w:pStyle w:val="Heading2"/>
        <w:rPr>
          <w:szCs w:val="24"/>
          <w:lang w:val="fr-CA"/>
        </w:rPr>
      </w:pPr>
      <w:r w:rsidRPr="002933B2">
        <w:rPr>
          <w:szCs w:val="24"/>
          <w:lang w:val="fr-CA"/>
        </w:rPr>
        <w:t>Surveillance et évaluation de la mise en œuvre du PGEH (PNUE) (10 000</w:t>
      </w:r>
      <w:r w:rsidR="00D570C5">
        <w:rPr>
          <w:szCs w:val="24"/>
          <w:lang w:val="fr-CA"/>
        </w:rPr>
        <w:t> </w:t>
      </w:r>
      <w:r w:rsidRPr="002933B2">
        <w:rPr>
          <w:szCs w:val="24"/>
          <w:lang w:val="fr-CA"/>
        </w:rPr>
        <w:t xml:space="preserve">$US). </w:t>
      </w:r>
    </w:p>
    <w:p w:rsidR="00264F4B" w:rsidRPr="00D570C5" w:rsidRDefault="00264F4B" w:rsidP="00264F4B">
      <w:pPr>
        <w:rPr>
          <w:lang w:val="fr-CA"/>
        </w:rPr>
      </w:pPr>
    </w:p>
    <w:p w:rsidR="00264F4B" w:rsidRPr="002933B2" w:rsidRDefault="002933B2" w:rsidP="00264F4B">
      <w:pPr>
        <w:jc w:val="center"/>
        <w:rPr>
          <w:b/>
          <w:lang w:val="fr-CA"/>
        </w:rPr>
      </w:pPr>
      <w:r w:rsidRPr="002933B2">
        <w:rPr>
          <w:b/>
          <w:lang w:val="fr-CA"/>
        </w:rPr>
        <w:t>OBSERVATIONS ET RECOMMANDATION DU SECRÉTARIAT</w:t>
      </w:r>
    </w:p>
    <w:p w:rsidR="00264F4B" w:rsidRPr="002933B2" w:rsidRDefault="00264F4B" w:rsidP="00264F4B">
      <w:pPr>
        <w:rPr>
          <w:lang w:val="fr-CA"/>
        </w:rPr>
      </w:pPr>
    </w:p>
    <w:p w:rsidR="00264F4B" w:rsidRPr="002933B2" w:rsidRDefault="002933B2" w:rsidP="00264F4B">
      <w:pPr>
        <w:rPr>
          <w:b/>
          <w:lang w:val="fr-CA"/>
        </w:rPr>
      </w:pPr>
      <w:r w:rsidRPr="002933B2">
        <w:rPr>
          <w:b/>
          <w:lang w:val="fr-CA"/>
        </w:rPr>
        <w:t>OBSERVATIO</w:t>
      </w:r>
      <w:r w:rsidR="004068E6">
        <w:rPr>
          <w:b/>
          <w:lang w:val="fr-CA"/>
        </w:rPr>
        <w:t>NS</w:t>
      </w:r>
    </w:p>
    <w:p w:rsidR="00264F4B" w:rsidRPr="002933B2" w:rsidRDefault="00264F4B" w:rsidP="00264F4B">
      <w:pPr>
        <w:rPr>
          <w:lang w:val="fr-CA"/>
        </w:rPr>
      </w:pPr>
    </w:p>
    <w:p w:rsidR="00264F4B" w:rsidRPr="002933B2" w:rsidRDefault="002933B2" w:rsidP="00264F4B">
      <w:pPr>
        <w:rPr>
          <w:u w:val="single"/>
          <w:lang w:val="fr-CA"/>
        </w:rPr>
      </w:pPr>
      <w:r w:rsidRPr="002933B2">
        <w:rPr>
          <w:u w:val="single"/>
          <w:lang w:val="fr-CA"/>
        </w:rPr>
        <w:t>Rapport périodique sur la mise en œuvre de la troisième tranche du PGEH</w:t>
      </w:r>
    </w:p>
    <w:p w:rsidR="00264F4B" w:rsidRPr="002933B2" w:rsidRDefault="00264F4B" w:rsidP="00264F4B">
      <w:pPr>
        <w:rPr>
          <w:lang w:val="fr-CA"/>
        </w:rPr>
      </w:pPr>
    </w:p>
    <w:p w:rsidR="00264F4B" w:rsidRPr="00A4172F" w:rsidRDefault="002933B2" w:rsidP="00264F4B">
      <w:pPr>
        <w:rPr>
          <w:lang w:val="en-CA"/>
        </w:rPr>
      </w:pPr>
      <w:r>
        <w:rPr>
          <w:lang w:val="en-CA"/>
        </w:rPr>
        <w:t>Cadre juridique</w:t>
      </w:r>
    </w:p>
    <w:p w:rsidR="00264F4B" w:rsidRPr="00A4172F" w:rsidRDefault="00264F4B" w:rsidP="00264F4B">
      <w:pPr>
        <w:rPr>
          <w:lang w:val="en-CA"/>
        </w:rPr>
      </w:pPr>
    </w:p>
    <w:p w:rsidR="00264F4B" w:rsidRPr="00853D64" w:rsidRDefault="0043586D" w:rsidP="00264F4B">
      <w:pPr>
        <w:pStyle w:val="Heading1"/>
        <w:rPr>
          <w:lang w:val="fr-CA"/>
        </w:rPr>
      </w:pPr>
      <w:r w:rsidRPr="0043586D">
        <w:rPr>
          <w:lang w:val="fr-CA"/>
        </w:rPr>
        <w:t>Le gouvernement du Togo a déjà émis des quotas d’importation des HCFC pour</w:t>
      </w:r>
      <w:r w:rsidR="00853D64">
        <w:rPr>
          <w:lang w:val="fr-CA"/>
        </w:rPr>
        <w:t> </w:t>
      </w:r>
      <w:r w:rsidRPr="0043586D">
        <w:rPr>
          <w:lang w:val="fr-CA"/>
        </w:rPr>
        <w:t>2019 fixés à 13,48</w:t>
      </w:r>
      <w:r w:rsidR="00853D64">
        <w:rPr>
          <w:lang w:val="fr-CA"/>
        </w:rPr>
        <w:t> </w:t>
      </w:r>
      <w:r w:rsidRPr="0043586D">
        <w:rPr>
          <w:lang w:val="fr-CA"/>
        </w:rPr>
        <w:t>tonnes</w:t>
      </w:r>
      <w:r w:rsidR="00853D64">
        <w:rPr>
          <w:lang w:val="fr-CA"/>
        </w:rPr>
        <w:t> </w:t>
      </w:r>
      <w:r w:rsidRPr="0043586D">
        <w:rPr>
          <w:lang w:val="fr-CA"/>
        </w:rPr>
        <w:t>PAO, soit 4,52</w:t>
      </w:r>
      <w:r w:rsidR="00853D64">
        <w:rPr>
          <w:lang w:val="fr-CA"/>
        </w:rPr>
        <w:t> </w:t>
      </w:r>
      <w:r w:rsidRPr="0043586D">
        <w:rPr>
          <w:lang w:val="fr-CA"/>
        </w:rPr>
        <w:t>tonnes</w:t>
      </w:r>
      <w:r w:rsidR="00853D64">
        <w:rPr>
          <w:lang w:val="fr-CA"/>
        </w:rPr>
        <w:t> </w:t>
      </w:r>
      <w:r w:rsidRPr="0043586D">
        <w:rPr>
          <w:lang w:val="fr-CA"/>
        </w:rPr>
        <w:t>PAO (25</w:t>
      </w:r>
      <w:r w:rsidR="00853D64">
        <w:rPr>
          <w:lang w:val="fr-CA"/>
        </w:rPr>
        <w:t> </w:t>
      </w:r>
      <w:r w:rsidRPr="0043586D">
        <w:rPr>
          <w:lang w:val="fr-CA"/>
        </w:rPr>
        <w:t>pour cent) inférieur</w:t>
      </w:r>
      <w:r w:rsidR="00853D64">
        <w:rPr>
          <w:lang w:val="fr-CA"/>
        </w:rPr>
        <w:t>es</w:t>
      </w:r>
      <w:r w:rsidRPr="0043586D">
        <w:rPr>
          <w:lang w:val="fr-CA"/>
        </w:rPr>
        <w:t xml:space="preserve"> à la consommation autorisée en vertu du Protocole de Montréal.</w:t>
      </w:r>
    </w:p>
    <w:p w:rsidR="00264F4B" w:rsidRPr="00853D64" w:rsidRDefault="0043586D" w:rsidP="00264F4B">
      <w:pPr>
        <w:pStyle w:val="Heading1"/>
        <w:rPr>
          <w:lang w:val="fr-CA"/>
        </w:rPr>
      </w:pPr>
      <w:r w:rsidRPr="0043586D">
        <w:rPr>
          <w:lang w:val="fr-CA"/>
        </w:rPr>
        <w:t>Le pays a confirmé la mise en place d</w:t>
      </w:r>
      <w:r w:rsidR="00853D64">
        <w:rPr>
          <w:lang w:val="fr-CA"/>
        </w:rPr>
        <w:t>’une</w:t>
      </w:r>
      <w:r w:rsidRPr="0043586D">
        <w:rPr>
          <w:lang w:val="fr-CA"/>
        </w:rPr>
        <w:t xml:space="preserve"> interdiction frappant l’importation des SAO déjà éliminés et de l’équipement renfermant ce type de substances, que les activités de formation des agents des douanes et de sensibilisation des importateurs et de la population sont en cours</w:t>
      </w:r>
      <w:r w:rsidR="001832ED">
        <w:rPr>
          <w:lang w:val="fr-CA"/>
        </w:rPr>
        <w:t>,</w:t>
      </w:r>
      <w:r w:rsidRPr="0043586D">
        <w:rPr>
          <w:lang w:val="fr-CA"/>
        </w:rPr>
        <w:t xml:space="preserve"> en vue d’assurer l’exécution de l’interdiction, et que de</w:t>
      </w:r>
      <w:r w:rsidR="00853D64">
        <w:rPr>
          <w:lang w:val="fr-CA"/>
        </w:rPr>
        <w:t>s</w:t>
      </w:r>
      <w:r w:rsidRPr="0043586D">
        <w:rPr>
          <w:lang w:val="fr-CA"/>
        </w:rPr>
        <w:t xml:space="preserve"> licences et de</w:t>
      </w:r>
      <w:r w:rsidR="00853D64">
        <w:rPr>
          <w:lang w:val="fr-CA"/>
        </w:rPr>
        <w:t>s</w:t>
      </w:r>
      <w:r w:rsidRPr="0043586D">
        <w:rPr>
          <w:lang w:val="fr-CA"/>
        </w:rPr>
        <w:t xml:space="preserve"> quotas ne sont pas émis pour les SAO qui ont déjà été éliminés. Le gouvernement n’était pas au courant que des SAO déjà éliminé</w:t>
      </w:r>
      <w:r w:rsidR="003B3252">
        <w:rPr>
          <w:lang w:val="fr-CA"/>
        </w:rPr>
        <w:t>e</w:t>
      </w:r>
      <w:r w:rsidRPr="0043586D">
        <w:rPr>
          <w:lang w:val="fr-CA"/>
        </w:rPr>
        <w:t>s étaient encore utilisé</w:t>
      </w:r>
      <w:r w:rsidR="003B3252">
        <w:rPr>
          <w:lang w:val="fr-CA"/>
        </w:rPr>
        <w:t>e</w:t>
      </w:r>
      <w:r w:rsidRPr="0043586D">
        <w:rPr>
          <w:lang w:val="fr-CA"/>
        </w:rPr>
        <w:t xml:space="preserve">s dans le pays, </w:t>
      </w:r>
      <w:r w:rsidR="001832ED">
        <w:rPr>
          <w:lang w:val="fr-CA"/>
        </w:rPr>
        <w:t>ni qu’il existait d</w:t>
      </w:r>
      <w:r w:rsidRPr="0043586D">
        <w:rPr>
          <w:lang w:val="fr-CA"/>
        </w:rPr>
        <w:t xml:space="preserve">es stocks de ces substances. Le </w:t>
      </w:r>
      <w:r w:rsidR="00853D64">
        <w:rPr>
          <w:lang w:val="fr-CA"/>
        </w:rPr>
        <w:t>s</w:t>
      </w:r>
      <w:r w:rsidRPr="0043586D">
        <w:rPr>
          <w:lang w:val="fr-CA"/>
        </w:rPr>
        <w:t>ervice des douanes a toutefois signalé de nombreux cas de contrefaçon, o</w:t>
      </w:r>
      <w:r w:rsidR="00853D64">
        <w:rPr>
          <w:lang w:val="fr-CA"/>
        </w:rPr>
        <w:t>ù</w:t>
      </w:r>
      <w:r w:rsidRPr="0043586D">
        <w:rPr>
          <w:lang w:val="fr-CA"/>
        </w:rPr>
        <w:t xml:space="preserve"> du HCFC</w:t>
      </w:r>
      <w:r w:rsidR="00853D64">
        <w:rPr>
          <w:lang w:val="fr-CA"/>
        </w:rPr>
        <w:noBreakHyphen/>
      </w:r>
      <w:r w:rsidRPr="0043586D">
        <w:rPr>
          <w:lang w:val="fr-CA"/>
        </w:rPr>
        <w:t xml:space="preserve">22 </w:t>
      </w:r>
      <w:r w:rsidR="00853D64">
        <w:rPr>
          <w:lang w:val="fr-CA"/>
        </w:rPr>
        <w:t>o</w:t>
      </w:r>
      <w:r w:rsidRPr="0043586D">
        <w:rPr>
          <w:lang w:val="fr-CA"/>
        </w:rPr>
        <w:t>u du HFC</w:t>
      </w:r>
      <w:r w:rsidR="00853D64">
        <w:rPr>
          <w:lang w:val="fr-CA"/>
        </w:rPr>
        <w:noBreakHyphen/>
      </w:r>
      <w:r w:rsidRPr="0043586D">
        <w:rPr>
          <w:lang w:val="fr-CA"/>
        </w:rPr>
        <w:t>134</w:t>
      </w:r>
      <w:r w:rsidR="00853D64">
        <w:rPr>
          <w:lang w:val="fr-CA"/>
        </w:rPr>
        <w:t>a</w:t>
      </w:r>
      <w:r w:rsidRPr="0043586D">
        <w:rPr>
          <w:lang w:val="fr-CA"/>
        </w:rPr>
        <w:t xml:space="preserve"> avait été mal étiqueté.</w:t>
      </w:r>
    </w:p>
    <w:p w:rsidR="00264F4B" w:rsidRPr="00411538" w:rsidRDefault="008121B7" w:rsidP="00264F4B">
      <w:pPr>
        <w:pStyle w:val="Heading1"/>
        <w:rPr>
          <w:lang w:val="fr-CA"/>
        </w:rPr>
      </w:pPr>
      <w:r w:rsidRPr="008121B7">
        <w:rPr>
          <w:lang w:val="fr-CA"/>
        </w:rPr>
        <w:t>Le retard dans la soumission de la quatrième tranche, qui était prévu</w:t>
      </w:r>
      <w:r w:rsidR="00853D64">
        <w:rPr>
          <w:lang w:val="fr-CA"/>
        </w:rPr>
        <w:t>e</w:t>
      </w:r>
      <w:r w:rsidRPr="008121B7">
        <w:rPr>
          <w:lang w:val="fr-CA"/>
        </w:rPr>
        <w:t xml:space="preserve"> pour la 82</w:t>
      </w:r>
      <w:r w:rsidRPr="00853D64">
        <w:rPr>
          <w:vertAlign w:val="superscript"/>
          <w:lang w:val="fr-CA"/>
        </w:rPr>
        <w:t>e</w:t>
      </w:r>
      <w:r w:rsidR="00853D64">
        <w:rPr>
          <w:lang w:val="fr-CA"/>
        </w:rPr>
        <w:t> </w:t>
      </w:r>
      <w:r w:rsidRPr="008121B7">
        <w:rPr>
          <w:lang w:val="fr-CA"/>
        </w:rPr>
        <w:t>réunion, était attribuable au retard dans l’achèvement du rapport de vérification. Toutes les activités associées à la quatrième tranche devraient être achevées d’ici juin</w:t>
      </w:r>
      <w:r w:rsidR="00D570C5">
        <w:rPr>
          <w:lang w:val="fr-CA"/>
        </w:rPr>
        <w:t> </w:t>
      </w:r>
      <w:r w:rsidRPr="008121B7">
        <w:rPr>
          <w:lang w:val="fr-CA"/>
        </w:rPr>
        <w:t xml:space="preserve">2021, et la cinquième et dernière tranche </w:t>
      </w:r>
      <w:r>
        <w:rPr>
          <w:lang w:val="fr-CA"/>
        </w:rPr>
        <w:t>devrait être présentée à la dernière réunion de</w:t>
      </w:r>
      <w:r w:rsidR="00411538">
        <w:rPr>
          <w:lang w:val="fr-CA"/>
        </w:rPr>
        <w:t> </w:t>
      </w:r>
      <w:r>
        <w:rPr>
          <w:lang w:val="fr-CA"/>
        </w:rPr>
        <w:t xml:space="preserve">2020, conformément à l’Accord. </w:t>
      </w:r>
      <w:r w:rsidRPr="008121B7">
        <w:rPr>
          <w:lang w:val="fr-CA"/>
        </w:rPr>
        <w:t xml:space="preserve">On pourra alors </w:t>
      </w:r>
      <w:r w:rsidR="001832ED">
        <w:rPr>
          <w:lang w:val="fr-CA"/>
        </w:rPr>
        <w:t>décider</w:t>
      </w:r>
      <w:r w:rsidRPr="008121B7">
        <w:rPr>
          <w:lang w:val="fr-CA"/>
        </w:rPr>
        <w:t xml:space="preserve"> s’il est nécessaire de prolonger la phase</w:t>
      </w:r>
      <w:r w:rsidR="00411538">
        <w:rPr>
          <w:lang w:val="fr-CA"/>
        </w:rPr>
        <w:t> </w:t>
      </w:r>
      <w:r w:rsidRPr="008121B7">
        <w:rPr>
          <w:lang w:val="fr-CA"/>
        </w:rPr>
        <w:t>I du PGEH.</w:t>
      </w:r>
      <w:r w:rsidR="00264F4B" w:rsidRPr="00411538">
        <w:rPr>
          <w:lang w:val="fr-CA"/>
        </w:rPr>
        <w:t xml:space="preserve">  </w:t>
      </w:r>
    </w:p>
    <w:p w:rsidR="00264F4B" w:rsidRPr="00A4172F" w:rsidRDefault="00264F4B" w:rsidP="00264F4B">
      <w:pPr>
        <w:rPr>
          <w:u w:val="single"/>
          <w:lang w:val="en-CA"/>
        </w:rPr>
      </w:pPr>
      <w:r w:rsidRPr="00A4172F">
        <w:rPr>
          <w:u w:val="single"/>
          <w:lang w:val="en-CA"/>
        </w:rPr>
        <w:lastRenderedPageBreak/>
        <w:t xml:space="preserve">Conclusion </w:t>
      </w:r>
    </w:p>
    <w:p w:rsidR="00264F4B" w:rsidRPr="00A4172F" w:rsidRDefault="00264F4B" w:rsidP="00264F4B">
      <w:pPr>
        <w:rPr>
          <w:lang w:val="en-CA"/>
        </w:rPr>
      </w:pPr>
    </w:p>
    <w:p w:rsidR="00264F4B" w:rsidRPr="00931F92" w:rsidRDefault="008121B7" w:rsidP="00264F4B">
      <w:pPr>
        <w:pStyle w:val="Heading1"/>
        <w:rPr>
          <w:lang w:val="fr-CA"/>
        </w:rPr>
      </w:pPr>
      <w:r w:rsidRPr="008121B7">
        <w:rPr>
          <w:lang w:val="fr-CA"/>
        </w:rPr>
        <w:t>La mise en œuvre du PGEH progresse de manière satisfaisante, et le pays respecte les dispositions du Protocole de Montréal et de l’Accord avec le Comité exécutif. Le système d’octroi de licences et de quotas e</w:t>
      </w:r>
      <w:r w:rsidR="00411538">
        <w:rPr>
          <w:lang w:val="fr-CA"/>
        </w:rPr>
        <w:t>s</w:t>
      </w:r>
      <w:r w:rsidRPr="008121B7">
        <w:rPr>
          <w:lang w:val="fr-CA"/>
        </w:rPr>
        <w:t xml:space="preserve">t opérationnel, et la consommation de HCFC </w:t>
      </w:r>
      <w:r>
        <w:rPr>
          <w:lang w:val="fr-CA"/>
        </w:rPr>
        <w:t>déclarée pour</w:t>
      </w:r>
      <w:r w:rsidR="00411538">
        <w:rPr>
          <w:lang w:val="fr-CA"/>
        </w:rPr>
        <w:t> </w:t>
      </w:r>
      <w:r>
        <w:rPr>
          <w:lang w:val="fr-CA"/>
        </w:rPr>
        <w:t>2018 (14,19</w:t>
      </w:r>
      <w:r w:rsidR="00411538">
        <w:rPr>
          <w:lang w:val="fr-CA"/>
        </w:rPr>
        <w:t> </w:t>
      </w:r>
      <w:r>
        <w:rPr>
          <w:lang w:val="fr-CA"/>
        </w:rPr>
        <w:t>tonnes</w:t>
      </w:r>
      <w:r w:rsidR="00411538">
        <w:rPr>
          <w:lang w:val="fr-CA"/>
        </w:rPr>
        <w:t> </w:t>
      </w:r>
      <w:r>
        <w:rPr>
          <w:lang w:val="fr-CA"/>
        </w:rPr>
        <w:t>PAO) est déjà 29</w:t>
      </w:r>
      <w:r w:rsidR="00411538">
        <w:rPr>
          <w:lang w:val="fr-CA"/>
        </w:rPr>
        <w:t> </w:t>
      </w:r>
      <w:r>
        <w:rPr>
          <w:lang w:val="fr-CA"/>
        </w:rPr>
        <w:t>pour cent inférieur</w:t>
      </w:r>
      <w:r w:rsidR="00411538">
        <w:rPr>
          <w:lang w:val="fr-CA"/>
        </w:rPr>
        <w:t>e</w:t>
      </w:r>
      <w:r>
        <w:rPr>
          <w:lang w:val="fr-CA"/>
        </w:rPr>
        <w:t xml:space="preserve"> à la valeur de référence du pays. </w:t>
      </w:r>
      <w:r w:rsidRPr="008121B7">
        <w:rPr>
          <w:lang w:val="fr-CA"/>
        </w:rPr>
        <w:t xml:space="preserve">Le taux de décaissement pour la troisième tranche </w:t>
      </w:r>
      <w:r w:rsidR="00411538">
        <w:rPr>
          <w:lang w:val="fr-CA"/>
        </w:rPr>
        <w:t xml:space="preserve">est </w:t>
      </w:r>
      <w:r w:rsidRPr="008121B7">
        <w:rPr>
          <w:lang w:val="fr-CA"/>
        </w:rPr>
        <w:t>de 54</w:t>
      </w:r>
      <w:r w:rsidR="00411538">
        <w:rPr>
          <w:lang w:val="fr-CA"/>
        </w:rPr>
        <w:t> </w:t>
      </w:r>
      <w:r w:rsidRPr="008121B7">
        <w:rPr>
          <w:lang w:val="fr-CA"/>
        </w:rPr>
        <w:t>pour cent, et plus de 8</w:t>
      </w:r>
      <w:r w:rsidR="00411538">
        <w:rPr>
          <w:lang w:val="fr-CA"/>
        </w:rPr>
        <w:t>1 </w:t>
      </w:r>
      <w:r w:rsidRPr="008121B7">
        <w:rPr>
          <w:lang w:val="fr-CA"/>
        </w:rPr>
        <w:t xml:space="preserve">pour cent des fonds totaux </w:t>
      </w:r>
      <w:r>
        <w:rPr>
          <w:lang w:val="fr-CA"/>
        </w:rPr>
        <w:t xml:space="preserve">approuvés dans le cadre du PGEH ont été décaissés. </w:t>
      </w:r>
      <w:r w:rsidRPr="008121B7">
        <w:rPr>
          <w:lang w:val="fr-CA"/>
        </w:rPr>
        <w:t>Le programme d’incitation financière visant l’achat, installation et l’entretien de climatiseurs à base de</w:t>
      </w:r>
      <w:r w:rsidR="0065250C">
        <w:rPr>
          <w:lang w:val="fr-CA"/>
        </w:rPr>
        <w:t xml:space="preserve"> R</w:t>
      </w:r>
      <w:r w:rsidR="00411538">
        <w:rPr>
          <w:lang w:val="fr-CA"/>
        </w:rPr>
        <w:noBreakHyphen/>
      </w:r>
      <w:r w:rsidR="0065250C">
        <w:rPr>
          <w:lang w:val="fr-CA"/>
        </w:rPr>
        <w:t>290</w:t>
      </w:r>
      <w:r w:rsidRPr="008121B7">
        <w:rPr>
          <w:lang w:val="fr-CA"/>
        </w:rPr>
        <w:t xml:space="preserve"> facilitera l’introduction de technologies </w:t>
      </w:r>
      <w:r>
        <w:rPr>
          <w:lang w:val="fr-CA"/>
        </w:rPr>
        <w:t>à haute efficacité énergétique et faible PRP pour le remplacement des H</w:t>
      </w:r>
      <w:r w:rsidR="00411538">
        <w:rPr>
          <w:lang w:val="fr-CA"/>
        </w:rPr>
        <w:t>C</w:t>
      </w:r>
      <w:r>
        <w:rPr>
          <w:lang w:val="fr-CA"/>
        </w:rPr>
        <w:t>FC et des HFC, conformément au paragraphe</w:t>
      </w:r>
      <w:r w:rsidR="00D570C5">
        <w:rPr>
          <w:lang w:val="fr-CA"/>
        </w:rPr>
        <w:t> </w:t>
      </w:r>
      <w:r>
        <w:rPr>
          <w:lang w:val="fr-CA"/>
        </w:rPr>
        <w:t>16 de la décision</w:t>
      </w:r>
      <w:r w:rsidR="00411538">
        <w:rPr>
          <w:lang w:val="fr-CA"/>
        </w:rPr>
        <w:t> </w:t>
      </w:r>
      <w:r>
        <w:rPr>
          <w:lang w:val="fr-CA"/>
        </w:rPr>
        <w:t>XXVIII/2</w:t>
      </w:r>
      <w:r w:rsidR="00411538">
        <w:rPr>
          <w:lang w:val="fr-CA"/>
        </w:rPr>
        <w:t>. L</w:t>
      </w:r>
      <w:r>
        <w:rPr>
          <w:lang w:val="fr-CA"/>
        </w:rPr>
        <w:t>e gouvernement assure la durabilité du processus des SAO déjà éliminé</w:t>
      </w:r>
      <w:r w:rsidR="003B3252">
        <w:rPr>
          <w:lang w:val="fr-CA"/>
        </w:rPr>
        <w:t>e</w:t>
      </w:r>
      <w:r>
        <w:rPr>
          <w:lang w:val="fr-CA"/>
        </w:rPr>
        <w:t xml:space="preserve">s, grâce à son système d’octroi de licences et de quotas, à une interdiction frappant l’importation de ces substances et de l’équipement qui les renferme, et à des activités de formation et de sensibilisation. </w:t>
      </w:r>
      <w:r w:rsidRPr="008121B7">
        <w:rPr>
          <w:lang w:val="fr-CA"/>
        </w:rPr>
        <w:t xml:space="preserve">Les activités déjà menées et celles prévues dans le cadre de la quatrième tranche </w:t>
      </w:r>
      <w:r>
        <w:rPr>
          <w:lang w:val="fr-CA"/>
        </w:rPr>
        <w:t xml:space="preserve">renforceront encore plus le secteur de l’entretien et ce, de manière durable, et continueront d’aider le </w:t>
      </w:r>
      <w:r w:rsidR="00411538">
        <w:rPr>
          <w:lang w:val="fr-CA"/>
        </w:rPr>
        <w:t>p</w:t>
      </w:r>
      <w:r>
        <w:rPr>
          <w:lang w:val="fr-CA"/>
        </w:rPr>
        <w:t xml:space="preserve">ays </w:t>
      </w:r>
      <w:r w:rsidR="00411538">
        <w:rPr>
          <w:lang w:val="fr-CA"/>
        </w:rPr>
        <w:t>à</w:t>
      </w:r>
      <w:r>
        <w:rPr>
          <w:lang w:val="fr-CA"/>
        </w:rPr>
        <w:t xml:space="preserve"> respect</w:t>
      </w:r>
      <w:r w:rsidR="00411538">
        <w:rPr>
          <w:lang w:val="fr-CA"/>
        </w:rPr>
        <w:t>er</w:t>
      </w:r>
      <w:r>
        <w:rPr>
          <w:lang w:val="fr-CA"/>
        </w:rPr>
        <w:t xml:space="preserve"> ses obligations au titre du Protocole. </w:t>
      </w:r>
    </w:p>
    <w:p w:rsidR="00264F4B" w:rsidRPr="00A4172F" w:rsidRDefault="00264F4B" w:rsidP="00264F4B">
      <w:pPr>
        <w:keepNext/>
        <w:keepLines/>
        <w:rPr>
          <w:lang w:val="en-CA"/>
        </w:rPr>
      </w:pPr>
      <w:r w:rsidRPr="00A4172F">
        <w:rPr>
          <w:b/>
          <w:lang w:val="en-CA"/>
        </w:rPr>
        <w:t>RECOMM</w:t>
      </w:r>
      <w:r w:rsidR="00F107E8">
        <w:rPr>
          <w:b/>
          <w:lang w:val="en-CA"/>
        </w:rPr>
        <w:t>A</w:t>
      </w:r>
      <w:r w:rsidRPr="00A4172F">
        <w:rPr>
          <w:b/>
          <w:lang w:val="en-CA"/>
        </w:rPr>
        <w:t>NDATION</w:t>
      </w:r>
    </w:p>
    <w:p w:rsidR="00264F4B" w:rsidRPr="00A4172F" w:rsidRDefault="00264F4B" w:rsidP="00264F4B">
      <w:pPr>
        <w:keepNext/>
        <w:keepLines/>
        <w:rPr>
          <w:lang w:val="en-CA"/>
        </w:rPr>
      </w:pPr>
    </w:p>
    <w:p w:rsidR="00264F4B" w:rsidRPr="00D570C5" w:rsidRDefault="008121B7" w:rsidP="00264F4B">
      <w:pPr>
        <w:pStyle w:val="Heading1"/>
        <w:keepNext/>
        <w:keepLines/>
        <w:rPr>
          <w:lang w:val="fr-CA"/>
        </w:rPr>
      </w:pPr>
      <w:r w:rsidRPr="00D570C5">
        <w:rPr>
          <w:lang w:val="fr-CA"/>
        </w:rPr>
        <w:t>Le Secrétariat du Fonds recommande que le Comité exécutif prenne note du rapport périodique sur la mise en œuvre de la troisième tranche de la phase</w:t>
      </w:r>
      <w:r w:rsidR="00F107E8" w:rsidRPr="00D570C5">
        <w:rPr>
          <w:lang w:val="fr-CA"/>
        </w:rPr>
        <w:t> </w:t>
      </w:r>
      <w:r w:rsidRPr="00D570C5">
        <w:rPr>
          <w:lang w:val="fr-CA"/>
        </w:rPr>
        <w:t>I du plan de gestion de l’élimination des HCFC (PGEH) pour le Togo; et recommande par ailleurs l’approbation globale de la quatrième tranche de la phase</w:t>
      </w:r>
      <w:r w:rsidR="00F107E8" w:rsidRPr="00D570C5">
        <w:rPr>
          <w:lang w:val="fr-CA"/>
        </w:rPr>
        <w:t> </w:t>
      </w:r>
      <w:r w:rsidRPr="00D570C5">
        <w:rPr>
          <w:lang w:val="fr-CA"/>
        </w:rPr>
        <w:t xml:space="preserve">I du PGEH pour le Togo, ainsi que du </w:t>
      </w:r>
      <w:r w:rsidR="00F107E8" w:rsidRPr="00D570C5">
        <w:rPr>
          <w:lang w:val="fr-CA"/>
        </w:rPr>
        <w:t>p</w:t>
      </w:r>
      <w:r w:rsidRPr="00D570C5">
        <w:rPr>
          <w:lang w:val="fr-CA"/>
        </w:rPr>
        <w:t xml:space="preserve">lan de mise en œuvre </w:t>
      </w:r>
      <w:r w:rsidR="00A2793E">
        <w:rPr>
          <w:lang w:val="fr-CA"/>
        </w:rPr>
        <w:t xml:space="preserve">de la tranche </w:t>
      </w:r>
      <w:r w:rsidRPr="00D570C5">
        <w:rPr>
          <w:lang w:val="fr-CA"/>
        </w:rPr>
        <w:t>correspondant pour</w:t>
      </w:r>
      <w:r w:rsidR="00F107E8" w:rsidRPr="00D570C5">
        <w:rPr>
          <w:lang w:val="fr-CA"/>
        </w:rPr>
        <w:t> </w:t>
      </w:r>
      <w:r w:rsidRPr="00D570C5">
        <w:rPr>
          <w:lang w:val="fr-CA"/>
        </w:rPr>
        <w:t>2019</w:t>
      </w:r>
      <w:r w:rsidR="00F107E8" w:rsidRPr="00D570C5">
        <w:rPr>
          <w:lang w:val="fr-CA"/>
        </w:rPr>
        <w:noBreakHyphen/>
      </w:r>
      <w:r w:rsidRPr="00D570C5">
        <w:rPr>
          <w:lang w:val="fr-CA"/>
        </w:rPr>
        <w:t>2021, au niveau de financement figurant dans le tableau ci-après, étant entendu</w:t>
      </w:r>
      <w:r w:rsidR="00D570C5" w:rsidRPr="00D570C5">
        <w:rPr>
          <w:lang w:val="fr-CA"/>
        </w:rPr>
        <w:t> </w:t>
      </w:r>
      <w:r w:rsidRPr="00D570C5">
        <w:rPr>
          <w:lang w:val="fr-CA"/>
        </w:rPr>
        <w:t xml:space="preserve">: </w:t>
      </w:r>
    </w:p>
    <w:p w:rsidR="00264F4B" w:rsidRPr="008121B7" w:rsidRDefault="008121B7" w:rsidP="00264F4B">
      <w:pPr>
        <w:pStyle w:val="Heading2"/>
        <w:rPr>
          <w:lang w:val="fr-CA"/>
        </w:rPr>
      </w:pPr>
      <w:r w:rsidRPr="008121B7">
        <w:rPr>
          <w:lang w:val="fr-CA"/>
        </w:rPr>
        <w:t xml:space="preserve">Que la consommation du Togo ne concerne que le secteur de l’entretien; </w:t>
      </w:r>
    </w:p>
    <w:p w:rsidR="00264F4B" w:rsidRPr="00D4512D" w:rsidRDefault="008121B7" w:rsidP="00264F4B">
      <w:pPr>
        <w:pStyle w:val="Heading2"/>
        <w:rPr>
          <w:lang w:val="fr-CA"/>
        </w:rPr>
      </w:pPr>
      <w:r w:rsidRPr="00D4512D">
        <w:rPr>
          <w:lang w:val="fr-CA"/>
        </w:rPr>
        <w:t xml:space="preserve">Que le programme d’incitation qui favorise la reconversion </w:t>
      </w:r>
      <w:r w:rsidR="00D4512D" w:rsidRPr="00D4512D">
        <w:rPr>
          <w:lang w:val="fr-CA"/>
        </w:rPr>
        <w:t xml:space="preserve">des appareils de climatisation </w:t>
      </w:r>
      <w:r w:rsidR="00D4512D">
        <w:rPr>
          <w:lang w:val="fr-CA"/>
        </w:rPr>
        <w:t xml:space="preserve">à des technologies à faible potentiel de réchauffement de la planète comporte des activités de formation et de renforcement des capacités permettant d’assurer la durabilité de la mise en œuvre; </w:t>
      </w:r>
      <w:r w:rsidR="00F63BD4">
        <w:rPr>
          <w:lang w:val="fr-CA"/>
        </w:rPr>
        <w:t>et</w:t>
      </w:r>
    </w:p>
    <w:p w:rsidR="00264F4B" w:rsidRPr="00F107E8" w:rsidRDefault="00D4512D" w:rsidP="00264F4B">
      <w:pPr>
        <w:pStyle w:val="Heading2"/>
        <w:rPr>
          <w:lang w:val="fr-CA"/>
        </w:rPr>
      </w:pPr>
      <w:r w:rsidRPr="00D4512D">
        <w:rPr>
          <w:lang w:val="fr-CA"/>
        </w:rPr>
        <w:t xml:space="preserve">Que les trois bénéficiaires procureront un cofinancement pour participer </w:t>
      </w:r>
      <w:r>
        <w:rPr>
          <w:lang w:val="fr-CA"/>
        </w:rPr>
        <w:t>au programme.</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4320"/>
        <w:gridCol w:w="1461"/>
        <w:gridCol w:w="1461"/>
        <w:gridCol w:w="1461"/>
      </w:tblGrid>
      <w:tr w:rsidR="00264F4B" w:rsidRPr="00A4172F" w:rsidTr="007A66C5">
        <w:tc>
          <w:tcPr>
            <w:tcW w:w="540" w:type="dxa"/>
          </w:tcPr>
          <w:p w:rsidR="00264F4B" w:rsidRPr="00F107E8" w:rsidRDefault="00264F4B" w:rsidP="007A66C5">
            <w:pPr>
              <w:jc w:val="center"/>
              <w:rPr>
                <w:b/>
                <w:bCs/>
                <w:sz w:val="20"/>
                <w:szCs w:val="20"/>
                <w:lang w:val="fr-CA"/>
              </w:rPr>
            </w:pPr>
          </w:p>
        </w:tc>
        <w:tc>
          <w:tcPr>
            <w:tcW w:w="4320" w:type="dxa"/>
          </w:tcPr>
          <w:p w:rsidR="00264F4B" w:rsidRPr="00A4172F" w:rsidRDefault="00D4512D" w:rsidP="007A66C5">
            <w:pPr>
              <w:jc w:val="center"/>
              <w:rPr>
                <w:b/>
                <w:bCs/>
                <w:sz w:val="20"/>
                <w:szCs w:val="20"/>
                <w:lang w:val="en-CA"/>
              </w:rPr>
            </w:pPr>
            <w:r>
              <w:rPr>
                <w:b/>
                <w:bCs/>
                <w:sz w:val="20"/>
                <w:szCs w:val="20"/>
                <w:lang w:val="en-CA"/>
              </w:rPr>
              <w:t>Titre du projet</w:t>
            </w:r>
          </w:p>
        </w:tc>
        <w:tc>
          <w:tcPr>
            <w:tcW w:w="1461" w:type="dxa"/>
            <w:tcMar>
              <w:left w:w="29" w:type="dxa"/>
              <w:right w:w="29" w:type="dxa"/>
            </w:tcMar>
          </w:tcPr>
          <w:p w:rsidR="00264F4B" w:rsidRPr="00A4172F" w:rsidRDefault="00D4512D" w:rsidP="007A66C5">
            <w:pPr>
              <w:jc w:val="center"/>
              <w:rPr>
                <w:b/>
                <w:bCs/>
                <w:sz w:val="20"/>
                <w:szCs w:val="20"/>
                <w:lang w:val="en-CA"/>
              </w:rPr>
            </w:pPr>
            <w:r>
              <w:rPr>
                <w:b/>
                <w:bCs/>
                <w:sz w:val="20"/>
                <w:szCs w:val="20"/>
                <w:lang w:val="en-CA"/>
              </w:rPr>
              <w:t xml:space="preserve">Financement du projet </w:t>
            </w:r>
            <w:r w:rsidR="00264F4B" w:rsidRPr="00A4172F">
              <w:rPr>
                <w:b/>
                <w:bCs/>
                <w:sz w:val="20"/>
                <w:szCs w:val="20"/>
                <w:lang w:val="en-CA"/>
              </w:rPr>
              <w:t>(</w:t>
            </w:r>
            <w:r w:rsidR="00F107E8">
              <w:rPr>
                <w:b/>
                <w:bCs/>
                <w:sz w:val="20"/>
                <w:szCs w:val="20"/>
                <w:lang w:val="en-CA"/>
              </w:rPr>
              <w:t>$</w:t>
            </w:r>
            <w:r w:rsidR="00264F4B" w:rsidRPr="00A4172F">
              <w:rPr>
                <w:b/>
                <w:bCs/>
                <w:sz w:val="20"/>
                <w:szCs w:val="20"/>
                <w:lang w:val="en-CA"/>
              </w:rPr>
              <w:t>US)</w:t>
            </w:r>
          </w:p>
        </w:tc>
        <w:tc>
          <w:tcPr>
            <w:tcW w:w="1461" w:type="dxa"/>
            <w:tcMar>
              <w:left w:w="29" w:type="dxa"/>
              <w:right w:w="29" w:type="dxa"/>
            </w:tcMar>
          </w:tcPr>
          <w:p w:rsidR="00264F4B" w:rsidRPr="00A4172F" w:rsidRDefault="00D4512D" w:rsidP="007A66C5">
            <w:pPr>
              <w:jc w:val="center"/>
              <w:rPr>
                <w:b/>
                <w:bCs/>
                <w:sz w:val="20"/>
                <w:szCs w:val="20"/>
                <w:lang w:val="en-CA"/>
              </w:rPr>
            </w:pPr>
            <w:r>
              <w:rPr>
                <w:b/>
                <w:bCs/>
                <w:sz w:val="20"/>
                <w:szCs w:val="20"/>
                <w:lang w:val="en-CA"/>
              </w:rPr>
              <w:t xml:space="preserve">Coût d’appui </w:t>
            </w:r>
            <w:r w:rsidR="00264F4B" w:rsidRPr="00A4172F">
              <w:rPr>
                <w:b/>
                <w:bCs/>
                <w:sz w:val="20"/>
                <w:szCs w:val="20"/>
                <w:lang w:val="en-CA"/>
              </w:rPr>
              <w:t>(</w:t>
            </w:r>
            <w:r w:rsidR="00F107E8">
              <w:rPr>
                <w:b/>
                <w:bCs/>
                <w:sz w:val="20"/>
                <w:szCs w:val="20"/>
                <w:lang w:val="en-CA"/>
              </w:rPr>
              <w:t>$</w:t>
            </w:r>
            <w:r w:rsidR="00264F4B" w:rsidRPr="00A4172F">
              <w:rPr>
                <w:b/>
                <w:bCs/>
                <w:sz w:val="20"/>
                <w:szCs w:val="20"/>
                <w:lang w:val="en-CA"/>
              </w:rPr>
              <w:t>US)</w:t>
            </w:r>
          </w:p>
        </w:tc>
        <w:tc>
          <w:tcPr>
            <w:tcW w:w="1461" w:type="dxa"/>
            <w:tcMar>
              <w:left w:w="29" w:type="dxa"/>
              <w:right w:w="29" w:type="dxa"/>
            </w:tcMar>
          </w:tcPr>
          <w:p w:rsidR="00264F4B" w:rsidRPr="00A4172F" w:rsidRDefault="00D4512D" w:rsidP="007A66C5">
            <w:pPr>
              <w:jc w:val="center"/>
              <w:rPr>
                <w:b/>
                <w:bCs/>
                <w:sz w:val="20"/>
                <w:szCs w:val="20"/>
                <w:lang w:val="en-CA"/>
              </w:rPr>
            </w:pPr>
            <w:r>
              <w:rPr>
                <w:b/>
                <w:bCs/>
                <w:sz w:val="20"/>
                <w:szCs w:val="20"/>
                <w:lang w:val="en-CA"/>
              </w:rPr>
              <w:t>Agence d’exécution</w:t>
            </w:r>
          </w:p>
        </w:tc>
      </w:tr>
      <w:tr w:rsidR="00264F4B" w:rsidRPr="00A4172F" w:rsidTr="007A66C5">
        <w:tc>
          <w:tcPr>
            <w:tcW w:w="540" w:type="dxa"/>
          </w:tcPr>
          <w:p w:rsidR="00264F4B" w:rsidRPr="00A4172F" w:rsidRDefault="00264F4B" w:rsidP="007A66C5">
            <w:pPr>
              <w:rPr>
                <w:sz w:val="20"/>
                <w:szCs w:val="20"/>
                <w:lang w:val="en-CA"/>
              </w:rPr>
            </w:pPr>
            <w:r w:rsidRPr="00A4172F">
              <w:rPr>
                <w:sz w:val="20"/>
                <w:szCs w:val="20"/>
                <w:lang w:val="en-CA"/>
              </w:rPr>
              <w:t>a)</w:t>
            </w:r>
          </w:p>
        </w:tc>
        <w:tc>
          <w:tcPr>
            <w:tcW w:w="4320" w:type="dxa"/>
          </w:tcPr>
          <w:p w:rsidR="00264F4B" w:rsidRPr="00F107E8" w:rsidRDefault="00D4512D" w:rsidP="007A66C5">
            <w:pPr>
              <w:rPr>
                <w:sz w:val="20"/>
                <w:szCs w:val="20"/>
                <w:lang w:val="fr-CA"/>
              </w:rPr>
            </w:pPr>
            <w:r w:rsidRPr="00F107E8">
              <w:rPr>
                <w:sz w:val="20"/>
                <w:szCs w:val="20"/>
                <w:lang w:val="fr-CA"/>
              </w:rPr>
              <w:t>Plan de gestion de l’élimination des HCFC (phase</w:t>
            </w:r>
            <w:r w:rsidR="00F107E8" w:rsidRPr="00F107E8">
              <w:rPr>
                <w:sz w:val="20"/>
                <w:szCs w:val="20"/>
                <w:lang w:val="fr-CA"/>
              </w:rPr>
              <w:t> </w:t>
            </w:r>
            <w:r w:rsidRPr="00F107E8">
              <w:rPr>
                <w:sz w:val="20"/>
                <w:szCs w:val="20"/>
                <w:lang w:val="fr-CA"/>
              </w:rPr>
              <w:t xml:space="preserve">I, quatrième tranche) </w:t>
            </w:r>
          </w:p>
        </w:tc>
        <w:tc>
          <w:tcPr>
            <w:tcW w:w="1461" w:type="dxa"/>
          </w:tcPr>
          <w:p w:rsidR="00264F4B" w:rsidRPr="00A4172F" w:rsidRDefault="00264F4B" w:rsidP="007A66C5">
            <w:pPr>
              <w:jc w:val="right"/>
              <w:rPr>
                <w:sz w:val="20"/>
                <w:szCs w:val="20"/>
                <w:highlight w:val="cyan"/>
                <w:lang w:val="en-CA"/>
              </w:rPr>
            </w:pPr>
            <w:r w:rsidRPr="00A4172F">
              <w:rPr>
                <w:sz w:val="20"/>
                <w:szCs w:val="20"/>
                <w:lang w:val="en-CA"/>
              </w:rPr>
              <w:t>40</w:t>
            </w:r>
            <w:r w:rsidR="00F107E8">
              <w:rPr>
                <w:sz w:val="20"/>
                <w:szCs w:val="20"/>
                <w:lang w:val="en-CA"/>
              </w:rPr>
              <w:t> </w:t>
            </w:r>
            <w:r w:rsidRPr="00A4172F">
              <w:rPr>
                <w:sz w:val="20"/>
                <w:szCs w:val="20"/>
                <w:lang w:val="en-CA"/>
              </w:rPr>
              <w:t>000</w:t>
            </w:r>
          </w:p>
        </w:tc>
        <w:tc>
          <w:tcPr>
            <w:tcW w:w="1461" w:type="dxa"/>
          </w:tcPr>
          <w:p w:rsidR="00264F4B" w:rsidRPr="00A4172F" w:rsidRDefault="00264F4B" w:rsidP="007A66C5">
            <w:pPr>
              <w:jc w:val="right"/>
              <w:rPr>
                <w:lang w:val="en-CA"/>
              </w:rPr>
            </w:pPr>
            <w:r w:rsidRPr="00A4172F">
              <w:rPr>
                <w:sz w:val="20"/>
                <w:szCs w:val="20"/>
                <w:lang w:val="en-CA"/>
              </w:rPr>
              <w:t>5</w:t>
            </w:r>
            <w:r w:rsidR="00F107E8">
              <w:rPr>
                <w:sz w:val="20"/>
                <w:szCs w:val="20"/>
                <w:lang w:val="en-CA"/>
              </w:rPr>
              <w:t> </w:t>
            </w:r>
            <w:r w:rsidRPr="00A4172F">
              <w:rPr>
                <w:sz w:val="20"/>
                <w:szCs w:val="20"/>
                <w:lang w:val="en-CA"/>
              </w:rPr>
              <w:t>200</w:t>
            </w:r>
          </w:p>
        </w:tc>
        <w:tc>
          <w:tcPr>
            <w:tcW w:w="1461" w:type="dxa"/>
          </w:tcPr>
          <w:p w:rsidR="00264F4B" w:rsidRPr="00A4172F" w:rsidRDefault="00D4512D" w:rsidP="007A66C5">
            <w:pPr>
              <w:jc w:val="center"/>
              <w:rPr>
                <w:sz w:val="20"/>
                <w:szCs w:val="20"/>
                <w:lang w:val="en-CA"/>
              </w:rPr>
            </w:pPr>
            <w:r>
              <w:rPr>
                <w:sz w:val="20"/>
                <w:szCs w:val="20"/>
                <w:lang w:val="en-CA"/>
              </w:rPr>
              <w:t>PNUE</w:t>
            </w:r>
          </w:p>
        </w:tc>
      </w:tr>
    </w:tbl>
    <w:p w:rsidR="00264F4B" w:rsidRDefault="00264F4B" w:rsidP="00264F4B">
      <w:pPr>
        <w:rPr>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6"/>
        <w:gridCol w:w="1596"/>
        <w:gridCol w:w="1596"/>
        <w:gridCol w:w="1596"/>
        <w:gridCol w:w="1596"/>
        <w:gridCol w:w="1596"/>
      </w:tblGrid>
      <w:tr w:rsidR="00042D82" w:rsidRPr="00A4172F" w:rsidTr="00042D82">
        <w:tc>
          <w:tcPr>
            <w:tcW w:w="1596" w:type="dxa"/>
          </w:tcPr>
          <w:p w:rsidR="00042D82" w:rsidRPr="00A4172F" w:rsidRDefault="00042D82" w:rsidP="007A66C5">
            <w:pPr>
              <w:rPr>
                <w:lang w:val="en-CA"/>
              </w:rPr>
            </w:pPr>
          </w:p>
        </w:tc>
        <w:tc>
          <w:tcPr>
            <w:tcW w:w="1596" w:type="dxa"/>
          </w:tcPr>
          <w:p w:rsidR="00042D82" w:rsidRPr="00A4172F" w:rsidRDefault="00042D82" w:rsidP="007A66C5">
            <w:pPr>
              <w:rPr>
                <w:lang w:val="en-CA"/>
              </w:rPr>
            </w:pPr>
          </w:p>
        </w:tc>
        <w:tc>
          <w:tcPr>
            <w:tcW w:w="1596" w:type="dxa"/>
            <w:tcBorders>
              <w:bottom w:val="single" w:sz="4" w:space="0" w:color="auto"/>
            </w:tcBorders>
          </w:tcPr>
          <w:p w:rsidR="00042D82" w:rsidRPr="00A4172F" w:rsidRDefault="00042D82" w:rsidP="007A66C5">
            <w:pPr>
              <w:rPr>
                <w:lang w:val="en-CA"/>
              </w:rPr>
            </w:pPr>
          </w:p>
        </w:tc>
        <w:tc>
          <w:tcPr>
            <w:tcW w:w="1596" w:type="dxa"/>
          </w:tcPr>
          <w:p w:rsidR="00042D82" w:rsidRPr="00A4172F" w:rsidRDefault="00042D82" w:rsidP="007A66C5">
            <w:pPr>
              <w:rPr>
                <w:lang w:val="en-CA"/>
              </w:rPr>
            </w:pPr>
          </w:p>
        </w:tc>
        <w:tc>
          <w:tcPr>
            <w:tcW w:w="1596" w:type="dxa"/>
          </w:tcPr>
          <w:p w:rsidR="00042D82" w:rsidRPr="00A4172F" w:rsidRDefault="00042D82" w:rsidP="007A66C5">
            <w:pPr>
              <w:rPr>
                <w:lang w:val="en-CA"/>
              </w:rPr>
            </w:pPr>
          </w:p>
        </w:tc>
        <w:tc>
          <w:tcPr>
            <w:tcW w:w="1596" w:type="dxa"/>
          </w:tcPr>
          <w:p w:rsidR="00042D82" w:rsidRPr="00A4172F" w:rsidRDefault="00042D82" w:rsidP="007A66C5">
            <w:pPr>
              <w:rPr>
                <w:lang w:val="en-CA"/>
              </w:rPr>
            </w:pPr>
          </w:p>
        </w:tc>
      </w:tr>
    </w:tbl>
    <w:p w:rsidR="00436527" w:rsidRDefault="00436527" w:rsidP="00DF70B8">
      <w:pPr>
        <w:pStyle w:val="StyleHeading1Para1Heading1CharHeading1Char3CharHeadin"/>
        <w:rPr>
          <w:lang w:val="fr-CA"/>
        </w:rPr>
      </w:pPr>
    </w:p>
    <w:p w:rsidR="00441083" w:rsidRDefault="00441083">
      <w:pPr>
        <w:pStyle w:val="StyleHeader4Para4Left0Firstline0"/>
        <w:numPr>
          <w:ilvl w:val="0"/>
          <w:numId w:val="0"/>
        </w:numPr>
        <w:rPr>
          <w:lang w:val="fr-FR"/>
        </w:rPr>
      </w:pPr>
    </w:p>
    <w:p w:rsidR="00441083" w:rsidRDefault="00441083" w:rsidP="0065250C">
      <w:pPr>
        <w:pStyle w:val="StyleHeader4Para4Left0Firstline0"/>
        <w:numPr>
          <w:ilvl w:val="0"/>
          <w:numId w:val="0"/>
        </w:numPr>
        <w:rPr>
          <w:lang w:val="fr-FR"/>
        </w:rPr>
        <w:sectPr w:rsidR="00441083">
          <w:headerReference w:type="even" r:id="rId10"/>
          <w:headerReference w:type="default" r:id="rId11"/>
          <w:footerReference w:type="even" r:id="rId12"/>
          <w:footerReference w:type="default" r:id="rId13"/>
          <w:footerReference w:type="first" r:id="rId14"/>
          <w:pgSz w:w="12240" w:h="15840" w:code="1"/>
          <w:pgMar w:top="720" w:right="1440" w:bottom="864" w:left="1440" w:header="720" w:footer="475" w:gutter="0"/>
          <w:cols w:space="720"/>
          <w:titlePg/>
        </w:sectPr>
      </w:pPr>
    </w:p>
    <w:p w:rsidR="00441083" w:rsidRDefault="00441083">
      <w:pPr>
        <w:rPr>
          <w:lang w:val="fr-FR"/>
        </w:rPr>
      </w:pPr>
    </w:p>
    <w:sectPr w:rsidR="00441083">
      <w:headerReference w:type="first" r:id="rId15"/>
      <w:footerReference w:type="first" r:id="rId16"/>
      <w:pgSz w:w="12240" w:h="15840" w:code="1"/>
      <w:pgMar w:top="720" w:right="1440" w:bottom="864" w:left="1440"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54AD" w:rsidRDefault="00A654AD">
      <w:r>
        <w:separator/>
      </w:r>
    </w:p>
  </w:endnote>
  <w:endnote w:type="continuationSeparator" w:id="0">
    <w:p w:rsidR="00A654AD" w:rsidRDefault="00A65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 w:name="Univers Bold">
    <w:altName w:val="Arial"/>
    <w:panose1 w:val="00000000000000000000"/>
    <w:charset w:val="00"/>
    <w:family w:val="swiss"/>
    <w:notTrueType/>
    <w:pitch w:val="variable"/>
    <w:sig w:usb0="00000003" w:usb1="00000000" w:usb2="00000000" w:usb3="00000000" w:csb0="00000001" w:csb1="00000000"/>
  </w:font>
  <w:font w:name="MS Serif">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6C5" w:rsidRDefault="007A66C5">
    <w:pPr>
      <w:jc w:val="center"/>
    </w:pPr>
    <w:r>
      <w:fldChar w:fldCharType="begin"/>
    </w:r>
    <w:r>
      <w:instrText xml:space="preserve"> PAGE </w:instrText>
    </w:r>
    <w:r>
      <w:fldChar w:fldCharType="separate"/>
    </w:r>
    <w:r w:rsidR="009A7BCC">
      <w:rPr>
        <w:noProof/>
      </w:rPr>
      <w:t>2</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6C5" w:rsidRDefault="007A66C5">
    <w:pPr>
      <w:jc w:val="center"/>
    </w:pPr>
    <w:r>
      <w:fldChar w:fldCharType="begin"/>
    </w:r>
    <w:r>
      <w:instrText xml:space="preserve"> PAGE </w:instrText>
    </w:r>
    <w:r>
      <w:fldChar w:fldCharType="separate"/>
    </w:r>
    <w:r w:rsidR="009A7BCC">
      <w:rPr>
        <w:noProof/>
      </w:rPr>
      <w:t>3</w:t>
    </w:r>
    <w:r>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6C5" w:rsidRDefault="007A66C5">
    <w:pPr>
      <w:pBdr>
        <w:top w:val="single" w:sz="4" w:space="1" w:color="auto"/>
        <w:left w:val="single" w:sz="4" w:space="4" w:color="auto"/>
        <w:bottom w:val="single" w:sz="4" w:space="1" w:color="auto"/>
        <w:right w:val="single" w:sz="4" w:space="4" w:color="auto"/>
      </w:pBdr>
      <w:jc w:val="center"/>
      <w:rPr>
        <w:rFonts w:cs="MS Serif"/>
        <w:sz w:val="20"/>
        <w:lang w:val="fr-FR"/>
      </w:rPr>
    </w:pPr>
    <w:r>
      <w:rPr>
        <w:rFonts w:cs="MS Serif"/>
        <w:sz w:val="20"/>
        <w:lang w:val="fr-FR"/>
      </w:rPr>
      <w:t xml:space="preserve">Les documents de présession du Comité exécutif du Fonds multilatéral aux fins d’application du Protocole de </w:t>
    </w:r>
  </w:p>
  <w:p w:rsidR="007A66C5" w:rsidRDefault="007A66C5">
    <w:pPr>
      <w:pBdr>
        <w:top w:val="single" w:sz="4" w:space="1" w:color="auto"/>
        <w:left w:val="single" w:sz="4" w:space="4" w:color="auto"/>
        <w:bottom w:val="single" w:sz="4" w:space="1" w:color="auto"/>
        <w:right w:val="single" w:sz="4" w:space="4" w:color="auto"/>
      </w:pBdr>
      <w:jc w:val="center"/>
      <w:rPr>
        <w:rFonts w:cs="MS Serif"/>
        <w:sz w:val="20"/>
        <w:lang w:val="fr-FR"/>
      </w:rPr>
    </w:pPr>
    <w:r>
      <w:rPr>
        <w:rFonts w:cs="MS Serif"/>
        <w:sz w:val="20"/>
        <w:lang w:val="fr-FR"/>
      </w:rPr>
      <w:t>Montréal sont présentés sous réserve des décisions pouvant être prises par le Comité exécutif après leur  publication.</w:t>
    </w:r>
  </w:p>
  <w:p w:rsidR="007A66C5" w:rsidRDefault="007A66C5">
    <w:pPr>
      <w:pStyle w:val="Footer"/>
      <w:rPr>
        <w:lang w:val="fr-FR"/>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5708631"/>
      <w:docPartObj>
        <w:docPartGallery w:val="Page Numbers (Bottom of Page)"/>
        <w:docPartUnique/>
      </w:docPartObj>
    </w:sdtPr>
    <w:sdtEndPr>
      <w:rPr>
        <w:noProof/>
      </w:rPr>
    </w:sdtEndPr>
    <w:sdtContent>
      <w:p w:rsidR="007A66C5" w:rsidRDefault="007A66C5">
        <w:pPr>
          <w:pStyle w:val="Footer"/>
          <w:jc w:val="center"/>
        </w:pPr>
        <w:r>
          <w:fldChar w:fldCharType="begin"/>
        </w:r>
        <w:r>
          <w:instrText xml:space="preserve"> PAGE   \* MERGEFORMAT </w:instrText>
        </w:r>
        <w:r>
          <w:fldChar w:fldCharType="separate"/>
        </w:r>
        <w:r w:rsidR="009A7BCC">
          <w:rPr>
            <w:noProof/>
          </w:rPr>
          <w:t>1</w:t>
        </w:r>
        <w:r>
          <w:rPr>
            <w:noProof/>
          </w:rPr>
          <w:fldChar w:fldCharType="end"/>
        </w:r>
      </w:p>
    </w:sdtContent>
  </w:sdt>
  <w:p w:rsidR="007A66C5" w:rsidRDefault="007A66C5">
    <w:pPr>
      <w:jc w:val="center"/>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54AD" w:rsidRDefault="00A654AD">
      <w:r>
        <w:separator/>
      </w:r>
    </w:p>
  </w:footnote>
  <w:footnote w:type="continuationSeparator" w:id="0">
    <w:p w:rsidR="00A654AD" w:rsidRDefault="00A654AD">
      <w:r>
        <w:continuationSeparator/>
      </w:r>
    </w:p>
  </w:footnote>
  <w:footnote w:id="1">
    <w:p w:rsidR="007A66C5" w:rsidRPr="00E06A22" w:rsidRDefault="007A66C5" w:rsidP="00264F4B">
      <w:pPr>
        <w:pStyle w:val="FootnoteText"/>
        <w:rPr>
          <w:lang w:val="fr-CA"/>
        </w:rPr>
      </w:pPr>
      <w:r w:rsidRPr="00FE3307">
        <w:rPr>
          <w:rStyle w:val="FootnoteReference"/>
        </w:rPr>
        <w:footnoteRef/>
      </w:r>
      <w:r w:rsidRPr="00E06A22">
        <w:rPr>
          <w:lang w:val="fr-CA"/>
        </w:rPr>
        <w:t xml:space="preserve"> </w:t>
      </w:r>
      <w:r w:rsidR="0065250C">
        <w:rPr>
          <w:lang w:val="fr-CA"/>
        </w:rPr>
        <w:t>C</w:t>
      </w:r>
      <w:r w:rsidR="0065250C" w:rsidRPr="000D0262">
        <w:rPr>
          <w:lang w:val="fr-CA"/>
        </w:rPr>
        <w:t>onformément à la lettre adressée le 22</w:t>
      </w:r>
      <w:r w:rsidR="0065250C">
        <w:rPr>
          <w:lang w:val="fr-CA"/>
        </w:rPr>
        <w:t> </w:t>
      </w:r>
      <w:r w:rsidR="0065250C" w:rsidRPr="000D0262">
        <w:rPr>
          <w:lang w:val="fr-CA"/>
        </w:rPr>
        <w:t>mars</w:t>
      </w:r>
      <w:r w:rsidR="0065250C">
        <w:rPr>
          <w:lang w:val="fr-CA"/>
        </w:rPr>
        <w:t> </w:t>
      </w:r>
      <w:r w:rsidR="0065250C" w:rsidRPr="000D0262">
        <w:rPr>
          <w:lang w:val="fr-CA"/>
        </w:rPr>
        <w:t>2019 par le ministère de l’Environnement</w:t>
      </w:r>
      <w:r w:rsidR="0065250C">
        <w:rPr>
          <w:lang w:val="fr-CA"/>
        </w:rPr>
        <w:t>,</w:t>
      </w:r>
      <w:r w:rsidR="0065250C" w:rsidRPr="000D0262">
        <w:rPr>
          <w:lang w:val="fr-CA"/>
        </w:rPr>
        <w:t xml:space="preserve"> du </w:t>
      </w:r>
      <w:r w:rsidR="0065250C">
        <w:rPr>
          <w:lang w:val="fr-CA"/>
        </w:rPr>
        <w:t>D</w:t>
      </w:r>
      <w:r w:rsidR="0065250C" w:rsidRPr="000D0262">
        <w:rPr>
          <w:lang w:val="fr-CA"/>
        </w:rPr>
        <w:t xml:space="preserve">éveloppement durable </w:t>
      </w:r>
      <w:r w:rsidR="0065250C">
        <w:rPr>
          <w:lang w:val="fr-CA"/>
        </w:rPr>
        <w:t>et de la Protection de la nature du Togo au Secrétariat</w:t>
      </w:r>
      <w:r w:rsidRPr="00E06A22">
        <w:rPr>
          <w:lang w:val="fr-CA"/>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6C5" w:rsidRDefault="009A7BCC">
    <w:r>
      <w:fldChar w:fldCharType="begin"/>
    </w:r>
    <w:r>
      <w:instrText xml:space="preserve"> DOCPROPERTY "Document number"  \* MERGEFORMAT </w:instrText>
    </w:r>
    <w:r>
      <w:fldChar w:fldCharType="separate"/>
    </w:r>
    <w:r w:rsidR="00F63BD4">
      <w:t>UNEP/OzL.Pro/ExCom/83/37</w:t>
    </w:r>
    <w:r>
      <w:fldChar w:fldCharType="end"/>
    </w:r>
  </w:p>
  <w:p w:rsidR="007A66C5" w:rsidRDefault="007A66C5"/>
  <w:p w:rsidR="007A66C5" w:rsidRDefault="007A66C5"/>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6C5" w:rsidRDefault="009A7BCC">
    <w:pPr>
      <w:jc w:val="right"/>
    </w:pPr>
    <w:r>
      <w:fldChar w:fldCharType="begin"/>
    </w:r>
    <w:r>
      <w:instrText xml:space="preserve"> DOCPROPERTY "Document number"  \* MERGEFORMAT </w:instrText>
    </w:r>
    <w:r>
      <w:fldChar w:fldCharType="separate"/>
    </w:r>
    <w:r w:rsidR="00F63BD4">
      <w:t>UNEP/OzL.Pro/ExCom/83/37</w:t>
    </w:r>
    <w:r>
      <w:fldChar w:fldCharType="end"/>
    </w:r>
  </w:p>
  <w:p w:rsidR="007A66C5" w:rsidRDefault="007A66C5"/>
  <w:p w:rsidR="007A66C5" w:rsidRDefault="007A66C5">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6C5" w:rsidRDefault="007A66C5">
    <w:pPr>
      <w:jc w:val="right"/>
    </w:pPr>
  </w:p>
  <w:p w:rsidR="007A66C5" w:rsidRDefault="007A66C5">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D6AE66FE"/>
    <w:lvl w:ilvl="0">
      <w:start w:val="1"/>
      <w:numFmt w:val="decimal"/>
      <w:pStyle w:val="Heading1"/>
      <w:lvlText w:val="%1."/>
      <w:lvlJc w:val="left"/>
      <w:pPr>
        <w:tabs>
          <w:tab w:val="num" w:pos="0"/>
        </w:tabs>
        <w:ind w:left="0" w:firstLine="0"/>
      </w:p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05E00F85"/>
    <w:multiLevelType w:val="hybridMultilevel"/>
    <w:tmpl w:val="0262CC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7A837CD"/>
    <w:multiLevelType w:val="hybridMultilevel"/>
    <w:tmpl w:val="EA74127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5"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5FD4054B"/>
    <w:multiLevelType w:val="hybridMultilevel"/>
    <w:tmpl w:val="6A8885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5"/>
  </w:num>
  <w:num w:numId="18">
    <w:abstractNumId w:val="16"/>
  </w:num>
  <w:num w:numId="19">
    <w:abstractNumId w:val="18"/>
  </w:num>
  <w:num w:numId="20">
    <w:abstractNumId w:val="14"/>
  </w:num>
  <w:num w:numId="21">
    <w:abstractNumId w:val="11"/>
  </w:num>
  <w:num w:numId="22">
    <w:abstractNumId w:val="12"/>
  </w:num>
  <w:num w:numId="23">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7"/>
  <w:embedSystemFonts/>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DA4"/>
    <w:rsid w:val="00022B0B"/>
    <w:rsid w:val="00042D82"/>
    <w:rsid w:val="00085BCB"/>
    <w:rsid w:val="000D0262"/>
    <w:rsid w:val="000F60BB"/>
    <w:rsid w:val="001832ED"/>
    <w:rsid w:val="001866A8"/>
    <w:rsid w:val="001A7F7D"/>
    <w:rsid w:val="001C3D0C"/>
    <w:rsid w:val="001D4CE7"/>
    <w:rsid w:val="00220DA4"/>
    <w:rsid w:val="00264F4B"/>
    <w:rsid w:val="00265AF0"/>
    <w:rsid w:val="00277924"/>
    <w:rsid w:val="002933B2"/>
    <w:rsid w:val="002F0B57"/>
    <w:rsid w:val="00381FE6"/>
    <w:rsid w:val="003B3252"/>
    <w:rsid w:val="004068E6"/>
    <w:rsid w:val="00411538"/>
    <w:rsid w:val="0043586D"/>
    <w:rsid w:val="00436527"/>
    <w:rsid w:val="00441083"/>
    <w:rsid w:val="004C2C87"/>
    <w:rsid w:val="004E3A36"/>
    <w:rsid w:val="00605093"/>
    <w:rsid w:val="0065250C"/>
    <w:rsid w:val="006E1739"/>
    <w:rsid w:val="007034FA"/>
    <w:rsid w:val="0075750B"/>
    <w:rsid w:val="007A66C5"/>
    <w:rsid w:val="008121B7"/>
    <w:rsid w:val="00853D64"/>
    <w:rsid w:val="008575D1"/>
    <w:rsid w:val="008B2E8B"/>
    <w:rsid w:val="008D497E"/>
    <w:rsid w:val="0091161A"/>
    <w:rsid w:val="00931F92"/>
    <w:rsid w:val="009553A4"/>
    <w:rsid w:val="00972848"/>
    <w:rsid w:val="009A5180"/>
    <w:rsid w:val="009A7BCC"/>
    <w:rsid w:val="009B4FAB"/>
    <w:rsid w:val="009D30E2"/>
    <w:rsid w:val="00A24C0D"/>
    <w:rsid w:val="00A2793E"/>
    <w:rsid w:val="00A50B2D"/>
    <w:rsid w:val="00A654AD"/>
    <w:rsid w:val="00AA61C1"/>
    <w:rsid w:val="00AA78E2"/>
    <w:rsid w:val="00AE63D8"/>
    <w:rsid w:val="00B756B6"/>
    <w:rsid w:val="00B811F2"/>
    <w:rsid w:val="00B835E0"/>
    <w:rsid w:val="00BC3C7D"/>
    <w:rsid w:val="00BC3E74"/>
    <w:rsid w:val="00C3742A"/>
    <w:rsid w:val="00C6443E"/>
    <w:rsid w:val="00D4512D"/>
    <w:rsid w:val="00D570C5"/>
    <w:rsid w:val="00DF70B8"/>
    <w:rsid w:val="00E54871"/>
    <w:rsid w:val="00E60D9C"/>
    <w:rsid w:val="00F107E8"/>
    <w:rsid w:val="00F37A42"/>
    <w:rsid w:val="00F557F5"/>
    <w:rsid w:val="00F63BD4"/>
    <w:rsid w:val="00F655DE"/>
    <w:rsid w:val="00FB2437"/>
    <w:rsid w:val="00FC5578"/>
    <w:rsid w:val="00FD22F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672D0B"/>
  <w15:docId w15:val="{8FFDDC5E-114A-4AAA-AC6A-89373B9A5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Título 11"/>
    <w:basedOn w:val="Normal"/>
    <w:next w:val="Normal"/>
    <w:link w:val="Heading1Char1"/>
    <w:qFormat/>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link w:val="Heading2Char"/>
    <w:qFormat/>
    <w:pPr>
      <w:widowControl w:val="0"/>
      <w:numPr>
        <w:ilvl w:val="1"/>
        <w:numId w:val="1"/>
      </w:numPr>
      <w:spacing w:after="240"/>
      <w:outlineLvl w:val="1"/>
    </w:pPr>
  </w:style>
  <w:style w:type="paragraph" w:styleId="Heading3">
    <w:name w:val="heading 3"/>
    <w:aliases w:val="Char,Heading 3 Char,Char Char,Heading 3 Char1,Heading 3 Char Char,Char Char Char,Char Char1,Heading 3 Char1 Char,Heading 3 Char Char Char,Char Char Char Char,Char Char1 Char,Heading 3 Char2,Char Char2,Char Char Char1,Heading 3 Char Char1 Char"/>
    <w:basedOn w:val="Normal"/>
    <w:next w:val="Normal"/>
    <w:qFormat/>
    <w:pPr>
      <w:widowControl w:val="0"/>
      <w:numPr>
        <w:ilvl w:val="2"/>
        <w:numId w:val="3"/>
      </w:numPr>
      <w:spacing w:after="240"/>
      <w:outlineLvl w:val="2"/>
    </w:pPr>
  </w:style>
  <w:style w:type="paragraph" w:styleId="Heading4">
    <w:name w:val="heading 4"/>
    <w:aliases w:val="Heading 11,para 4,Título 41,heading 4,Heading 41"/>
    <w:basedOn w:val="Normal"/>
    <w:next w:val="Heading9"/>
    <w:qFormat/>
    <w:pPr>
      <w:keepNext/>
      <w:numPr>
        <w:ilvl w:val="3"/>
        <w:numId w:val="4"/>
      </w:numPr>
      <w:spacing w:before="240" w:after="60"/>
      <w:outlineLvl w:val="3"/>
    </w:pPr>
  </w:style>
  <w:style w:type="paragraph" w:styleId="Heading5">
    <w:name w:val="heading 5"/>
    <w:basedOn w:val="Normal"/>
    <w:next w:val="Normal"/>
    <w:qFormat/>
    <w:pPr>
      <w:keepNext/>
      <w:numPr>
        <w:numId w:val="20"/>
      </w:numPr>
      <w:spacing w:after="240"/>
      <w:ind w:left="3600" w:hanging="720"/>
      <w:outlineLvl w:val="4"/>
    </w:pPr>
  </w:style>
  <w:style w:type="paragraph" w:styleId="Heading6">
    <w:name w:val="heading 6"/>
    <w:basedOn w:val="Normal"/>
    <w:next w:val="Normal"/>
    <w:qFormat/>
    <w:pPr>
      <w:numPr>
        <w:ilvl w:val="5"/>
        <w:numId w:val="1"/>
      </w:numPr>
      <w:spacing w:before="240" w:after="60"/>
      <w:outlineLvl w:val="5"/>
    </w:pPr>
    <w:rPr>
      <w:rFonts w:ascii="Arial" w:hAnsi="Arial"/>
      <w:i/>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outlineLvl w:val="7"/>
    </w:pPr>
    <w:rPr>
      <w:b/>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pPr>
      <w:numPr>
        <w:numId w:val="16"/>
      </w:numPr>
    </w:pPr>
  </w:style>
  <w:style w:type="paragraph" w:styleId="Header">
    <w:name w:val="header"/>
    <w:basedOn w:val="Normal"/>
    <w:pPr>
      <w:tabs>
        <w:tab w:val="center" w:pos="4320"/>
        <w:tab w:val="right" w:pos="8640"/>
      </w:tabs>
    </w:pPr>
  </w:style>
  <w:style w:type="paragraph" w:customStyle="1" w:styleId="sub-title">
    <w:name w:val="sub-title"/>
    <w:pPr>
      <w:jc w:val="both"/>
      <w:outlineLvl w:val="0"/>
    </w:pPr>
    <w:rPr>
      <w:b/>
      <w:noProof/>
      <w:sz w:val="22"/>
      <w:szCs w:val="22"/>
    </w:rPr>
  </w:style>
  <w:style w:type="paragraph" w:customStyle="1" w:styleId="Title1">
    <w:name w:val="Title1"/>
    <w:pPr>
      <w:jc w:val="center"/>
      <w:outlineLvl w:val="0"/>
    </w:pPr>
    <w:rPr>
      <w:b/>
      <w:caps/>
      <w:sz w:val="22"/>
      <w:szCs w:val="22"/>
      <w:lang w:val="en-GB"/>
    </w:rPr>
  </w:style>
  <w:style w:type="paragraph" w:customStyle="1" w:styleId="Decision">
    <w:name w:val="Decision"/>
    <w:basedOn w:val="Normal"/>
    <w:pPr>
      <w:keepLines/>
      <w:jc w:val="right"/>
    </w:pPr>
    <w:rPr>
      <w:b/>
    </w:rPr>
  </w:style>
  <w:style w:type="paragraph" w:customStyle="1" w:styleId="0Heading0">
    <w:name w:val="0 Heading 0"/>
    <w:rPr>
      <w:sz w:val="22"/>
      <w:szCs w:val="22"/>
      <w:lang w:val="en-GB"/>
    </w:rPr>
  </w:style>
  <w:style w:type="paragraph" w:styleId="Footer">
    <w:name w:val="footer"/>
    <w:basedOn w:val="Normal"/>
    <w:link w:val="FooterChar"/>
    <w:uiPriority w:val="99"/>
    <w:pPr>
      <w:tabs>
        <w:tab w:val="center" w:pos="4320"/>
        <w:tab w:val="right" w:pos="8640"/>
      </w:tabs>
    </w:pPr>
  </w:style>
  <w:style w:type="numbering" w:styleId="1ai">
    <w:name w:val="Outline List 1"/>
    <w:basedOn w:val="NoList"/>
    <w:semiHidden/>
    <w:pPr>
      <w:numPr>
        <w:numId w:val="17"/>
      </w:numPr>
    </w:pPr>
  </w:style>
  <w:style w:type="numbering" w:styleId="ArticleSection">
    <w:name w:val="Outline List 3"/>
    <w:basedOn w:val="NoList"/>
    <w:semiHidden/>
    <w:pPr>
      <w:numPr>
        <w:numId w:val="18"/>
      </w:numPr>
    </w:pPr>
  </w:style>
  <w:style w:type="paragraph" w:styleId="BlockText">
    <w:name w:val="Block Text"/>
    <w:basedOn w:val="Normal"/>
    <w:semiHidden/>
    <w:pPr>
      <w:spacing w:after="120"/>
      <w:ind w:left="1440" w:right="1440"/>
    </w:pPr>
  </w:style>
  <w:style w:type="paragraph" w:styleId="BodyText3">
    <w:name w:val="Body Text 3"/>
    <w:basedOn w:val="Normal"/>
    <w:semiHidden/>
    <w:pPr>
      <w:spacing w:after="120"/>
    </w:pPr>
    <w:rPr>
      <w:sz w:val="16"/>
      <w:szCs w:val="16"/>
    </w:rPr>
  </w:style>
  <w:style w:type="paragraph" w:styleId="BodyTextIndent3">
    <w:name w:val="Body Text Indent 3"/>
    <w:basedOn w:val="Normal"/>
    <w:semiHidden/>
    <w:pPr>
      <w:spacing w:after="120"/>
      <w:ind w:left="360"/>
    </w:pPr>
    <w:rPr>
      <w:sz w:val="16"/>
      <w:szCs w:val="16"/>
    </w:rPr>
  </w:style>
  <w:style w:type="paragraph" w:styleId="PlainText">
    <w:name w:val="Plain Text"/>
    <w:basedOn w:val="Normal"/>
    <w:semiHidden/>
    <w:rPr>
      <w:rFonts w:ascii="Courier New" w:hAnsi="Courier New" w:cs="Courier New"/>
      <w:sz w:val="20"/>
    </w:rPr>
  </w:style>
  <w:style w:type="table" w:styleId="Table3Deffects1">
    <w:name w:val="Table 3D effects 1"/>
    <w:basedOn w:val="TableNormal"/>
    <w:semiHidden/>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Pr>
      <w:sz w:val="22"/>
      <w:szCs w:val="22"/>
      <w:lang w:val="en-GB"/>
    </w:rPr>
  </w:style>
  <w:style w:type="paragraph" w:customStyle="1" w:styleId="Header4">
    <w:name w:val="Header4"/>
    <w:aliases w:val="Para 4"/>
    <w:basedOn w:val="Normal"/>
    <w:next w:val="Normal"/>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Pr>
      <w:sz w:val="16"/>
      <w:szCs w:val="16"/>
    </w:rPr>
  </w:style>
  <w:style w:type="paragraph" w:styleId="Subtitle">
    <w:name w:val="Subtitle"/>
    <w:basedOn w:val="Normal"/>
    <w:qFormat/>
    <w:pPr>
      <w:spacing w:after="60"/>
      <w:jc w:val="center"/>
      <w:outlineLvl w:val="1"/>
    </w:pPr>
    <w:rPr>
      <w:rFonts w:ascii="Arial" w:hAnsi="Arial" w:cs="Arial"/>
    </w:rPr>
  </w:style>
  <w:style w:type="paragraph" w:styleId="Title">
    <w:name w:val="Title"/>
    <w:basedOn w:val="Normal"/>
    <w:qFormat/>
    <w:pPr>
      <w:spacing w:before="240" w:after="60"/>
      <w:jc w:val="center"/>
      <w:outlineLvl w:val="0"/>
    </w:pPr>
    <w:rPr>
      <w:rFonts w:ascii="Arial" w:hAnsi="Arial" w:cs="Arial"/>
      <w:b/>
      <w:bCs/>
      <w:kern w:val="28"/>
    </w:rPr>
  </w:style>
  <w:style w:type="paragraph" w:styleId="Date">
    <w:name w:val="Date"/>
    <w:basedOn w:val="Normal"/>
    <w:next w:val="Normal"/>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val="en-GB"/>
    </w:rPr>
  </w:style>
  <w:style w:type="paragraph" w:customStyle="1" w:styleId="StyleHeader4Para4Left0Firstline0">
    <w:name w:val="Style Header4Para 4 + Left:  0&quot; First line:  0&quot;"/>
    <w:basedOn w:val="Header4"/>
    <w:pPr>
      <w:ind w:left="0" w:firstLine="0"/>
    </w:pPr>
    <w:rPr>
      <w:sz w:val="20"/>
    </w:rPr>
  </w:style>
  <w:style w:type="paragraph" w:customStyle="1" w:styleId="StyleHeading1Para1Heading1CharHeading1Char3CharHeadin">
    <w:name w:val="Style Heading 1Para (1)Heading 1 CharHeading 1 Char3 CharHeadin..."/>
    <w:basedOn w:val="Heading1"/>
    <w:pPr>
      <w:numPr>
        <w:numId w:val="0"/>
      </w:numPr>
      <w:tabs>
        <w:tab w:val="left" w:pos="720"/>
      </w:tabs>
    </w:pPr>
    <w:rPr>
      <w:szCs w:val="20"/>
    </w:rPr>
  </w:style>
  <w:style w:type="character" w:customStyle="1" w:styleId="FooterChar">
    <w:name w:val="Footer Char"/>
    <w:basedOn w:val="DefaultParagraphFont"/>
    <w:link w:val="Footer"/>
    <w:uiPriority w:val="99"/>
    <w:rPr>
      <w:sz w:val="22"/>
      <w:szCs w:val="22"/>
      <w:lang w:val="en-GB"/>
    </w:rPr>
  </w:style>
  <w:style w:type="paragraph" w:styleId="ListParagraph">
    <w:name w:val="List Paragraph"/>
    <w:basedOn w:val="Normal"/>
    <w:uiPriority w:val="34"/>
    <w:qFormat/>
    <w:rsid w:val="00264F4B"/>
    <w:pPr>
      <w:ind w:left="720"/>
      <w:contextualSpacing/>
    </w:pPr>
  </w:style>
  <w:style w:type="paragraph" w:styleId="FootnoteText">
    <w:name w:val="footnote text"/>
    <w:basedOn w:val="Normal"/>
    <w:link w:val="FootnoteTextChar"/>
    <w:uiPriority w:val="99"/>
    <w:semiHidden/>
    <w:unhideWhenUsed/>
    <w:rsid w:val="00264F4B"/>
    <w:rPr>
      <w:sz w:val="20"/>
      <w:szCs w:val="20"/>
    </w:rPr>
  </w:style>
  <w:style w:type="character" w:customStyle="1" w:styleId="FootnoteTextChar">
    <w:name w:val="Footnote Text Char"/>
    <w:basedOn w:val="DefaultParagraphFont"/>
    <w:link w:val="FootnoteText"/>
    <w:uiPriority w:val="99"/>
    <w:semiHidden/>
    <w:rsid w:val="00264F4B"/>
    <w:rPr>
      <w:lang w:val="en-GB"/>
    </w:rPr>
  </w:style>
  <w:style w:type="character" w:styleId="FootnoteReference">
    <w:name w:val="footnote reference"/>
    <w:basedOn w:val="DefaultParagraphFont"/>
    <w:uiPriority w:val="99"/>
    <w:semiHidden/>
    <w:unhideWhenUsed/>
    <w:rsid w:val="00264F4B"/>
    <w:rPr>
      <w:vertAlign w:val="superscript"/>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2 Char"/>
    <w:basedOn w:val="DefaultParagraphFont"/>
    <w:link w:val="Heading2"/>
    <w:rsid w:val="00264F4B"/>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9831786">
      <w:bodyDiv w:val="1"/>
      <w:marLeft w:val="0"/>
      <w:marRight w:val="0"/>
      <w:marTop w:val="0"/>
      <w:marBottom w:val="0"/>
      <w:divBdr>
        <w:top w:val="none" w:sz="0" w:space="0" w:color="auto"/>
        <w:left w:val="none" w:sz="0" w:space="0" w:color="auto"/>
        <w:bottom w:val="none" w:sz="0" w:space="0" w:color="auto"/>
        <w:right w:val="none" w:sz="0" w:space="0" w:color="auto"/>
      </w:divBdr>
    </w:div>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pclient\Downloads\F83-Template%20(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1E4441DB9763A4B9F4793D394AD28DA" ma:contentTypeVersion="2" ma:contentTypeDescription="Create a new document." ma:contentTypeScope="" ma:versionID="171df64618d6dd1096111a941a4c869d">
  <xsd:schema xmlns:xsd="http://www.w3.org/2001/XMLSchema" xmlns:p="http://schemas.microsoft.com/office/2006/metadata/properties" xmlns:ns2="8662b4aa-cf42-4f00-a3f0-9d3b4acad230" xmlns:ns3="310e179b-1379-4e79-9b74-d5a32b1812d3" targetNamespace="http://schemas.microsoft.com/office/2006/metadata/properties" ma:root="true" ma:fieldsID="1af4cf771546dc1ce13f690658318891" ns2:_="" ns3:_="">
    <xsd:import namespace="8662b4aa-cf42-4f00-a3f0-9d3b4acad230"/>
    <xsd:import namespace="310e179b-1379-4e79-9b74-d5a32b1812d3"/>
    <xsd:element name="properties">
      <xsd:complexType>
        <xsd:sequence>
          <xsd:element name="documentManagement">
            <xsd:complexType>
              <xsd:all>
                <xsd:element ref="ns2:Document_x0020_Number" minOccurs="0"/>
                <xsd:element ref="ns3:DocumentType" minOccurs="0"/>
              </xsd:all>
            </xsd:complexType>
          </xsd:element>
        </xsd:sequence>
      </xsd:complexType>
    </xsd:element>
  </xsd:schema>
  <xsd:schema xmlns:xsd="http://www.w3.org/2001/XMLSchema" xmlns:dms="http://schemas.microsoft.com/office/2006/documentManagement/types" targetNamespace="8662b4aa-cf42-4f00-a3f0-9d3b4acad230" elementFormDefault="qualified">
    <xsd:import namespace="http://schemas.microsoft.com/office/2006/documentManagement/types"/>
    <xsd:element name="Document_x0020_Number" ma:index="8" nillable="true" ma:displayName="Document Number" ma:default="UNEP/OzL.Pro/ExCom/64/" ma:internalName="Document_x0020_Number">
      <xsd:simpleType>
        <xsd:restriction base="dms:Text">
          <xsd:maxLength value="255"/>
        </xsd:restriction>
      </xsd:simpleType>
    </xsd:element>
  </xsd:schema>
  <xsd:schema xmlns:xsd="http://www.w3.org/2001/XMLSchema" xmlns:dms="http://schemas.microsoft.com/office/2006/documentManagement/types" targetNamespace="310e179b-1379-4e79-9b74-d5a32b1812d3"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Type xmlns="310e179b-1379-4e79-9b74-d5a32b1812d3">Pre-session</DocumentType>
    <Document_x0020_Number xmlns="8662b4aa-cf42-4f00-a3f0-9d3b4acad230">UNEP/OzL.Pro/ExCom/83/37</Document_x0020_Number>
  </documentManagement>
</p:properties>
</file>

<file path=customXml/itemProps1.xml><?xml version="1.0" encoding="utf-8"?>
<ds:datastoreItem xmlns:ds="http://schemas.openxmlformats.org/officeDocument/2006/customXml" ds:itemID="{3D642437-1B34-4A81-A9DE-316EC503722D}"/>
</file>

<file path=customXml/itemProps2.xml><?xml version="1.0" encoding="utf-8"?>
<ds:datastoreItem xmlns:ds="http://schemas.openxmlformats.org/officeDocument/2006/customXml" ds:itemID="{363566E4-B3CE-4607-8F0E-32CC2724D780}"/>
</file>

<file path=customXml/itemProps3.xml><?xml version="1.0" encoding="utf-8"?>
<ds:datastoreItem xmlns:ds="http://schemas.openxmlformats.org/officeDocument/2006/customXml" ds:itemID="{4204410A-2FE2-4448-8765-D52A67A7C6FA}"/>
</file>

<file path=customXml/itemProps4.xml><?xml version="1.0" encoding="utf-8"?>
<ds:datastoreItem xmlns:ds="http://schemas.openxmlformats.org/officeDocument/2006/customXml" ds:itemID="{570C11B1-54CF-4BD0-8068-35BCBEA7F74D}"/>
</file>

<file path=docProps/app.xml><?xml version="1.0" encoding="utf-8"?>
<Properties xmlns="http://schemas.openxmlformats.org/officeDocument/2006/extended-properties" xmlns:vt="http://schemas.openxmlformats.org/officeDocument/2006/docPropsVTypes">
  <Template>F83-Template (2)</Template>
  <TotalTime>43</TotalTime>
  <Pages>7</Pages>
  <Words>2176</Words>
  <Characters>12405</Characters>
  <Application>Microsoft Office Word</Application>
  <DocSecurity>0</DocSecurity>
  <Lines>103</Lines>
  <Paragraphs>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Proposition de projet: Togo</vt:lpstr>
      <vt:lpstr/>
    </vt:vector>
  </TitlesOfParts>
  <Company>UNMFS</Company>
  <LinksUpToDate>false</LinksUpToDate>
  <CharactersWithSpaces>14552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Proposition de projet: Togo (Le)</dc:title>
  <dc:subject>83e</dc:subject>
  <dc:creator>vipclient</dc:creator>
  <cp:lastModifiedBy>HBE</cp:lastModifiedBy>
  <cp:revision>11</cp:revision>
  <cp:lastPrinted>2001-05-26T16:40:00Z</cp:lastPrinted>
  <dcterms:created xsi:type="dcterms:W3CDTF">2019-05-05T16:45:00Z</dcterms:created>
  <dcterms:modified xsi:type="dcterms:W3CDTF">2019-05-21T15:31:00Z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UNEP/OzL.Pro/ExCom/83/37</vt:lpwstr>
  </property>
  <property fmtid="{D5CDD505-2E9C-101B-9397-08002B2CF9AE}" pid="3" name="Revision date">
    <vt:lpwstr>5/3/2019</vt:lpwstr>
  </property>
  <property fmtid="{D5CDD505-2E9C-101B-9397-08002B2CF9AE}" pid="4" name="ContentTypeId">
    <vt:lpwstr>0x01010021E4441DB9763A4B9F4793D394AD28DA</vt:lpwstr>
  </property>
</Properties>
</file>