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rsidRPr="006437DD">
        <w:trPr>
          <w:trHeight w:val="720"/>
        </w:trPr>
        <w:tc>
          <w:tcPr>
            <w:tcW w:w="7061" w:type="dxa"/>
            <w:gridSpan w:val="2"/>
            <w:tcBorders>
              <w:bottom w:val="single" w:sz="18" w:space="0" w:color="auto"/>
            </w:tcBorders>
          </w:tcPr>
          <w:p w:rsidR="00441083" w:rsidRPr="006437DD"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noProof/>
                <w:sz w:val="28"/>
                <w:szCs w:val="28"/>
              </w:rPr>
            </w:pPr>
            <w:r w:rsidRPr="006437DD">
              <w:rPr>
                <w:rFonts w:ascii="Univers" w:hAnsi="Univers"/>
                <w:b/>
                <w:noProof/>
                <w:sz w:val="28"/>
                <w:szCs w:val="28"/>
              </w:rPr>
              <w:t>NATIONS</w:t>
            </w:r>
          </w:p>
          <w:p w:rsidR="00441083" w:rsidRPr="006437DD"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noProof/>
                <w:sz w:val="28"/>
                <w:szCs w:val="28"/>
              </w:rPr>
            </w:pPr>
            <w:r w:rsidRPr="006437DD">
              <w:rPr>
                <w:rFonts w:ascii="Univers" w:hAnsi="Univers"/>
                <w:b/>
                <w:noProof/>
                <w:sz w:val="28"/>
                <w:szCs w:val="28"/>
              </w:rPr>
              <w:t xml:space="preserve">UNIES </w:t>
            </w:r>
          </w:p>
        </w:tc>
        <w:tc>
          <w:tcPr>
            <w:tcW w:w="3544" w:type="dxa"/>
            <w:tcBorders>
              <w:bottom w:val="single" w:sz="18" w:space="0" w:color="auto"/>
            </w:tcBorders>
          </w:tcPr>
          <w:p w:rsidR="00441083" w:rsidRPr="006437DD" w:rsidRDefault="00E60D9C">
            <w:pPr>
              <w:tabs>
                <w:tab w:val="left" w:pos="3010"/>
              </w:tabs>
              <w:jc w:val="center"/>
              <w:rPr>
                <w:noProof/>
                <w:sz w:val="52"/>
                <w:szCs w:val="52"/>
              </w:rPr>
            </w:pPr>
            <w:r w:rsidRPr="006437DD">
              <w:rPr>
                <w:rFonts w:ascii="Univers Bold" w:hAnsi="Univers Bold"/>
                <w:b/>
                <w:noProof/>
                <w:sz w:val="72"/>
              </w:rPr>
              <w:t xml:space="preserve">          EP</w:t>
            </w:r>
          </w:p>
        </w:tc>
      </w:tr>
      <w:tr w:rsidR="00441083" w:rsidRPr="00643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441083" w:rsidRPr="006437DD" w:rsidRDefault="00C6443E">
            <w:pPr>
              <w:spacing w:before="120"/>
              <w:rPr>
                <w:noProof/>
              </w:rPr>
            </w:pPr>
            <w:bookmarkStart w:id="0" w:name="_GoBack"/>
            <w:r w:rsidRPr="006437DD">
              <w:rPr>
                <w:noProof/>
                <w:lang w:val="en-CA" w:eastAsia="en-CA"/>
              </w:rPr>
              <w:drawing>
                <wp:anchor distT="0" distB="0" distL="114300" distR="114300" simplePos="0" relativeHeight="251660288" behindDoc="0" locked="0" layoutInCell="1" allowOverlap="1" wp14:anchorId="76D48B36" wp14:editId="52ED8A9B">
                  <wp:simplePos x="0" y="0"/>
                  <wp:positionH relativeFrom="column">
                    <wp:posOffset>272938</wp:posOffset>
                  </wp:positionH>
                  <wp:positionV relativeFrom="paragraph">
                    <wp:posOffset>893221</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bookmarkEnd w:id="0"/>
            <w:r w:rsidR="001C3D0C" w:rsidRPr="006437DD">
              <w:rPr>
                <w:noProof/>
                <w:lang w:val="en-CA" w:eastAsia="en-CA"/>
              </w:rPr>
              <w:drawing>
                <wp:anchor distT="0" distB="0" distL="114300" distR="114300" simplePos="0" relativeHeight="251661312" behindDoc="1" locked="0" layoutInCell="0" allowOverlap="1" wp14:anchorId="7DEB3D0A" wp14:editId="44919594">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rsidR="00441083" w:rsidRPr="006437DD"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noProof/>
                <w:sz w:val="32"/>
              </w:rPr>
            </w:pPr>
          </w:p>
          <w:p w:rsidR="00441083" w:rsidRPr="006437DD"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noProof/>
                <w:sz w:val="32"/>
              </w:rPr>
            </w:pPr>
            <w:r w:rsidRPr="006437DD">
              <w:rPr>
                <w:rFonts w:ascii="Univers" w:hAnsi="Univers"/>
                <w:b/>
                <w:noProof/>
                <w:sz w:val="32"/>
              </w:rPr>
              <w:t>Programme des</w:t>
            </w:r>
          </w:p>
          <w:p w:rsidR="00441083" w:rsidRPr="006437DD" w:rsidRDefault="00E60D9C">
            <w:pPr>
              <w:rPr>
                <w:rFonts w:ascii="Univers" w:hAnsi="Univers"/>
                <w:b/>
                <w:noProof/>
                <w:sz w:val="32"/>
              </w:rPr>
            </w:pPr>
            <w:r w:rsidRPr="006437DD">
              <w:rPr>
                <w:rFonts w:ascii="Univers" w:hAnsi="Univers"/>
                <w:b/>
                <w:noProof/>
                <w:sz w:val="32"/>
              </w:rPr>
              <w:t>Nations Unies pour</w:t>
            </w:r>
          </w:p>
          <w:p w:rsidR="00441083" w:rsidRPr="006437DD" w:rsidRDefault="00E60D9C">
            <w:pPr>
              <w:rPr>
                <w:rFonts w:ascii="Univers" w:hAnsi="Univers"/>
                <w:b/>
                <w:noProof/>
                <w:sz w:val="32"/>
              </w:rPr>
            </w:pPr>
            <w:r w:rsidRPr="006437DD">
              <w:rPr>
                <w:rFonts w:ascii="Univers" w:hAnsi="Univers"/>
                <w:b/>
                <w:noProof/>
                <w:sz w:val="32"/>
              </w:rPr>
              <w:t>l’environnement</w:t>
            </w:r>
          </w:p>
          <w:p w:rsidR="00441083" w:rsidRPr="006437DD" w:rsidRDefault="00E60D9C">
            <w:pPr>
              <w:spacing w:before="720"/>
              <w:ind w:left="158"/>
              <w:rPr>
                <w:noProof/>
              </w:rPr>
            </w:pPr>
            <w:r w:rsidRPr="006437DD">
              <w:rPr>
                <w:noProof/>
              </w:rPr>
              <w:t xml:space="preserve"> </w:t>
            </w:r>
          </w:p>
        </w:tc>
        <w:tc>
          <w:tcPr>
            <w:tcW w:w="3544" w:type="dxa"/>
            <w:tcBorders>
              <w:top w:val="nil"/>
              <w:left w:val="nil"/>
              <w:bottom w:val="single" w:sz="36" w:space="0" w:color="auto"/>
              <w:right w:val="nil"/>
            </w:tcBorders>
          </w:tcPr>
          <w:p w:rsidR="00441083" w:rsidRPr="006437DD" w:rsidRDefault="00441083">
            <w:pPr>
              <w:rPr>
                <w:noProof/>
              </w:rPr>
            </w:pPr>
          </w:p>
          <w:p w:rsidR="00441083" w:rsidRPr="006437DD" w:rsidRDefault="00E60D9C">
            <w:pPr>
              <w:rPr>
                <w:noProof/>
              </w:rPr>
            </w:pPr>
            <w:r w:rsidRPr="006437DD">
              <w:rPr>
                <w:noProof/>
              </w:rPr>
              <w:t>Distr.</w:t>
            </w:r>
          </w:p>
          <w:p w:rsidR="00441083" w:rsidRPr="006437DD" w:rsidRDefault="00E60D9C">
            <w:pPr>
              <w:rPr>
                <w:noProof/>
              </w:rPr>
            </w:pPr>
            <w:r w:rsidRPr="006437DD">
              <w:rPr>
                <w:noProof/>
              </w:rPr>
              <w:t>GENERAL</w:t>
            </w:r>
          </w:p>
          <w:p w:rsidR="00441083" w:rsidRPr="006437DD" w:rsidRDefault="00441083">
            <w:pPr>
              <w:rPr>
                <w:noProof/>
              </w:rPr>
            </w:pPr>
          </w:p>
          <w:p w:rsidR="00441083" w:rsidRPr="006437DD" w:rsidRDefault="00666BEC">
            <w:pPr>
              <w:rPr>
                <w:noProof/>
              </w:rPr>
            </w:pPr>
            <w:r w:rsidRPr="006437DD">
              <w:rPr>
                <w:noProof/>
              </w:rPr>
              <w:fldChar w:fldCharType="begin"/>
            </w:r>
            <w:r w:rsidRPr="006437DD">
              <w:rPr>
                <w:noProof/>
              </w:rPr>
              <w:instrText xml:space="preserve"> DOCPROPERTY "Document number"  \* MERGEFORMAT </w:instrText>
            </w:r>
            <w:r w:rsidRPr="006437DD">
              <w:rPr>
                <w:noProof/>
              </w:rPr>
              <w:fldChar w:fldCharType="separate"/>
            </w:r>
            <w:r w:rsidR="00336558">
              <w:rPr>
                <w:noProof/>
              </w:rPr>
              <w:t>UNEP/OzL.Pro/ExCom/83/43</w:t>
            </w:r>
            <w:r w:rsidRPr="006437DD">
              <w:rPr>
                <w:noProof/>
              </w:rPr>
              <w:fldChar w:fldCharType="end"/>
            </w:r>
          </w:p>
          <w:p w:rsidR="002F0B57" w:rsidRPr="006437DD" w:rsidRDefault="002F0B57" w:rsidP="001D4CE7">
            <w:pPr>
              <w:rPr>
                <w:noProof/>
              </w:rPr>
            </w:pPr>
            <w:r w:rsidRPr="006437DD">
              <w:rPr>
                <w:noProof/>
              </w:rPr>
              <w:fldChar w:fldCharType="begin"/>
            </w:r>
            <w:r w:rsidRPr="006437DD">
              <w:rPr>
                <w:noProof/>
              </w:rPr>
              <w:instrText xml:space="preserve"> DOCPROPERTY "Revision date" \@ "d MMMM YYYY"  \* MERGEFORMAT </w:instrText>
            </w:r>
            <w:r w:rsidRPr="006437DD">
              <w:rPr>
                <w:noProof/>
              </w:rPr>
              <w:fldChar w:fldCharType="separate"/>
            </w:r>
            <w:r w:rsidR="00B13F10" w:rsidRPr="006437DD">
              <w:rPr>
                <w:noProof/>
              </w:rPr>
              <w:t>1</w:t>
            </w:r>
            <w:r w:rsidR="003E46F8" w:rsidRPr="006437DD">
              <w:rPr>
                <w:noProof/>
              </w:rPr>
              <w:t>8</w:t>
            </w:r>
            <w:r w:rsidR="00B13F10" w:rsidRPr="006437DD">
              <w:rPr>
                <w:noProof/>
              </w:rPr>
              <w:t xml:space="preserve"> </w:t>
            </w:r>
            <w:r w:rsidR="003E46F8" w:rsidRPr="006437DD">
              <w:rPr>
                <w:noProof/>
              </w:rPr>
              <w:t>avril</w:t>
            </w:r>
            <w:r w:rsidR="00B13F10" w:rsidRPr="006437DD">
              <w:rPr>
                <w:noProof/>
              </w:rPr>
              <w:t xml:space="preserve"> 2019</w:t>
            </w:r>
            <w:r w:rsidRPr="006437DD">
              <w:rPr>
                <w:noProof/>
              </w:rPr>
              <w:fldChar w:fldCharType="end"/>
            </w:r>
          </w:p>
          <w:p w:rsidR="00441083" w:rsidRPr="006437DD" w:rsidRDefault="00FC5578">
            <w:pPr>
              <w:rPr>
                <w:caps/>
                <w:noProof/>
              </w:rPr>
            </w:pPr>
            <w:r w:rsidRPr="006437DD">
              <w:rPr>
                <w:caps/>
                <w:noProof/>
              </w:rPr>
              <w:br/>
            </w:r>
            <w:r w:rsidR="00E60D9C" w:rsidRPr="006437DD">
              <w:rPr>
                <w:caps/>
                <w:noProof/>
              </w:rPr>
              <w:t>FRANÇAIS</w:t>
            </w:r>
          </w:p>
          <w:p w:rsidR="00441083" w:rsidRPr="006437DD" w:rsidRDefault="00E60D9C">
            <w:pPr>
              <w:rPr>
                <w:noProof/>
              </w:rPr>
            </w:pPr>
            <w:r w:rsidRPr="006437DD">
              <w:rPr>
                <w:noProof/>
              </w:rPr>
              <w:t xml:space="preserve">ORIGINAL: </w:t>
            </w:r>
            <w:r w:rsidR="0091161A" w:rsidRPr="006437DD">
              <w:rPr>
                <w:noProof/>
              </w:rPr>
              <w:t>ANGLAIS</w:t>
            </w:r>
          </w:p>
        </w:tc>
      </w:tr>
    </w:tbl>
    <w:p w:rsidR="00441083" w:rsidRPr="006437DD" w:rsidRDefault="00441083">
      <w:pPr>
        <w:jc w:val="left"/>
        <w:rPr>
          <w:noProof/>
        </w:rPr>
      </w:pPr>
    </w:p>
    <w:p w:rsidR="00441083" w:rsidRPr="006437DD" w:rsidRDefault="00E60D9C" w:rsidP="004C2C87">
      <w:pPr>
        <w:jc w:val="left"/>
        <w:rPr>
          <w:noProof/>
        </w:rPr>
      </w:pPr>
      <w:r w:rsidRPr="006437DD">
        <w:rPr>
          <w:noProof/>
        </w:rPr>
        <w:t xml:space="preserve">COMITE EXECUTIF </w:t>
      </w:r>
      <w:r w:rsidRPr="006437DD">
        <w:rPr>
          <w:noProof/>
        </w:rPr>
        <w:br/>
        <w:t xml:space="preserve">  DU FONDS MULTILATERAL AUX FINS </w:t>
      </w:r>
      <w:r w:rsidRPr="006437DD">
        <w:rPr>
          <w:noProof/>
        </w:rPr>
        <w:br/>
        <w:t xml:space="preserve">  D’APPLICATION DU PROTOCOLE DE MONTREAL</w:t>
      </w:r>
      <w:r w:rsidRPr="006437DD">
        <w:rPr>
          <w:noProof/>
        </w:rPr>
        <w:br/>
      </w:r>
      <w:r w:rsidR="00E54871" w:rsidRPr="006437DD">
        <w:rPr>
          <w:noProof/>
        </w:rPr>
        <w:t>Quatre</w:t>
      </w:r>
      <w:r w:rsidRPr="006437DD">
        <w:rPr>
          <w:noProof/>
        </w:rPr>
        <w:t>-</w:t>
      </w:r>
      <w:r w:rsidR="00E54871" w:rsidRPr="006437DD">
        <w:rPr>
          <w:noProof/>
        </w:rPr>
        <w:t>vingt</w:t>
      </w:r>
      <w:r w:rsidR="00AE63D8" w:rsidRPr="006437DD">
        <w:rPr>
          <w:noProof/>
        </w:rPr>
        <w:t>-</w:t>
      </w:r>
      <w:r w:rsidR="004C2C87" w:rsidRPr="006437DD">
        <w:rPr>
          <w:noProof/>
        </w:rPr>
        <w:t>troisi</w:t>
      </w:r>
      <w:r w:rsidR="00E54871" w:rsidRPr="006437DD">
        <w:rPr>
          <w:noProof/>
        </w:rPr>
        <w:t>ème</w:t>
      </w:r>
      <w:r w:rsidR="00FC5578" w:rsidRPr="006437DD">
        <w:rPr>
          <w:noProof/>
        </w:rPr>
        <w:t xml:space="preserve"> </w:t>
      </w:r>
      <w:r w:rsidRPr="006437DD">
        <w:rPr>
          <w:noProof/>
        </w:rPr>
        <w:t>réunion</w:t>
      </w:r>
    </w:p>
    <w:p w:rsidR="00441083" w:rsidRPr="006437DD" w:rsidRDefault="00E54871" w:rsidP="004C2C87">
      <w:pPr>
        <w:jc w:val="left"/>
        <w:rPr>
          <w:noProof/>
        </w:rPr>
      </w:pPr>
      <w:r w:rsidRPr="006437DD">
        <w:rPr>
          <w:noProof/>
        </w:rPr>
        <w:t>Montréal,</w:t>
      </w:r>
      <w:r w:rsidR="00FC5578" w:rsidRPr="006437DD">
        <w:rPr>
          <w:noProof/>
        </w:rPr>
        <w:t xml:space="preserve"> </w:t>
      </w:r>
      <w:r w:rsidR="004C2C87" w:rsidRPr="006437DD">
        <w:rPr>
          <w:noProof/>
        </w:rPr>
        <w:t>27</w:t>
      </w:r>
      <w:r w:rsidR="00E60D9C" w:rsidRPr="006437DD">
        <w:rPr>
          <w:noProof/>
        </w:rPr>
        <w:t xml:space="preserve">– </w:t>
      </w:r>
      <w:r w:rsidR="004C2C87" w:rsidRPr="006437DD">
        <w:rPr>
          <w:noProof/>
        </w:rPr>
        <w:t>31</w:t>
      </w:r>
      <w:r w:rsidR="00E60D9C" w:rsidRPr="006437DD">
        <w:rPr>
          <w:noProof/>
        </w:rPr>
        <w:t xml:space="preserve"> </w:t>
      </w:r>
      <w:r w:rsidR="004C2C87" w:rsidRPr="006437DD">
        <w:rPr>
          <w:noProof/>
        </w:rPr>
        <w:t>mai 2019</w:t>
      </w:r>
    </w:p>
    <w:p w:rsidR="003E46F8" w:rsidRPr="006437DD" w:rsidRDefault="003E46F8" w:rsidP="003E46F8">
      <w:pPr>
        <w:tabs>
          <w:tab w:val="left" w:pos="8280"/>
        </w:tabs>
        <w:rPr>
          <w:noProof/>
        </w:rPr>
      </w:pPr>
    </w:p>
    <w:p w:rsidR="003E46F8" w:rsidRPr="004973A9" w:rsidRDefault="003E46F8" w:rsidP="004973A9">
      <w:pPr>
        <w:tabs>
          <w:tab w:val="left" w:pos="8280"/>
        </w:tabs>
        <w:jc w:val="center"/>
        <w:rPr>
          <w:b/>
          <w:bCs/>
          <w:noProof/>
          <w:sz w:val="24"/>
          <w:szCs w:val="24"/>
        </w:rPr>
      </w:pPr>
    </w:p>
    <w:p w:rsidR="004973A9" w:rsidRDefault="004973A9" w:rsidP="004973A9">
      <w:pPr>
        <w:pStyle w:val="Heading2"/>
        <w:numPr>
          <w:ilvl w:val="0"/>
          <w:numId w:val="0"/>
        </w:numPr>
        <w:spacing w:after="0"/>
        <w:ind w:left="284" w:firstLine="436"/>
        <w:jc w:val="center"/>
        <w:rPr>
          <w:b/>
          <w:bCs/>
          <w:sz w:val="24"/>
          <w:szCs w:val="24"/>
        </w:rPr>
      </w:pPr>
      <w:r w:rsidRPr="004973A9">
        <w:rPr>
          <w:b/>
          <w:bCs/>
          <w:sz w:val="24"/>
          <w:szCs w:val="24"/>
        </w:rPr>
        <w:t>ÉLABORATION DES LIGNES DIRECTRICES SUR LES COÛTS DE LA RÉDUCTION PROGRESSIVE DES HFC DANS LES PAYS VISÉS À L'ARTICLE 5:</w:t>
      </w:r>
    </w:p>
    <w:p w:rsidR="004973A9" w:rsidRDefault="004973A9" w:rsidP="004973A9">
      <w:pPr>
        <w:pStyle w:val="Heading2"/>
        <w:numPr>
          <w:ilvl w:val="0"/>
          <w:numId w:val="0"/>
        </w:numPr>
        <w:spacing w:after="0"/>
        <w:ind w:left="720"/>
        <w:jc w:val="center"/>
        <w:rPr>
          <w:b/>
          <w:bCs/>
          <w:sz w:val="24"/>
          <w:szCs w:val="24"/>
        </w:rPr>
      </w:pPr>
      <w:r w:rsidRPr="004973A9">
        <w:rPr>
          <w:b/>
          <w:bCs/>
          <w:sz w:val="24"/>
          <w:szCs w:val="24"/>
        </w:rPr>
        <w:t>PROJET DE CRITÈRES DE FINANCEMENT</w:t>
      </w:r>
    </w:p>
    <w:p w:rsidR="003E46F8" w:rsidRPr="004973A9" w:rsidRDefault="004973A9" w:rsidP="004973A9">
      <w:pPr>
        <w:pStyle w:val="Heading2"/>
        <w:numPr>
          <w:ilvl w:val="0"/>
          <w:numId w:val="0"/>
        </w:numPr>
        <w:spacing w:after="0"/>
        <w:ind w:left="720"/>
        <w:jc w:val="center"/>
        <w:rPr>
          <w:b/>
          <w:bCs/>
          <w:sz w:val="24"/>
          <w:szCs w:val="24"/>
        </w:rPr>
      </w:pPr>
      <w:r w:rsidRPr="004973A9">
        <w:rPr>
          <w:b/>
          <w:bCs/>
          <w:sz w:val="24"/>
          <w:szCs w:val="24"/>
        </w:rPr>
        <w:t xml:space="preserve"> (DÉCISION 82/84)</w:t>
      </w:r>
    </w:p>
    <w:p w:rsidR="003E46F8" w:rsidRPr="006437DD" w:rsidRDefault="003E46F8" w:rsidP="003E46F8">
      <w:pPr>
        <w:tabs>
          <w:tab w:val="left" w:pos="8280"/>
        </w:tabs>
        <w:rPr>
          <w:noProof/>
        </w:rPr>
      </w:pPr>
    </w:p>
    <w:p w:rsidR="004973A9" w:rsidRDefault="004973A9" w:rsidP="003E46F8">
      <w:pPr>
        <w:tabs>
          <w:tab w:val="left" w:pos="8280"/>
        </w:tabs>
        <w:rPr>
          <w:b/>
          <w:noProof/>
        </w:rPr>
      </w:pPr>
    </w:p>
    <w:p w:rsidR="004973A9" w:rsidRDefault="004973A9" w:rsidP="003E46F8">
      <w:pPr>
        <w:tabs>
          <w:tab w:val="left" w:pos="8280"/>
        </w:tabs>
        <w:rPr>
          <w:b/>
          <w:noProof/>
        </w:rPr>
      </w:pPr>
    </w:p>
    <w:p w:rsidR="003E46F8" w:rsidRPr="006437DD" w:rsidRDefault="00F72434" w:rsidP="003E46F8">
      <w:pPr>
        <w:tabs>
          <w:tab w:val="left" w:pos="8280"/>
        </w:tabs>
        <w:rPr>
          <w:b/>
          <w:noProof/>
        </w:rPr>
      </w:pPr>
      <w:r w:rsidRPr="006437DD">
        <w:rPr>
          <w:b/>
          <w:noProof/>
        </w:rPr>
        <w:t>Historique</w:t>
      </w:r>
    </w:p>
    <w:p w:rsidR="003E46F8" w:rsidRPr="006437DD" w:rsidRDefault="003E46F8" w:rsidP="003E46F8">
      <w:pPr>
        <w:tabs>
          <w:tab w:val="left" w:pos="8280"/>
        </w:tabs>
        <w:rPr>
          <w:noProof/>
        </w:rPr>
      </w:pPr>
    </w:p>
    <w:p w:rsidR="003E46F8" w:rsidRPr="006437DD" w:rsidRDefault="00F72434" w:rsidP="00984F90">
      <w:pPr>
        <w:pStyle w:val="Heading1"/>
        <w:rPr>
          <w:noProof/>
        </w:rPr>
      </w:pPr>
      <w:r w:rsidRPr="006437DD">
        <w:rPr>
          <w:noProof/>
        </w:rPr>
        <w:t xml:space="preserve">La vingt-huitième Réunion des Parties a adopté la </w:t>
      </w:r>
      <w:r w:rsidR="003E46F8" w:rsidRPr="006437DD">
        <w:rPr>
          <w:noProof/>
        </w:rPr>
        <w:t>d</w:t>
      </w:r>
      <w:r w:rsidRPr="006437DD">
        <w:rPr>
          <w:noProof/>
        </w:rPr>
        <w:t>é</w:t>
      </w:r>
      <w:r w:rsidR="003E46F8" w:rsidRPr="006437DD">
        <w:rPr>
          <w:noProof/>
        </w:rPr>
        <w:t xml:space="preserve">cision XXVIII/2 </w:t>
      </w:r>
      <w:r w:rsidRPr="006437DD">
        <w:rPr>
          <w:noProof/>
        </w:rPr>
        <w:t>demandant au Comité exécutif</w:t>
      </w:r>
      <w:r w:rsidR="003E46F8" w:rsidRPr="006437DD">
        <w:rPr>
          <w:noProof/>
        </w:rPr>
        <w:t xml:space="preserve"> </w:t>
      </w:r>
      <w:r w:rsidRPr="006437DD">
        <w:rPr>
          <w:noProof/>
        </w:rPr>
        <w:t>d’élabo</w:t>
      </w:r>
      <w:r w:rsidR="006F2CF7" w:rsidRPr="006437DD">
        <w:rPr>
          <w:noProof/>
        </w:rPr>
        <w:t>r</w:t>
      </w:r>
      <w:r w:rsidRPr="006437DD">
        <w:rPr>
          <w:noProof/>
        </w:rPr>
        <w:t>er dans un délai de deux ans des lignes directrices sur la réduction progressive de</w:t>
      </w:r>
      <w:r w:rsidR="006F2CF7" w:rsidRPr="006437DD">
        <w:rPr>
          <w:noProof/>
        </w:rPr>
        <w:t xml:space="preserve"> la consommation et la production d’hydrofluorocarbures </w:t>
      </w:r>
      <w:r w:rsidR="003E46F8" w:rsidRPr="006437DD">
        <w:rPr>
          <w:noProof/>
        </w:rPr>
        <w:t>(HFC), inclu</w:t>
      </w:r>
      <w:r w:rsidR="006F2CF7" w:rsidRPr="006437DD">
        <w:rPr>
          <w:noProof/>
        </w:rPr>
        <w:t xml:space="preserve">ant des </w:t>
      </w:r>
      <w:r w:rsidR="00984F90" w:rsidRPr="00984F90">
        <w:rPr>
          <w:noProof/>
        </w:rPr>
        <w:t>valeurs seuils pour le rapport coûts-efficacité</w:t>
      </w:r>
      <w:r w:rsidR="006F2CF7" w:rsidRPr="006437DD">
        <w:rPr>
          <w:noProof/>
        </w:rPr>
        <w:t xml:space="preserve">, et de présenter ces lignes directrices à la </w:t>
      </w:r>
      <w:r w:rsidRPr="006437DD">
        <w:rPr>
          <w:noProof/>
        </w:rPr>
        <w:t>Réunion des Parties</w:t>
      </w:r>
      <w:r w:rsidR="006F2CF7" w:rsidRPr="006437DD">
        <w:rPr>
          <w:noProof/>
        </w:rPr>
        <w:t xml:space="preserve">, </w:t>
      </w:r>
      <w:bookmarkStart w:id="1" w:name="_Hlk7464252"/>
      <w:r w:rsidR="006F2CF7" w:rsidRPr="006437DD">
        <w:rPr>
          <w:noProof/>
        </w:rPr>
        <w:t xml:space="preserve">pour obtenir les points de vue des parties et leurs </w:t>
      </w:r>
      <w:r w:rsidR="00FF53E4" w:rsidRPr="006437DD">
        <w:rPr>
          <w:noProof/>
        </w:rPr>
        <w:t>sugges</w:t>
      </w:r>
      <w:r w:rsidR="006F2CF7" w:rsidRPr="006437DD">
        <w:rPr>
          <w:noProof/>
        </w:rPr>
        <w:t>tions avant d’en finaliser la rédaction</w:t>
      </w:r>
      <w:bookmarkEnd w:id="1"/>
      <w:r w:rsidR="003E46F8" w:rsidRPr="006437DD">
        <w:rPr>
          <w:noProof/>
        </w:rPr>
        <w:t>.</w:t>
      </w:r>
      <w:r w:rsidR="003E46F8" w:rsidRPr="006437DD">
        <w:rPr>
          <w:rStyle w:val="FootnoteReference"/>
          <w:noProof/>
        </w:rPr>
        <w:footnoteReference w:id="1"/>
      </w:r>
      <w:r w:rsidR="003E46F8" w:rsidRPr="006437DD">
        <w:rPr>
          <w:noProof/>
        </w:rPr>
        <w:t xml:space="preserve"> </w:t>
      </w:r>
    </w:p>
    <w:p w:rsidR="003E46F8" w:rsidRPr="006437DD" w:rsidRDefault="001420D4" w:rsidP="003E46F8">
      <w:pPr>
        <w:pStyle w:val="Heading1"/>
        <w:rPr>
          <w:noProof/>
        </w:rPr>
      </w:pPr>
      <w:r w:rsidRPr="006437DD">
        <w:rPr>
          <w:noProof/>
        </w:rPr>
        <w:t xml:space="preserve">À la trentième </w:t>
      </w:r>
      <w:r w:rsidR="00F72434" w:rsidRPr="006437DD">
        <w:rPr>
          <w:noProof/>
        </w:rPr>
        <w:t>Réunion des Parties</w:t>
      </w:r>
      <w:r w:rsidR="003E46F8" w:rsidRPr="006437DD">
        <w:rPr>
          <w:noProof/>
        </w:rPr>
        <w:t xml:space="preserve">, </w:t>
      </w:r>
      <w:r w:rsidRPr="006437DD">
        <w:rPr>
          <w:noProof/>
        </w:rPr>
        <w:t xml:space="preserve">les </w:t>
      </w:r>
      <w:r w:rsidR="003E46F8" w:rsidRPr="006437DD">
        <w:rPr>
          <w:noProof/>
        </w:rPr>
        <w:t xml:space="preserve">parties </w:t>
      </w:r>
      <w:r w:rsidRPr="006437DD">
        <w:rPr>
          <w:noProof/>
        </w:rPr>
        <w:t xml:space="preserve">ont demandé au </w:t>
      </w:r>
      <w:r w:rsidR="00F72434" w:rsidRPr="006437DD">
        <w:rPr>
          <w:noProof/>
        </w:rPr>
        <w:t>Comité exécutif</w:t>
      </w:r>
      <w:r w:rsidR="003E46F8" w:rsidRPr="006437DD">
        <w:rPr>
          <w:noProof/>
        </w:rPr>
        <w:t xml:space="preserve"> </w:t>
      </w:r>
      <w:r w:rsidRPr="006437DD">
        <w:rPr>
          <w:noProof/>
        </w:rPr>
        <w:t xml:space="preserve">de poursuivre ses travaux d’élaboration de lignes directrices pour le financement de la réduction graduelle de la consommation et de la production de </w:t>
      </w:r>
      <w:r w:rsidR="003E46F8" w:rsidRPr="006437DD">
        <w:rPr>
          <w:noProof/>
        </w:rPr>
        <w:t xml:space="preserve">HFC; </w:t>
      </w:r>
      <w:r w:rsidR="00FF53E4" w:rsidRPr="006437DD">
        <w:rPr>
          <w:noProof/>
        </w:rPr>
        <w:t>d’indiquer les progrès accomplis sur chacun de leurs éléments dans le cadre du rapport annuel que le Comité présente à la Réunion des Parties</w:t>
      </w:r>
      <w:r w:rsidR="003E46F8" w:rsidRPr="006437DD">
        <w:rPr>
          <w:noProof/>
        </w:rPr>
        <w:t xml:space="preserve">; </w:t>
      </w:r>
      <w:r w:rsidRPr="006437DD">
        <w:rPr>
          <w:noProof/>
        </w:rPr>
        <w:t xml:space="preserve">et de présenter le projet de lignes directrices établies à la </w:t>
      </w:r>
      <w:r w:rsidR="00F72434" w:rsidRPr="006437DD">
        <w:rPr>
          <w:noProof/>
        </w:rPr>
        <w:t>Réunion des Parties</w:t>
      </w:r>
      <w:r w:rsidR="003E46F8" w:rsidRPr="006437DD">
        <w:rPr>
          <w:noProof/>
        </w:rPr>
        <w:t xml:space="preserve"> </w:t>
      </w:r>
      <w:r w:rsidRPr="006437DD">
        <w:rPr>
          <w:noProof/>
        </w:rPr>
        <w:t xml:space="preserve">pour obtenir les points de vue des parties et leurs </w:t>
      </w:r>
      <w:r w:rsidR="00FF53E4" w:rsidRPr="006437DD">
        <w:rPr>
          <w:noProof/>
        </w:rPr>
        <w:t>sugges</w:t>
      </w:r>
      <w:r w:rsidRPr="006437DD">
        <w:rPr>
          <w:noProof/>
        </w:rPr>
        <w:t xml:space="preserve">tions avant d’en finaliser la rédaction </w:t>
      </w:r>
      <w:r w:rsidR="003E46F8" w:rsidRPr="006437DD">
        <w:rPr>
          <w:noProof/>
        </w:rPr>
        <w:t>(</w:t>
      </w:r>
      <w:r w:rsidR="00F72434" w:rsidRPr="006437DD">
        <w:rPr>
          <w:noProof/>
        </w:rPr>
        <w:t>décision</w:t>
      </w:r>
      <w:r w:rsidR="003E46F8" w:rsidRPr="006437DD">
        <w:rPr>
          <w:noProof/>
        </w:rPr>
        <w:t> XXX/4).</w:t>
      </w:r>
      <w:r w:rsidR="00FF53E4" w:rsidRPr="006437DD">
        <w:rPr>
          <w:noProof/>
        </w:rPr>
        <w:t xml:space="preserve"> </w:t>
      </w:r>
    </w:p>
    <w:p w:rsidR="003E46F8" w:rsidRPr="006437DD" w:rsidRDefault="00FF53E4" w:rsidP="003E46F8">
      <w:pPr>
        <w:pStyle w:val="Heading1"/>
        <w:rPr>
          <w:noProof/>
        </w:rPr>
      </w:pPr>
      <w:r w:rsidRPr="006437DD">
        <w:rPr>
          <w:noProof/>
        </w:rPr>
        <w:t xml:space="preserve">Depuis sa </w:t>
      </w:r>
      <w:r w:rsidR="003E46F8" w:rsidRPr="006437DD">
        <w:rPr>
          <w:noProof/>
        </w:rPr>
        <w:t>77</w:t>
      </w:r>
      <w:r w:rsidRPr="006437DD">
        <w:rPr>
          <w:noProof/>
          <w:vertAlign w:val="superscript"/>
        </w:rPr>
        <w:t>e</w:t>
      </w:r>
      <w:r w:rsidR="003E46F8" w:rsidRPr="006437DD">
        <w:rPr>
          <w:noProof/>
        </w:rPr>
        <w:t> </w:t>
      </w:r>
      <w:r w:rsidRPr="006437DD">
        <w:rPr>
          <w:noProof/>
        </w:rPr>
        <w:t>réunion</w:t>
      </w:r>
      <w:r w:rsidR="003E46F8" w:rsidRPr="006437DD">
        <w:rPr>
          <w:noProof/>
        </w:rPr>
        <w:t xml:space="preserve">, </w:t>
      </w:r>
      <w:r w:rsidRPr="006437DD">
        <w:rPr>
          <w:noProof/>
        </w:rPr>
        <w:t>l</w:t>
      </w:r>
      <w:r w:rsidR="003E46F8" w:rsidRPr="006437DD">
        <w:rPr>
          <w:noProof/>
        </w:rPr>
        <w:t xml:space="preserve">e </w:t>
      </w:r>
      <w:r w:rsidR="00F72434" w:rsidRPr="006437DD">
        <w:rPr>
          <w:noProof/>
        </w:rPr>
        <w:t>Comité exécutif</w:t>
      </w:r>
      <w:r w:rsidR="003E46F8" w:rsidRPr="006437DD">
        <w:rPr>
          <w:noProof/>
        </w:rPr>
        <w:t xml:space="preserve"> </w:t>
      </w:r>
      <w:r w:rsidRPr="006437DD">
        <w:rPr>
          <w:noProof/>
        </w:rPr>
        <w:t xml:space="preserve">a examiné les questions liées à la réduction graduelle des </w:t>
      </w:r>
      <w:r w:rsidR="003E46F8" w:rsidRPr="006437DD">
        <w:rPr>
          <w:noProof/>
        </w:rPr>
        <w:t>HFC</w:t>
      </w:r>
      <w:r w:rsidRPr="006437DD">
        <w:rPr>
          <w:noProof/>
        </w:rPr>
        <w:t xml:space="preserve"> dans les pays </w:t>
      </w:r>
      <w:r w:rsidR="009327B4">
        <w:rPr>
          <w:noProof/>
        </w:rPr>
        <w:t>visés à l’Article</w:t>
      </w:r>
      <w:r w:rsidRPr="006437DD">
        <w:rPr>
          <w:noProof/>
        </w:rPr>
        <w:t xml:space="preserve"> 5</w:t>
      </w:r>
      <w:r w:rsidR="003E46F8" w:rsidRPr="006437DD">
        <w:rPr>
          <w:noProof/>
        </w:rPr>
        <w:t xml:space="preserve">, </w:t>
      </w:r>
      <w:r w:rsidRPr="006437DD">
        <w:rPr>
          <w:noProof/>
        </w:rPr>
        <w:t>notamment l’établissement de lignes directrices sur les coûts</w:t>
      </w:r>
      <w:r w:rsidR="003E46F8" w:rsidRPr="006437DD">
        <w:rPr>
          <w:noProof/>
        </w:rPr>
        <w:t>.</w:t>
      </w:r>
      <w:r w:rsidR="003E46F8" w:rsidRPr="006437DD">
        <w:rPr>
          <w:rStyle w:val="FootnoteReference"/>
          <w:noProof/>
        </w:rPr>
        <w:footnoteReference w:id="2"/>
      </w:r>
      <w:r w:rsidR="003E46F8" w:rsidRPr="006437DD">
        <w:rPr>
          <w:noProof/>
        </w:rPr>
        <w:t xml:space="preserve"> </w:t>
      </w:r>
      <w:r w:rsidRPr="006437DD">
        <w:rPr>
          <w:noProof/>
        </w:rPr>
        <w:t xml:space="preserve">À la </w:t>
      </w:r>
      <w:r w:rsidR="003E46F8" w:rsidRPr="006437DD">
        <w:rPr>
          <w:noProof/>
        </w:rPr>
        <w:t>82</w:t>
      </w:r>
      <w:r w:rsidRPr="006437DD">
        <w:rPr>
          <w:noProof/>
          <w:vertAlign w:val="superscript"/>
        </w:rPr>
        <w:t>e</w:t>
      </w:r>
      <w:r w:rsidR="003E46F8" w:rsidRPr="006437DD">
        <w:rPr>
          <w:noProof/>
        </w:rPr>
        <w:t> </w:t>
      </w:r>
      <w:r w:rsidRPr="006437DD">
        <w:rPr>
          <w:noProof/>
        </w:rPr>
        <w:t>réunion</w:t>
      </w:r>
      <w:r w:rsidR="003E46F8" w:rsidRPr="006437DD">
        <w:rPr>
          <w:noProof/>
        </w:rPr>
        <w:t xml:space="preserve">, </w:t>
      </w:r>
      <w:r w:rsidRPr="006437DD">
        <w:rPr>
          <w:noProof/>
        </w:rPr>
        <w:t>l</w:t>
      </w:r>
      <w:r w:rsidR="003E46F8" w:rsidRPr="006437DD">
        <w:rPr>
          <w:noProof/>
        </w:rPr>
        <w:t xml:space="preserve">e </w:t>
      </w:r>
      <w:r w:rsidR="00F72434" w:rsidRPr="006437DD">
        <w:rPr>
          <w:noProof/>
        </w:rPr>
        <w:t>Comité exécutif</w:t>
      </w:r>
      <w:r w:rsidR="003E46F8" w:rsidRPr="006437DD">
        <w:rPr>
          <w:noProof/>
        </w:rPr>
        <w:t xml:space="preserve"> </w:t>
      </w:r>
      <w:r w:rsidRPr="006437DD">
        <w:rPr>
          <w:noProof/>
        </w:rPr>
        <w:t xml:space="preserve">a adopté un modèle de présentation </w:t>
      </w:r>
      <w:r w:rsidR="007F2826" w:rsidRPr="006437DD">
        <w:rPr>
          <w:noProof/>
        </w:rPr>
        <w:t xml:space="preserve">incluant des textes approuvé par le </w:t>
      </w:r>
      <w:r w:rsidR="00F72434" w:rsidRPr="006437DD">
        <w:rPr>
          <w:noProof/>
        </w:rPr>
        <w:t>Comité</w:t>
      </w:r>
      <w:r w:rsidR="003E46F8" w:rsidRPr="006437DD">
        <w:rPr>
          <w:noProof/>
        </w:rPr>
        <w:t xml:space="preserve"> </w:t>
      </w:r>
      <w:r w:rsidR="007F2826" w:rsidRPr="006437DD">
        <w:rPr>
          <w:noProof/>
        </w:rPr>
        <w:t xml:space="preserve">pour certains éléments de la </w:t>
      </w:r>
      <w:r w:rsidR="00F72434" w:rsidRPr="006437DD">
        <w:rPr>
          <w:noProof/>
        </w:rPr>
        <w:t>décision</w:t>
      </w:r>
      <w:r w:rsidR="003E46F8" w:rsidRPr="006437DD">
        <w:rPr>
          <w:noProof/>
        </w:rPr>
        <w:t xml:space="preserve"> XXVIII/2. </w:t>
      </w:r>
      <w:r w:rsidR="007F2826" w:rsidRPr="006437DD">
        <w:rPr>
          <w:noProof/>
        </w:rPr>
        <w:t xml:space="preserve">D’autres éléments additionnels aux lignes </w:t>
      </w:r>
      <w:r w:rsidR="007F2826" w:rsidRPr="006437DD">
        <w:rPr>
          <w:noProof/>
        </w:rPr>
        <w:lastRenderedPageBreak/>
        <w:t>directrices sur les coûts pourraient être ajoutés au modèle de présentation</w:t>
      </w:r>
      <w:r w:rsidR="003E46F8" w:rsidRPr="006437DD">
        <w:rPr>
          <w:noProof/>
        </w:rPr>
        <w:t xml:space="preserve">, </w:t>
      </w:r>
      <w:r w:rsidR="007F2826" w:rsidRPr="006437DD">
        <w:rPr>
          <w:noProof/>
        </w:rPr>
        <w:t>le cas échéant</w:t>
      </w:r>
      <w:r w:rsidR="003E46F8" w:rsidRPr="006437DD">
        <w:rPr>
          <w:noProof/>
        </w:rPr>
        <w:t xml:space="preserve">, </w:t>
      </w:r>
      <w:r w:rsidR="007F2826" w:rsidRPr="006437DD">
        <w:rPr>
          <w:noProof/>
        </w:rPr>
        <w:t xml:space="preserve">conformément aux </w:t>
      </w:r>
      <w:r w:rsidR="00F72434" w:rsidRPr="006437DD">
        <w:rPr>
          <w:noProof/>
        </w:rPr>
        <w:t>décision</w:t>
      </w:r>
      <w:r w:rsidR="003E46F8" w:rsidRPr="006437DD">
        <w:rPr>
          <w:noProof/>
        </w:rPr>
        <w:t xml:space="preserve">s 80/76(b) </w:t>
      </w:r>
      <w:r w:rsidR="007F2826" w:rsidRPr="006437DD">
        <w:rPr>
          <w:noProof/>
        </w:rPr>
        <w:t>et</w:t>
      </w:r>
      <w:r w:rsidR="003E46F8" w:rsidRPr="006437DD">
        <w:rPr>
          <w:noProof/>
        </w:rPr>
        <w:t xml:space="preserve"> 81/67(f). </w:t>
      </w:r>
      <w:r w:rsidR="007F2826" w:rsidRPr="006437DD">
        <w:rPr>
          <w:noProof/>
        </w:rPr>
        <w:t>Le projet de modèle est présenté à l’</w:t>
      </w:r>
      <w:r w:rsidR="003E46F8" w:rsidRPr="006437DD">
        <w:rPr>
          <w:noProof/>
        </w:rPr>
        <w:t>Annex</w:t>
      </w:r>
      <w:r w:rsidR="007F2826" w:rsidRPr="006437DD">
        <w:rPr>
          <w:noProof/>
        </w:rPr>
        <w:t>e</w:t>
      </w:r>
      <w:r w:rsidR="003E46F8" w:rsidRPr="006437DD">
        <w:rPr>
          <w:noProof/>
        </w:rPr>
        <w:t xml:space="preserve"> I </w:t>
      </w:r>
      <w:r w:rsidR="007F2826" w:rsidRPr="006437DD">
        <w:rPr>
          <w:noProof/>
        </w:rPr>
        <w:t xml:space="preserve">au </w:t>
      </w:r>
      <w:r w:rsidR="003E46F8" w:rsidRPr="006437DD">
        <w:rPr>
          <w:noProof/>
        </w:rPr>
        <w:t>pr</w:t>
      </w:r>
      <w:r w:rsidR="007F2826" w:rsidRPr="006437DD">
        <w:rPr>
          <w:noProof/>
        </w:rPr>
        <w:t>é</w:t>
      </w:r>
      <w:r w:rsidR="003E46F8" w:rsidRPr="006437DD">
        <w:rPr>
          <w:noProof/>
        </w:rPr>
        <w:t xml:space="preserve">sent document. </w:t>
      </w:r>
    </w:p>
    <w:p w:rsidR="003E46F8" w:rsidRPr="006437DD" w:rsidRDefault="007F2826" w:rsidP="003E46F8">
      <w:pPr>
        <w:pStyle w:val="Heading1"/>
        <w:rPr>
          <w:noProof/>
        </w:rPr>
      </w:pPr>
      <w:r w:rsidRPr="006437DD">
        <w:rPr>
          <w:noProof/>
        </w:rPr>
        <w:t xml:space="preserve">Le Tableau 1 </w:t>
      </w:r>
      <w:r w:rsidR="00F65E0B">
        <w:rPr>
          <w:noProof/>
        </w:rPr>
        <w:t>présente</w:t>
      </w:r>
      <w:r w:rsidRPr="006437DD">
        <w:rPr>
          <w:noProof/>
        </w:rPr>
        <w:t xml:space="preserve"> le sommaire des débats du </w:t>
      </w:r>
      <w:r w:rsidR="00F72434" w:rsidRPr="006437DD">
        <w:rPr>
          <w:noProof/>
        </w:rPr>
        <w:t>Comité exécutif</w:t>
      </w:r>
      <w:r w:rsidRPr="006437DD">
        <w:rPr>
          <w:noProof/>
        </w:rPr>
        <w:t xml:space="preserve"> sur les éléments de lignes directrices sur les coûts</w:t>
      </w:r>
      <w:r w:rsidR="003E46F8" w:rsidRPr="006437DD">
        <w:rPr>
          <w:noProof/>
        </w:rPr>
        <w:t>.</w:t>
      </w:r>
    </w:p>
    <w:p w:rsidR="003E46F8" w:rsidRDefault="003E46F8" w:rsidP="003E46F8">
      <w:pPr>
        <w:keepNext/>
        <w:keepLines/>
        <w:rPr>
          <w:b/>
          <w:noProof/>
        </w:rPr>
      </w:pPr>
      <w:r w:rsidRPr="006437DD">
        <w:rPr>
          <w:b/>
          <w:noProof/>
        </w:rPr>
        <w:t>Table</w:t>
      </w:r>
      <w:r w:rsidR="007F2826" w:rsidRPr="006437DD">
        <w:rPr>
          <w:b/>
          <w:noProof/>
        </w:rPr>
        <w:t>au</w:t>
      </w:r>
      <w:r w:rsidRPr="006437DD">
        <w:rPr>
          <w:b/>
          <w:noProof/>
        </w:rPr>
        <w:t xml:space="preserve"> 1. S</w:t>
      </w:r>
      <w:r w:rsidR="007F2826" w:rsidRPr="006437DD">
        <w:rPr>
          <w:b/>
          <w:noProof/>
        </w:rPr>
        <w:t xml:space="preserve">ituation des éléments de lignes directrices sur les coûts de la réduction graduelle des </w:t>
      </w:r>
      <w:r w:rsidRPr="006437DD">
        <w:rPr>
          <w:b/>
          <w:noProof/>
        </w:rPr>
        <w:t>HFC</w:t>
      </w:r>
      <w:r w:rsidR="007F2826" w:rsidRPr="006437DD">
        <w:rPr>
          <w:b/>
          <w:noProof/>
        </w:rPr>
        <w:t xml:space="preserve"> dans les Parties visées à l’</w:t>
      </w:r>
      <w:r w:rsidRPr="006437DD">
        <w:rPr>
          <w:b/>
          <w:noProof/>
        </w:rPr>
        <w:t xml:space="preserve">Article 5 </w:t>
      </w:r>
      <w:r w:rsidR="004973A9">
        <w:rPr>
          <w:b/>
          <w:noProof/>
        </w:rPr>
        <w:t>[</w:t>
      </w:r>
    </w:p>
    <w:p w:rsidR="004973A9" w:rsidRPr="006437DD" w:rsidRDefault="004973A9" w:rsidP="003E46F8">
      <w:pPr>
        <w:keepNext/>
        <w:keepLines/>
        <w:rPr>
          <w:b/>
          <w:noProof/>
        </w:rPr>
      </w:pPr>
    </w:p>
    <w:tbl>
      <w:tblPr>
        <w:tblStyle w:val="TableGrid"/>
        <w:tblW w:w="9610" w:type="dxa"/>
        <w:tblLook w:val="04A0" w:firstRow="1" w:lastRow="0" w:firstColumn="1" w:lastColumn="0" w:noHBand="0" w:noVBand="1"/>
      </w:tblPr>
      <w:tblGrid>
        <w:gridCol w:w="3750"/>
        <w:gridCol w:w="1069"/>
        <w:gridCol w:w="4791"/>
      </w:tblGrid>
      <w:tr w:rsidR="002871CA" w:rsidRPr="006437DD" w:rsidTr="009D5C80">
        <w:trPr>
          <w:trHeight w:val="249"/>
          <w:tblHeader/>
        </w:trPr>
        <w:tc>
          <w:tcPr>
            <w:tcW w:w="0" w:type="auto"/>
          </w:tcPr>
          <w:p w:rsidR="003E46F8" w:rsidRPr="006437DD" w:rsidRDefault="007F2826" w:rsidP="009D5C80">
            <w:pPr>
              <w:pStyle w:val="Heading1"/>
              <w:keepNext/>
              <w:keepLines/>
              <w:numPr>
                <w:ilvl w:val="0"/>
                <w:numId w:val="0"/>
              </w:numPr>
              <w:spacing w:after="0"/>
              <w:jc w:val="left"/>
              <w:outlineLvl w:val="0"/>
              <w:rPr>
                <w:b/>
                <w:noProof/>
                <w:sz w:val="20"/>
                <w:szCs w:val="20"/>
              </w:rPr>
            </w:pPr>
            <w:r w:rsidRPr="006437DD">
              <w:rPr>
                <w:b/>
                <w:noProof/>
                <w:sz w:val="20"/>
                <w:szCs w:val="20"/>
              </w:rPr>
              <w:t>Élément</w:t>
            </w:r>
            <w:r w:rsidR="003E46F8" w:rsidRPr="006437DD">
              <w:rPr>
                <w:b/>
                <w:noProof/>
                <w:sz w:val="20"/>
                <w:szCs w:val="20"/>
              </w:rPr>
              <w:t xml:space="preserve"> </w:t>
            </w:r>
            <w:r w:rsidRPr="006437DD">
              <w:rPr>
                <w:b/>
                <w:noProof/>
                <w:sz w:val="20"/>
                <w:szCs w:val="20"/>
              </w:rPr>
              <w:t xml:space="preserve">de la </w:t>
            </w:r>
            <w:r w:rsidR="00F72434" w:rsidRPr="006437DD">
              <w:rPr>
                <w:b/>
                <w:noProof/>
                <w:sz w:val="20"/>
                <w:szCs w:val="20"/>
              </w:rPr>
              <w:t>décision</w:t>
            </w:r>
            <w:r w:rsidR="003E46F8" w:rsidRPr="006437DD">
              <w:rPr>
                <w:b/>
                <w:noProof/>
                <w:sz w:val="20"/>
                <w:szCs w:val="20"/>
              </w:rPr>
              <w:t> XXVIII/2</w:t>
            </w:r>
          </w:p>
        </w:tc>
        <w:tc>
          <w:tcPr>
            <w:tcW w:w="0" w:type="auto"/>
            <w:tcMar>
              <w:left w:w="29" w:type="dxa"/>
              <w:right w:w="29" w:type="dxa"/>
            </w:tcMar>
          </w:tcPr>
          <w:p w:rsidR="003E46F8" w:rsidRPr="006437DD" w:rsidRDefault="003E46F8" w:rsidP="009D5C80">
            <w:pPr>
              <w:pStyle w:val="Heading1"/>
              <w:keepNext/>
              <w:keepLines/>
              <w:numPr>
                <w:ilvl w:val="0"/>
                <w:numId w:val="0"/>
              </w:numPr>
              <w:spacing w:after="0"/>
              <w:jc w:val="center"/>
              <w:outlineLvl w:val="0"/>
              <w:rPr>
                <w:b/>
                <w:noProof/>
                <w:sz w:val="20"/>
                <w:szCs w:val="20"/>
              </w:rPr>
            </w:pPr>
            <w:r w:rsidRPr="006437DD">
              <w:rPr>
                <w:b/>
                <w:noProof/>
                <w:sz w:val="20"/>
                <w:szCs w:val="20"/>
              </w:rPr>
              <w:t>Paragraph</w:t>
            </w:r>
            <w:r w:rsidR="007F2826" w:rsidRPr="006437DD">
              <w:rPr>
                <w:b/>
                <w:noProof/>
                <w:sz w:val="20"/>
                <w:szCs w:val="20"/>
              </w:rPr>
              <w:t>e</w:t>
            </w:r>
          </w:p>
        </w:tc>
        <w:tc>
          <w:tcPr>
            <w:tcW w:w="0" w:type="auto"/>
          </w:tcPr>
          <w:p w:rsidR="003E46F8" w:rsidRPr="006437DD" w:rsidRDefault="003E46F8" w:rsidP="009D5C80">
            <w:pPr>
              <w:pStyle w:val="Heading1"/>
              <w:keepNext/>
              <w:keepLines/>
              <w:numPr>
                <w:ilvl w:val="0"/>
                <w:numId w:val="0"/>
              </w:numPr>
              <w:spacing w:after="0"/>
              <w:jc w:val="center"/>
              <w:outlineLvl w:val="0"/>
              <w:rPr>
                <w:b/>
                <w:noProof/>
                <w:sz w:val="20"/>
                <w:szCs w:val="20"/>
              </w:rPr>
            </w:pPr>
            <w:r w:rsidRPr="006437DD">
              <w:rPr>
                <w:b/>
                <w:noProof/>
                <w:sz w:val="20"/>
                <w:szCs w:val="20"/>
              </w:rPr>
              <w:t>S</w:t>
            </w:r>
            <w:r w:rsidR="007F2826" w:rsidRPr="006437DD">
              <w:rPr>
                <w:b/>
                <w:noProof/>
                <w:sz w:val="20"/>
                <w:szCs w:val="20"/>
              </w:rPr>
              <w:t>ituation</w:t>
            </w:r>
          </w:p>
        </w:tc>
      </w:tr>
      <w:tr w:rsidR="002871CA" w:rsidRPr="006437DD" w:rsidTr="009D5C80">
        <w:trPr>
          <w:trHeight w:val="249"/>
          <w:tblHeader/>
        </w:trPr>
        <w:tc>
          <w:tcPr>
            <w:tcW w:w="0" w:type="auto"/>
          </w:tcPr>
          <w:p w:rsidR="003E46F8" w:rsidRPr="006437DD" w:rsidRDefault="007F2826" w:rsidP="009D5C80">
            <w:pPr>
              <w:pStyle w:val="Heading1"/>
              <w:numPr>
                <w:ilvl w:val="0"/>
                <w:numId w:val="0"/>
              </w:numPr>
              <w:spacing w:after="0"/>
              <w:jc w:val="left"/>
              <w:outlineLvl w:val="0"/>
              <w:rPr>
                <w:b/>
                <w:i/>
                <w:noProof/>
                <w:sz w:val="20"/>
                <w:szCs w:val="20"/>
              </w:rPr>
            </w:pPr>
            <w:r w:rsidRPr="006437DD">
              <w:rPr>
                <w:b/>
                <w:i/>
                <w:noProof/>
                <w:sz w:val="20"/>
                <w:szCs w:val="20"/>
              </w:rPr>
              <w:t>Examiné</w:t>
            </w:r>
          </w:p>
        </w:tc>
        <w:tc>
          <w:tcPr>
            <w:tcW w:w="0" w:type="auto"/>
            <w:tcMar>
              <w:left w:w="29" w:type="dxa"/>
              <w:right w:w="29" w:type="dxa"/>
            </w:tcMar>
          </w:tcPr>
          <w:p w:rsidR="003E46F8" w:rsidRPr="006437DD" w:rsidRDefault="003E46F8" w:rsidP="009D5C80">
            <w:pPr>
              <w:pStyle w:val="Heading1"/>
              <w:numPr>
                <w:ilvl w:val="0"/>
                <w:numId w:val="0"/>
              </w:numPr>
              <w:spacing w:after="0"/>
              <w:jc w:val="left"/>
              <w:outlineLvl w:val="0"/>
              <w:rPr>
                <w:b/>
                <w:i/>
                <w:noProof/>
                <w:sz w:val="20"/>
                <w:szCs w:val="20"/>
              </w:rPr>
            </w:pPr>
          </w:p>
        </w:tc>
        <w:tc>
          <w:tcPr>
            <w:tcW w:w="0" w:type="auto"/>
          </w:tcPr>
          <w:p w:rsidR="003E46F8" w:rsidRPr="006437DD" w:rsidRDefault="003E46F8" w:rsidP="009D5C80">
            <w:pPr>
              <w:pStyle w:val="Heading1"/>
              <w:numPr>
                <w:ilvl w:val="0"/>
                <w:numId w:val="0"/>
              </w:numPr>
              <w:spacing w:after="0"/>
              <w:jc w:val="left"/>
              <w:outlineLvl w:val="0"/>
              <w:rPr>
                <w:b/>
                <w:i/>
                <w:noProof/>
                <w:sz w:val="20"/>
                <w:szCs w:val="20"/>
              </w:rPr>
            </w:pPr>
          </w:p>
        </w:tc>
      </w:tr>
      <w:tr w:rsidR="002871CA" w:rsidRPr="006437DD" w:rsidTr="009D5C80">
        <w:trPr>
          <w:trHeight w:val="727"/>
        </w:trPr>
        <w:tc>
          <w:tcPr>
            <w:tcW w:w="0" w:type="auto"/>
          </w:tcPr>
          <w:p w:rsidR="003E46F8" w:rsidRPr="006437DD" w:rsidRDefault="00A16259" w:rsidP="009D5C80">
            <w:pPr>
              <w:pStyle w:val="Heading1"/>
              <w:numPr>
                <w:ilvl w:val="0"/>
                <w:numId w:val="0"/>
              </w:numPr>
              <w:spacing w:after="0"/>
              <w:jc w:val="left"/>
              <w:outlineLvl w:val="0"/>
              <w:rPr>
                <w:noProof/>
                <w:sz w:val="20"/>
                <w:szCs w:val="20"/>
              </w:rPr>
            </w:pPr>
            <w:r w:rsidRPr="006437DD">
              <w:rPr>
                <w:noProof/>
                <w:sz w:val="20"/>
                <w:szCs w:val="20"/>
              </w:rPr>
              <w:t>Souplesse dans la mise en œuvre pour permettre aux Parties de définir leurs propres stratégies et de fixer leurs propres priorités selon les secteurs et les technologies</w:t>
            </w:r>
          </w:p>
        </w:tc>
        <w:tc>
          <w:tcPr>
            <w:tcW w:w="0" w:type="auto"/>
          </w:tcPr>
          <w:p w:rsidR="003E46F8" w:rsidRPr="006437DD" w:rsidRDefault="003E46F8" w:rsidP="009D5C80">
            <w:pPr>
              <w:pStyle w:val="Heading1"/>
              <w:numPr>
                <w:ilvl w:val="0"/>
                <w:numId w:val="0"/>
              </w:numPr>
              <w:spacing w:after="0"/>
              <w:jc w:val="left"/>
              <w:outlineLvl w:val="0"/>
              <w:rPr>
                <w:noProof/>
                <w:sz w:val="20"/>
                <w:szCs w:val="20"/>
              </w:rPr>
            </w:pPr>
            <w:r w:rsidRPr="006437DD">
              <w:rPr>
                <w:noProof/>
                <w:sz w:val="20"/>
                <w:szCs w:val="20"/>
              </w:rPr>
              <w:t xml:space="preserve">13 </w:t>
            </w:r>
          </w:p>
        </w:tc>
        <w:tc>
          <w:tcPr>
            <w:tcW w:w="0" w:type="auto"/>
          </w:tcPr>
          <w:p w:rsidR="003E46F8" w:rsidRPr="006437DD" w:rsidRDefault="003E46F8" w:rsidP="009D5C80">
            <w:pPr>
              <w:pStyle w:val="Heading1"/>
              <w:numPr>
                <w:ilvl w:val="0"/>
                <w:numId w:val="0"/>
              </w:numPr>
              <w:spacing w:after="0"/>
              <w:outlineLvl w:val="0"/>
              <w:rPr>
                <w:noProof/>
                <w:sz w:val="20"/>
                <w:szCs w:val="20"/>
              </w:rPr>
            </w:pPr>
            <w:r w:rsidRPr="006437DD">
              <w:rPr>
                <w:noProof/>
                <w:sz w:val="20"/>
                <w:szCs w:val="20"/>
              </w:rPr>
              <w:t>Text</w:t>
            </w:r>
            <w:r w:rsidR="00C04373" w:rsidRPr="006437DD">
              <w:rPr>
                <w:noProof/>
                <w:sz w:val="20"/>
                <w:szCs w:val="20"/>
              </w:rPr>
              <w:t>e</w:t>
            </w:r>
            <w:r w:rsidRPr="006437DD">
              <w:rPr>
                <w:noProof/>
                <w:sz w:val="20"/>
                <w:szCs w:val="20"/>
              </w:rPr>
              <w:t xml:space="preserve"> </w:t>
            </w:r>
            <w:r w:rsidR="00C04373" w:rsidRPr="006437DD">
              <w:rPr>
                <w:noProof/>
                <w:sz w:val="20"/>
                <w:szCs w:val="20"/>
              </w:rPr>
              <w:t>inclus dans le projet de modèle</w:t>
            </w:r>
          </w:p>
        </w:tc>
      </w:tr>
      <w:tr w:rsidR="002871CA" w:rsidRPr="006437DD" w:rsidTr="009D5C80">
        <w:trPr>
          <w:trHeight w:val="249"/>
        </w:trPr>
        <w:tc>
          <w:tcPr>
            <w:tcW w:w="0" w:type="auto"/>
          </w:tcPr>
          <w:p w:rsidR="003E46F8" w:rsidRPr="006437DD" w:rsidRDefault="00C04373" w:rsidP="009D5C80">
            <w:pPr>
              <w:pStyle w:val="Heading1"/>
              <w:numPr>
                <w:ilvl w:val="0"/>
                <w:numId w:val="0"/>
              </w:numPr>
              <w:spacing w:after="0"/>
              <w:jc w:val="left"/>
              <w:outlineLvl w:val="0"/>
              <w:rPr>
                <w:noProof/>
                <w:sz w:val="20"/>
                <w:szCs w:val="20"/>
              </w:rPr>
            </w:pPr>
            <w:r w:rsidRPr="006437DD">
              <w:rPr>
                <w:noProof/>
                <w:sz w:val="20"/>
                <w:szCs w:val="20"/>
              </w:rPr>
              <w:t xml:space="preserve">Dates limites </w:t>
            </w:r>
            <w:r w:rsidR="00A16259" w:rsidRPr="006437DD">
              <w:rPr>
                <w:noProof/>
                <w:sz w:val="20"/>
                <w:szCs w:val="20"/>
              </w:rPr>
              <w:t>d’</w:t>
            </w:r>
            <w:r w:rsidR="009D5C80" w:rsidRPr="006437DD">
              <w:rPr>
                <w:noProof/>
                <w:sz w:val="20"/>
                <w:szCs w:val="20"/>
              </w:rPr>
              <w:t>éligibilité</w:t>
            </w:r>
          </w:p>
        </w:tc>
        <w:tc>
          <w:tcPr>
            <w:tcW w:w="0" w:type="auto"/>
          </w:tcPr>
          <w:p w:rsidR="003E46F8" w:rsidRPr="006437DD" w:rsidRDefault="003E46F8" w:rsidP="009D5C80">
            <w:pPr>
              <w:pStyle w:val="Heading1"/>
              <w:numPr>
                <w:ilvl w:val="0"/>
                <w:numId w:val="0"/>
              </w:numPr>
              <w:spacing w:after="0"/>
              <w:jc w:val="left"/>
              <w:outlineLvl w:val="0"/>
              <w:rPr>
                <w:noProof/>
                <w:sz w:val="20"/>
                <w:szCs w:val="20"/>
              </w:rPr>
            </w:pPr>
            <w:r w:rsidRPr="006437DD">
              <w:rPr>
                <w:noProof/>
                <w:sz w:val="20"/>
                <w:szCs w:val="20"/>
              </w:rPr>
              <w:t>17</w:t>
            </w:r>
          </w:p>
        </w:tc>
        <w:tc>
          <w:tcPr>
            <w:tcW w:w="0" w:type="auto"/>
          </w:tcPr>
          <w:p w:rsidR="003E46F8" w:rsidRPr="006437DD" w:rsidRDefault="00C04373" w:rsidP="009D5C80">
            <w:pPr>
              <w:pStyle w:val="Heading1"/>
              <w:numPr>
                <w:ilvl w:val="0"/>
                <w:numId w:val="0"/>
              </w:numPr>
              <w:spacing w:after="0"/>
              <w:outlineLvl w:val="0"/>
              <w:rPr>
                <w:noProof/>
                <w:sz w:val="20"/>
                <w:szCs w:val="20"/>
              </w:rPr>
            </w:pPr>
            <w:r w:rsidRPr="006437DD">
              <w:rPr>
                <w:noProof/>
                <w:sz w:val="20"/>
                <w:szCs w:val="20"/>
              </w:rPr>
              <w:t>Texte inclus dans le projet de modèle</w:t>
            </w:r>
          </w:p>
        </w:tc>
      </w:tr>
      <w:tr w:rsidR="002871CA" w:rsidRPr="006437DD" w:rsidTr="009D5C80">
        <w:trPr>
          <w:trHeight w:val="249"/>
        </w:trPr>
        <w:tc>
          <w:tcPr>
            <w:tcW w:w="0" w:type="auto"/>
          </w:tcPr>
          <w:p w:rsidR="003E46F8" w:rsidRPr="006437DD" w:rsidRDefault="00C04373" w:rsidP="009D5C80">
            <w:pPr>
              <w:pStyle w:val="Heading1"/>
              <w:numPr>
                <w:ilvl w:val="0"/>
                <w:numId w:val="0"/>
              </w:numPr>
              <w:spacing w:after="0"/>
              <w:jc w:val="left"/>
              <w:outlineLvl w:val="0"/>
              <w:rPr>
                <w:noProof/>
                <w:sz w:val="20"/>
                <w:szCs w:val="20"/>
              </w:rPr>
            </w:pPr>
            <w:r w:rsidRPr="006437DD">
              <w:rPr>
                <w:noProof/>
                <w:sz w:val="20"/>
                <w:szCs w:val="20"/>
              </w:rPr>
              <w:t>Deuxième et troisième conversions</w:t>
            </w:r>
          </w:p>
        </w:tc>
        <w:tc>
          <w:tcPr>
            <w:tcW w:w="0" w:type="auto"/>
          </w:tcPr>
          <w:p w:rsidR="003E46F8" w:rsidRPr="006437DD" w:rsidRDefault="003E46F8" w:rsidP="009D5C80">
            <w:pPr>
              <w:pStyle w:val="Heading1"/>
              <w:numPr>
                <w:ilvl w:val="0"/>
                <w:numId w:val="0"/>
              </w:numPr>
              <w:spacing w:after="0"/>
              <w:jc w:val="left"/>
              <w:outlineLvl w:val="0"/>
              <w:rPr>
                <w:noProof/>
                <w:sz w:val="20"/>
                <w:szCs w:val="20"/>
              </w:rPr>
            </w:pPr>
            <w:r w:rsidRPr="006437DD">
              <w:rPr>
                <w:noProof/>
                <w:sz w:val="20"/>
                <w:szCs w:val="20"/>
              </w:rPr>
              <w:t>18</w:t>
            </w:r>
          </w:p>
        </w:tc>
        <w:tc>
          <w:tcPr>
            <w:tcW w:w="0" w:type="auto"/>
          </w:tcPr>
          <w:p w:rsidR="003E46F8" w:rsidRPr="006437DD" w:rsidRDefault="00C04373" w:rsidP="009D5C80">
            <w:pPr>
              <w:pStyle w:val="Heading1"/>
              <w:numPr>
                <w:ilvl w:val="0"/>
                <w:numId w:val="0"/>
              </w:numPr>
              <w:spacing w:after="0"/>
              <w:outlineLvl w:val="0"/>
              <w:rPr>
                <w:noProof/>
                <w:sz w:val="20"/>
                <w:szCs w:val="20"/>
              </w:rPr>
            </w:pPr>
            <w:r w:rsidRPr="006437DD">
              <w:rPr>
                <w:noProof/>
                <w:sz w:val="20"/>
                <w:szCs w:val="20"/>
              </w:rPr>
              <w:t>Texte inclus dans le projet de modèle</w:t>
            </w:r>
          </w:p>
        </w:tc>
      </w:tr>
      <w:tr w:rsidR="002871CA" w:rsidRPr="006437DD" w:rsidTr="009D5C80">
        <w:trPr>
          <w:trHeight w:val="249"/>
        </w:trPr>
        <w:tc>
          <w:tcPr>
            <w:tcW w:w="0" w:type="auto"/>
          </w:tcPr>
          <w:p w:rsidR="003E46F8" w:rsidRPr="006437DD" w:rsidRDefault="00C04373" w:rsidP="009D5C80">
            <w:pPr>
              <w:pStyle w:val="Heading1"/>
              <w:numPr>
                <w:ilvl w:val="0"/>
                <w:numId w:val="0"/>
              </w:numPr>
              <w:spacing w:after="0"/>
              <w:jc w:val="left"/>
              <w:outlineLvl w:val="0"/>
              <w:rPr>
                <w:noProof/>
                <w:sz w:val="20"/>
                <w:szCs w:val="20"/>
              </w:rPr>
            </w:pPr>
            <w:r w:rsidRPr="006437DD">
              <w:rPr>
                <w:noProof/>
                <w:sz w:val="20"/>
                <w:szCs w:val="20"/>
              </w:rPr>
              <w:t>Autres coûts</w:t>
            </w:r>
            <w:r w:rsidR="003E46F8" w:rsidRPr="006437DD">
              <w:rPr>
                <w:noProof/>
                <w:sz w:val="20"/>
                <w:szCs w:val="20"/>
                <w:vertAlign w:val="superscript"/>
              </w:rPr>
              <w:t>a</w:t>
            </w:r>
          </w:p>
        </w:tc>
        <w:tc>
          <w:tcPr>
            <w:tcW w:w="0" w:type="auto"/>
          </w:tcPr>
          <w:p w:rsidR="003E46F8" w:rsidRPr="006437DD" w:rsidRDefault="003E46F8" w:rsidP="009D5C80">
            <w:pPr>
              <w:pStyle w:val="Heading1"/>
              <w:numPr>
                <w:ilvl w:val="0"/>
                <w:numId w:val="0"/>
              </w:numPr>
              <w:spacing w:after="0"/>
              <w:jc w:val="left"/>
              <w:outlineLvl w:val="0"/>
              <w:rPr>
                <w:noProof/>
                <w:sz w:val="20"/>
                <w:szCs w:val="20"/>
              </w:rPr>
            </w:pPr>
            <w:r w:rsidRPr="006437DD">
              <w:rPr>
                <w:noProof/>
                <w:sz w:val="20"/>
                <w:szCs w:val="20"/>
              </w:rPr>
              <w:t>25</w:t>
            </w:r>
          </w:p>
        </w:tc>
        <w:tc>
          <w:tcPr>
            <w:tcW w:w="0" w:type="auto"/>
          </w:tcPr>
          <w:p w:rsidR="003E46F8" w:rsidRPr="006437DD" w:rsidRDefault="00C04373" w:rsidP="009D5C80">
            <w:pPr>
              <w:pStyle w:val="Heading1"/>
              <w:numPr>
                <w:ilvl w:val="0"/>
                <w:numId w:val="0"/>
              </w:numPr>
              <w:spacing w:after="0"/>
              <w:outlineLvl w:val="0"/>
              <w:rPr>
                <w:noProof/>
                <w:sz w:val="20"/>
                <w:szCs w:val="20"/>
              </w:rPr>
            </w:pPr>
            <w:r w:rsidRPr="006437DD">
              <w:rPr>
                <w:noProof/>
                <w:sz w:val="20"/>
                <w:szCs w:val="20"/>
              </w:rPr>
              <w:t>Texte non inclus dans le projet de modèle</w:t>
            </w:r>
          </w:p>
        </w:tc>
      </w:tr>
      <w:tr w:rsidR="002871CA" w:rsidRPr="006437DD" w:rsidTr="009D5C80">
        <w:trPr>
          <w:trHeight w:val="478"/>
        </w:trPr>
        <w:tc>
          <w:tcPr>
            <w:tcW w:w="0" w:type="auto"/>
          </w:tcPr>
          <w:p w:rsidR="003E46F8" w:rsidRPr="006437DD" w:rsidRDefault="00C04373" w:rsidP="009D5C80">
            <w:pPr>
              <w:pStyle w:val="Heading1"/>
              <w:numPr>
                <w:ilvl w:val="0"/>
                <w:numId w:val="0"/>
              </w:numPr>
              <w:spacing w:after="0"/>
              <w:jc w:val="left"/>
              <w:outlineLvl w:val="0"/>
              <w:rPr>
                <w:noProof/>
                <w:sz w:val="20"/>
                <w:szCs w:val="20"/>
              </w:rPr>
            </w:pPr>
            <w:r w:rsidRPr="006437DD">
              <w:rPr>
                <w:noProof/>
                <w:sz w:val="20"/>
                <w:szCs w:val="20"/>
              </w:rPr>
              <w:t>Admissibilité des substances de l’</w:t>
            </w:r>
            <w:r w:rsidR="003E46F8" w:rsidRPr="006437DD">
              <w:rPr>
                <w:noProof/>
                <w:sz w:val="20"/>
                <w:szCs w:val="20"/>
              </w:rPr>
              <w:t>Annex</w:t>
            </w:r>
            <w:r w:rsidRPr="006437DD">
              <w:rPr>
                <w:noProof/>
                <w:sz w:val="20"/>
                <w:szCs w:val="20"/>
              </w:rPr>
              <w:t>e</w:t>
            </w:r>
            <w:r w:rsidR="003E46F8" w:rsidRPr="006437DD">
              <w:rPr>
                <w:noProof/>
                <w:sz w:val="20"/>
                <w:szCs w:val="20"/>
              </w:rPr>
              <w:t> F</w:t>
            </w:r>
            <w:r w:rsidRPr="006437DD">
              <w:rPr>
                <w:noProof/>
                <w:sz w:val="20"/>
                <w:szCs w:val="20"/>
              </w:rPr>
              <w:t xml:space="preserve">, </w:t>
            </w:r>
            <w:r w:rsidR="009D5C80" w:rsidRPr="006437DD">
              <w:rPr>
                <w:noProof/>
                <w:sz w:val="20"/>
                <w:szCs w:val="20"/>
              </w:rPr>
              <w:t>faisant l’objet</w:t>
            </w:r>
            <w:r w:rsidRPr="006437DD">
              <w:rPr>
                <w:noProof/>
                <w:sz w:val="20"/>
                <w:szCs w:val="20"/>
              </w:rPr>
              <w:t xml:space="preserve"> d</w:t>
            </w:r>
            <w:r w:rsidR="009D5C80" w:rsidRPr="006437DD">
              <w:rPr>
                <w:noProof/>
                <w:sz w:val="20"/>
                <w:szCs w:val="20"/>
              </w:rPr>
              <w:t>e dérogation</w:t>
            </w:r>
            <w:r w:rsidRPr="006437DD">
              <w:rPr>
                <w:noProof/>
                <w:sz w:val="20"/>
                <w:szCs w:val="20"/>
              </w:rPr>
              <w:t xml:space="preserve"> pour températures ambiantes élevées</w:t>
            </w:r>
          </w:p>
        </w:tc>
        <w:tc>
          <w:tcPr>
            <w:tcW w:w="0" w:type="auto"/>
          </w:tcPr>
          <w:p w:rsidR="003E46F8" w:rsidRPr="006437DD" w:rsidRDefault="003E46F8" w:rsidP="009D5C80">
            <w:pPr>
              <w:pStyle w:val="Heading1"/>
              <w:numPr>
                <w:ilvl w:val="0"/>
                <w:numId w:val="0"/>
              </w:numPr>
              <w:spacing w:after="0"/>
              <w:jc w:val="left"/>
              <w:outlineLvl w:val="0"/>
              <w:rPr>
                <w:noProof/>
                <w:sz w:val="20"/>
                <w:szCs w:val="20"/>
              </w:rPr>
            </w:pPr>
            <w:r w:rsidRPr="006437DD">
              <w:rPr>
                <w:noProof/>
                <w:sz w:val="20"/>
                <w:szCs w:val="20"/>
              </w:rPr>
              <w:t>35</w:t>
            </w:r>
          </w:p>
        </w:tc>
        <w:tc>
          <w:tcPr>
            <w:tcW w:w="0" w:type="auto"/>
          </w:tcPr>
          <w:p w:rsidR="003E46F8" w:rsidRPr="006437DD" w:rsidRDefault="00C04373" w:rsidP="009D5C80">
            <w:pPr>
              <w:pStyle w:val="Heading1"/>
              <w:numPr>
                <w:ilvl w:val="0"/>
                <w:numId w:val="0"/>
              </w:numPr>
              <w:spacing w:after="0"/>
              <w:outlineLvl w:val="0"/>
              <w:rPr>
                <w:noProof/>
                <w:sz w:val="20"/>
                <w:szCs w:val="20"/>
              </w:rPr>
            </w:pPr>
            <w:r w:rsidRPr="006437DD">
              <w:rPr>
                <w:noProof/>
                <w:sz w:val="20"/>
                <w:szCs w:val="20"/>
              </w:rPr>
              <w:t>Texte inclus dans le projet de modèle</w:t>
            </w:r>
          </w:p>
        </w:tc>
      </w:tr>
      <w:tr w:rsidR="002871CA" w:rsidRPr="006437DD" w:rsidTr="009D5C80">
        <w:trPr>
          <w:trHeight w:val="249"/>
        </w:trPr>
        <w:tc>
          <w:tcPr>
            <w:tcW w:w="0" w:type="auto"/>
          </w:tcPr>
          <w:p w:rsidR="003E46F8" w:rsidRPr="006437DD" w:rsidRDefault="00C04373" w:rsidP="009D5C80">
            <w:pPr>
              <w:pStyle w:val="Heading1"/>
              <w:numPr>
                <w:ilvl w:val="0"/>
                <w:numId w:val="0"/>
              </w:numPr>
              <w:spacing w:after="0"/>
              <w:jc w:val="left"/>
              <w:outlineLvl w:val="0"/>
              <w:rPr>
                <w:b/>
                <w:i/>
                <w:noProof/>
                <w:sz w:val="20"/>
                <w:szCs w:val="20"/>
              </w:rPr>
            </w:pPr>
            <w:r w:rsidRPr="006437DD">
              <w:rPr>
                <w:b/>
                <w:i/>
                <w:noProof/>
                <w:sz w:val="20"/>
                <w:szCs w:val="20"/>
              </w:rPr>
              <w:t>Objet de débats</w:t>
            </w:r>
          </w:p>
        </w:tc>
        <w:tc>
          <w:tcPr>
            <w:tcW w:w="0" w:type="auto"/>
          </w:tcPr>
          <w:p w:rsidR="003E46F8" w:rsidRPr="006437DD" w:rsidRDefault="003E46F8" w:rsidP="009D5C80">
            <w:pPr>
              <w:pStyle w:val="Heading1"/>
              <w:numPr>
                <w:ilvl w:val="0"/>
                <w:numId w:val="0"/>
              </w:numPr>
              <w:spacing w:after="0"/>
              <w:jc w:val="left"/>
              <w:outlineLvl w:val="0"/>
              <w:rPr>
                <w:b/>
                <w:i/>
                <w:noProof/>
                <w:sz w:val="20"/>
                <w:szCs w:val="20"/>
              </w:rPr>
            </w:pPr>
          </w:p>
        </w:tc>
        <w:tc>
          <w:tcPr>
            <w:tcW w:w="0" w:type="auto"/>
          </w:tcPr>
          <w:p w:rsidR="003E46F8" w:rsidRPr="006437DD" w:rsidRDefault="003E46F8" w:rsidP="009D5C80">
            <w:pPr>
              <w:pStyle w:val="Heading1"/>
              <w:numPr>
                <w:ilvl w:val="0"/>
                <w:numId w:val="0"/>
              </w:numPr>
              <w:spacing w:after="0"/>
              <w:outlineLvl w:val="0"/>
              <w:rPr>
                <w:b/>
                <w:i/>
                <w:noProof/>
                <w:sz w:val="20"/>
                <w:szCs w:val="20"/>
              </w:rPr>
            </w:pPr>
          </w:p>
        </w:tc>
      </w:tr>
      <w:tr w:rsidR="002871CA" w:rsidRPr="006437DD" w:rsidTr="009D5C80">
        <w:trPr>
          <w:trHeight w:val="577"/>
        </w:trPr>
        <w:tc>
          <w:tcPr>
            <w:tcW w:w="0" w:type="auto"/>
          </w:tcPr>
          <w:p w:rsidR="003E46F8" w:rsidRPr="006437DD" w:rsidRDefault="00807459" w:rsidP="009D5C80">
            <w:pPr>
              <w:pStyle w:val="Heading1"/>
              <w:numPr>
                <w:ilvl w:val="0"/>
                <w:numId w:val="0"/>
              </w:numPr>
              <w:spacing w:after="0"/>
              <w:jc w:val="left"/>
              <w:outlineLvl w:val="0"/>
              <w:rPr>
                <w:noProof/>
                <w:sz w:val="20"/>
                <w:szCs w:val="20"/>
              </w:rPr>
            </w:pPr>
            <w:r w:rsidRPr="006437DD">
              <w:rPr>
                <w:noProof/>
                <w:sz w:val="20"/>
                <w:szCs w:val="20"/>
              </w:rPr>
              <w:t>Réduc</w:t>
            </w:r>
            <w:r w:rsidR="00A16259" w:rsidRPr="006437DD">
              <w:rPr>
                <w:noProof/>
                <w:sz w:val="20"/>
                <w:szCs w:val="20"/>
              </w:rPr>
              <w:t>t</w:t>
            </w:r>
            <w:r w:rsidRPr="006437DD">
              <w:rPr>
                <w:noProof/>
                <w:sz w:val="20"/>
                <w:szCs w:val="20"/>
              </w:rPr>
              <w:t xml:space="preserve">ions globales </w:t>
            </w:r>
            <w:r w:rsidR="00811281">
              <w:rPr>
                <w:noProof/>
                <w:sz w:val="20"/>
                <w:szCs w:val="20"/>
              </w:rPr>
              <w:t>durabl</w:t>
            </w:r>
            <w:r w:rsidR="009D5C80" w:rsidRPr="006437DD">
              <w:rPr>
                <w:noProof/>
                <w:sz w:val="20"/>
                <w:szCs w:val="20"/>
              </w:rPr>
              <w:t>es</w:t>
            </w:r>
            <w:r w:rsidR="00A16259" w:rsidRPr="006437DD">
              <w:rPr>
                <w:noProof/>
                <w:sz w:val="20"/>
                <w:szCs w:val="20"/>
              </w:rPr>
              <w:t xml:space="preserve"> de la consommation et </w:t>
            </w:r>
            <w:r w:rsidR="008F1BB3">
              <w:rPr>
                <w:noProof/>
                <w:sz w:val="20"/>
                <w:szCs w:val="20"/>
              </w:rPr>
              <w:t xml:space="preserve">de </w:t>
            </w:r>
            <w:r w:rsidR="00A16259" w:rsidRPr="006437DD">
              <w:rPr>
                <w:noProof/>
                <w:sz w:val="20"/>
                <w:szCs w:val="20"/>
              </w:rPr>
              <w:t xml:space="preserve">la </w:t>
            </w:r>
            <w:r w:rsidR="009D5C80" w:rsidRPr="006437DD">
              <w:rPr>
                <w:noProof/>
                <w:sz w:val="20"/>
                <w:szCs w:val="20"/>
              </w:rPr>
              <w:t>production</w:t>
            </w:r>
          </w:p>
        </w:tc>
        <w:tc>
          <w:tcPr>
            <w:tcW w:w="0" w:type="auto"/>
          </w:tcPr>
          <w:p w:rsidR="003E46F8" w:rsidRPr="006437DD" w:rsidRDefault="003E46F8" w:rsidP="009D5C80">
            <w:pPr>
              <w:pStyle w:val="Heading1"/>
              <w:numPr>
                <w:ilvl w:val="0"/>
                <w:numId w:val="0"/>
              </w:numPr>
              <w:spacing w:after="0"/>
              <w:jc w:val="left"/>
              <w:outlineLvl w:val="0"/>
              <w:rPr>
                <w:noProof/>
                <w:sz w:val="20"/>
                <w:szCs w:val="20"/>
              </w:rPr>
            </w:pPr>
            <w:r w:rsidRPr="006437DD">
              <w:rPr>
                <w:noProof/>
                <w:sz w:val="20"/>
                <w:szCs w:val="20"/>
              </w:rPr>
              <w:t>19</w:t>
            </w:r>
          </w:p>
        </w:tc>
        <w:tc>
          <w:tcPr>
            <w:tcW w:w="0" w:type="auto"/>
          </w:tcPr>
          <w:p w:rsidR="003E46F8" w:rsidRPr="006437DD" w:rsidRDefault="00C04373" w:rsidP="009D5C80">
            <w:pPr>
              <w:pStyle w:val="Heading1"/>
              <w:numPr>
                <w:ilvl w:val="0"/>
                <w:numId w:val="0"/>
              </w:numPr>
              <w:spacing w:after="0"/>
              <w:outlineLvl w:val="0"/>
              <w:rPr>
                <w:noProof/>
                <w:sz w:val="20"/>
                <w:szCs w:val="20"/>
              </w:rPr>
            </w:pPr>
            <w:r w:rsidRPr="006437DD">
              <w:rPr>
                <w:noProof/>
                <w:sz w:val="20"/>
                <w:szCs w:val="20"/>
              </w:rPr>
              <w:t>Texte inclus dans le projet de modèle</w:t>
            </w:r>
            <w:r w:rsidR="003E46F8" w:rsidRPr="006437DD">
              <w:rPr>
                <w:noProof/>
                <w:sz w:val="20"/>
                <w:szCs w:val="20"/>
              </w:rPr>
              <w:t xml:space="preserve">. </w:t>
            </w:r>
            <w:r w:rsidR="00A16259" w:rsidRPr="006437DD">
              <w:rPr>
                <w:noProof/>
                <w:sz w:val="20"/>
                <w:szCs w:val="20"/>
              </w:rPr>
              <w:t xml:space="preserve">Il faut mettre au point une méthodologie pour établir le point de départ des réductions globales </w:t>
            </w:r>
            <w:r w:rsidR="000946D1" w:rsidRPr="006437DD">
              <w:rPr>
                <w:noProof/>
                <w:sz w:val="20"/>
                <w:szCs w:val="20"/>
              </w:rPr>
              <w:t>durabl</w:t>
            </w:r>
            <w:r w:rsidR="009D5C80" w:rsidRPr="006437DD">
              <w:rPr>
                <w:noProof/>
                <w:sz w:val="20"/>
                <w:szCs w:val="20"/>
              </w:rPr>
              <w:t>es</w:t>
            </w:r>
            <w:r w:rsidR="003E46F8" w:rsidRPr="006437DD">
              <w:rPr>
                <w:noProof/>
                <w:sz w:val="20"/>
                <w:szCs w:val="20"/>
                <w:vertAlign w:val="superscript"/>
              </w:rPr>
              <w:t>b</w:t>
            </w:r>
          </w:p>
        </w:tc>
      </w:tr>
      <w:tr w:rsidR="002871CA" w:rsidRPr="006437DD" w:rsidTr="009D5C80">
        <w:trPr>
          <w:trHeight w:val="249"/>
        </w:trPr>
        <w:tc>
          <w:tcPr>
            <w:tcW w:w="0" w:type="auto"/>
          </w:tcPr>
          <w:p w:rsidR="003E46F8" w:rsidRPr="006437DD" w:rsidRDefault="008F1BB3" w:rsidP="009D5C80">
            <w:pPr>
              <w:pStyle w:val="Heading1"/>
              <w:numPr>
                <w:ilvl w:val="0"/>
                <w:numId w:val="0"/>
              </w:numPr>
              <w:spacing w:after="0"/>
              <w:jc w:val="left"/>
              <w:outlineLvl w:val="0"/>
              <w:rPr>
                <w:noProof/>
                <w:sz w:val="20"/>
                <w:szCs w:val="20"/>
              </w:rPr>
            </w:pPr>
            <w:r>
              <w:rPr>
                <w:noProof/>
                <w:sz w:val="20"/>
                <w:szCs w:val="20"/>
              </w:rPr>
              <w:t>Surc</w:t>
            </w:r>
            <w:r w:rsidR="009D5C80" w:rsidRPr="006437DD">
              <w:rPr>
                <w:noProof/>
                <w:sz w:val="20"/>
                <w:szCs w:val="20"/>
              </w:rPr>
              <w:t>oûts admissibles</w:t>
            </w:r>
          </w:p>
        </w:tc>
        <w:tc>
          <w:tcPr>
            <w:tcW w:w="0" w:type="auto"/>
          </w:tcPr>
          <w:p w:rsidR="003E46F8" w:rsidRPr="006437DD" w:rsidRDefault="003E46F8" w:rsidP="009D5C80">
            <w:pPr>
              <w:pStyle w:val="Heading1"/>
              <w:numPr>
                <w:ilvl w:val="0"/>
                <w:numId w:val="0"/>
              </w:numPr>
              <w:spacing w:after="0"/>
              <w:jc w:val="left"/>
              <w:outlineLvl w:val="0"/>
              <w:rPr>
                <w:noProof/>
                <w:sz w:val="20"/>
                <w:szCs w:val="20"/>
              </w:rPr>
            </w:pPr>
            <w:r w:rsidRPr="006437DD">
              <w:rPr>
                <w:noProof/>
                <w:sz w:val="20"/>
                <w:szCs w:val="20"/>
              </w:rPr>
              <w:t>15</w:t>
            </w:r>
          </w:p>
        </w:tc>
        <w:tc>
          <w:tcPr>
            <w:tcW w:w="0" w:type="auto"/>
          </w:tcPr>
          <w:p w:rsidR="003E46F8" w:rsidRPr="006437DD" w:rsidRDefault="003E46F8" w:rsidP="009D5C80">
            <w:pPr>
              <w:pStyle w:val="Heading1"/>
              <w:numPr>
                <w:ilvl w:val="0"/>
                <w:numId w:val="0"/>
              </w:numPr>
              <w:spacing w:after="0"/>
              <w:outlineLvl w:val="0"/>
              <w:rPr>
                <w:noProof/>
                <w:sz w:val="20"/>
                <w:szCs w:val="20"/>
              </w:rPr>
            </w:pPr>
          </w:p>
        </w:tc>
      </w:tr>
      <w:tr w:rsidR="002871CA" w:rsidRPr="006437DD" w:rsidTr="009D5C80">
        <w:trPr>
          <w:trHeight w:val="998"/>
        </w:trPr>
        <w:tc>
          <w:tcPr>
            <w:tcW w:w="0" w:type="auto"/>
          </w:tcPr>
          <w:p w:rsidR="003E46F8" w:rsidRPr="006437DD" w:rsidRDefault="009D5C80" w:rsidP="009D5C80">
            <w:pPr>
              <w:pStyle w:val="Heading1"/>
              <w:numPr>
                <w:ilvl w:val="0"/>
                <w:numId w:val="0"/>
              </w:numPr>
              <w:tabs>
                <w:tab w:val="left" w:pos="158"/>
              </w:tabs>
              <w:spacing w:after="0"/>
              <w:jc w:val="left"/>
              <w:outlineLvl w:val="0"/>
              <w:rPr>
                <w:noProof/>
                <w:sz w:val="20"/>
                <w:szCs w:val="20"/>
              </w:rPr>
            </w:pPr>
            <w:r w:rsidRPr="006437DD">
              <w:rPr>
                <w:noProof/>
                <w:sz w:val="20"/>
                <w:szCs w:val="20"/>
              </w:rPr>
              <w:t>Secteur de la consommation et secteur manufacturier</w:t>
            </w:r>
          </w:p>
        </w:tc>
        <w:tc>
          <w:tcPr>
            <w:tcW w:w="0" w:type="auto"/>
          </w:tcPr>
          <w:p w:rsidR="003E46F8" w:rsidRPr="006437DD" w:rsidRDefault="003E46F8" w:rsidP="009D5C80">
            <w:pPr>
              <w:pStyle w:val="Heading1"/>
              <w:numPr>
                <w:ilvl w:val="0"/>
                <w:numId w:val="0"/>
              </w:numPr>
              <w:spacing w:after="0"/>
              <w:jc w:val="left"/>
              <w:outlineLvl w:val="0"/>
              <w:rPr>
                <w:noProof/>
                <w:sz w:val="20"/>
                <w:szCs w:val="20"/>
              </w:rPr>
            </w:pPr>
            <w:r w:rsidRPr="006437DD">
              <w:rPr>
                <w:noProof/>
                <w:sz w:val="20"/>
                <w:szCs w:val="20"/>
              </w:rPr>
              <w:t xml:space="preserve">15(a) </w:t>
            </w:r>
          </w:p>
        </w:tc>
        <w:tc>
          <w:tcPr>
            <w:tcW w:w="0" w:type="auto"/>
          </w:tcPr>
          <w:p w:rsidR="003E46F8" w:rsidRPr="006437DD" w:rsidRDefault="003E46F8" w:rsidP="009D5C80">
            <w:pPr>
              <w:pStyle w:val="Heading1"/>
              <w:numPr>
                <w:ilvl w:val="0"/>
                <w:numId w:val="0"/>
              </w:numPr>
              <w:spacing w:after="0"/>
              <w:outlineLvl w:val="0"/>
              <w:rPr>
                <w:noProof/>
                <w:sz w:val="20"/>
                <w:szCs w:val="20"/>
              </w:rPr>
            </w:pPr>
            <w:r w:rsidRPr="006437DD">
              <w:rPr>
                <w:noProof/>
                <w:sz w:val="20"/>
                <w:szCs w:val="20"/>
              </w:rPr>
              <w:t>Text</w:t>
            </w:r>
            <w:r w:rsidR="009D5C80" w:rsidRPr="006437DD">
              <w:rPr>
                <w:noProof/>
                <w:sz w:val="20"/>
                <w:szCs w:val="20"/>
              </w:rPr>
              <w:t>e sur les catégories de coûts admissibles inclus dans le projet de modèle</w:t>
            </w:r>
            <w:r w:rsidRPr="006437DD">
              <w:rPr>
                <w:noProof/>
                <w:sz w:val="20"/>
                <w:szCs w:val="20"/>
              </w:rPr>
              <w:t xml:space="preserve">. </w:t>
            </w:r>
            <w:r w:rsidR="009D5C80" w:rsidRPr="006437DD">
              <w:rPr>
                <w:noProof/>
                <w:sz w:val="20"/>
                <w:szCs w:val="20"/>
              </w:rPr>
              <w:t>Seuils du rapport coût-efficacité à établir</w:t>
            </w:r>
            <w:r w:rsidRPr="006437DD">
              <w:rPr>
                <w:noProof/>
                <w:sz w:val="20"/>
                <w:szCs w:val="20"/>
              </w:rPr>
              <w:t xml:space="preserve">, </w:t>
            </w:r>
            <w:r w:rsidR="009D5C80" w:rsidRPr="006437DD">
              <w:rPr>
                <w:noProof/>
                <w:sz w:val="20"/>
                <w:szCs w:val="20"/>
              </w:rPr>
              <w:t>en fonction des données provenant des projets d’investissement</w:t>
            </w:r>
            <w:r w:rsidRPr="006437DD">
              <w:rPr>
                <w:noProof/>
                <w:sz w:val="20"/>
                <w:szCs w:val="20"/>
                <w:vertAlign w:val="superscript"/>
              </w:rPr>
              <w:t>c</w:t>
            </w:r>
            <w:r w:rsidR="0018110A" w:rsidRPr="006437DD">
              <w:rPr>
                <w:noProof/>
                <w:sz w:val="20"/>
                <w:szCs w:val="20"/>
              </w:rPr>
              <w:t xml:space="preserve"> approuvés pour </w:t>
            </w:r>
            <w:r w:rsidR="00797D21">
              <w:rPr>
                <w:noProof/>
                <w:sz w:val="20"/>
                <w:szCs w:val="20"/>
              </w:rPr>
              <w:t>la réduction graduelle</w:t>
            </w:r>
            <w:r w:rsidR="0018110A" w:rsidRPr="006437DD">
              <w:rPr>
                <w:noProof/>
                <w:sz w:val="20"/>
                <w:szCs w:val="20"/>
              </w:rPr>
              <w:t xml:space="preserve"> des </w:t>
            </w:r>
            <w:r w:rsidR="009D5C80" w:rsidRPr="006437DD">
              <w:rPr>
                <w:noProof/>
                <w:sz w:val="20"/>
                <w:szCs w:val="20"/>
              </w:rPr>
              <w:t>HFC</w:t>
            </w:r>
          </w:p>
        </w:tc>
      </w:tr>
      <w:tr w:rsidR="002871CA" w:rsidRPr="006437DD" w:rsidTr="009D5C80">
        <w:trPr>
          <w:trHeight w:val="498"/>
        </w:trPr>
        <w:tc>
          <w:tcPr>
            <w:tcW w:w="0" w:type="auto"/>
          </w:tcPr>
          <w:p w:rsidR="003E46F8" w:rsidRPr="006437DD" w:rsidRDefault="003E46F8" w:rsidP="000946D1">
            <w:pPr>
              <w:pStyle w:val="Heading1"/>
              <w:numPr>
                <w:ilvl w:val="0"/>
                <w:numId w:val="0"/>
              </w:numPr>
              <w:tabs>
                <w:tab w:val="left" w:pos="158"/>
              </w:tabs>
              <w:spacing w:after="0"/>
              <w:outlineLvl w:val="0"/>
              <w:rPr>
                <w:noProof/>
                <w:sz w:val="20"/>
                <w:szCs w:val="20"/>
              </w:rPr>
            </w:pPr>
            <w:r w:rsidRPr="006437DD">
              <w:rPr>
                <w:noProof/>
                <w:sz w:val="20"/>
                <w:szCs w:val="20"/>
              </w:rPr>
              <w:tab/>
            </w:r>
            <w:r w:rsidR="009D5C80" w:rsidRPr="006437DD">
              <w:rPr>
                <w:noProof/>
                <w:sz w:val="20"/>
                <w:szCs w:val="20"/>
              </w:rPr>
              <w:t>Secteur de la p</w:t>
            </w:r>
            <w:r w:rsidRPr="006437DD">
              <w:rPr>
                <w:noProof/>
                <w:sz w:val="20"/>
                <w:szCs w:val="20"/>
              </w:rPr>
              <w:t>roduction</w:t>
            </w:r>
          </w:p>
        </w:tc>
        <w:tc>
          <w:tcPr>
            <w:tcW w:w="0" w:type="auto"/>
          </w:tcPr>
          <w:p w:rsidR="003E46F8" w:rsidRPr="006437DD" w:rsidRDefault="003E46F8" w:rsidP="009D5C80">
            <w:pPr>
              <w:pStyle w:val="Heading1"/>
              <w:numPr>
                <w:ilvl w:val="0"/>
                <w:numId w:val="0"/>
              </w:numPr>
              <w:spacing w:after="0"/>
              <w:jc w:val="left"/>
              <w:outlineLvl w:val="0"/>
              <w:rPr>
                <w:noProof/>
                <w:sz w:val="20"/>
                <w:szCs w:val="20"/>
              </w:rPr>
            </w:pPr>
            <w:r w:rsidRPr="006437DD">
              <w:rPr>
                <w:noProof/>
                <w:sz w:val="20"/>
                <w:szCs w:val="20"/>
              </w:rPr>
              <w:t>15(b)</w:t>
            </w:r>
          </w:p>
        </w:tc>
        <w:tc>
          <w:tcPr>
            <w:tcW w:w="0" w:type="auto"/>
          </w:tcPr>
          <w:p w:rsidR="003E46F8" w:rsidRPr="006437DD" w:rsidRDefault="003E46F8" w:rsidP="009D5C80">
            <w:pPr>
              <w:pStyle w:val="Heading1"/>
              <w:numPr>
                <w:ilvl w:val="0"/>
                <w:numId w:val="0"/>
              </w:numPr>
              <w:spacing w:after="0"/>
              <w:outlineLvl w:val="0"/>
              <w:rPr>
                <w:noProof/>
                <w:sz w:val="20"/>
                <w:szCs w:val="20"/>
              </w:rPr>
            </w:pPr>
            <w:r w:rsidRPr="006437DD">
              <w:rPr>
                <w:noProof/>
                <w:sz w:val="20"/>
                <w:szCs w:val="20"/>
              </w:rPr>
              <w:t>Text</w:t>
            </w:r>
            <w:r w:rsidR="000946D1" w:rsidRPr="006437DD">
              <w:rPr>
                <w:noProof/>
                <w:sz w:val="20"/>
                <w:szCs w:val="20"/>
              </w:rPr>
              <w:t>e sur les catégories de coûts admissibles inclus dans le projet de modèle</w:t>
            </w:r>
          </w:p>
        </w:tc>
      </w:tr>
      <w:tr w:rsidR="002871CA" w:rsidRPr="006437DD" w:rsidTr="009D5C80">
        <w:trPr>
          <w:trHeight w:val="384"/>
        </w:trPr>
        <w:tc>
          <w:tcPr>
            <w:tcW w:w="0" w:type="auto"/>
          </w:tcPr>
          <w:p w:rsidR="003E46F8" w:rsidRPr="006437DD" w:rsidRDefault="003E46F8" w:rsidP="009D5C80">
            <w:pPr>
              <w:pStyle w:val="Heading1"/>
              <w:numPr>
                <w:ilvl w:val="0"/>
                <w:numId w:val="0"/>
              </w:numPr>
              <w:tabs>
                <w:tab w:val="left" w:pos="158"/>
              </w:tabs>
              <w:spacing w:after="0"/>
              <w:jc w:val="left"/>
              <w:outlineLvl w:val="0"/>
              <w:rPr>
                <w:noProof/>
                <w:sz w:val="20"/>
                <w:szCs w:val="20"/>
              </w:rPr>
            </w:pPr>
            <w:r w:rsidRPr="006437DD">
              <w:rPr>
                <w:noProof/>
                <w:sz w:val="20"/>
                <w:szCs w:val="20"/>
              </w:rPr>
              <w:tab/>
            </w:r>
            <w:r w:rsidR="000946D1" w:rsidRPr="006437DD">
              <w:rPr>
                <w:noProof/>
                <w:sz w:val="20"/>
                <w:szCs w:val="20"/>
              </w:rPr>
              <w:t>Secteur de l’entretien en ré</w:t>
            </w:r>
            <w:r w:rsidRPr="006437DD">
              <w:rPr>
                <w:noProof/>
                <w:sz w:val="20"/>
                <w:szCs w:val="20"/>
              </w:rPr>
              <w:t>frig</w:t>
            </w:r>
            <w:r w:rsidR="000946D1" w:rsidRPr="006437DD">
              <w:rPr>
                <w:noProof/>
                <w:sz w:val="20"/>
                <w:szCs w:val="20"/>
              </w:rPr>
              <w:t>é</w:t>
            </w:r>
            <w:r w:rsidRPr="006437DD">
              <w:rPr>
                <w:noProof/>
                <w:sz w:val="20"/>
                <w:szCs w:val="20"/>
              </w:rPr>
              <w:t>ration</w:t>
            </w:r>
          </w:p>
        </w:tc>
        <w:tc>
          <w:tcPr>
            <w:tcW w:w="0" w:type="auto"/>
          </w:tcPr>
          <w:p w:rsidR="003E46F8" w:rsidRPr="006437DD" w:rsidRDefault="003E46F8" w:rsidP="009D5C80">
            <w:pPr>
              <w:pStyle w:val="Heading1"/>
              <w:numPr>
                <w:ilvl w:val="0"/>
                <w:numId w:val="0"/>
              </w:numPr>
              <w:spacing w:after="0"/>
              <w:jc w:val="left"/>
              <w:outlineLvl w:val="0"/>
              <w:rPr>
                <w:noProof/>
                <w:sz w:val="20"/>
                <w:szCs w:val="20"/>
              </w:rPr>
            </w:pPr>
            <w:r w:rsidRPr="006437DD">
              <w:rPr>
                <w:noProof/>
                <w:sz w:val="20"/>
                <w:szCs w:val="20"/>
              </w:rPr>
              <w:t>15(c)</w:t>
            </w:r>
          </w:p>
        </w:tc>
        <w:tc>
          <w:tcPr>
            <w:tcW w:w="0" w:type="auto"/>
          </w:tcPr>
          <w:p w:rsidR="003E46F8" w:rsidRDefault="000946D1" w:rsidP="009D5C80">
            <w:pPr>
              <w:pStyle w:val="Heading1"/>
              <w:numPr>
                <w:ilvl w:val="0"/>
                <w:numId w:val="0"/>
              </w:numPr>
              <w:spacing w:after="0"/>
              <w:outlineLvl w:val="0"/>
              <w:rPr>
                <w:noProof/>
                <w:sz w:val="20"/>
                <w:szCs w:val="20"/>
                <w:vertAlign w:val="superscript"/>
              </w:rPr>
            </w:pPr>
            <w:r w:rsidRPr="006437DD">
              <w:rPr>
                <w:noProof/>
                <w:sz w:val="20"/>
                <w:szCs w:val="20"/>
              </w:rPr>
              <w:t>Texte sur les catégories de coûts admissibles inclus dans le projet de modèle</w:t>
            </w:r>
            <w:r w:rsidR="003E46F8" w:rsidRPr="006437DD">
              <w:rPr>
                <w:noProof/>
                <w:sz w:val="20"/>
                <w:szCs w:val="20"/>
              </w:rPr>
              <w:t xml:space="preserve">. </w:t>
            </w:r>
            <w:r w:rsidRPr="006437DD">
              <w:rPr>
                <w:noProof/>
                <w:sz w:val="20"/>
                <w:szCs w:val="20"/>
              </w:rPr>
              <w:t>Seuils de coût-efficacité à établir</w:t>
            </w:r>
            <w:r w:rsidR="003E46F8" w:rsidRPr="006437DD">
              <w:rPr>
                <w:noProof/>
                <w:sz w:val="20"/>
                <w:szCs w:val="20"/>
                <w:vertAlign w:val="superscript"/>
              </w:rPr>
              <w:t>d</w:t>
            </w:r>
          </w:p>
          <w:p w:rsidR="004973A9" w:rsidRPr="004973A9" w:rsidRDefault="004973A9" w:rsidP="004973A9"/>
        </w:tc>
      </w:tr>
      <w:tr w:rsidR="002871CA" w:rsidRPr="006437DD" w:rsidTr="009D5C80">
        <w:trPr>
          <w:trHeight w:val="2474"/>
        </w:trPr>
        <w:tc>
          <w:tcPr>
            <w:tcW w:w="0" w:type="auto"/>
          </w:tcPr>
          <w:p w:rsidR="003E46F8" w:rsidRPr="006437DD" w:rsidRDefault="003E46F8" w:rsidP="009D5C80">
            <w:pPr>
              <w:jc w:val="left"/>
              <w:rPr>
                <w:noProof/>
                <w:sz w:val="20"/>
                <w:szCs w:val="20"/>
              </w:rPr>
            </w:pPr>
            <w:r w:rsidRPr="006437DD">
              <w:rPr>
                <w:noProof/>
                <w:sz w:val="20"/>
                <w:szCs w:val="20"/>
              </w:rPr>
              <w:t>E</w:t>
            </w:r>
            <w:r w:rsidR="000946D1" w:rsidRPr="006437DD">
              <w:rPr>
                <w:noProof/>
                <w:sz w:val="20"/>
                <w:szCs w:val="20"/>
              </w:rPr>
              <w:t>fficacité énergétique</w:t>
            </w:r>
          </w:p>
        </w:tc>
        <w:tc>
          <w:tcPr>
            <w:tcW w:w="0" w:type="auto"/>
          </w:tcPr>
          <w:p w:rsidR="003E46F8" w:rsidRPr="006437DD" w:rsidRDefault="003E46F8" w:rsidP="009D5C80">
            <w:pPr>
              <w:jc w:val="left"/>
              <w:rPr>
                <w:noProof/>
                <w:sz w:val="20"/>
                <w:szCs w:val="20"/>
              </w:rPr>
            </w:pPr>
            <w:r w:rsidRPr="006437DD">
              <w:rPr>
                <w:noProof/>
                <w:sz w:val="20"/>
                <w:szCs w:val="20"/>
              </w:rPr>
              <w:t xml:space="preserve">22 </w:t>
            </w:r>
          </w:p>
        </w:tc>
        <w:tc>
          <w:tcPr>
            <w:tcW w:w="0" w:type="auto"/>
          </w:tcPr>
          <w:p w:rsidR="003E46F8" w:rsidRPr="006437DD" w:rsidRDefault="000946D1" w:rsidP="009D5C80">
            <w:pPr>
              <w:rPr>
                <w:noProof/>
                <w:sz w:val="20"/>
                <w:szCs w:val="20"/>
              </w:rPr>
            </w:pPr>
            <w:r w:rsidRPr="006437DD">
              <w:rPr>
                <w:noProof/>
                <w:sz w:val="20"/>
                <w:szCs w:val="20"/>
              </w:rPr>
              <w:t xml:space="preserve">À examiner à la </w:t>
            </w:r>
            <w:r w:rsidR="003E46F8" w:rsidRPr="006437DD">
              <w:rPr>
                <w:noProof/>
                <w:sz w:val="20"/>
                <w:szCs w:val="20"/>
              </w:rPr>
              <w:t>83</w:t>
            </w:r>
            <w:r w:rsidRPr="006437DD">
              <w:rPr>
                <w:noProof/>
                <w:sz w:val="20"/>
                <w:szCs w:val="20"/>
                <w:vertAlign w:val="superscript"/>
              </w:rPr>
              <w:t>e</w:t>
            </w:r>
            <w:r w:rsidR="003E46F8" w:rsidRPr="006437DD">
              <w:rPr>
                <w:noProof/>
                <w:sz w:val="20"/>
                <w:szCs w:val="20"/>
              </w:rPr>
              <w:t> </w:t>
            </w:r>
            <w:r w:rsidR="00FF53E4" w:rsidRPr="006437DD">
              <w:rPr>
                <w:noProof/>
                <w:sz w:val="20"/>
                <w:szCs w:val="20"/>
              </w:rPr>
              <w:t>réunion</w:t>
            </w:r>
            <w:r w:rsidRPr="006437DD">
              <w:rPr>
                <w:noProof/>
                <w:sz w:val="20"/>
                <w:szCs w:val="20"/>
              </w:rPr>
              <w:t xml:space="preserve">, au titre du point </w:t>
            </w:r>
            <w:r w:rsidR="003E46F8" w:rsidRPr="006437DD">
              <w:rPr>
                <w:noProof/>
                <w:sz w:val="20"/>
                <w:szCs w:val="20"/>
              </w:rPr>
              <w:t>12(a)</w:t>
            </w:r>
            <w:r w:rsidRPr="006437DD">
              <w:rPr>
                <w:noProof/>
                <w:sz w:val="20"/>
                <w:szCs w:val="20"/>
              </w:rPr>
              <w:t>, sur la base des documents ci-après</w:t>
            </w:r>
            <w:r w:rsidR="003E46F8" w:rsidRPr="006437DD">
              <w:rPr>
                <w:noProof/>
                <w:sz w:val="20"/>
                <w:szCs w:val="20"/>
              </w:rPr>
              <w:t>:</w:t>
            </w:r>
          </w:p>
          <w:p w:rsidR="003E46F8" w:rsidRPr="006437DD" w:rsidRDefault="00342011" w:rsidP="00342011">
            <w:pPr>
              <w:pStyle w:val="ListParagraph"/>
              <w:numPr>
                <w:ilvl w:val="0"/>
                <w:numId w:val="23"/>
              </w:numPr>
              <w:tabs>
                <w:tab w:val="left" w:pos="190"/>
              </w:tabs>
              <w:ind w:left="164" w:hanging="164"/>
              <w:jc w:val="left"/>
              <w:rPr>
                <w:rFonts w:ascii="Times New Roman" w:hAnsi="Times New Roman" w:cs="Times New Roman"/>
                <w:noProof/>
                <w:sz w:val="20"/>
                <w:szCs w:val="20"/>
              </w:rPr>
            </w:pPr>
            <w:r w:rsidRPr="006437DD">
              <w:rPr>
                <w:rFonts w:ascii="Times New Roman" w:hAnsi="Times New Roman" w:cs="Times New Roman"/>
                <w:noProof/>
                <w:sz w:val="20"/>
                <w:szCs w:val="20"/>
              </w:rPr>
              <w:t>Moyens de rendre opérationnels le</w:t>
            </w:r>
            <w:r w:rsidR="003E46F8" w:rsidRPr="006437DD">
              <w:rPr>
                <w:rFonts w:ascii="Times New Roman" w:hAnsi="Times New Roman" w:cs="Times New Roman"/>
                <w:noProof/>
                <w:sz w:val="20"/>
                <w:szCs w:val="20"/>
              </w:rPr>
              <w:t xml:space="preserve"> paragraph</w:t>
            </w:r>
            <w:r w:rsidRPr="006437DD">
              <w:rPr>
                <w:rFonts w:ascii="Times New Roman" w:hAnsi="Times New Roman" w:cs="Times New Roman"/>
                <w:noProof/>
                <w:sz w:val="20"/>
                <w:szCs w:val="20"/>
              </w:rPr>
              <w:t>e</w:t>
            </w:r>
            <w:r w:rsidR="003E46F8" w:rsidRPr="006437DD">
              <w:rPr>
                <w:rFonts w:ascii="Times New Roman" w:hAnsi="Times New Roman" w:cs="Times New Roman"/>
                <w:noProof/>
                <w:sz w:val="20"/>
                <w:szCs w:val="20"/>
              </w:rPr>
              <w:t xml:space="preserve"> 16 </w:t>
            </w:r>
            <w:r w:rsidRPr="006437DD">
              <w:rPr>
                <w:rFonts w:ascii="Times New Roman" w:hAnsi="Times New Roman" w:cs="Times New Roman"/>
                <w:noProof/>
                <w:sz w:val="20"/>
                <w:szCs w:val="20"/>
              </w:rPr>
              <w:t xml:space="preserve">de la </w:t>
            </w:r>
            <w:r w:rsidR="00F72434" w:rsidRPr="006437DD">
              <w:rPr>
                <w:rFonts w:ascii="Times New Roman" w:hAnsi="Times New Roman" w:cs="Times New Roman"/>
                <w:noProof/>
                <w:sz w:val="20"/>
                <w:szCs w:val="20"/>
              </w:rPr>
              <w:t>décision</w:t>
            </w:r>
            <w:r w:rsidR="003E46F8" w:rsidRPr="006437DD">
              <w:rPr>
                <w:rFonts w:ascii="Times New Roman" w:hAnsi="Times New Roman" w:cs="Times New Roman"/>
                <w:noProof/>
                <w:sz w:val="20"/>
                <w:szCs w:val="20"/>
              </w:rPr>
              <w:t xml:space="preserve"> XXVIII/2 </w:t>
            </w:r>
            <w:r w:rsidRPr="006437DD">
              <w:rPr>
                <w:rFonts w:ascii="Times New Roman" w:hAnsi="Times New Roman" w:cs="Times New Roman"/>
                <w:noProof/>
                <w:sz w:val="20"/>
                <w:szCs w:val="20"/>
              </w:rPr>
              <w:t>et le</w:t>
            </w:r>
            <w:r w:rsidR="003E46F8" w:rsidRPr="006437DD">
              <w:rPr>
                <w:rFonts w:ascii="Times New Roman" w:hAnsi="Times New Roman" w:cs="Times New Roman"/>
                <w:noProof/>
                <w:sz w:val="20"/>
                <w:szCs w:val="20"/>
              </w:rPr>
              <w:t xml:space="preserve"> paragraph</w:t>
            </w:r>
            <w:r w:rsidRPr="006437DD">
              <w:rPr>
                <w:rFonts w:ascii="Times New Roman" w:hAnsi="Times New Roman" w:cs="Times New Roman"/>
                <w:noProof/>
                <w:sz w:val="20"/>
                <w:szCs w:val="20"/>
              </w:rPr>
              <w:t xml:space="preserve">e </w:t>
            </w:r>
            <w:r w:rsidR="003E46F8" w:rsidRPr="006437DD">
              <w:rPr>
                <w:rFonts w:ascii="Times New Roman" w:hAnsi="Times New Roman" w:cs="Times New Roman"/>
                <w:noProof/>
                <w:sz w:val="20"/>
                <w:szCs w:val="20"/>
              </w:rPr>
              <w:t xml:space="preserve">2 </w:t>
            </w:r>
            <w:r w:rsidRPr="006437DD">
              <w:rPr>
                <w:rFonts w:ascii="Times New Roman" w:hAnsi="Times New Roman" w:cs="Times New Roman"/>
                <w:noProof/>
                <w:sz w:val="20"/>
                <w:szCs w:val="20"/>
              </w:rPr>
              <w:t>de la</w:t>
            </w:r>
            <w:r w:rsidR="003E46F8" w:rsidRPr="006437DD">
              <w:rPr>
                <w:rFonts w:ascii="Times New Roman" w:hAnsi="Times New Roman" w:cs="Times New Roman"/>
                <w:noProof/>
                <w:sz w:val="20"/>
                <w:szCs w:val="20"/>
              </w:rPr>
              <w:t xml:space="preserve"> </w:t>
            </w:r>
            <w:r w:rsidR="00F72434" w:rsidRPr="006437DD">
              <w:rPr>
                <w:rFonts w:ascii="Times New Roman" w:hAnsi="Times New Roman" w:cs="Times New Roman"/>
                <w:noProof/>
                <w:sz w:val="20"/>
                <w:szCs w:val="20"/>
              </w:rPr>
              <w:t>décision</w:t>
            </w:r>
            <w:r w:rsidR="003E46F8" w:rsidRPr="006437DD">
              <w:rPr>
                <w:rFonts w:ascii="Times New Roman" w:hAnsi="Times New Roman" w:cs="Times New Roman"/>
                <w:noProof/>
                <w:sz w:val="20"/>
                <w:szCs w:val="20"/>
              </w:rPr>
              <w:t> XXX/5</w:t>
            </w:r>
            <w:r w:rsidR="003E46F8" w:rsidRPr="006437DD">
              <w:rPr>
                <w:rFonts w:ascii="Times New Roman" w:hAnsi="Times New Roman" w:cs="Times New Roman"/>
                <w:noProof/>
                <w:sz w:val="20"/>
                <w:szCs w:val="20"/>
                <w:vertAlign w:val="superscript"/>
              </w:rPr>
              <w:t>e</w:t>
            </w:r>
          </w:p>
          <w:p w:rsidR="003E46F8" w:rsidRPr="006437DD" w:rsidRDefault="003E46F8" w:rsidP="003E46F8">
            <w:pPr>
              <w:pStyle w:val="ListParagraph"/>
              <w:numPr>
                <w:ilvl w:val="0"/>
                <w:numId w:val="23"/>
              </w:numPr>
              <w:tabs>
                <w:tab w:val="left" w:pos="190"/>
              </w:tabs>
              <w:ind w:left="164" w:hanging="164"/>
              <w:rPr>
                <w:rFonts w:ascii="Times New Roman" w:hAnsi="Times New Roman" w:cs="Times New Roman"/>
                <w:noProof/>
                <w:sz w:val="20"/>
                <w:szCs w:val="20"/>
              </w:rPr>
            </w:pPr>
            <w:r w:rsidRPr="006437DD">
              <w:rPr>
                <w:rFonts w:ascii="Times New Roman" w:hAnsi="Times New Roman" w:cs="Times New Roman"/>
                <w:noProof/>
                <w:sz w:val="20"/>
                <w:szCs w:val="20"/>
              </w:rPr>
              <w:t>Information</w:t>
            </w:r>
            <w:r w:rsidR="00342011" w:rsidRPr="006437DD">
              <w:rPr>
                <w:rFonts w:ascii="Times New Roman" w:hAnsi="Times New Roman" w:cs="Times New Roman"/>
                <w:noProof/>
                <w:sz w:val="20"/>
                <w:szCs w:val="20"/>
              </w:rPr>
              <w:t xml:space="preserve">s sur les fonds et les institutions financières qui mobilisent des ressources pour l’efficacité énergétique, qui pourraient être utiles dans la réduction graduelle des </w:t>
            </w:r>
            <w:r w:rsidRPr="006437DD">
              <w:rPr>
                <w:rFonts w:ascii="Times New Roman" w:hAnsi="Times New Roman" w:cs="Times New Roman"/>
                <w:noProof/>
                <w:sz w:val="20"/>
                <w:szCs w:val="20"/>
              </w:rPr>
              <w:t>HFC</w:t>
            </w:r>
            <w:r w:rsidRPr="006437DD">
              <w:rPr>
                <w:rFonts w:ascii="Times New Roman" w:hAnsi="Times New Roman" w:cs="Times New Roman"/>
                <w:noProof/>
                <w:sz w:val="20"/>
                <w:szCs w:val="20"/>
                <w:vertAlign w:val="superscript"/>
              </w:rPr>
              <w:t>f</w:t>
            </w:r>
          </w:p>
          <w:p w:rsidR="003E46F8" w:rsidRPr="004973A9" w:rsidRDefault="00D26A41" w:rsidP="003E46F8">
            <w:pPr>
              <w:pStyle w:val="ListParagraph"/>
              <w:numPr>
                <w:ilvl w:val="0"/>
                <w:numId w:val="23"/>
              </w:numPr>
              <w:tabs>
                <w:tab w:val="left" w:pos="190"/>
              </w:tabs>
              <w:ind w:left="164" w:right="246" w:hanging="164"/>
              <w:rPr>
                <w:rFonts w:ascii="Times New Roman" w:hAnsi="Times New Roman" w:cs="Times New Roman"/>
                <w:noProof/>
                <w:sz w:val="20"/>
                <w:szCs w:val="20"/>
              </w:rPr>
            </w:pPr>
            <w:r w:rsidRPr="006437DD">
              <w:rPr>
                <w:rFonts w:ascii="Times New Roman" w:hAnsi="Times New Roman" w:cs="Times New Roman"/>
                <w:noProof/>
                <w:sz w:val="20"/>
                <w:szCs w:val="20"/>
              </w:rPr>
              <w:t xml:space="preserve">Sommaire du rapport du Groupe de l’évaluation technique et économique (GETE) sur l’efficacité énergétique, dans le contexte des questions mentionnées dans la </w:t>
            </w:r>
            <w:r w:rsidR="00F72434" w:rsidRPr="006437DD">
              <w:rPr>
                <w:rFonts w:ascii="Times New Roman" w:hAnsi="Times New Roman" w:cs="Times New Roman"/>
                <w:noProof/>
                <w:sz w:val="20"/>
                <w:szCs w:val="20"/>
              </w:rPr>
              <w:t>décision</w:t>
            </w:r>
            <w:r w:rsidR="003E46F8" w:rsidRPr="006437DD">
              <w:rPr>
                <w:rFonts w:ascii="Times New Roman" w:hAnsi="Times New Roman" w:cs="Times New Roman"/>
                <w:noProof/>
                <w:sz w:val="20"/>
                <w:szCs w:val="20"/>
              </w:rPr>
              <w:t> 82/83(e)</w:t>
            </w:r>
            <w:r w:rsidR="003E46F8" w:rsidRPr="006437DD">
              <w:rPr>
                <w:rFonts w:ascii="Times New Roman" w:hAnsi="Times New Roman" w:cs="Times New Roman"/>
                <w:noProof/>
                <w:sz w:val="20"/>
                <w:szCs w:val="20"/>
                <w:vertAlign w:val="superscript"/>
              </w:rPr>
              <w:t>g</w:t>
            </w:r>
          </w:p>
          <w:p w:rsidR="004973A9" w:rsidRPr="006437DD" w:rsidRDefault="004973A9" w:rsidP="003E46F8">
            <w:pPr>
              <w:pStyle w:val="ListParagraph"/>
              <w:numPr>
                <w:ilvl w:val="0"/>
                <w:numId w:val="23"/>
              </w:numPr>
              <w:tabs>
                <w:tab w:val="left" w:pos="190"/>
              </w:tabs>
              <w:ind w:left="164" w:right="246" w:hanging="164"/>
              <w:rPr>
                <w:rFonts w:ascii="Times New Roman" w:hAnsi="Times New Roman" w:cs="Times New Roman"/>
                <w:noProof/>
                <w:sz w:val="20"/>
                <w:szCs w:val="20"/>
              </w:rPr>
            </w:pPr>
          </w:p>
        </w:tc>
      </w:tr>
      <w:tr w:rsidR="002871CA" w:rsidRPr="006437DD" w:rsidTr="009D5C80">
        <w:trPr>
          <w:trHeight w:val="882"/>
        </w:trPr>
        <w:tc>
          <w:tcPr>
            <w:tcW w:w="0" w:type="auto"/>
          </w:tcPr>
          <w:p w:rsidR="003E46F8" w:rsidRPr="006437DD" w:rsidRDefault="000946D1" w:rsidP="009D5C80">
            <w:pPr>
              <w:jc w:val="left"/>
              <w:rPr>
                <w:noProof/>
                <w:sz w:val="20"/>
                <w:szCs w:val="20"/>
              </w:rPr>
            </w:pPr>
            <w:r w:rsidRPr="006437DD">
              <w:rPr>
                <w:noProof/>
                <w:sz w:val="20"/>
                <w:szCs w:val="20"/>
              </w:rPr>
              <w:t>Renforcement des capacités à des fins de sécurité</w:t>
            </w:r>
          </w:p>
        </w:tc>
        <w:tc>
          <w:tcPr>
            <w:tcW w:w="0" w:type="auto"/>
          </w:tcPr>
          <w:p w:rsidR="003E46F8" w:rsidRPr="006437DD" w:rsidRDefault="003E46F8" w:rsidP="009D5C80">
            <w:pPr>
              <w:jc w:val="left"/>
              <w:rPr>
                <w:noProof/>
                <w:sz w:val="20"/>
                <w:szCs w:val="20"/>
              </w:rPr>
            </w:pPr>
            <w:r w:rsidRPr="006437DD">
              <w:rPr>
                <w:noProof/>
                <w:sz w:val="20"/>
                <w:szCs w:val="20"/>
              </w:rPr>
              <w:t>23</w:t>
            </w:r>
          </w:p>
        </w:tc>
        <w:tc>
          <w:tcPr>
            <w:tcW w:w="0" w:type="auto"/>
          </w:tcPr>
          <w:p w:rsidR="003E46F8" w:rsidRPr="006437DD" w:rsidRDefault="00C04373" w:rsidP="009D5C80">
            <w:pPr>
              <w:rPr>
                <w:noProof/>
                <w:sz w:val="20"/>
                <w:szCs w:val="20"/>
              </w:rPr>
            </w:pPr>
            <w:r w:rsidRPr="006437DD">
              <w:rPr>
                <w:noProof/>
                <w:sz w:val="20"/>
                <w:szCs w:val="20"/>
              </w:rPr>
              <w:t>Texte inclus dans le projet de modèle</w:t>
            </w:r>
            <w:r w:rsidR="003E46F8" w:rsidRPr="006437DD">
              <w:rPr>
                <w:noProof/>
                <w:sz w:val="20"/>
                <w:szCs w:val="20"/>
              </w:rPr>
              <w:t xml:space="preserve">. </w:t>
            </w:r>
            <w:r w:rsidR="00D26A41" w:rsidRPr="006437DD">
              <w:rPr>
                <w:noProof/>
                <w:sz w:val="20"/>
                <w:szCs w:val="20"/>
              </w:rPr>
              <w:t xml:space="preserve">À examiner à la lumière de la note sur les </w:t>
            </w:r>
            <w:r w:rsidR="003E46F8" w:rsidRPr="006437DD">
              <w:rPr>
                <w:noProof/>
                <w:sz w:val="20"/>
                <w:szCs w:val="20"/>
              </w:rPr>
              <w:t xml:space="preserve">aspects </w:t>
            </w:r>
            <w:r w:rsidR="00D26A41" w:rsidRPr="006437DD">
              <w:rPr>
                <w:noProof/>
                <w:sz w:val="20"/>
                <w:szCs w:val="20"/>
              </w:rPr>
              <w:t xml:space="preserve">du secteur de l’entretien en réfrigération qui appuient </w:t>
            </w:r>
            <w:r w:rsidR="00797D21">
              <w:rPr>
                <w:noProof/>
                <w:sz w:val="20"/>
                <w:szCs w:val="20"/>
              </w:rPr>
              <w:t>la réduction graduelle</w:t>
            </w:r>
            <w:r w:rsidR="002871CA" w:rsidRPr="006437DD">
              <w:rPr>
                <w:noProof/>
                <w:sz w:val="20"/>
                <w:szCs w:val="20"/>
              </w:rPr>
              <w:t xml:space="preserve"> de </w:t>
            </w:r>
            <w:r w:rsidR="003E46F8" w:rsidRPr="006437DD">
              <w:rPr>
                <w:noProof/>
                <w:sz w:val="20"/>
                <w:szCs w:val="20"/>
              </w:rPr>
              <w:t xml:space="preserve">HFC </w:t>
            </w:r>
            <w:r w:rsidR="002871CA" w:rsidRPr="006437DD">
              <w:rPr>
                <w:noProof/>
                <w:sz w:val="20"/>
                <w:szCs w:val="20"/>
              </w:rPr>
              <w:t xml:space="preserve">en application de la </w:t>
            </w:r>
            <w:r w:rsidR="00F72434" w:rsidRPr="006437DD">
              <w:rPr>
                <w:noProof/>
                <w:sz w:val="20"/>
                <w:szCs w:val="20"/>
              </w:rPr>
              <w:t>décision</w:t>
            </w:r>
            <w:r w:rsidR="003E46F8" w:rsidRPr="006437DD">
              <w:rPr>
                <w:noProof/>
                <w:sz w:val="20"/>
                <w:szCs w:val="20"/>
              </w:rPr>
              <w:t> 80/76</w:t>
            </w:r>
            <w:r w:rsidR="003E46F8" w:rsidRPr="006437DD">
              <w:rPr>
                <w:noProof/>
                <w:sz w:val="20"/>
                <w:szCs w:val="20"/>
                <w:vertAlign w:val="superscript"/>
              </w:rPr>
              <w:t>h</w:t>
            </w:r>
            <w:r w:rsidR="003E46F8" w:rsidRPr="006437DD">
              <w:rPr>
                <w:noProof/>
                <w:sz w:val="20"/>
                <w:szCs w:val="20"/>
              </w:rPr>
              <w:t xml:space="preserve"> (</w:t>
            </w:r>
            <w:r w:rsidR="00F72434" w:rsidRPr="006437DD">
              <w:rPr>
                <w:noProof/>
                <w:sz w:val="20"/>
                <w:szCs w:val="20"/>
              </w:rPr>
              <w:t>décision</w:t>
            </w:r>
            <w:r w:rsidR="003E46F8" w:rsidRPr="006437DD">
              <w:rPr>
                <w:noProof/>
                <w:sz w:val="20"/>
                <w:szCs w:val="20"/>
              </w:rPr>
              <w:t xml:space="preserve"> 81/67(c))</w:t>
            </w:r>
          </w:p>
        </w:tc>
      </w:tr>
      <w:tr w:rsidR="002871CA" w:rsidRPr="006437DD" w:rsidTr="009D5C80">
        <w:trPr>
          <w:trHeight w:val="748"/>
        </w:trPr>
        <w:tc>
          <w:tcPr>
            <w:tcW w:w="0" w:type="auto"/>
          </w:tcPr>
          <w:p w:rsidR="003E46F8" w:rsidRPr="006437DD" w:rsidRDefault="00713DAC" w:rsidP="009D5C80">
            <w:pPr>
              <w:jc w:val="left"/>
              <w:rPr>
                <w:noProof/>
                <w:sz w:val="20"/>
                <w:szCs w:val="20"/>
              </w:rPr>
            </w:pPr>
            <w:r>
              <w:rPr>
                <w:noProof/>
                <w:sz w:val="20"/>
                <w:szCs w:val="20"/>
              </w:rPr>
              <w:lastRenderedPageBreak/>
              <w:t>Élimination</w:t>
            </w:r>
          </w:p>
        </w:tc>
        <w:tc>
          <w:tcPr>
            <w:tcW w:w="0" w:type="auto"/>
          </w:tcPr>
          <w:p w:rsidR="003E46F8" w:rsidRPr="006437DD" w:rsidRDefault="003E46F8" w:rsidP="009D5C80">
            <w:pPr>
              <w:jc w:val="left"/>
              <w:rPr>
                <w:noProof/>
                <w:sz w:val="20"/>
                <w:szCs w:val="20"/>
              </w:rPr>
            </w:pPr>
            <w:r w:rsidRPr="006437DD">
              <w:rPr>
                <w:noProof/>
                <w:sz w:val="20"/>
                <w:szCs w:val="20"/>
              </w:rPr>
              <w:t>24</w:t>
            </w:r>
          </w:p>
        </w:tc>
        <w:tc>
          <w:tcPr>
            <w:tcW w:w="0" w:type="auto"/>
          </w:tcPr>
          <w:p w:rsidR="003E46F8" w:rsidRPr="006437DD" w:rsidRDefault="002871CA" w:rsidP="009D5C80">
            <w:pPr>
              <w:rPr>
                <w:noProof/>
                <w:sz w:val="20"/>
                <w:szCs w:val="20"/>
              </w:rPr>
            </w:pPr>
            <w:r w:rsidRPr="006437DD">
              <w:rPr>
                <w:noProof/>
                <w:sz w:val="20"/>
                <w:szCs w:val="20"/>
              </w:rPr>
              <w:t>À examiner plus en détail à la lumière de la note sur l’</w:t>
            </w:r>
            <w:r w:rsidR="00713DAC">
              <w:rPr>
                <w:noProof/>
                <w:sz w:val="20"/>
                <w:szCs w:val="20"/>
              </w:rPr>
              <w:t>élimination</w:t>
            </w:r>
            <w:r w:rsidRPr="006437DD">
              <w:rPr>
                <w:noProof/>
                <w:sz w:val="20"/>
                <w:szCs w:val="20"/>
              </w:rPr>
              <w:t xml:space="preserve"> des SAO en application de la </w:t>
            </w:r>
            <w:r w:rsidR="00F72434" w:rsidRPr="006437DD">
              <w:rPr>
                <w:noProof/>
                <w:sz w:val="20"/>
                <w:szCs w:val="20"/>
              </w:rPr>
              <w:t>décision</w:t>
            </w:r>
            <w:r w:rsidR="003E46F8" w:rsidRPr="006437DD">
              <w:rPr>
                <w:noProof/>
                <w:sz w:val="20"/>
                <w:szCs w:val="20"/>
              </w:rPr>
              <w:t> 79/18(e)</w:t>
            </w:r>
            <w:r w:rsidR="003E46F8" w:rsidRPr="006437DD">
              <w:rPr>
                <w:noProof/>
                <w:sz w:val="20"/>
                <w:szCs w:val="20"/>
                <w:vertAlign w:val="superscript"/>
              </w:rPr>
              <w:t>i</w:t>
            </w:r>
            <w:r w:rsidR="003E46F8" w:rsidRPr="006437DD">
              <w:rPr>
                <w:noProof/>
                <w:sz w:val="20"/>
                <w:szCs w:val="20"/>
              </w:rPr>
              <w:t xml:space="preserve"> (</w:t>
            </w:r>
            <w:r w:rsidR="00F72434" w:rsidRPr="006437DD">
              <w:rPr>
                <w:noProof/>
                <w:sz w:val="20"/>
                <w:szCs w:val="20"/>
              </w:rPr>
              <w:t>décision</w:t>
            </w:r>
            <w:r w:rsidR="003E46F8" w:rsidRPr="006437DD">
              <w:rPr>
                <w:noProof/>
                <w:sz w:val="20"/>
                <w:szCs w:val="20"/>
              </w:rPr>
              <w:t> 81/67(d))</w:t>
            </w:r>
          </w:p>
        </w:tc>
      </w:tr>
    </w:tbl>
    <w:p w:rsidR="003E46F8" w:rsidRPr="006437DD" w:rsidRDefault="003E46F8" w:rsidP="003E46F8">
      <w:pPr>
        <w:rPr>
          <w:noProof/>
          <w:sz w:val="19"/>
          <w:szCs w:val="19"/>
        </w:rPr>
      </w:pPr>
      <w:r w:rsidRPr="006437DD">
        <w:rPr>
          <w:noProof/>
          <w:sz w:val="19"/>
          <w:szCs w:val="19"/>
        </w:rPr>
        <w:t>a.</w:t>
      </w:r>
      <w:r w:rsidR="0018110A" w:rsidRPr="006437DD">
        <w:rPr>
          <w:noProof/>
          <w:sz w:val="19"/>
          <w:szCs w:val="19"/>
        </w:rPr>
        <w:t> « Les Parties pourront identifier d’autres éléments de coûts à ajouter à la liste indicative des surcoûts découlant de la conversion à des produits de remplacement à faible PRG »</w:t>
      </w:r>
    </w:p>
    <w:p w:rsidR="003E46F8" w:rsidRPr="006437DD" w:rsidRDefault="003E46F8" w:rsidP="003E46F8">
      <w:pPr>
        <w:rPr>
          <w:noProof/>
          <w:sz w:val="19"/>
          <w:szCs w:val="19"/>
        </w:rPr>
      </w:pPr>
      <w:r w:rsidRPr="006437DD">
        <w:rPr>
          <w:noProof/>
          <w:sz w:val="19"/>
          <w:szCs w:val="19"/>
        </w:rPr>
        <w:t xml:space="preserve">b. </w:t>
      </w:r>
      <w:r w:rsidR="0018110A" w:rsidRPr="006437DD">
        <w:rPr>
          <w:noProof/>
          <w:sz w:val="19"/>
          <w:szCs w:val="19"/>
        </w:rPr>
        <w:t xml:space="preserve">À sa </w:t>
      </w:r>
      <w:r w:rsidRPr="006437DD">
        <w:rPr>
          <w:noProof/>
          <w:sz w:val="19"/>
          <w:szCs w:val="19"/>
        </w:rPr>
        <w:t>82</w:t>
      </w:r>
      <w:r w:rsidR="0018110A" w:rsidRPr="006437DD">
        <w:rPr>
          <w:noProof/>
          <w:sz w:val="19"/>
          <w:szCs w:val="19"/>
          <w:vertAlign w:val="superscript"/>
        </w:rPr>
        <w:t>e</w:t>
      </w:r>
      <w:r w:rsidRPr="006437DD">
        <w:rPr>
          <w:noProof/>
          <w:sz w:val="19"/>
          <w:szCs w:val="19"/>
        </w:rPr>
        <w:t xml:space="preserve"> </w:t>
      </w:r>
      <w:r w:rsidR="00FF53E4" w:rsidRPr="006437DD">
        <w:rPr>
          <w:noProof/>
          <w:sz w:val="19"/>
          <w:szCs w:val="19"/>
        </w:rPr>
        <w:t>réunion</w:t>
      </w:r>
      <w:r w:rsidRPr="006437DD">
        <w:rPr>
          <w:noProof/>
          <w:sz w:val="19"/>
          <w:szCs w:val="19"/>
        </w:rPr>
        <w:t xml:space="preserve">, </w:t>
      </w:r>
      <w:r w:rsidR="0018110A" w:rsidRPr="006437DD">
        <w:rPr>
          <w:noProof/>
          <w:sz w:val="19"/>
          <w:szCs w:val="19"/>
        </w:rPr>
        <w:t>l</w:t>
      </w:r>
      <w:r w:rsidRPr="006437DD">
        <w:rPr>
          <w:noProof/>
          <w:sz w:val="19"/>
          <w:szCs w:val="19"/>
        </w:rPr>
        <w:t xml:space="preserve">e </w:t>
      </w:r>
      <w:r w:rsidR="00F72434" w:rsidRPr="006437DD">
        <w:rPr>
          <w:noProof/>
          <w:sz w:val="19"/>
          <w:szCs w:val="19"/>
        </w:rPr>
        <w:t>Comité exécutif</w:t>
      </w:r>
      <w:r w:rsidR="0018110A" w:rsidRPr="006437DD">
        <w:rPr>
          <w:noProof/>
          <w:sz w:val="19"/>
          <w:szCs w:val="19"/>
        </w:rPr>
        <w:t xml:space="preserve"> a été saisi du </w:t>
      </w:r>
      <w:r w:rsidRPr="006437DD">
        <w:rPr>
          <w:noProof/>
          <w:sz w:val="19"/>
          <w:szCs w:val="19"/>
        </w:rPr>
        <w:t xml:space="preserve">document </w:t>
      </w:r>
      <w:r w:rsidR="0018110A" w:rsidRPr="006437DD">
        <w:rPr>
          <w:noProof/>
          <w:sz w:val="19"/>
          <w:szCs w:val="19"/>
        </w:rPr>
        <w:t xml:space="preserve">sur les principaux facteurs de l’élaboration d’une méthode pour fixer le point de départ de la réduction progressive globale durable dans les secteurs de la consommation et de la production au titre de l’amendement de Kigali </w:t>
      </w:r>
      <w:r w:rsidRPr="006437DD">
        <w:rPr>
          <w:noProof/>
          <w:sz w:val="19"/>
          <w:szCs w:val="19"/>
        </w:rPr>
        <w:t>(UNEP/OzL.Pro/ExCom/82/66).</w:t>
      </w:r>
    </w:p>
    <w:p w:rsidR="003E46F8" w:rsidRPr="006437DD" w:rsidRDefault="003E46F8" w:rsidP="003E46F8">
      <w:pPr>
        <w:rPr>
          <w:noProof/>
          <w:sz w:val="19"/>
          <w:szCs w:val="19"/>
        </w:rPr>
      </w:pPr>
      <w:r w:rsidRPr="006437DD">
        <w:rPr>
          <w:noProof/>
          <w:sz w:val="19"/>
          <w:szCs w:val="19"/>
        </w:rPr>
        <w:t xml:space="preserve">c. </w:t>
      </w:r>
      <w:r w:rsidR="0018110A" w:rsidRPr="006437DD">
        <w:rPr>
          <w:noProof/>
          <w:sz w:val="19"/>
          <w:szCs w:val="19"/>
        </w:rPr>
        <w:t>Conformément à la décision 81/53 b), les projets d’i</w:t>
      </w:r>
      <w:r w:rsidRPr="006437DD">
        <w:rPr>
          <w:noProof/>
          <w:sz w:val="19"/>
          <w:szCs w:val="19"/>
        </w:rPr>
        <w:t>nvest</w:t>
      </w:r>
      <w:r w:rsidR="0018110A" w:rsidRPr="006437DD">
        <w:rPr>
          <w:noProof/>
          <w:sz w:val="19"/>
          <w:szCs w:val="19"/>
        </w:rPr>
        <w:t>isse</w:t>
      </w:r>
      <w:r w:rsidRPr="006437DD">
        <w:rPr>
          <w:noProof/>
          <w:sz w:val="19"/>
          <w:szCs w:val="19"/>
        </w:rPr>
        <w:t xml:space="preserve">ment </w:t>
      </w:r>
      <w:r w:rsidR="0018110A" w:rsidRPr="006437DD">
        <w:rPr>
          <w:noProof/>
          <w:sz w:val="19"/>
          <w:szCs w:val="19"/>
        </w:rPr>
        <w:t xml:space="preserve">pourraient être approuvés jusqu’à la </w:t>
      </w:r>
      <w:r w:rsidRPr="006437DD">
        <w:rPr>
          <w:noProof/>
          <w:sz w:val="19"/>
          <w:szCs w:val="19"/>
        </w:rPr>
        <w:t>84</w:t>
      </w:r>
      <w:r w:rsidR="0018110A" w:rsidRPr="006437DD">
        <w:rPr>
          <w:noProof/>
          <w:sz w:val="19"/>
          <w:szCs w:val="19"/>
          <w:vertAlign w:val="superscript"/>
        </w:rPr>
        <w:t>e</w:t>
      </w:r>
      <w:r w:rsidRPr="006437DD">
        <w:rPr>
          <w:noProof/>
          <w:sz w:val="19"/>
          <w:szCs w:val="19"/>
        </w:rPr>
        <w:t xml:space="preserve"> </w:t>
      </w:r>
      <w:r w:rsidR="00FF53E4" w:rsidRPr="006437DD">
        <w:rPr>
          <w:noProof/>
          <w:sz w:val="19"/>
          <w:szCs w:val="19"/>
        </w:rPr>
        <w:t>réunion</w:t>
      </w:r>
      <w:r w:rsidRPr="006437DD">
        <w:rPr>
          <w:noProof/>
          <w:sz w:val="19"/>
          <w:szCs w:val="19"/>
        </w:rPr>
        <w:t>.</w:t>
      </w:r>
    </w:p>
    <w:p w:rsidR="003E46F8" w:rsidRPr="006437DD" w:rsidRDefault="003E46F8" w:rsidP="003E46F8">
      <w:pPr>
        <w:rPr>
          <w:noProof/>
          <w:sz w:val="19"/>
          <w:szCs w:val="19"/>
        </w:rPr>
      </w:pPr>
      <w:r w:rsidRPr="006437DD">
        <w:rPr>
          <w:noProof/>
          <w:sz w:val="19"/>
          <w:szCs w:val="19"/>
        </w:rPr>
        <w:t xml:space="preserve">d. </w:t>
      </w:r>
      <w:r w:rsidR="002871CA" w:rsidRPr="006437DD">
        <w:rPr>
          <w:noProof/>
          <w:sz w:val="19"/>
          <w:szCs w:val="19"/>
        </w:rPr>
        <w:t xml:space="preserve">À sa </w:t>
      </w:r>
      <w:r w:rsidRPr="006437DD">
        <w:rPr>
          <w:noProof/>
          <w:sz w:val="19"/>
          <w:szCs w:val="19"/>
        </w:rPr>
        <w:t>82</w:t>
      </w:r>
      <w:r w:rsidR="002871CA" w:rsidRPr="006437DD">
        <w:rPr>
          <w:noProof/>
          <w:sz w:val="19"/>
          <w:szCs w:val="19"/>
          <w:vertAlign w:val="superscript"/>
        </w:rPr>
        <w:t>e</w:t>
      </w:r>
      <w:r w:rsidRPr="006437DD">
        <w:rPr>
          <w:noProof/>
          <w:sz w:val="19"/>
          <w:szCs w:val="19"/>
        </w:rPr>
        <w:t xml:space="preserve"> </w:t>
      </w:r>
      <w:r w:rsidR="00FF53E4" w:rsidRPr="006437DD">
        <w:rPr>
          <w:noProof/>
          <w:sz w:val="19"/>
          <w:szCs w:val="19"/>
        </w:rPr>
        <w:t>réunion</w:t>
      </w:r>
      <w:r w:rsidRPr="006437DD">
        <w:rPr>
          <w:noProof/>
          <w:sz w:val="19"/>
          <w:szCs w:val="19"/>
        </w:rPr>
        <w:t xml:space="preserve">, </w:t>
      </w:r>
      <w:r w:rsidR="004B3148" w:rsidRPr="006437DD">
        <w:rPr>
          <w:noProof/>
          <w:sz w:val="19"/>
          <w:szCs w:val="19"/>
        </w:rPr>
        <w:t>l</w:t>
      </w:r>
      <w:r w:rsidRPr="006437DD">
        <w:rPr>
          <w:noProof/>
          <w:sz w:val="19"/>
          <w:szCs w:val="19"/>
        </w:rPr>
        <w:t xml:space="preserve">e </w:t>
      </w:r>
      <w:r w:rsidR="00F72434" w:rsidRPr="006437DD">
        <w:rPr>
          <w:noProof/>
          <w:sz w:val="19"/>
          <w:szCs w:val="19"/>
        </w:rPr>
        <w:t>Comité exécutif</w:t>
      </w:r>
      <w:r w:rsidRPr="006437DD">
        <w:rPr>
          <w:noProof/>
          <w:sz w:val="19"/>
          <w:szCs w:val="19"/>
        </w:rPr>
        <w:t xml:space="preserve"> </w:t>
      </w:r>
      <w:r w:rsidR="003645B6" w:rsidRPr="006437DD">
        <w:rPr>
          <w:noProof/>
          <w:sz w:val="19"/>
          <w:szCs w:val="19"/>
        </w:rPr>
        <w:t xml:space="preserve">a examiné le document préliminaire sur tous les </w:t>
      </w:r>
      <w:r w:rsidRPr="006437DD">
        <w:rPr>
          <w:noProof/>
          <w:sz w:val="19"/>
          <w:szCs w:val="19"/>
        </w:rPr>
        <w:t xml:space="preserve">aspects </w:t>
      </w:r>
      <w:r w:rsidR="003645B6" w:rsidRPr="006437DD">
        <w:rPr>
          <w:noProof/>
          <w:sz w:val="19"/>
          <w:szCs w:val="19"/>
        </w:rPr>
        <w:t>liés au secteur de l’entretien en réfrigération</w:t>
      </w:r>
      <w:r w:rsidRPr="006437DD">
        <w:rPr>
          <w:noProof/>
          <w:sz w:val="19"/>
          <w:szCs w:val="19"/>
        </w:rPr>
        <w:t xml:space="preserve"> </w:t>
      </w:r>
      <w:r w:rsidR="003645B6" w:rsidRPr="006437DD">
        <w:rPr>
          <w:noProof/>
          <w:sz w:val="19"/>
          <w:szCs w:val="19"/>
        </w:rPr>
        <w:t>qui appuient l</w:t>
      </w:r>
      <w:r w:rsidR="00797D21">
        <w:rPr>
          <w:noProof/>
          <w:sz w:val="19"/>
          <w:szCs w:val="19"/>
        </w:rPr>
        <w:t>a réduction graduelle</w:t>
      </w:r>
      <w:r w:rsidR="003645B6" w:rsidRPr="006437DD">
        <w:rPr>
          <w:noProof/>
          <w:sz w:val="19"/>
          <w:szCs w:val="19"/>
        </w:rPr>
        <w:t xml:space="preserve"> de </w:t>
      </w:r>
      <w:r w:rsidRPr="006437DD">
        <w:rPr>
          <w:noProof/>
          <w:sz w:val="19"/>
          <w:szCs w:val="19"/>
        </w:rPr>
        <w:t>HFC (UNEP/OzL.Pro/ExCom/82/64).</w:t>
      </w:r>
    </w:p>
    <w:p w:rsidR="003E46F8" w:rsidRPr="006437DD" w:rsidRDefault="003E46F8" w:rsidP="003E46F8">
      <w:pPr>
        <w:rPr>
          <w:noProof/>
          <w:sz w:val="19"/>
          <w:szCs w:val="19"/>
        </w:rPr>
      </w:pPr>
      <w:r w:rsidRPr="006437DD">
        <w:rPr>
          <w:noProof/>
          <w:sz w:val="19"/>
          <w:szCs w:val="19"/>
        </w:rPr>
        <w:t>e. UNEP/OzL.Pro/ExCom/83/40.</w:t>
      </w:r>
    </w:p>
    <w:p w:rsidR="003E46F8" w:rsidRPr="006437DD" w:rsidRDefault="003E46F8" w:rsidP="003E46F8">
      <w:pPr>
        <w:rPr>
          <w:noProof/>
          <w:sz w:val="19"/>
          <w:szCs w:val="19"/>
        </w:rPr>
      </w:pPr>
      <w:r w:rsidRPr="006437DD">
        <w:rPr>
          <w:noProof/>
          <w:sz w:val="19"/>
          <w:szCs w:val="19"/>
        </w:rPr>
        <w:t>f. UNEP/OzL.Pro/ExCom/83/41.</w:t>
      </w:r>
    </w:p>
    <w:p w:rsidR="003E46F8" w:rsidRPr="006437DD" w:rsidRDefault="003E46F8" w:rsidP="003E46F8">
      <w:pPr>
        <w:rPr>
          <w:noProof/>
          <w:sz w:val="19"/>
          <w:szCs w:val="19"/>
        </w:rPr>
      </w:pPr>
      <w:r w:rsidRPr="006437DD">
        <w:rPr>
          <w:noProof/>
          <w:sz w:val="19"/>
          <w:szCs w:val="19"/>
        </w:rPr>
        <w:t>g. UNEP/OzL.Pro/ExCom/83/42.</w:t>
      </w:r>
    </w:p>
    <w:p w:rsidR="003E46F8" w:rsidRPr="006437DD" w:rsidRDefault="003E46F8" w:rsidP="003E46F8">
      <w:pPr>
        <w:rPr>
          <w:noProof/>
          <w:sz w:val="19"/>
          <w:szCs w:val="19"/>
        </w:rPr>
      </w:pPr>
      <w:r w:rsidRPr="006437DD">
        <w:rPr>
          <w:noProof/>
          <w:sz w:val="19"/>
          <w:szCs w:val="19"/>
        </w:rPr>
        <w:t>h. UNEP/OzL.Pro/ExCom/82/64.</w:t>
      </w:r>
    </w:p>
    <w:p w:rsidR="003E46F8" w:rsidRPr="006437DD" w:rsidRDefault="003E46F8" w:rsidP="003E46F8">
      <w:pPr>
        <w:jc w:val="left"/>
        <w:rPr>
          <w:noProof/>
          <w:sz w:val="19"/>
          <w:szCs w:val="19"/>
        </w:rPr>
      </w:pPr>
      <w:r w:rsidRPr="006437DD">
        <w:rPr>
          <w:noProof/>
          <w:sz w:val="19"/>
          <w:szCs w:val="19"/>
        </w:rPr>
        <w:t>i. UNEP/OzL.Pro/ExCom/82/21.</w:t>
      </w:r>
    </w:p>
    <w:p w:rsidR="003E46F8" w:rsidRPr="006437DD" w:rsidRDefault="003E46F8" w:rsidP="003E46F8">
      <w:pPr>
        <w:jc w:val="left"/>
        <w:rPr>
          <w:noProof/>
          <w:sz w:val="18"/>
          <w:szCs w:val="18"/>
        </w:rPr>
      </w:pPr>
    </w:p>
    <w:p w:rsidR="003E46F8" w:rsidRPr="006437DD" w:rsidRDefault="003645B6" w:rsidP="003E46F8">
      <w:pPr>
        <w:pStyle w:val="Heading1"/>
        <w:rPr>
          <w:noProof/>
        </w:rPr>
      </w:pPr>
      <w:r w:rsidRPr="006437DD">
        <w:rPr>
          <w:noProof/>
        </w:rPr>
        <w:t>À sa</w:t>
      </w:r>
      <w:r w:rsidR="003E46F8" w:rsidRPr="006437DD">
        <w:rPr>
          <w:noProof/>
        </w:rPr>
        <w:t xml:space="preserve"> 82</w:t>
      </w:r>
      <w:r w:rsidRPr="006437DD">
        <w:rPr>
          <w:noProof/>
          <w:vertAlign w:val="superscript"/>
        </w:rPr>
        <w:t>e</w:t>
      </w:r>
      <w:r w:rsidR="003E46F8" w:rsidRPr="006437DD">
        <w:rPr>
          <w:noProof/>
        </w:rPr>
        <w:t> </w:t>
      </w:r>
      <w:r w:rsidR="00FF53E4" w:rsidRPr="006437DD">
        <w:rPr>
          <w:noProof/>
        </w:rPr>
        <w:t>réunion</w:t>
      </w:r>
      <w:r w:rsidR="003E46F8" w:rsidRPr="006437DD">
        <w:rPr>
          <w:noProof/>
        </w:rPr>
        <w:t xml:space="preserve">, </w:t>
      </w:r>
      <w:r w:rsidRPr="006437DD">
        <w:rPr>
          <w:noProof/>
        </w:rPr>
        <w:t>l</w:t>
      </w:r>
      <w:r w:rsidR="003E46F8" w:rsidRPr="006437DD">
        <w:rPr>
          <w:noProof/>
        </w:rPr>
        <w:t xml:space="preserve">e </w:t>
      </w:r>
      <w:r w:rsidR="00F72434" w:rsidRPr="006437DD">
        <w:rPr>
          <w:noProof/>
        </w:rPr>
        <w:t>Comité exécutif</w:t>
      </w:r>
      <w:r w:rsidR="003E46F8" w:rsidRPr="006437DD">
        <w:rPr>
          <w:noProof/>
        </w:rPr>
        <w:t xml:space="preserve"> </w:t>
      </w:r>
      <w:r w:rsidRPr="006437DD">
        <w:rPr>
          <w:noProof/>
        </w:rPr>
        <w:t xml:space="preserve">a décidé </w:t>
      </w:r>
      <w:r w:rsidR="003E46F8" w:rsidRPr="006437DD">
        <w:rPr>
          <w:noProof/>
        </w:rPr>
        <w:t>d</w:t>
      </w:r>
      <w:r w:rsidRPr="006437DD">
        <w:rPr>
          <w:noProof/>
        </w:rPr>
        <w:t xml:space="preserve">e poursuivre à sa </w:t>
      </w:r>
      <w:r w:rsidR="003E46F8" w:rsidRPr="006437DD">
        <w:rPr>
          <w:noProof/>
        </w:rPr>
        <w:t>83</w:t>
      </w:r>
      <w:r w:rsidRPr="006437DD">
        <w:rPr>
          <w:noProof/>
          <w:vertAlign w:val="superscript"/>
        </w:rPr>
        <w:t>e</w:t>
      </w:r>
      <w:r w:rsidR="003E46F8" w:rsidRPr="006437DD">
        <w:rPr>
          <w:noProof/>
        </w:rPr>
        <w:t> </w:t>
      </w:r>
      <w:r w:rsidR="00FF53E4" w:rsidRPr="006437DD">
        <w:rPr>
          <w:noProof/>
        </w:rPr>
        <w:t>réunion</w:t>
      </w:r>
      <w:r w:rsidR="003E46F8" w:rsidRPr="006437DD">
        <w:rPr>
          <w:noProof/>
        </w:rPr>
        <w:t xml:space="preserve"> </w:t>
      </w:r>
      <w:r w:rsidRPr="006437DD">
        <w:rPr>
          <w:noProof/>
        </w:rPr>
        <w:t xml:space="preserve">l’examen des lignes directrices sur les coûts de la réduction graduelle de </w:t>
      </w:r>
      <w:r w:rsidR="003E46F8" w:rsidRPr="006437DD">
        <w:rPr>
          <w:noProof/>
        </w:rPr>
        <w:t xml:space="preserve">HFC </w:t>
      </w:r>
      <w:r w:rsidRPr="006437DD">
        <w:rPr>
          <w:noProof/>
        </w:rPr>
        <w:t>dans les p</w:t>
      </w:r>
      <w:r w:rsidR="00FF53E4" w:rsidRPr="006437DD">
        <w:rPr>
          <w:noProof/>
        </w:rPr>
        <w:t xml:space="preserve">ays </w:t>
      </w:r>
      <w:r w:rsidR="009327B4">
        <w:rPr>
          <w:noProof/>
        </w:rPr>
        <w:t>visés à l’Article</w:t>
      </w:r>
      <w:r w:rsidR="00FF53E4" w:rsidRPr="006437DD">
        <w:rPr>
          <w:noProof/>
        </w:rPr>
        <w:t xml:space="preserve"> 5</w:t>
      </w:r>
      <w:r w:rsidR="003E46F8" w:rsidRPr="006437DD">
        <w:rPr>
          <w:noProof/>
        </w:rPr>
        <w:t xml:space="preserve"> (</w:t>
      </w:r>
      <w:r w:rsidR="00F72434" w:rsidRPr="006437DD">
        <w:rPr>
          <w:noProof/>
        </w:rPr>
        <w:t>décision</w:t>
      </w:r>
      <w:r w:rsidR="003E46F8" w:rsidRPr="006437DD">
        <w:rPr>
          <w:noProof/>
        </w:rPr>
        <w:t xml:space="preserve"> 82/84). </w:t>
      </w:r>
    </w:p>
    <w:p w:rsidR="003E46F8" w:rsidRPr="006437DD" w:rsidRDefault="003645B6" w:rsidP="003E46F8">
      <w:pPr>
        <w:pStyle w:val="Heading1"/>
        <w:rPr>
          <w:noProof/>
        </w:rPr>
      </w:pPr>
      <w:r w:rsidRPr="006437DD">
        <w:rPr>
          <w:noProof/>
        </w:rPr>
        <w:t xml:space="preserve">Conformément aux </w:t>
      </w:r>
      <w:r w:rsidR="00F72434" w:rsidRPr="006437DD">
        <w:rPr>
          <w:noProof/>
        </w:rPr>
        <w:t>décision</w:t>
      </w:r>
      <w:r w:rsidR="003E46F8" w:rsidRPr="006437DD">
        <w:rPr>
          <w:noProof/>
        </w:rPr>
        <w:t xml:space="preserve">s 80/76(b) </w:t>
      </w:r>
      <w:r w:rsidRPr="006437DD">
        <w:rPr>
          <w:noProof/>
        </w:rPr>
        <w:t>et</w:t>
      </w:r>
      <w:r w:rsidR="003E46F8" w:rsidRPr="006437DD">
        <w:rPr>
          <w:noProof/>
        </w:rPr>
        <w:t xml:space="preserve"> 81/67(f), </w:t>
      </w:r>
      <w:r w:rsidRPr="006437DD">
        <w:rPr>
          <w:noProof/>
        </w:rPr>
        <w:t>l’</w:t>
      </w:r>
      <w:r w:rsidR="003E46F8" w:rsidRPr="006437DD">
        <w:rPr>
          <w:noProof/>
        </w:rPr>
        <w:t>Annex</w:t>
      </w:r>
      <w:r w:rsidRPr="006437DD">
        <w:rPr>
          <w:noProof/>
        </w:rPr>
        <w:t>e</w:t>
      </w:r>
      <w:r w:rsidR="003E46F8" w:rsidRPr="006437DD">
        <w:rPr>
          <w:noProof/>
        </w:rPr>
        <w:t xml:space="preserve"> II </w:t>
      </w:r>
      <w:r w:rsidRPr="006437DD">
        <w:rPr>
          <w:noProof/>
        </w:rPr>
        <w:t xml:space="preserve">au présent </w:t>
      </w:r>
      <w:r w:rsidR="003E46F8" w:rsidRPr="006437DD">
        <w:rPr>
          <w:noProof/>
        </w:rPr>
        <w:t>document con</w:t>
      </w:r>
      <w:r w:rsidRPr="006437DD">
        <w:rPr>
          <w:noProof/>
        </w:rPr>
        <w:t>tient la liste de questions non résolues appelant un complément d’étude</w:t>
      </w:r>
      <w:r w:rsidR="003E46F8" w:rsidRPr="006437DD">
        <w:rPr>
          <w:noProof/>
        </w:rPr>
        <w:t xml:space="preserve">. </w:t>
      </w:r>
      <w:r w:rsidRPr="006437DD">
        <w:rPr>
          <w:noProof/>
        </w:rPr>
        <w:t>Sachant que l’</w:t>
      </w:r>
      <w:r w:rsidR="003E46F8" w:rsidRPr="006437DD">
        <w:rPr>
          <w:noProof/>
        </w:rPr>
        <w:t>Annex</w:t>
      </w:r>
      <w:r w:rsidRPr="006437DD">
        <w:rPr>
          <w:noProof/>
        </w:rPr>
        <w:t>e</w:t>
      </w:r>
      <w:r w:rsidR="003E46F8" w:rsidRPr="006437DD">
        <w:rPr>
          <w:noProof/>
        </w:rPr>
        <w:t xml:space="preserve"> II </w:t>
      </w:r>
      <w:r w:rsidRPr="006437DD">
        <w:rPr>
          <w:noProof/>
        </w:rPr>
        <w:t>ne correspond plus à l’état actuel des débats sur toutes les questions</w:t>
      </w:r>
      <w:r w:rsidR="003E46F8" w:rsidRPr="006437DD">
        <w:rPr>
          <w:noProof/>
        </w:rPr>
        <w:t xml:space="preserve"> (</w:t>
      </w:r>
      <w:r w:rsidRPr="006437DD">
        <w:rPr>
          <w:noProof/>
        </w:rPr>
        <w:t xml:space="preserve">elle ne comprend pas, par exemple, plusieurs aspects liés </w:t>
      </w:r>
      <w:r w:rsidR="004F413A">
        <w:rPr>
          <w:noProof/>
        </w:rPr>
        <w:t xml:space="preserve">à l’efficacité </w:t>
      </w:r>
      <w:r w:rsidRPr="006437DD">
        <w:rPr>
          <w:noProof/>
        </w:rPr>
        <w:t>énergétique que le Comité exécutif a examinés séparément</w:t>
      </w:r>
      <w:r w:rsidR="003E46F8" w:rsidRPr="006437DD">
        <w:rPr>
          <w:noProof/>
        </w:rPr>
        <w:t xml:space="preserve">), </w:t>
      </w:r>
      <w:r w:rsidRPr="006437DD">
        <w:rPr>
          <w:noProof/>
        </w:rPr>
        <w:t xml:space="preserve">Le Comité exécutif pourrait envisager de suivre la </w:t>
      </w:r>
      <w:r w:rsidR="003E46F8" w:rsidRPr="006437DD">
        <w:rPr>
          <w:noProof/>
        </w:rPr>
        <w:t>recomm</w:t>
      </w:r>
      <w:r w:rsidRPr="006437DD">
        <w:rPr>
          <w:noProof/>
        </w:rPr>
        <w:t>a</w:t>
      </w:r>
      <w:r w:rsidR="003E46F8" w:rsidRPr="006437DD">
        <w:rPr>
          <w:noProof/>
        </w:rPr>
        <w:t>ndation pr</w:t>
      </w:r>
      <w:r w:rsidRPr="006437DD">
        <w:rPr>
          <w:noProof/>
        </w:rPr>
        <w:t>é</w:t>
      </w:r>
      <w:r w:rsidR="003E46F8" w:rsidRPr="006437DD">
        <w:rPr>
          <w:noProof/>
        </w:rPr>
        <w:t>par</w:t>
      </w:r>
      <w:r w:rsidRPr="006437DD">
        <w:rPr>
          <w:noProof/>
        </w:rPr>
        <w:t xml:space="preserve">ée pour le présent </w:t>
      </w:r>
      <w:r w:rsidR="003E46F8" w:rsidRPr="006437DD">
        <w:rPr>
          <w:noProof/>
        </w:rPr>
        <w:t>document </w:t>
      </w:r>
      <w:r w:rsidR="00F257EC" w:rsidRPr="006437DD">
        <w:rPr>
          <w:noProof/>
        </w:rPr>
        <w:t xml:space="preserve">comme </w:t>
      </w:r>
      <w:r w:rsidR="003E46F8" w:rsidRPr="006437DD">
        <w:rPr>
          <w:noProof/>
        </w:rPr>
        <w:t xml:space="preserve">guide </w:t>
      </w:r>
      <w:r w:rsidR="00F257EC" w:rsidRPr="006437DD">
        <w:rPr>
          <w:noProof/>
        </w:rPr>
        <w:t>pour poursuivre son examen des lignes directrices sur les coûts</w:t>
      </w:r>
      <w:r w:rsidR="003E46F8" w:rsidRPr="006437DD">
        <w:rPr>
          <w:noProof/>
        </w:rPr>
        <w:t>.</w:t>
      </w:r>
    </w:p>
    <w:p w:rsidR="003E46F8" w:rsidRPr="006437DD" w:rsidRDefault="00F257EC" w:rsidP="003E46F8">
      <w:pPr>
        <w:tabs>
          <w:tab w:val="left" w:pos="8280"/>
        </w:tabs>
        <w:rPr>
          <w:b/>
          <w:noProof/>
        </w:rPr>
      </w:pPr>
      <w:r w:rsidRPr="006437DD">
        <w:rPr>
          <w:b/>
          <w:noProof/>
        </w:rPr>
        <w:t xml:space="preserve">Questions en suspens sur les lignes directrices sur les coûts de la réduction des </w:t>
      </w:r>
      <w:r w:rsidR="003E46F8" w:rsidRPr="006437DD">
        <w:rPr>
          <w:b/>
          <w:noProof/>
        </w:rPr>
        <w:t xml:space="preserve">HFC </w:t>
      </w:r>
    </w:p>
    <w:p w:rsidR="003E46F8" w:rsidRPr="006437DD" w:rsidRDefault="003E46F8" w:rsidP="003E46F8">
      <w:pPr>
        <w:tabs>
          <w:tab w:val="left" w:pos="8280"/>
        </w:tabs>
        <w:rPr>
          <w:noProof/>
        </w:rPr>
      </w:pPr>
    </w:p>
    <w:p w:rsidR="003E46F8" w:rsidRPr="006437DD" w:rsidRDefault="00F257EC" w:rsidP="003E46F8">
      <w:pPr>
        <w:tabs>
          <w:tab w:val="left" w:pos="8280"/>
        </w:tabs>
        <w:rPr>
          <w:noProof/>
          <w:u w:val="single"/>
        </w:rPr>
      </w:pPr>
      <w:r w:rsidRPr="006437DD">
        <w:rPr>
          <w:noProof/>
          <w:u w:val="single"/>
        </w:rPr>
        <w:t>Méthodologie</w:t>
      </w:r>
      <w:r w:rsidR="003E46F8" w:rsidRPr="006437DD">
        <w:rPr>
          <w:noProof/>
          <w:u w:val="single"/>
        </w:rPr>
        <w:t xml:space="preserve"> </w:t>
      </w:r>
      <w:r w:rsidRPr="006437DD">
        <w:rPr>
          <w:noProof/>
          <w:u w:val="single"/>
        </w:rPr>
        <w:t>pour la détermination du point de départ pour les réductions globales</w:t>
      </w:r>
    </w:p>
    <w:p w:rsidR="003E46F8" w:rsidRPr="006437DD" w:rsidRDefault="003E46F8" w:rsidP="003E46F8">
      <w:pPr>
        <w:tabs>
          <w:tab w:val="left" w:pos="8280"/>
        </w:tabs>
        <w:rPr>
          <w:noProof/>
        </w:rPr>
      </w:pPr>
    </w:p>
    <w:p w:rsidR="003E46F8" w:rsidRPr="006437DD" w:rsidRDefault="00F257EC" w:rsidP="003E46F8">
      <w:pPr>
        <w:pStyle w:val="Heading1"/>
        <w:rPr>
          <w:noProof/>
        </w:rPr>
      </w:pPr>
      <w:r w:rsidRPr="006437DD">
        <w:rPr>
          <w:noProof/>
        </w:rPr>
        <w:t>À la</w:t>
      </w:r>
      <w:r w:rsidR="003E46F8" w:rsidRPr="006437DD">
        <w:rPr>
          <w:noProof/>
        </w:rPr>
        <w:t xml:space="preserve"> 81</w:t>
      </w:r>
      <w:r w:rsidRPr="006437DD">
        <w:rPr>
          <w:noProof/>
          <w:vertAlign w:val="superscript"/>
        </w:rPr>
        <w:t>e</w:t>
      </w:r>
      <w:r w:rsidR="003E46F8" w:rsidRPr="006437DD">
        <w:rPr>
          <w:noProof/>
        </w:rPr>
        <w:t> </w:t>
      </w:r>
      <w:r w:rsidR="00FF53E4" w:rsidRPr="006437DD">
        <w:rPr>
          <w:noProof/>
        </w:rPr>
        <w:t>réunion</w:t>
      </w:r>
      <w:r w:rsidR="003E46F8" w:rsidRPr="006437DD">
        <w:rPr>
          <w:noProof/>
        </w:rPr>
        <w:t xml:space="preserve">, </w:t>
      </w:r>
      <w:r w:rsidRPr="006437DD">
        <w:rPr>
          <w:noProof/>
        </w:rPr>
        <w:t>des questions liées au point de départ pour la réduct</w:t>
      </w:r>
      <w:r w:rsidR="003E46F8" w:rsidRPr="006437DD">
        <w:rPr>
          <w:noProof/>
        </w:rPr>
        <w:t>i</w:t>
      </w:r>
      <w:r w:rsidRPr="006437DD">
        <w:rPr>
          <w:noProof/>
        </w:rPr>
        <w:t>on globale de la consommation et de la production ont été examinées par le groupe de contact sur les lignes directrices sur les coûts</w:t>
      </w:r>
      <w:r w:rsidR="003E46F8" w:rsidRPr="006437DD">
        <w:rPr>
          <w:noProof/>
        </w:rPr>
        <w:t xml:space="preserve">. </w:t>
      </w:r>
      <w:r w:rsidRPr="006437DD">
        <w:rPr>
          <w:noProof/>
        </w:rPr>
        <w:t xml:space="preserve">Quelques membres ont proposé que le point de départ des </w:t>
      </w:r>
      <w:r w:rsidR="003E46F8" w:rsidRPr="006437DD">
        <w:rPr>
          <w:noProof/>
        </w:rPr>
        <w:t xml:space="preserve">HFC </w:t>
      </w:r>
      <w:r w:rsidRPr="006437DD">
        <w:rPr>
          <w:noProof/>
        </w:rPr>
        <w:t xml:space="preserve">soit déterminé par l’« élément HFC » de la base de référence, alors que d’autres ont suggéré d’utiliser à cette fin la </w:t>
      </w:r>
      <w:r w:rsidR="00BD17E3" w:rsidRPr="006437DD">
        <w:rPr>
          <w:noProof/>
        </w:rPr>
        <w:t>base</w:t>
      </w:r>
      <w:r w:rsidRPr="006437DD">
        <w:rPr>
          <w:noProof/>
        </w:rPr>
        <w:t xml:space="preserve"> de référence </w:t>
      </w:r>
      <w:r w:rsidR="00BD17E3" w:rsidRPr="006437DD">
        <w:rPr>
          <w:noProof/>
        </w:rPr>
        <w:t>établie pour les</w:t>
      </w:r>
      <w:r w:rsidRPr="006437DD">
        <w:rPr>
          <w:noProof/>
        </w:rPr>
        <w:t xml:space="preserve"> </w:t>
      </w:r>
      <w:r w:rsidR="003E46F8" w:rsidRPr="006437DD">
        <w:rPr>
          <w:noProof/>
        </w:rPr>
        <w:t xml:space="preserve">HFC </w:t>
      </w:r>
      <w:r w:rsidR="00BD17E3" w:rsidRPr="006437DD">
        <w:rPr>
          <w:noProof/>
        </w:rPr>
        <w:t xml:space="preserve">par les parties au titre de l’Amendement de </w:t>
      </w:r>
      <w:r w:rsidR="003E46F8" w:rsidRPr="006437DD">
        <w:rPr>
          <w:noProof/>
        </w:rPr>
        <w:t>Kigali (</w:t>
      </w:r>
      <w:r w:rsidR="00BD17E3" w:rsidRPr="006437DD">
        <w:rPr>
          <w:noProof/>
        </w:rPr>
        <w:t>c’est-à-dire l’« élément HFC » plus l’« élément HCFC »</w:t>
      </w:r>
      <w:r w:rsidR="003E46F8" w:rsidRPr="006437DD">
        <w:rPr>
          <w:noProof/>
        </w:rPr>
        <w:t xml:space="preserve">). </w:t>
      </w:r>
      <w:r w:rsidR="00BD17E3" w:rsidRPr="006437DD">
        <w:rPr>
          <w:noProof/>
        </w:rPr>
        <w:t>En conséquence</w:t>
      </w:r>
      <w:r w:rsidR="003E46F8" w:rsidRPr="006437DD">
        <w:rPr>
          <w:noProof/>
        </w:rPr>
        <w:t xml:space="preserve">, </w:t>
      </w:r>
      <w:r w:rsidR="00BD17E3" w:rsidRPr="006437DD">
        <w:rPr>
          <w:noProof/>
        </w:rPr>
        <w:t>l</w:t>
      </w:r>
      <w:r w:rsidR="003E46F8" w:rsidRPr="006437DD">
        <w:rPr>
          <w:noProof/>
        </w:rPr>
        <w:t xml:space="preserve">e </w:t>
      </w:r>
      <w:r w:rsidR="00BD17E3" w:rsidRPr="006437DD">
        <w:rPr>
          <w:noProof/>
        </w:rPr>
        <w:t>Secrétariat</w:t>
      </w:r>
      <w:r w:rsidR="003E46F8" w:rsidRPr="006437DD">
        <w:rPr>
          <w:noProof/>
        </w:rPr>
        <w:t xml:space="preserve"> </w:t>
      </w:r>
      <w:r w:rsidR="00BD17E3" w:rsidRPr="006437DD">
        <w:rPr>
          <w:noProof/>
        </w:rPr>
        <w:t>a été chargé de préparer un document d’information préliminaire contenant les principales considérations</w:t>
      </w:r>
      <w:r w:rsidR="003E46F8" w:rsidRPr="006437DD">
        <w:rPr>
          <w:noProof/>
        </w:rPr>
        <w:t xml:space="preserve"> </w:t>
      </w:r>
      <w:r w:rsidR="00BD17E3" w:rsidRPr="006437DD">
        <w:rPr>
          <w:noProof/>
        </w:rPr>
        <w:t xml:space="preserve">pour aider le </w:t>
      </w:r>
      <w:r w:rsidR="00F72434" w:rsidRPr="006437DD">
        <w:rPr>
          <w:noProof/>
        </w:rPr>
        <w:t>Comité</w:t>
      </w:r>
      <w:r w:rsidR="003E46F8" w:rsidRPr="006437DD">
        <w:rPr>
          <w:noProof/>
        </w:rPr>
        <w:t xml:space="preserve"> </w:t>
      </w:r>
      <w:r w:rsidR="00BD17E3" w:rsidRPr="006437DD">
        <w:rPr>
          <w:noProof/>
        </w:rPr>
        <w:t>à établir une méthodologie</w:t>
      </w:r>
      <w:r w:rsidR="003E46F8" w:rsidRPr="006437DD">
        <w:rPr>
          <w:noProof/>
        </w:rPr>
        <w:t xml:space="preserve"> </w:t>
      </w:r>
      <w:r w:rsidR="00BD17E3" w:rsidRPr="006437DD">
        <w:rPr>
          <w:noProof/>
        </w:rPr>
        <w:t xml:space="preserve">pour déterminer le point de départ des réductions globales durables, en tenant compte des délibérations qui avaient eu lieu à la </w:t>
      </w:r>
      <w:r w:rsidR="00FF53E4" w:rsidRPr="006437DD">
        <w:rPr>
          <w:noProof/>
        </w:rPr>
        <w:t>réunion</w:t>
      </w:r>
      <w:r w:rsidR="003E46F8" w:rsidRPr="006437DD">
        <w:rPr>
          <w:noProof/>
        </w:rPr>
        <w:t xml:space="preserve"> (</w:t>
      </w:r>
      <w:r w:rsidR="00F72434" w:rsidRPr="006437DD">
        <w:rPr>
          <w:noProof/>
        </w:rPr>
        <w:t>décision</w:t>
      </w:r>
      <w:r w:rsidR="003E46F8" w:rsidRPr="006437DD">
        <w:rPr>
          <w:noProof/>
        </w:rPr>
        <w:t xml:space="preserve"> 81/67(e)). </w:t>
      </w:r>
    </w:p>
    <w:p w:rsidR="003E46F8" w:rsidRPr="006437DD" w:rsidRDefault="00655142" w:rsidP="004F5A68">
      <w:pPr>
        <w:pStyle w:val="Heading1"/>
        <w:rPr>
          <w:noProof/>
        </w:rPr>
      </w:pPr>
      <w:r w:rsidRPr="006437DD">
        <w:rPr>
          <w:noProof/>
        </w:rPr>
        <w:t xml:space="preserve">Donnant suite à la </w:t>
      </w:r>
      <w:r w:rsidR="00F72434" w:rsidRPr="006437DD">
        <w:rPr>
          <w:noProof/>
        </w:rPr>
        <w:t>décision</w:t>
      </w:r>
      <w:r w:rsidR="003E46F8" w:rsidRPr="006437DD">
        <w:rPr>
          <w:noProof/>
        </w:rPr>
        <w:t xml:space="preserve"> 81/67(e), </w:t>
      </w:r>
      <w:r w:rsidRPr="006437DD">
        <w:rPr>
          <w:noProof/>
        </w:rPr>
        <w:t>l</w:t>
      </w:r>
      <w:r w:rsidR="003E46F8" w:rsidRPr="006437DD">
        <w:rPr>
          <w:noProof/>
        </w:rPr>
        <w:t xml:space="preserve">e </w:t>
      </w:r>
      <w:r w:rsidR="00BD17E3" w:rsidRPr="006437DD">
        <w:rPr>
          <w:noProof/>
        </w:rPr>
        <w:t>Secrétariat</w:t>
      </w:r>
      <w:r w:rsidR="003E46F8" w:rsidRPr="006437DD">
        <w:rPr>
          <w:noProof/>
        </w:rPr>
        <w:t xml:space="preserve"> </w:t>
      </w:r>
      <w:r w:rsidRPr="006437DD">
        <w:rPr>
          <w:noProof/>
        </w:rPr>
        <w:t xml:space="preserve">avait soumis à la </w:t>
      </w:r>
      <w:r w:rsidR="003E46F8" w:rsidRPr="006437DD">
        <w:rPr>
          <w:noProof/>
        </w:rPr>
        <w:t>82</w:t>
      </w:r>
      <w:r w:rsidRPr="006437DD">
        <w:rPr>
          <w:noProof/>
          <w:vertAlign w:val="superscript"/>
        </w:rPr>
        <w:t>e</w:t>
      </w:r>
      <w:r w:rsidRPr="006437DD">
        <w:rPr>
          <w:noProof/>
        </w:rPr>
        <w:t> </w:t>
      </w:r>
      <w:r w:rsidR="00FF53E4" w:rsidRPr="006437DD">
        <w:rPr>
          <w:noProof/>
        </w:rPr>
        <w:t>réunion</w:t>
      </w:r>
      <w:r w:rsidR="003E46F8" w:rsidRPr="006437DD">
        <w:rPr>
          <w:noProof/>
        </w:rPr>
        <w:t xml:space="preserve"> </w:t>
      </w:r>
      <w:r w:rsidRPr="006437DD">
        <w:rPr>
          <w:noProof/>
        </w:rPr>
        <w:t xml:space="preserve">le </w:t>
      </w:r>
      <w:r w:rsidR="003E46F8" w:rsidRPr="006437DD">
        <w:rPr>
          <w:noProof/>
        </w:rPr>
        <w:t xml:space="preserve">document UNEP/OzL.Pro/ExCom/82/66. </w:t>
      </w:r>
      <w:r w:rsidRPr="006437DD">
        <w:rPr>
          <w:noProof/>
        </w:rPr>
        <w:t xml:space="preserve">Le </w:t>
      </w:r>
      <w:r w:rsidR="00F72434" w:rsidRPr="006437DD">
        <w:rPr>
          <w:noProof/>
        </w:rPr>
        <w:t>Comité exécutif</w:t>
      </w:r>
      <w:r w:rsidR="003E46F8" w:rsidRPr="006437DD">
        <w:rPr>
          <w:noProof/>
        </w:rPr>
        <w:t xml:space="preserve"> </w:t>
      </w:r>
      <w:r w:rsidRPr="006437DD">
        <w:rPr>
          <w:noProof/>
        </w:rPr>
        <w:t>s’est fondé sur ce document pour examiner entre autres les unités à utiliser pour mesurer les réductions, ainsi que la méthodologie de détermination du point de départ</w:t>
      </w:r>
      <w:r w:rsidR="003E46F8" w:rsidRPr="006437DD">
        <w:rPr>
          <w:noProof/>
        </w:rPr>
        <w:t xml:space="preserve">. </w:t>
      </w:r>
      <w:r w:rsidRPr="006437DD">
        <w:rPr>
          <w:noProof/>
        </w:rPr>
        <w:t xml:space="preserve">Quelques membres ont proposé d’utiliser les </w:t>
      </w:r>
      <w:r w:rsidR="003E46F8" w:rsidRPr="006437DD">
        <w:rPr>
          <w:noProof/>
        </w:rPr>
        <w:t xml:space="preserve">tonnes </w:t>
      </w:r>
      <w:r w:rsidRPr="006437DD">
        <w:rPr>
          <w:noProof/>
        </w:rPr>
        <w:t xml:space="preserve">métriques </w:t>
      </w:r>
      <w:r w:rsidR="003E46F8" w:rsidRPr="006437DD">
        <w:rPr>
          <w:noProof/>
        </w:rPr>
        <w:t>(</w:t>
      </w:r>
      <w:r w:rsidRPr="006437DD">
        <w:rPr>
          <w:noProof/>
        </w:rPr>
        <w:t>t</w:t>
      </w:r>
      <w:r w:rsidR="003E46F8" w:rsidRPr="006437DD">
        <w:rPr>
          <w:noProof/>
        </w:rPr>
        <w:t>m)</w:t>
      </w:r>
      <w:r w:rsidRPr="006437DD">
        <w:rPr>
          <w:noProof/>
        </w:rPr>
        <w:t xml:space="preserve"> comme unité de mesure pour indiquer la production réelle des usines reconverties</w:t>
      </w:r>
      <w:r w:rsidR="003E46F8" w:rsidRPr="006437DD">
        <w:rPr>
          <w:noProof/>
        </w:rPr>
        <w:t xml:space="preserve">. </w:t>
      </w:r>
      <w:r w:rsidRPr="006437DD">
        <w:rPr>
          <w:noProof/>
        </w:rPr>
        <w:t xml:space="preserve">D’autres membres ont proposé plutôt les tonnes d’équivalents </w:t>
      </w:r>
      <w:r w:rsidR="003E46F8" w:rsidRPr="006437DD">
        <w:rPr>
          <w:noProof/>
        </w:rPr>
        <w:t>CO</w:t>
      </w:r>
      <w:r w:rsidR="003E46F8" w:rsidRPr="006437DD">
        <w:rPr>
          <w:noProof/>
          <w:vertAlign w:val="subscript"/>
        </w:rPr>
        <w:t>2</w:t>
      </w:r>
      <w:r w:rsidRPr="006437DD">
        <w:rPr>
          <w:noProof/>
        </w:rPr>
        <w:t xml:space="preserve"> pour </w:t>
      </w:r>
      <w:r w:rsidR="00F26504" w:rsidRPr="006437DD">
        <w:rPr>
          <w:noProof/>
        </w:rPr>
        <w:t>exprim</w:t>
      </w:r>
      <w:r w:rsidRPr="006437DD">
        <w:rPr>
          <w:noProof/>
        </w:rPr>
        <w:t xml:space="preserve">er </w:t>
      </w:r>
      <w:r w:rsidR="00F26504" w:rsidRPr="006437DD">
        <w:rPr>
          <w:noProof/>
        </w:rPr>
        <w:t>l’impact des conversions sur l’environnement</w:t>
      </w:r>
      <w:r w:rsidR="003E46F8" w:rsidRPr="006437DD">
        <w:rPr>
          <w:noProof/>
        </w:rPr>
        <w:t xml:space="preserve">. </w:t>
      </w:r>
      <w:r w:rsidR="00F26504" w:rsidRPr="006437DD">
        <w:rPr>
          <w:noProof/>
        </w:rPr>
        <w:t>D’autres encore ont suggéré d’utiliser d’abord les deux unités de mesure et de faire un choix définitif après avoir pesé le pour et le contre de chaque unité</w:t>
      </w:r>
      <w:r w:rsidR="003E46F8" w:rsidRPr="006437DD">
        <w:rPr>
          <w:noProof/>
        </w:rPr>
        <w:t xml:space="preserve">. </w:t>
      </w:r>
      <w:r w:rsidR="006437DD" w:rsidRPr="006437DD">
        <w:rPr>
          <w:noProof/>
        </w:rPr>
        <w:t xml:space="preserve">Le </w:t>
      </w:r>
      <w:r w:rsidR="00F72434" w:rsidRPr="006437DD">
        <w:rPr>
          <w:noProof/>
        </w:rPr>
        <w:t>Comité</w:t>
      </w:r>
      <w:r w:rsidR="003E46F8" w:rsidRPr="006437DD">
        <w:rPr>
          <w:noProof/>
        </w:rPr>
        <w:t xml:space="preserve"> a</w:t>
      </w:r>
      <w:r w:rsidR="006437DD" w:rsidRPr="006437DD">
        <w:rPr>
          <w:noProof/>
        </w:rPr>
        <w:t xml:space="preserve"> aussi formulé des </w:t>
      </w:r>
      <w:r w:rsidR="003E46F8" w:rsidRPr="006437DD">
        <w:rPr>
          <w:noProof/>
        </w:rPr>
        <w:t xml:space="preserve">suggestions </w:t>
      </w:r>
      <w:r w:rsidR="006437DD">
        <w:rPr>
          <w:noProof/>
        </w:rPr>
        <w:t>d</w:t>
      </w:r>
      <w:r w:rsidR="006437DD" w:rsidRPr="006437DD">
        <w:rPr>
          <w:noProof/>
        </w:rPr>
        <w:t>’inclu</w:t>
      </w:r>
      <w:r w:rsidR="006437DD">
        <w:rPr>
          <w:noProof/>
        </w:rPr>
        <w:t>re</w:t>
      </w:r>
      <w:r w:rsidR="006437DD" w:rsidRPr="006437DD">
        <w:rPr>
          <w:noProof/>
        </w:rPr>
        <w:t xml:space="preserve"> </w:t>
      </w:r>
      <w:r w:rsidR="006437DD">
        <w:rPr>
          <w:noProof/>
        </w:rPr>
        <w:t>les</w:t>
      </w:r>
      <w:r w:rsidR="006437DD" w:rsidRPr="006437DD">
        <w:rPr>
          <w:noProof/>
        </w:rPr>
        <w:t xml:space="preserve"> polyols prémélangés dans le point de départ, étant entendu qu’une telle consommation serait surveillée et réglementée par les p</w:t>
      </w:r>
      <w:r w:rsidR="00FF53E4" w:rsidRPr="006437DD">
        <w:rPr>
          <w:noProof/>
        </w:rPr>
        <w:t xml:space="preserve">ays </w:t>
      </w:r>
      <w:r w:rsidR="009327B4">
        <w:rPr>
          <w:noProof/>
        </w:rPr>
        <w:t>visés à l’Article</w:t>
      </w:r>
      <w:r w:rsidR="00FF53E4" w:rsidRPr="006437DD">
        <w:rPr>
          <w:noProof/>
        </w:rPr>
        <w:t xml:space="preserve"> 5</w:t>
      </w:r>
      <w:r w:rsidR="003E46F8" w:rsidRPr="006437DD">
        <w:rPr>
          <w:noProof/>
        </w:rPr>
        <w:t xml:space="preserve">; </w:t>
      </w:r>
      <w:r w:rsidR="006437DD">
        <w:rPr>
          <w:noProof/>
        </w:rPr>
        <w:t xml:space="preserve">et d’exclure </w:t>
      </w:r>
      <w:r w:rsidR="004F5A68">
        <w:rPr>
          <w:noProof/>
        </w:rPr>
        <w:t>du point de départ la période finale de l’</w:t>
      </w:r>
      <w:r w:rsidR="00713DAC">
        <w:rPr>
          <w:noProof/>
        </w:rPr>
        <w:t>élimination</w:t>
      </w:r>
      <w:r w:rsidR="004F5A68">
        <w:rPr>
          <w:noProof/>
        </w:rPr>
        <w:t xml:space="preserve"> </w:t>
      </w:r>
      <w:r w:rsidR="003E46F8" w:rsidRPr="006437DD">
        <w:rPr>
          <w:noProof/>
        </w:rPr>
        <w:t>(20</w:t>
      </w:r>
      <w:r w:rsidR="004F5A68">
        <w:rPr>
          <w:noProof/>
        </w:rPr>
        <w:t>% du groupe 1 des pays visés à l’A</w:t>
      </w:r>
      <w:r w:rsidR="003E46F8" w:rsidRPr="006437DD">
        <w:rPr>
          <w:noProof/>
        </w:rPr>
        <w:t xml:space="preserve">rticle 5 </w:t>
      </w:r>
      <w:r w:rsidR="004F5A68">
        <w:rPr>
          <w:noProof/>
        </w:rPr>
        <w:t xml:space="preserve">et </w:t>
      </w:r>
      <w:r w:rsidR="003E46F8" w:rsidRPr="006437DD">
        <w:rPr>
          <w:noProof/>
        </w:rPr>
        <w:t>15</w:t>
      </w:r>
      <w:r w:rsidR="004F5A68">
        <w:rPr>
          <w:noProof/>
        </w:rPr>
        <w:t>%</w:t>
      </w:r>
      <w:r w:rsidR="003E46F8" w:rsidRPr="006437DD">
        <w:rPr>
          <w:noProof/>
        </w:rPr>
        <w:t> </w:t>
      </w:r>
      <w:r w:rsidR="004F5A68">
        <w:rPr>
          <w:noProof/>
        </w:rPr>
        <w:t xml:space="preserve">du groupe 2 des pays visés à </w:t>
      </w:r>
      <w:r w:rsidR="004F5A68">
        <w:rPr>
          <w:noProof/>
        </w:rPr>
        <w:lastRenderedPageBreak/>
        <w:t>l’A</w:t>
      </w:r>
      <w:r w:rsidR="003E46F8" w:rsidRPr="006437DD">
        <w:rPr>
          <w:noProof/>
        </w:rPr>
        <w:t xml:space="preserve">rticle 5) </w:t>
      </w:r>
      <w:r w:rsidR="004F5A68">
        <w:rPr>
          <w:noProof/>
        </w:rPr>
        <w:t>puisque la réduction de cette partie du tonnage total n’était pas stipulée par le Protoco</w:t>
      </w:r>
      <w:r w:rsidR="00CC68B3">
        <w:rPr>
          <w:noProof/>
        </w:rPr>
        <w:t>l</w:t>
      </w:r>
      <w:r w:rsidR="004F5A68">
        <w:rPr>
          <w:noProof/>
        </w:rPr>
        <w:t>e de Montréal</w:t>
      </w:r>
      <w:r w:rsidR="003E46F8" w:rsidRPr="006437DD">
        <w:rPr>
          <w:noProof/>
        </w:rPr>
        <w:t xml:space="preserve">. </w:t>
      </w:r>
    </w:p>
    <w:p w:rsidR="003E46F8" w:rsidRPr="006437DD" w:rsidRDefault="00123684" w:rsidP="00123684">
      <w:pPr>
        <w:pStyle w:val="Heading1"/>
        <w:rPr>
          <w:noProof/>
        </w:rPr>
      </w:pPr>
      <w:r>
        <w:rPr>
          <w:noProof/>
        </w:rPr>
        <w:t>Puisqu’aucune méthodologie générale n’avait été proposée</w:t>
      </w:r>
      <w:r w:rsidRPr="00123684">
        <w:rPr>
          <w:noProof/>
        </w:rPr>
        <w:t xml:space="preserve"> depuis la 82</w:t>
      </w:r>
      <w:r w:rsidRPr="00CC68B3">
        <w:rPr>
          <w:noProof/>
          <w:vertAlign w:val="superscript"/>
        </w:rPr>
        <w:t>e</w:t>
      </w:r>
      <w:r w:rsidRPr="00123684">
        <w:rPr>
          <w:noProof/>
        </w:rPr>
        <w:t xml:space="preserve"> session </w:t>
      </w:r>
      <w:r>
        <w:rPr>
          <w:noProof/>
        </w:rPr>
        <w:t>pour déterminer le point de départ de la réduction globale</w:t>
      </w:r>
      <w:r w:rsidR="003E46F8" w:rsidRPr="006437DD">
        <w:rPr>
          <w:noProof/>
        </w:rPr>
        <w:t xml:space="preserve">, </w:t>
      </w:r>
      <w:r>
        <w:rPr>
          <w:noProof/>
        </w:rPr>
        <w:t>le</w:t>
      </w:r>
      <w:r w:rsidR="003E46F8" w:rsidRPr="006437DD">
        <w:rPr>
          <w:noProof/>
        </w:rPr>
        <w:t xml:space="preserve"> </w:t>
      </w:r>
      <w:r w:rsidR="00F72434" w:rsidRPr="006437DD">
        <w:rPr>
          <w:noProof/>
        </w:rPr>
        <w:t>Comité exécutif</w:t>
      </w:r>
      <w:r w:rsidR="003E46F8" w:rsidRPr="006437DD">
        <w:rPr>
          <w:noProof/>
        </w:rPr>
        <w:t xml:space="preserve"> </w:t>
      </w:r>
      <w:r>
        <w:rPr>
          <w:noProof/>
        </w:rPr>
        <w:t xml:space="preserve">est invité à axer ses délibérations sur cette question à la </w:t>
      </w:r>
      <w:r w:rsidR="003E46F8" w:rsidRPr="006437DD">
        <w:rPr>
          <w:noProof/>
        </w:rPr>
        <w:t>83</w:t>
      </w:r>
      <w:r>
        <w:rPr>
          <w:noProof/>
          <w:vertAlign w:val="superscript"/>
        </w:rPr>
        <w:t>e</w:t>
      </w:r>
      <w:r w:rsidR="003E46F8" w:rsidRPr="006437DD">
        <w:rPr>
          <w:noProof/>
        </w:rPr>
        <w:t> </w:t>
      </w:r>
      <w:r w:rsidR="00FF53E4" w:rsidRPr="006437DD">
        <w:rPr>
          <w:noProof/>
        </w:rPr>
        <w:t>réunion</w:t>
      </w:r>
      <w:r w:rsidR="003E46F8" w:rsidRPr="006437DD">
        <w:rPr>
          <w:noProof/>
        </w:rPr>
        <w:t xml:space="preserve">, </w:t>
      </w:r>
      <w:r>
        <w:rPr>
          <w:noProof/>
        </w:rPr>
        <w:t>en tenant compte des considérations clés de l’établissement d’une méthodologie décrite</w:t>
      </w:r>
      <w:r w:rsidR="00634F48">
        <w:rPr>
          <w:noProof/>
        </w:rPr>
        <w:t>s</w:t>
      </w:r>
      <w:r>
        <w:rPr>
          <w:noProof/>
        </w:rPr>
        <w:t xml:space="preserve"> dans le </w:t>
      </w:r>
      <w:r w:rsidR="003E46F8" w:rsidRPr="006437DD">
        <w:rPr>
          <w:noProof/>
        </w:rPr>
        <w:t>document UNEP/OzL.Pro/ExCom/82/66.</w:t>
      </w:r>
    </w:p>
    <w:p w:rsidR="003E46F8" w:rsidRPr="006437DD" w:rsidRDefault="00634F48" w:rsidP="00634F48">
      <w:pPr>
        <w:pStyle w:val="Heading1"/>
        <w:numPr>
          <w:ilvl w:val="0"/>
          <w:numId w:val="0"/>
        </w:numPr>
        <w:rPr>
          <w:noProof/>
        </w:rPr>
      </w:pPr>
      <w:r>
        <w:rPr>
          <w:noProof/>
          <w:u w:val="single"/>
        </w:rPr>
        <w:t>Surcoûts admissibles pour la consommation du secteur de la fabrication</w:t>
      </w:r>
    </w:p>
    <w:p w:rsidR="003E46F8" w:rsidRPr="006437DD" w:rsidRDefault="00634F48" w:rsidP="00984F90">
      <w:pPr>
        <w:pStyle w:val="Heading1"/>
        <w:rPr>
          <w:noProof/>
        </w:rPr>
      </w:pPr>
      <w:r>
        <w:rPr>
          <w:noProof/>
        </w:rPr>
        <w:t>Dpeuis la</w:t>
      </w:r>
      <w:r w:rsidR="003E46F8" w:rsidRPr="006437DD">
        <w:rPr>
          <w:noProof/>
        </w:rPr>
        <w:t xml:space="preserve"> 77</w:t>
      </w:r>
      <w:r>
        <w:rPr>
          <w:noProof/>
          <w:vertAlign w:val="superscript"/>
        </w:rPr>
        <w:t>e</w:t>
      </w:r>
      <w:r w:rsidR="003E46F8" w:rsidRPr="006437DD">
        <w:rPr>
          <w:noProof/>
        </w:rPr>
        <w:t> </w:t>
      </w:r>
      <w:r w:rsidR="00FF53E4" w:rsidRPr="006437DD">
        <w:rPr>
          <w:noProof/>
        </w:rPr>
        <w:t>réunion</w:t>
      </w:r>
      <w:r w:rsidR="003E46F8" w:rsidRPr="006437DD">
        <w:rPr>
          <w:noProof/>
        </w:rPr>
        <w:t xml:space="preserve">, </w:t>
      </w:r>
      <w:r>
        <w:rPr>
          <w:noProof/>
        </w:rPr>
        <w:t>l</w:t>
      </w:r>
      <w:r w:rsidR="003E46F8" w:rsidRPr="006437DD">
        <w:rPr>
          <w:noProof/>
        </w:rPr>
        <w:t xml:space="preserve">e </w:t>
      </w:r>
      <w:r w:rsidR="00F72434" w:rsidRPr="006437DD">
        <w:rPr>
          <w:noProof/>
        </w:rPr>
        <w:t>Comité exécutif</w:t>
      </w:r>
      <w:r w:rsidR="003E46F8" w:rsidRPr="006437DD">
        <w:rPr>
          <w:noProof/>
        </w:rPr>
        <w:t xml:space="preserve"> </w:t>
      </w:r>
      <w:r>
        <w:rPr>
          <w:noProof/>
        </w:rPr>
        <w:t xml:space="preserve">avait tenu plusieurs débats sur les </w:t>
      </w:r>
      <w:r w:rsidR="00984F90" w:rsidRPr="00984F90">
        <w:rPr>
          <w:noProof/>
        </w:rPr>
        <w:t>valeurs seuils pour le rapport coûts-efficacité</w:t>
      </w:r>
      <w:r>
        <w:rPr>
          <w:noProof/>
        </w:rPr>
        <w:t xml:space="preserve"> pour l</w:t>
      </w:r>
      <w:r w:rsidR="00797D21">
        <w:rPr>
          <w:noProof/>
        </w:rPr>
        <w:t>a réduction graduelle</w:t>
      </w:r>
      <w:r>
        <w:rPr>
          <w:noProof/>
        </w:rPr>
        <w:t xml:space="preserve"> des </w:t>
      </w:r>
      <w:r w:rsidR="003E46F8" w:rsidRPr="006437DD">
        <w:rPr>
          <w:noProof/>
        </w:rPr>
        <w:t>HFC. I</w:t>
      </w:r>
      <w:r>
        <w:rPr>
          <w:noProof/>
        </w:rPr>
        <w:t>l a noté que les seuils pour l’</w:t>
      </w:r>
      <w:r w:rsidR="00713DAC">
        <w:rPr>
          <w:noProof/>
        </w:rPr>
        <w:t>élimination</w:t>
      </w:r>
      <w:r>
        <w:rPr>
          <w:noProof/>
        </w:rPr>
        <w:t xml:space="preserve"> des </w:t>
      </w:r>
      <w:r w:rsidR="003E46F8" w:rsidRPr="006437DD">
        <w:rPr>
          <w:noProof/>
        </w:rPr>
        <w:t xml:space="preserve">CFC </w:t>
      </w:r>
      <w:r>
        <w:rPr>
          <w:noProof/>
        </w:rPr>
        <w:t xml:space="preserve">et des </w:t>
      </w:r>
      <w:r w:rsidR="003E46F8" w:rsidRPr="006437DD">
        <w:rPr>
          <w:noProof/>
        </w:rPr>
        <w:t>HCFC</w:t>
      </w:r>
      <w:r>
        <w:rPr>
          <w:noProof/>
        </w:rPr>
        <w:t xml:space="preserve"> ne s’appliquaient pas nécessairement aux </w:t>
      </w:r>
      <w:r w:rsidR="003E46F8" w:rsidRPr="006437DD">
        <w:rPr>
          <w:noProof/>
        </w:rPr>
        <w:t xml:space="preserve">HFC; </w:t>
      </w:r>
      <w:r>
        <w:rPr>
          <w:noProof/>
        </w:rPr>
        <w:t xml:space="preserve">que le Fonds disposait de peu d’expérience dans </w:t>
      </w:r>
      <w:r w:rsidR="00797D21">
        <w:rPr>
          <w:noProof/>
        </w:rPr>
        <w:t>la réduction graduelle</w:t>
      </w:r>
      <w:r>
        <w:rPr>
          <w:noProof/>
        </w:rPr>
        <w:t xml:space="preserve"> des </w:t>
      </w:r>
      <w:r w:rsidR="003E46F8" w:rsidRPr="006437DD">
        <w:rPr>
          <w:noProof/>
        </w:rPr>
        <w:t xml:space="preserve">HFC </w:t>
      </w:r>
      <w:r>
        <w:rPr>
          <w:noProof/>
        </w:rPr>
        <w:t xml:space="preserve">dans </w:t>
      </w:r>
      <w:r w:rsidR="003E46F8" w:rsidRPr="006437DD">
        <w:rPr>
          <w:noProof/>
        </w:rPr>
        <w:t>certain</w:t>
      </w:r>
      <w:r>
        <w:rPr>
          <w:noProof/>
        </w:rPr>
        <w:t>s</w:t>
      </w:r>
      <w:r w:rsidR="003E46F8" w:rsidRPr="006437DD">
        <w:rPr>
          <w:noProof/>
        </w:rPr>
        <w:t xml:space="preserve"> sect</w:t>
      </w:r>
      <w:r>
        <w:rPr>
          <w:noProof/>
        </w:rPr>
        <w:t>eu</w:t>
      </w:r>
      <w:r w:rsidR="003E46F8" w:rsidRPr="006437DD">
        <w:rPr>
          <w:noProof/>
        </w:rPr>
        <w:t xml:space="preserve">rs; </w:t>
      </w:r>
      <w:r>
        <w:rPr>
          <w:noProof/>
        </w:rPr>
        <w:t>et que les surcoûts correspondants pourraient être différents des coûts de l’</w:t>
      </w:r>
      <w:r w:rsidR="00713DAC">
        <w:rPr>
          <w:noProof/>
        </w:rPr>
        <w:t>élimination</w:t>
      </w:r>
      <w:r>
        <w:rPr>
          <w:noProof/>
        </w:rPr>
        <w:t xml:space="preserve"> d’autres substances réglementées</w:t>
      </w:r>
      <w:r w:rsidR="003E46F8" w:rsidRPr="006437DD">
        <w:rPr>
          <w:noProof/>
        </w:rPr>
        <w:t xml:space="preserve">. </w:t>
      </w:r>
      <w:r w:rsidR="00BD51BB">
        <w:rPr>
          <w:noProof/>
        </w:rPr>
        <w:t xml:space="preserve">En conséquence, le </w:t>
      </w:r>
      <w:r w:rsidR="00F72434" w:rsidRPr="006437DD">
        <w:rPr>
          <w:noProof/>
        </w:rPr>
        <w:t>Comité</w:t>
      </w:r>
      <w:r w:rsidR="003E46F8" w:rsidRPr="006437DD">
        <w:rPr>
          <w:noProof/>
        </w:rPr>
        <w:t xml:space="preserve"> </w:t>
      </w:r>
      <w:r w:rsidR="00BD51BB">
        <w:rPr>
          <w:noProof/>
        </w:rPr>
        <w:t xml:space="preserve">a conclu que des renseignements supplémentaires étaient nécessaires pour arriver à une </w:t>
      </w:r>
      <w:r w:rsidR="00F72434" w:rsidRPr="006437DD">
        <w:rPr>
          <w:noProof/>
        </w:rPr>
        <w:t>décision</w:t>
      </w:r>
      <w:r w:rsidR="003E46F8" w:rsidRPr="006437DD">
        <w:rPr>
          <w:noProof/>
        </w:rPr>
        <w:t xml:space="preserve"> </w:t>
      </w:r>
      <w:r w:rsidR="00BD51BB">
        <w:rPr>
          <w:noProof/>
        </w:rPr>
        <w:t xml:space="preserve">sur les surcûts admissibles, et il est convenu d’envisager d’adopter au cas par cas un nombre limité de projets d’investissement autonomes sur les </w:t>
      </w:r>
      <w:r w:rsidR="003E46F8" w:rsidRPr="006437DD">
        <w:rPr>
          <w:noProof/>
        </w:rPr>
        <w:t>HFC</w:t>
      </w:r>
      <w:r w:rsidR="004727F7">
        <w:rPr>
          <w:noProof/>
        </w:rPr>
        <w:t>,</w:t>
      </w:r>
      <w:r w:rsidR="003E46F8" w:rsidRPr="006437DD">
        <w:rPr>
          <w:noProof/>
        </w:rPr>
        <w:t xml:space="preserve"> </w:t>
      </w:r>
      <w:r w:rsidR="00BD51BB">
        <w:rPr>
          <w:noProof/>
        </w:rPr>
        <w:t>en fonction de la maturité des technologies, de la reproductibilité et de la répartition géographique</w:t>
      </w:r>
      <w:r w:rsidR="004727F7">
        <w:rPr>
          <w:noProof/>
        </w:rPr>
        <w:t xml:space="preserve"> des projets</w:t>
      </w:r>
      <w:r w:rsidR="003E46F8" w:rsidRPr="006437DD">
        <w:rPr>
          <w:noProof/>
        </w:rPr>
        <w:t xml:space="preserve"> (</w:t>
      </w:r>
      <w:r w:rsidR="00F72434" w:rsidRPr="006437DD">
        <w:rPr>
          <w:noProof/>
        </w:rPr>
        <w:t>décision</w:t>
      </w:r>
      <w:r w:rsidR="003E46F8" w:rsidRPr="006437DD">
        <w:rPr>
          <w:noProof/>
        </w:rPr>
        <w:t xml:space="preserve">s 78/3 </w:t>
      </w:r>
      <w:r w:rsidR="004727F7">
        <w:rPr>
          <w:noProof/>
        </w:rPr>
        <w:t>et</w:t>
      </w:r>
      <w:r w:rsidR="003E46F8" w:rsidRPr="006437DD">
        <w:rPr>
          <w:noProof/>
        </w:rPr>
        <w:t xml:space="preserve"> 79/45).</w:t>
      </w:r>
      <w:r w:rsidR="003E46F8" w:rsidRPr="006437DD">
        <w:rPr>
          <w:rStyle w:val="FootnoteReference"/>
          <w:noProof/>
        </w:rPr>
        <w:footnoteReference w:id="3"/>
      </w:r>
      <w:r w:rsidR="003E46F8" w:rsidRPr="006437DD">
        <w:rPr>
          <w:noProof/>
        </w:rPr>
        <w:t xml:space="preserve"> </w:t>
      </w:r>
    </w:p>
    <w:p w:rsidR="003E46F8" w:rsidRPr="006437DD" w:rsidRDefault="004727F7" w:rsidP="00984F90">
      <w:pPr>
        <w:pStyle w:val="Heading1"/>
        <w:rPr>
          <w:noProof/>
        </w:rPr>
      </w:pPr>
      <w:r>
        <w:rPr>
          <w:noProof/>
        </w:rPr>
        <w:t>À la</w:t>
      </w:r>
      <w:r w:rsidR="003E46F8" w:rsidRPr="006437DD">
        <w:rPr>
          <w:noProof/>
        </w:rPr>
        <w:t xml:space="preserve"> 82</w:t>
      </w:r>
      <w:r>
        <w:rPr>
          <w:noProof/>
          <w:vertAlign w:val="superscript"/>
        </w:rPr>
        <w:t>e </w:t>
      </w:r>
      <w:r w:rsidR="00FF53E4" w:rsidRPr="006437DD">
        <w:rPr>
          <w:noProof/>
        </w:rPr>
        <w:t>réunion</w:t>
      </w:r>
      <w:r w:rsidR="003E46F8" w:rsidRPr="006437DD">
        <w:rPr>
          <w:noProof/>
        </w:rPr>
        <w:t xml:space="preserve">, </w:t>
      </w:r>
      <w:r>
        <w:rPr>
          <w:noProof/>
        </w:rPr>
        <w:t>dix projets d’investissement autonomes</w:t>
      </w:r>
      <w:r w:rsidR="003E46F8" w:rsidRPr="006437DD">
        <w:rPr>
          <w:rStyle w:val="FootnoteReference"/>
          <w:noProof/>
        </w:rPr>
        <w:footnoteReference w:id="4"/>
      </w:r>
      <w:r w:rsidR="003E46F8" w:rsidRPr="006437DD">
        <w:rPr>
          <w:noProof/>
        </w:rPr>
        <w:t xml:space="preserve"> </w:t>
      </w:r>
      <w:r w:rsidR="00545526">
        <w:rPr>
          <w:noProof/>
        </w:rPr>
        <w:t xml:space="preserve">ont été approuvés pour un coût total de </w:t>
      </w:r>
      <w:r w:rsidR="003E46F8" w:rsidRPr="006437DD">
        <w:rPr>
          <w:noProof/>
        </w:rPr>
        <w:t>13</w:t>
      </w:r>
      <w:r w:rsidR="00545526">
        <w:rPr>
          <w:noProof/>
        </w:rPr>
        <w:t> </w:t>
      </w:r>
      <w:r w:rsidR="003E46F8" w:rsidRPr="006437DD">
        <w:rPr>
          <w:noProof/>
        </w:rPr>
        <w:t>397</w:t>
      </w:r>
      <w:r w:rsidR="00545526">
        <w:rPr>
          <w:noProof/>
        </w:rPr>
        <w:t> </w:t>
      </w:r>
      <w:r w:rsidR="003E46F8" w:rsidRPr="006437DD">
        <w:rPr>
          <w:noProof/>
        </w:rPr>
        <w:t>249</w:t>
      </w:r>
      <w:r w:rsidR="00545526">
        <w:rPr>
          <w:noProof/>
        </w:rPr>
        <w:t> $US</w:t>
      </w:r>
      <w:r w:rsidR="003E46F8" w:rsidRPr="006437DD">
        <w:rPr>
          <w:noProof/>
        </w:rPr>
        <w:t xml:space="preserve"> (plus </w:t>
      </w:r>
      <w:r w:rsidR="00545526">
        <w:rPr>
          <w:noProof/>
        </w:rPr>
        <w:t>les coûts de soutien d’</w:t>
      </w:r>
      <w:r w:rsidR="003E46F8" w:rsidRPr="006437DD">
        <w:rPr>
          <w:noProof/>
        </w:rPr>
        <w:t>agenc</w:t>
      </w:r>
      <w:r w:rsidR="00545526">
        <w:rPr>
          <w:noProof/>
        </w:rPr>
        <w:t>e</w:t>
      </w:r>
      <w:r w:rsidR="003E46F8" w:rsidRPr="006437DD">
        <w:rPr>
          <w:noProof/>
        </w:rPr>
        <w:t>s)</w:t>
      </w:r>
      <w:r w:rsidR="00545526">
        <w:rPr>
          <w:noProof/>
        </w:rPr>
        <w:t xml:space="preserve">, afin d’éliminer </w:t>
      </w:r>
      <w:r w:rsidR="003E46F8" w:rsidRPr="006437DD">
        <w:rPr>
          <w:noProof/>
        </w:rPr>
        <w:t>1</w:t>
      </w:r>
      <w:r w:rsidR="00545526">
        <w:rPr>
          <w:noProof/>
        </w:rPr>
        <w:t> </w:t>
      </w:r>
      <w:r w:rsidR="003E46F8" w:rsidRPr="006437DD">
        <w:rPr>
          <w:noProof/>
        </w:rPr>
        <w:t>110 </w:t>
      </w:r>
      <w:r w:rsidR="00545526">
        <w:rPr>
          <w:noProof/>
        </w:rPr>
        <w:t>t</w:t>
      </w:r>
      <w:r w:rsidR="003E46F8" w:rsidRPr="006437DD">
        <w:rPr>
          <w:noProof/>
        </w:rPr>
        <w:t>m (1</w:t>
      </w:r>
      <w:r w:rsidR="00545526">
        <w:rPr>
          <w:noProof/>
        </w:rPr>
        <w:t>,</w:t>
      </w:r>
      <w:r w:rsidR="003E46F8" w:rsidRPr="006437DD">
        <w:rPr>
          <w:noProof/>
        </w:rPr>
        <w:t>63 million</w:t>
      </w:r>
      <w:r w:rsidR="00545526">
        <w:rPr>
          <w:noProof/>
        </w:rPr>
        <w:t>s</w:t>
      </w:r>
      <w:r w:rsidR="003E46F8" w:rsidRPr="006437DD">
        <w:rPr>
          <w:noProof/>
        </w:rPr>
        <w:t> </w:t>
      </w:r>
      <w:r w:rsidR="00545526">
        <w:rPr>
          <w:noProof/>
        </w:rPr>
        <w:t>t</w:t>
      </w:r>
      <w:r w:rsidR="003E46F8" w:rsidRPr="006437DD">
        <w:rPr>
          <w:noProof/>
        </w:rPr>
        <w:t>m CO</w:t>
      </w:r>
      <w:r w:rsidR="003E46F8" w:rsidRPr="006437DD">
        <w:rPr>
          <w:noProof/>
          <w:vertAlign w:val="subscript"/>
        </w:rPr>
        <w:t>2</w:t>
      </w:r>
      <w:r w:rsidR="003E46F8" w:rsidRPr="006437DD">
        <w:rPr>
          <w:noProof/>
        </w:rPr>
        <w:t>-</w:t>
      </w:r>
      <w:r w:rsidR="00545526">
        <w:rPr>
          <w:noProof/>
        </w:rPr>
        <w:t>é</w:t>
      </w:r>
      <w:r w:rsidR="003E46F8" w:rsidRPr="006437DD">
        <w:rPr>
          <w:noProof/>
        </w:rPr>
        <w:t xml:space="preserve">q) </w:t>
      </w:r>
      <w:r w:rsidR="00545526">
        <w:rPr>
          <w:noProof/>
        </w:rPr>
        <w:t>de</w:t>
      </w:r>
      <w:r w:rsidR="003E46F8" w:rsidRPr="006437DD">
        <w:rPr>
          <w:noProof/>
        </w:rPr>
        <w:t xml:space="preserve"> HFC </w:t>
      </w:r>
      <w:r w:rsidR="00545526">
        <w:rPr>
          <w:noProof/>
        </w:rPr>
        <w:t>dans les secteurs de fabrication de climatiseurs et de réfrigérateurs domestiques et commerciaux  dans neuf pays</w:t>
      </w:r>
      <w:r w:rsidR="003E46F8" w:rsidRPr="006437DD">
        <w:rPr>
          <w:noProof/>
        </w:rPr>
        <w:t xml:space="preserve">. </w:t>
      </w:r>
      <w:r w:rsidR="00545526">
        <w:rPr>
          <w:noProof/>
        </w:rPr>
        <w:t>L</w:t>
      </w:r>
      <w:r w:rsidR="003E46F8" w:rsidRPr="006437DD">
        <w:rPr>
          <w:noProof/>
        </w:rPr>
        <w:t xml:space="preserve">e </w:t>
      </w:r>
      <w:r w:rsidR="00F72434" w:rsidRPr="006437DD">
        <w:rPr>
          <w:noProof/>
        </w:rPr>
        <w:t>Comité exécutif</w:t>
      </w:r>
      <w:r w:rsidR="003E46F8" w:rsidRPr="006437DD">
        <w:rPr>
          <w:noProof/>
        </w:rPr>
        <w:t xml:space="preserve"> </w:t>
      </w:r>
      <w:r w:rsidR="00545526">
        <w:rPr>
          <w:noProof/>
        </w:rPr>
        <w:t xml:space="preserve">est invité à envisager d’établir des </w:t>
      </w:r>
      <w:r w:rsidR="00984F90">
        <w:rPr>
          <w:noProof/>
        </w:rPr>
        <w:t xml:space="preserve">valeurs </w:t>
      </w:r>
      <w:r w:rsidR="00545526">
        <w:rPr>
          <w:noProof/>
        </w:rPr>
        <w:t xml:space="preserve">seuils </w:t>
      </w:r>
      <w:r w:rsidR="00984F90">
        <w:rPr>
          <w:noProof/>
        </w:rPr>
        <w:t>pour le rapport</w:t>
      </w:r>
      <w:r w:rsidR="00545526">
        <w:rPr>
          <w:noProof/>
        </w:rPr>
        <w:t xml:space="preserve"> coûts-efficacité</w:t>
      </w:r>
      <w:r w:rsidR="00984F90">
        <w:rPr>
          <w:noProof/>
        </w:rPr>
        <w:t>, une fois que les résultats de ces projes seront disponibles</w:t>
      </w:r>
      <w:r w:rsidR="003E46F8" w:rsidRPr="006437DD">
        <w:rPr>
          <w:noProof/>
        </w:rPr>
        <w:t>.</w:t>
      </w:r>
    </w:p>
    <w:p w:rsidR="003E46F8" w:rsidRPr="006437DD" w:rsidRDefault="00984F90" w:rsidP="00984F90">
      <w:pPr>
        <w:tabs>
          <w:tab w:val="left" w:pos="8280"/>
        </w:tabs>
        <w:rPr>
          <w:noProof/>
          <w:u w:val="single"/>
        </w:rPr>
      </w:pPr>
      <w:r>
        <w:rPr>
          <w:noProof/>
          <w:u w:val="single"/>
        </w:rPr>
        <w:t xml:space="preserve">Surcoûts admissibles pour le secteur de l’entretien en </w:t>
      </w:r>
      <w:r w:rsidR="003E46F8" w:rsidRPr="006437DD">
        <w:rPr>
          <w:noProof/>
          <w:u w:val="single"/>
        </w:rPr>
        <w:t>r</w:t>
      </w:r>
      <w:r>
        <w:rPr>
          <w:noProof/>
          <w:u w:val="single"/>
        </w:rPr>
        <w:t>é</w:t>
      </w:r>
      <w:r w:rsidR="003E46F8" w:rsidRPr="006437DD">
        <w:rPr>
          <w:noProof/>
          <w:u w:val="single"/>
        </w:rPr>
        <w:t>frig</w:t>
      </w:r>
      <w:r>
        <w:rPr>
          <w:noProof/>
          <w:u w:val="single"/>
        </w:rPr>
        <w:t>é</w:t>
      </w:r>
      <w:r w:rsidR="003E46F8" w:rsidRPr="006437DD">
        <w:rPr>
          <w:noProof/>
          <w:u w:val="single"/>
        </w:rPr>
        <w:t>ration</w:t>
      </w:r>
    </w:p>
    <w:p w:rsidR="003E46F8" w:rsidRPr="006437DD" w:rsidRDefault="003E46F8" w:rsidP="003E46F8">
      <w:pPr>
        <w:tabs>
          <w:tab w:val="left" w:pos="8280"/>
        </w:tabs>
        <w:rPr>
          <w:noProof/>
          <w:u w:val="single"/>
        </w:rPr>
      </w:pPr>
    </w:p>
    <w:p w:rsidR="003E46F8" w:rsidRPr="006437DD" w:rsidRDefault="00984F90" w:rsidP="009327B4">
      <w:pPr>
        <w:pStyle w:val="Heading1"/>
        <w:rPr>
          <w:noProof/>
        </w:rPr>
      </w:pPr>
      <w:r w:rsidRPr="000508D8">
        <w:rPr>
          <w:noProof/>
        </w:rPr>
        <w:t xml:space="preserve">À la </w:t>
      </w:r>
      <w:r w:rsidR="003E46F8" w:rsidRPr="000508D8">
        <w:rPr>
          <w:noProof/>
        </w:rPr>
        <w:t>80</w:t>
      </w:r>
      <w:r w:rsidRPr="000508D8">
        <w:rPr>
          <w:noProof/>
          <w:vertAlign w:val="superscript"/>
        </w:rPr>
        <w:t>e</w:t>
      </w:r>
      <w:r w:rsidR="003E46F8" w:rsidRPr="000508D8">
        <w:rPr>
          <w:noProof/>
        </w:rPr>
        <w:t> </w:t>
      </w:r>
      <w:r w:rsidR="00FF53E4" w:rsidRPr="000508D8">
        <w:rPr>
          <w:noProof/>
        </w:rPr>
        <w:t>réunion</w:t>
      </w:r>
      <w:r w:rsidR="003E46F8" w:rsidRPr="000508D8">
        <w:rPr>
          <w:noProof/>
        </w:rPr>
        <w:t xml:space="preserve">, </w:t>
      </w:r>
      <w:r w:rsidR="00666BEC" w:rsidRPr="000508D8">
        <w:rPr>
          <w:noProof/>
        </w:rPr>
        <w:t xml:space="preserve">le </w:t>
      </w:r>
      <w:r w:rsidR="003E46F8" w:rsidRPr="000508D8">
        <w:rPr>
          <w:noProof/>
        </w:rPr>
        <w:t>Secr</w:t>
      </w:r>
      <w:r w:rsidR="00666BEC" w:rsidRPr="000508D8">
        <w:rPr>
          <w:noProof/>
        </w:rPr>
        <w:t>é</w:t>
      </w:r>
      <w:r w:rsidR="003E46F8" w:rsidRPr="000508D8">
        <w:rPr>
          <w:noProof/>
        </w:rPr>
        <w:t xml:space="preserve">tariat </w:t>
      </w:r>
      <w:r w:rsidR="000508D8">
        <w:rPr>
          <w:noProof/>
        </w:rPr>
        <w:t xml:space="preserve">a été chargé de préparer, en coopération avec des agences bilatérales et des agences d’exécution, un document préliminaire sur tous les aspects liés au secteur de l’entretien en réfrigération à l’appui de la réduction graduelle des HFC, aux fins de soumission à la </w:t>
      </w:r>
      <w:r w:rsidR="003E46F8" w:rsidRPr="006437DD">
        <w:rPr>
          <w:noProof/>
        </w:rPr>
        <w:t>82</w:t>
      </w:r>
      <w:r w:rsidR="000508D8">
        <w:rPr>
          <w:noProof/>
          <w:vertAlign w:val="superscript"/>
        </w:rPr>
        <w:t>e</w:t>
      </w:r>
      <w:r w:rsidR="000508D8">
        <w:rPr>
          <w:noProof/>
        </w:rPr>
        <w:t> </w:t>
      </w:r>
      <w:r w:rsidR="00FF53E4" w:rsidRPr="006437DD">
        <w:rPr>
          <w:noProof/>
        </w:rPr>
        <w:t>réunion</w:t>
      </w:r>
      <w:r w:rsidR="003E46F8" w:rsidRPr="006437DD">
        <w:rPr>
          <w:rStyle w:val="FootnoteReference"/>
          <w:noProof/>
        </w:rPr>
        <w:footnoteReference w:id="5"/>
      </w:r>
      <w:r w:rsidR="003E46F8" w:rsidRPr="006437DD">
        <w:rPr>
          <w:noProof/>
        </w:rPr>
        <w:t xml:space="preserve"> (</w:t>
      </w:r>
      <w:r w:rsidR="00F72434" w:rsidRPr="006437DD">
        <w:rPr>
          <w:noProof/>
        </w:rPr>
        <w:t>décision</w:t>
      </w:r>
      <w:r w:rsidR="003E46F8" w:rsidRPr="006437DD">
        <w:rPr>
          <w:noProof/>
        </w:rPr>
        <w:t xml:space="preserve"> 80/76(c)). </w:t>
      </w:r>
      <w:r w:rsidR="000508D8">
        <w:rPr>
          <w:noProof/>
        </w:rPr>
        <w:t xml:space="preserve">À sa </w:t>
      </w:r>
      <w:r w:rsidR="003E46F8" w:rsidRPr="006437DD">
        <w:rPr>
          <w:noProof/>
        </w:rPr>
        <w:t>81</w:t>
      </w:r>
      <w:r w:rsidR="000508D8">
        <w:rPr>
          <w:noProof/>
          <w:vertAlign w:val="superscript"/>
        </w:rPr>
        <w:t>e</w:t>
      </w:r>
      <w:r w:rsidR="003E46F8" w:rsidRPr="006437DD">
        <w:rPr>
          <w:noProof/>
        </w:rPr>
        <w:t> </w:t>
      </w:r>
      <w:r w:rsidR="00FF53E4" w:rsidRPr="006437DD">
        <w:rPr>
          <w:noProof/>
        </w:rPr>
        <w:t>réunion</w:t>
      </w:r>
      <w:r w:rsidR="003E46F8" w:rsidRPr="006437DD">
        <w:rPr>
          <w:noProof/>
        </w:rPr>
        <w:t xml:space="preserve">, </w:t>
      </w:r>
      <w:r w:rsidR="000508D8">
        <w:rPr>
          <w:noProof/>
        </w:rPr>
        <w:t>l</w:t>
      </w:r>
      <w:r w:rsidR="003E46F8" w:rsidRPr="006437DD">
        <w:rPr>
          <w:noProof/>
        </w:rPr>
        <w:t xml:space="preserve">e </w:t>
      </w:r>
      <w:r w:rsidR="00F72434" w:rsidRPr="006437DD">
        <w:rPr>
          <w:noProof/>
        </w:rPr>
        <w:t>Comité</w:t>
      </w:r>
      <w:r w:rsidR="003E46F8" w:rsidRPr="006437DD">
        <w:rPr>
          <w:noProof/>
        </w:rPr>
        <w:t xml:space="preserve"> </w:t>
      </w:r>
      <w:r w:rsidR="000508D8">
        <w:rPr>
          <w:noProof/>
        </w:rPr>
        <w:t xml:space="preserve">a décidé d’examiner à sa </w:t>
      </w:r>
      <w:r w:rsidR="003E46F8" w:rsidRPr="006437DD">
        <w:rPr>
          <w:noProof/>
        </w:rPr>
        <w:t>82</w:t>
      </w:r>
      <w:r w:rsidR="000508D8">
        <w:rPr>
          <w:noProof/>
          <w:vertAlign w:val="superscript"/>
        </w:rPr>
        <w:t>e</w:t>
      </w:r>
      <w:r w:rsidR="003E46F8" w:rsidRPr="006437DD">
        <w:rPr>
          <w:noProof/>
        </w:rPr>
        <w:t> </w:t>
      </w:r>
      <w:r w:rsidR="00FF53E4" w:rsidRPr="006437DD">
        <w:rPr>
          <w:noProof/>
        </w:rPr>
        <w:t>réunion</w:t>
      </w:r>
      <w:r w:rsidR="000508D8">
        <w:rPr>
          <w:noProof/>
        </w:rPr>
        <w:t xml:space="preserve"> la priorisation de l’assistance technique et du renforcement des capacités, pour résoudre les problèmes de sécurité liés aux solutions de rechange </w:t>
      </w:r>
      <w:r w:rsidR="009327B4">
        <w:rPr>
          <w:noProof/>
        </w:rPr>
        <w:t>présentant un</w:t>
      </w:r>
      <w:r w:rsidR="000508D8">
        <w:rPr>
          <w:noProof/>
        </w:rPr>
        <w:t xml:space="preserve"> potentiel de réchauffement global </w:t>
      </w:r>
      <w:r w:rsidR="009327B4">
        <w:rPr>
          <w:noProof/>
        </w:rPr>
        <w:t>(PRG) faible ou nul pour tous les secteurs</w:t>
      </w:r>
      <w:r w:rsidR="003E46F8" w:rsidRPr="006437DD">
        <w:rPr>
          <w:rStyle w:val="FootnoteReference"/>
          <w:noProof/>
        </w:rPr>
        <w:footnoteReference w:id="6"/>
      </w:r>
      <w:r w:rsidR="003E46F8" w:rsidRPr="006437DD">
        <w:rPr>
          <w:noProof/>
        </w:rPr>
        <w:t xml:space="preserve"> </w:t>
      </w:r>
      <w:r w:rsidR="009327B4">
        <w:rPr>
          <w:noProof/>
        </w:rPr>
        <w:t>à la lumière du document susmentionné sur le secteur de l’entretien en réfrigération</w:t>
      </w:r>
      <w:r w:rsidR="003E46F8" w:rsidRPr="006437DD">
        <w:rPr>
          <w:noProof/>
        </w:rPr>
        <w:t xml:space="preserve"> (</w:t>
      </w:r>
      <w:r w:rsidR="00F72434" w:rsidRPr="006437DD">
        <w:rPr>
          <w:noProof/>
        </w:rPr>
        <w:t>décision</w:t>
      </w:r>
      <w:r w:rsidR="003E46F8" w:rsidRPr="006437DD">
        <w:rPr>
          <w:noProof/>
        </w:rPr>
        <w:t xml:space="preserve"> 81/67(c)). </w:t>
      </w:r>
    </w:p>
    <w:p w:rsidR="003E46F8" w:rsidRPr="006437DD" w:rsidRDefault="009327B4" w:rsidP="00397260">
      <w:pPr>
        <w:pStyle w:val="Heading1"/>
        <w:rPr>
          <w:noProof/>
        </w:rPr>
      </w:pPr>
      <w:r>
        <w:rPr>
          <w:noProof/>
        </w:rPr>
        <w:t>Donnant suite à ses décisions</w:t>
      </w:r>
      <w:r w:rsidR="003E46F8" w:rsidRPr="006437DD">
        <w:rPr>
          <w:noProof/>
        </w:rPr>
        <w:t xml:space="preserve"> 80/76(c) </w:t>
      </w:r>
      <w:r>
        <w:rPr>
          <w:noProof/>
        </w:rPr>
        <w:t>et</w:t>
      </w:r>
      <w:r w:rsidR="003E46F8" w:rsidRPr="006437DD">
        <w:rPr>
          <w:noProof/>
        </w:rPr>
        <w:t xml:space="preserve"> 81/67(c), </w:t>
      </w:r>
      <w:r>
        <w:rPr>
          <w:noProof/>
        </w:rPr>
        <w:t xml:space="preserve">le Comité exécutif a examiné </w:t>
      </w:r>
      <w:r w:rsidRPr="009327B4">
        <w:rPr>
          <w:noProof/>
        </w:rPr>
        <w:t>le document UNEP/OzL.Pro/ExCom/82/64</w:t>
      </w:r>
      <w:r>
        <w:rPr>
          <w:noProof/>
        </w:rPr>
        <w:t xml:space="preserve"> à sa </w:t>
      </w:r>
      <w:r w:rsidR="003E46F8" w:rsidRPr="006437DD">
        <w:rPr>
          <w:noProof/>
        </w:rPr>
        <w:t>82</w:t>
      </w:r>
      <w:r>
        <w:rPr>
          <w:noProof/>
          <w:vertAlign w:val="superscript"/>
        </w:rPr>
        <w:t>e</w:t>
      </w:r>
      <w:r w:rsidR="003E46F8" w:rsidRPr="006437DD">
        <w:rPr>
          <w:noProof/>
        </w:rPr>
        <w:t> </w:t>
      </w:r>
      <w:r w:rsidR="00FF53E4" w:rsidRPr="006437DD">
        <w:rPr>
          <w:noProof/>
        </w:rPr>
        <w:t>réunion</w:t>
      </w:r>
      <w:r w:rsidR="003E46F8" w:rsidRPr="006437DD">
        <w:rPr>
          <w:noProof/>
        </w:rPr>
        <w:t>. Dur</w:t>
      </w:r>
      <w:r>
        <w:rPr>
          <w:noProof/>
        </w:rPr>
        <w:t>ant les débats, des membres de pays visés à l’Article</w:t>
      </w:r>
      <w:r w:rsidR="00FF53E4" w:rsidRPr="006437DD">
        <w:rPr>
          <w:noProof/>
        </w:rPr>
        <w:t xml:space="preserve"> 5</w:t>
      </w:r>
      <w:r w:rsidR="003E46F8" w:rsidRPr="006437DD">
        <w:rPr>
          <w:noProof/>
        </w:rPr>
        <w:t xml:space="preserve"> </w:t>
      </w:r>
      <w:r>
        <w:rPr>
          <w:noProof/>
        </w:rPr>
        <w:t xml:space="preserve">ont indiqué d’autres activités dans le secteur de l’entretien en réfrigétation </w:t>
      </w:r>
      <w:r w:rsidR="00625AD1">
        <w:rPr>
          <w:noProof/>
        </w:rPr>
        <w:t>en sus de celles qui sont en cours d’exécution au titre de l’</w:t>
      </w:r>
      <w:r w:rsidR="00713DAC">
        <w:rPr>
          <w:noProof/>
        </w:rPr>
        <w:t>élimination</w:t>
      </w:r>
      <w:r w:rsidR="00625AD1">
        <w:rPr>
          <w:noProof/>
        </w:rPr>
        <w:t xml:space="preserve"> des </w:t>
      </w:r>
      <w:r w:rsidR="003E46F8" w:rsidRPr="006437DD">
        <w:rPr>
          <w:noProof/>
        </w:rPr>
        <w:t xml:space="preserve">HCFC, </w:t>
      </w:r>
      <w:r w:rsidR="00625AD1">
        <w:rPr>
          <w:noProof/>
        </w:rPr>
        <w:t xml:space="preserve">notamment le renforcement des capacités dans </w:t>
      </w:r>
      <w:r w:rsidR="00625AD1">
        <w:rPr>
          <w:noProof/>
        </w:rPr>
        <w:lastRenderedPageBreak/>
        <w:t>l’évaluarion des risques et la gestion de frigorigènes inflammables</w:t>
      </w:r>
      <w:r w:rsidR="003E46F8" w:rsidRPr="006437DD">
        <w:rPr>
          <w:noProof/>
        </w:rPr>
        <w:t xml:space="preserve">; </w:t>
      </w:r>
      <w:r w:rsidR="00625AD1">
        <w:rPr>
          <w:noProof/>
        </w:rPr>
        <w:t>des activités dans le sous-secteur de l’assemblage et l’installation</w:t>
      </w:r>
      <w:r w:rsidR="003E46F8" w:rsidRPr="006437DD">
        <w:rPr>
          <w:noProof/>
        </w:rPr>
        <w:t xml:space="preserve">; </w:t>
      </w:r>
      <w:r w:rsidR="00625AD1">
        <w:rPr>
          <w:noProof/>
        </w:rPr>
        <w:t xml:space="preserve">l’amélioration et/ou le maintien </w:t>
      </w:r>
      <w:r w:rsidR="00397260">
        <w:rPr>
          <w:noProof/>
        </w:rPr>
        <w:t xml:space="preserve">du </w:t>
      </w:r>
      <w:r w:rsidR="004F413A">
        <w:rPr>
          <w:noProof/>
        </w:rPr>
        <w:t>efficacité</w:t>
      </w:r>
      <w:r w:rsidR="00397260">
        <w:rPr>
          <w:noProof/>
        </w:rPr>
        <w:t>énergétique durant l’installation et l’entretien, et la récupération d’un éventail divers de frigorigènes, étant donné la possibilité d’un plus grand nombre de mélanges à éliminer</w:t>
      </w:r>
      <w:r w:rsidR="003E46F8" w:rsidRPr="006437DD">
        <w:rPr>
          <w:noProof/>
        </w:rPr>
        <w:t xml:space="preserve">. </w:t>
      </w:r>
      <w:r w:rsidR="00397260">
        <w:rPr>
          <w:noProof/>
        </w:rPr>
        <w:t xml:space="preserve">À propos du financement accru pour les pays à faible volume de consommation (FVC) pour remplacer les </w:t>
      </w:r>
      <w:r w:rsidR="003E46F8" w:rsidRPr="006437DD">
        <w:rPr>
          <w:noProof/>
        </w:rPr>
        <w:t>HCFC</w:t>
      </w:r>
      <w:r w:rsidR="00397260">
        <w:rPr>
          <w:noProof/>
        </w:rPr>
        <w:t xml:space="preserve"> durant l’entretien, conformément au </w:t>
      </w:r>
      <w:r w:rsidR="003E46F8" w:rsidRPr="006437DD">
        <w:rPr>
          <w:noProof/>
        </w:rPr>
        <w:t>paragraph</w:t>
      </w:r>
      <w:r w:rsidR="00397260">
        <w:rPr>
          <w:noProof/>
        </w:rPr>
        <w:t>e</w:t>
      </w:r>
      <w:r w:rsidR="003E46F8" w:rsidRPr="006437DD">
        <w:rPr>
          <w:noProof/>
        </w:rPr>
        <w:t xml:space="preserve"> 16 </w:t>
      </w:r>
      <w:r w:rsidR="00397260">
        <w:rPr>
          <w:noProof/>
        </w:rPr>
        <w:t xml:space="preserve">de la </w:t>
      </w:r>
      <w:r w:rsidR="00F72434" w:rsidRPr="006437DD">
        <w:rPr>
          <w:noProof/>
        </w:rPr>
        <w:t>décision</w:t>
      </w:r>
      <w:r w:rsidR="003E46F8" w:rsidRPr="006437DD">
        <w:rPr>
          <w:noProof/>
        </w:rPr>
        <w:t xml:space="preserve"> XXVIII/2, </w:t>
      </w:r>
      <w:r w:rsidR="00397260">
        <w:rPr>
          <w:noProof/>
        </w:rPr>
        <w:t>l</w:t>
      </w:r>
      <w:r w:rsidR="003E46F8" w:rsidRPr="006437DD">
        <w:rPr>
          <w:noProof/>
        </w:rPr>
        <w:t xml:space="preserve">e </w:t>
      </w:r>
      <w:r w:rsidR="00F72434" w:rsidRPr="006437DD">
        <w:rPr>
          <w:noProof/>
        </w:rPr>
        <w:t>Comité</w:t>
      </w:r>
      <w:r w:rsidR="003E46F8" w:rsidRPr="006437DD">
        <w:rPr>
          <w:noProof/>
        </w:rPr>
        <w:t xml:space="preserve"> </w:t>
      </w:r>
      <w:r w:rsidR="00397260">
        <w:rPr>
          <w:noProof/>
        </w:rPr>
        <w:t xml:space="preserve">est convenu d’examiner cette question au titre du </w:t>
      </w:r>
      <w:r w:rsidR="004F413A">
        <w:rPr>
          <w:noProof/>
        </w:rPr>
        <w:t>efficacité</w:t>
      </w:r>
      <w:r w:rsidR="00397260">
        <w:rPr>
          <w:noProof/>
        </w:rPr>
        <w:t xml:space="preserve">énergétique, comme indiqué dans la </w:t>
      </w:r>
      <w:r w:rsidR="00F72434" w:rsidRPr="006437DD">
        <w:rPr>
          <w:noProof/>
        </w:rPr>
        <w:t>décision</w:t>
      </w:r>
      <w:r w:rsidR="003E46F8" w:rsidRPr="006437DD">
        <w:rPr>
          <w:noProof/>
        </w:rPr>
        <w:t xml:space="preserve"> XXX/5. </w:t>
      </w:r>
    </w:p>
    <w:p w:rsidR="003E46F8" w:rsidRPr="006437DD" w:rsidRDefault="00871BD4" w:rsidP="00871BD4">
      <w:pPr>
        <w:pStyle w:val="Heading1"/>
        <w:rPr>
          <w:noProof/>
        </w:rPr>
      </w:pPr>
      <w:r>
        <w:rPr>
          <w:noProof/>
        </w:rPr>
        <w:t>À sa</w:t>
      </w:r>
      <w:r w:rsidR="003E46F8" w:rsidRPr="006437DD">
        <w:rPr>
          <w:noProof/>
        </w:rPr>
        <w:t xml:space="preserve"> 83</w:t>
      </w:r>
      <w:r w:rsidR="004727F7">
        <w:rPr>
          <w:noProof/>
          <w:vertAlign w:val="superscript"/>
        </w:rPr>
        <w:t>e</w:t>
      </w:r>
      <w:r w:rsidR="003E46F8" w:rsidRPr="006437DD">
        <w:rPr>
          <w:noProof/>
        </w:rPr>
        <w:t> </w:t>
      </w:r>
      <w:r w:rsidR="00FF53E4" w:rsidRPr="006437DD">
        <w:rPr>
          <w:noProof/>
        </w:rPr>
        <w:t>réunion</w:t>
      </w:r>
      <w:r w:rsidR="003E46F8" w:rsidRPr="006437DD">
        <w:rPr>
          <w:noProof/>
        </w:rPr>
        <w:t xml:space="preserve">, </w:t>
      </w:r>
      <w:r>
        <w:rPr>
          <w:noProof/>
        </w:rPr>
        <w:t>l</w:t>
      </w:r>
      <w:r w:rsidR="003E46F8" w:rsidRPr="006437DD">
        <w:rPr>
          <w:noProof/>
        </w:rPr>
        <w:t xml:space="preserve">e </w:t>
      </w:r>
      <w:r w:rsidR="00F72434" w:rsidRPr="006437DD">
        <w:rPr>
          <w:noProof/>
        </w:rPr>
        <w:t>Comité exécutif</w:t>
      </w:r>
      <w:r w:rsidR="003E46F8" w:rsidRPr="006437DD">
        <w:rPr>
          <w:noProof/>
        </w:rPr>
        <w:t xml:space="preserve"> </w:t>
      </w:r>
      <w:r>
        <w:rPr>
          <w:noProof/>
        </w:rPr>
        <w:t xml:space="preserve">est invité à poursuivre les débats sur le niveau et les modalités de financement des surcoûts admissibles de la réduction graduelle des </w:t>
      </w:r>
      <w:r w:rsidR="003E46F8" w:rsidRPr="006437DD">
        <w:rPr>
          <w:noProof/>
        </w:rPr>
        <w:t xml:space="preserve">HFC </w:t>
      </w:r>
      <w:r>
        <w:rPr>
          <w:noProof/>
        </w:rPr>
        <w:t xml:space="preserve">dans le secteur de l’entretien en réfrigération, compte tenu des </w:t>
      </w:r>
      <w:r w:rsidR="003E46F8" w:rsidRPr="006437DD">
        <w:rPr>
          <w:noProof/>
        </w:rPr>
        <w:t>information</w:t>
      </w:r>
      <w:r>
        <w:rPr>
          <w:noProof/>
        </w:rPr>
        <w:t xml:space="preserve">s contenues dans le </w:t>
      </w:r>
      <w:r w:rsidR="003E46F8" w:rsidRPr="006437DD">
        <w:rPr>
          <w:noProof/>
        </w:rPr>
        <w:t>document</w:t>
      </w:r>
      <w:r>
        <w:rPr>
          <w:noProof/>
        </w:rPr>
        <w:t xml:space="preserve"> </w:t>
      </w:r>
      <w:r w:rsidR="003E46F8" w:rsidRPr="006437DD">
        <w:rPr>
          <w:noProof/>
        </w:rPr>
        <w:t>UNEP/OzL.Pro/ExCom/82/64</w:t>
      </w:r>
      <w:r>
        <w:rPr>
          <w:noProof/>
        </w:rPr>
        <w:t>, notamment les aspects suivants</w:t>
      </w:r>
      <w:r w:rsidR="003E46F8" w:rsidRPr="006437DD">
        <w:rPr>
          <w:noProof/>
        </w:rPr>
        <w:t>:</w:t>
      </w:r>
    </w:p>
    <w:p w:rsidR="003E46F8" w:rsidRPr="006437DD" w:rsidRDefault="003E46F8" w:rsidP="00871BD4">
      <w:pPr>
        <w:pStyle w:val="Heading2"/>
        <w:numPr>
          <w:ilvl w:val="1"/>
          <w:numId w:val="1"/>
        </w:numPr>
        <w:rPr>
          <w:noProof/>
        </w:rPr>
      </w:pPr>
      <w:r w:rsidRPr="006437DD">
        <w:rPr>
          <w:noProof/>
        </w:rPr>
        <w:t>Opportunit</w:t>
      </w:r>
      <w:r w:rsidR="00871BD4">
        <w:rPr>
          <w:noProof/>
        </w:rPr>
        <w:t>é</w:t>
      </w:r>
      <w:r w:rsidRPr="006437DD">
        <w:rPr>
          <w:noProof/>
        </w:rPr>
        <w:t xml:space="preserve">s </w:t>
      </w:r>
      <w:r w:rsidR="00871BD4">
        <w:rPr>
          <w:noProof/>
        </w:rPr>
        <w:t>et</w:t>
      </w:r>
      <w:r w:rsidRPr="006437DD">
        <w:rPr>
          <w:noProof/>
        </w:rPr>
        <w:t xml:space="preserve"> synergies </w:t>
      </w:r>
      <w:r w:rsidR="00871BD4">
        <w:rPr>
          <w:noProof/>
        </w:rPr>
        <w:t>résultant d’activités de mise en œuvre favorables à l’</w:t>
      </w:r>
      <w:r w:rsidR="00797D21">
        <w:rPr>
          <w:noProof/>
        </w:rPr>
        <w:t>é</w:t>
      </w:r>
      <w:r w:rsidR="00713DAC">
        <w:rPr>
          <w:noProof/>
        </w:rPr>
        <w:t xml:space="preserve">limination </w:t>
      </w:r>
      <w:r w:rsidR="00871BD4">
        <w:rPr>
          <w:noProof/>
        </w:rPr>
        <w:t xml:space="preserve">des </w:t>
      </w:r>
      <w:r w:rsidRPr="006437DD">
        <w:rPr>
          <w:noProof/>
        </w:rPr>
        <w:t xml:space="preserve">HCFC </w:t>
      </w:r>
      <w:r w:rsidR="00871BD4">
        <w:rPr>
          <w:noProof/>
        </w:rPr>
        <w:t xml:space="preserve">aussi bien qu’à la réduction graduelle des </w:t>
      </w:r>
      <w:r w:rsidRPr="006437DD">
        <w:rPr>
          <w:noProof/>
        </w:rPr>
        <w:t xml:space="preserve">HFC, </w:t>
      </w:r>
    </w:p>
    <w:p w:rsidR="003E46F8" w:rsidRPr="006437DD" w:rsidRDefault="00871BD4" w:rsidP="001977F4">
      <w:pPr>
        <w:pStyle w:val="Heading2"/>
        <w:numPr>
          <w:ilvl w:val="1"/>
          <w:numId w:val="1"/>
        </w:numPr>
        <w:rPr>
          <w:noProof/>
        </w:rPr>
      </w:pPr>
      <w:r>
        <w:rPr>
          <w:noProof/>
        </w:rPr>
        <w:t xml:space="preserve">Difficultés détectées </w:t>
      </w:r>
      <w:r w:rsidR="001977F4">
        <w:rPr>
          <w:noProof/>
        </w:rPr>
        <w:t>de l’</w:t>
      </w:r>
      <w:r w:rsidR="003E46F8" w:rsidRPr="006437DD">
        <w:rPr>
          <w:noProof/>
        </w:rPr>
        <w:t xml:space="preserve">introduction </w:t>
      </w:r>
      <w:r w:rsidR="001977F4">
        <w:rPr>
          <w:noProof/>
        </w:rPr>
        <w:t>sur une plus grande échelle de solutions de rechange à faible PRG</w:t>
      </w:r>
      <w:r w:rsidR="003E46F8" w:rsidRPr="006437DD">
        <w:rPr>
          <w:noProof/>
        </w:rPr>
        <w:t xml:space="preserve">; </w:t>
      </w:r>
      <w:r w:rsidR="001977F4">
        <w:rPr>
          <w:noProof/>
        </w:rPr>
        <w:t>et</w:t>
      </w:r>
    </w:p>
    <w:p w:rsidR="003E46F8" w:rsidRPr="006437DD" w:rsidRDefault="001977F4" w:rsidP="001977F4">
      <w:pPr>
        <w:pStyle w:val="Heading2"/>
        <w:numPr>
          <w:ilvl w:val="1"/>
          <w:numId w:val="1"/>
        </w:numPr>
        <w:rPr>
          <w:noProof/>
        </w:rPr>
      </w:pPr>
      <w:r>
        <w:rPr>
          <w:noProof/>
        </w:rPr>
        <w:t>Niveaux de financement nécessaire pour assurer la conformité aux étapes de la réduction graduelle</w:t>
      </w:r>
      <w:r w:rsidR="003E46F8" w:rsidRPr="006437DD">
        <w:rPr>
          <w:noProof/>
        </w:rPr>
        <w:t xml:space="preserve">, </w:t>
      </w:r>
      <w:r>
        <w:rPr>
          <w:noProof/>
        </w:rPr>
        <w:t>et souplesse requise par les p</w:t>
      </w:r>
      <w:r w:rsidR="00FF53E4" w:rsidRPr="006437DD">
        <w:rPr>
          <w:noProof/>
        </w:rPr>
        <w:t xml:space="preserve">ays </w:t>
      </w:r>
      <w:r w:rsidR="009327B4">
        <w:rPr>
          <w:noProof/>
        </w:rPr>
        <w:t>visés à l’Article</w:t>
      </w:r>
      <w:r w:rsidR="00FF53E4" w:rsidRPr="006437DD">
        <w:rPr>
          <w:noProof/>
        </w:rPr>
        <w:t xml:space="preserve"> 5</w:t>
      </w:r>
      <w:r w:rsidR="003E46F8" w:rsidRPr="006437DD">
        <w:rPr>
          <w:noProof/>
        </w:rPr>
        <w:t xml:space="preserve"> </w:t>
      </w:r>
      <w:r>
        <w:rPr>
          <w:noProof/>
        </w:rPr>
        <w:t xml:space="preserve">pour attribuer le financement aux priorités stratégiques selon le niveau de consommation </w:t>
      </w:r>
      <w:r w:rsidR="003E46F8" w:rsidRPr="006437DD">
        <w:rPr>
          <w:noProof/>
        </w:rPr>
        <w:t>(</w:t>
      </w:r>
      <w:r>
        <w:rPr>
          <w:noProof/>
        </w:rPr>
        <w:t>par exemple, appui de l’</w:t>
      </w:r>
      <w:r w:rsidR="003E46F8" w:rsidRPr="006437DD">
        <w:rPr>
          <w:noProof/>
        </w:rPr>
        <w:t xml:space="preserve">introduction </w:t>
      </w:r>
      <w:r>
        <w:rPr>
          <w:noProof/>
        </w:rPr>
        <w:t xml:space="preserve">de </w:t>
      </w:r>
      <w:r w:rsidR="003E46F8" w:rsidRPr="006437DD">
        <w:rPr>
          <w:noProof/>
        </w:rPr>
        <w:t xml:space="preserve">technologies </w:t>
      </w:r>
      <w:r>
        <w:rPr>
          <w:noProof/>
        </w:rPr>
        <w:t>spécifiques dans des secteurs particuliers</w:t>
      </w:r>
      <w:r w:rsidR="003E46F8" w:rsidRPr="006437DD">
        <w:rPr>
          <w:noProof/>
        </w:rPr>
        <w:t xml:space="preserve">, </w:t>
      </w:r>
      <w:r>
        <w:rPr>
          <w:noProof/>
        </w:rPr>
        <w:t>visant les entreprises d’</w:t>
      </w:r>
      <w:r w:rsidR="003E46F8" w:rsidRPr="006437DD">
        <w:rPr>
          <w:noProof/>
        </w:rPr>
        <w:t>assembl</w:t>
      </w:r>
      <w:r>
        <w:rPr>
          <w:noProof/>
        </w:rPr>
        <w:t>age</w:t>
      </w:r>
      <w:r w:rsidR="003E46F8" w:rsidRPr="006437DD">
        <w:rPr>
          <w:noProof/>
        </w:rPr>
        <w:t xml:space="preserve">s, </w:t>
      </w:r>
      <w:r>
        <w:rPr>
          <w:noProof/>
        </w:rPr>
        <w:t xml:space="preserve">en </w:t>
      </w:r>
      <w:r w:rsidR="003E46F8" w:rsidRPr="006437DD">
        <w:rPr>
          <w:noProof/>
        </w:rPr>
        <w:t>priori</w:t>
      </w:r>
      <w:r>
        <w:rPr>
          <w:noProof/>
        </w:rPr>
        <w:t>sant des frigorigènes spécifiques à réduire</w:t>
      </w:r>
      <w:r w:rsidR="003E46F8" w:rsidRPr="006437DD">
        <w:rPr>
          <w:noProof/>
        </w:rPr>
        <w:t>).</w:t>
      </w:r>
    </w:p>
    <w:p w:rsidR="003E46F8" w:rsidRPr="006437DD" w:rsidRDefault="003E46F8" w:rsidP="004724E3">
      <w:pPr>
        <w:pStyle w:val="Heading1"/>
        <w:rPr>
          <w:noProof/>
        </w:rPr>
      </w:pPr>
      <w:r w:rsidRPr="006437DD">
        <w:rPr>
          <w:noProof/>
        </w:rPr>
        <w:t>Dur</w:t>
      </w:r>
      <w:r w:rsidR="001977F4">
        <w:rPr>
          <w:noProof/>
        </w:rPr>
        <w:t>ant</w:t>
      </w:r>
      <w:r w:rsidRPr="006437DD">
        <w:rPr>
          <w:noProof/>
        </w:rPr>
        <w:t xml:space="preserve"> </w:t>
      </w:r>
      <w:r w:rsidR="001977F4">
        <w:rPr>
          <w:noProof/>
        </w:rPr>
        <w:t>ses</w:t>
      </w:r>
      <w:r w:rsidRPr="006437DD">
        <w:rPr>
          <w:noProof/>
        </w:rPr>
        <w:t xml:space="preserve"> d</w:t>
      </w:r>
      <w:r w:rsidR="001977F4">
        <w:rPr>
          <w:noProof/>
        </w:rPr>
        <w:t>é</w:t>
      </w:r>
      <w:r w:rsidRPr="006437DD">
        <w:rPr>
          <w:noProof/>
        </w:rPr>
        <w:t>lib</w:t>
      </w:r>
      <w:r w:rsidR="001977F4">
        <w:rPr>
          <w:noProof/>
        </w:rPr>
        <w:t>é</w:t>
      </w:r>
      <w:r w:rsidRPr="006437DD">
        <w:rPr>
          <w:noProof/>
        </w:rPr>
        <w:t xml:space="preserve">rations, </w:t>
      </w:r>
      <w:r w:rsidR="001977F4">
        <w:rPr>
          <w:noProof/>
        </w:rPr>
        <w:t>l</w:t>
      </w:r>
      <w:r w:rsidRPr="006437DD">
        <w:rPr>
          <w:noProof/>
        </w:rPr>
        <w:t xml:space="preserve">e </w:t>
      </w:r>
      <w:r w:rsidR="00F72434" w:rsidRPr="006437DD">
        <w:rPr>
          <w:noProof/>
        </w:rPr>
        <w:t>Comité exécutif</w:t>
      </w:r>
      <w:r w:rsidRPr="006437DD">
        <w:rPr>
          <w:noProof/>
        </w:rPr>
        <w:t xml:space="preserve"> </w:t>
      </w:r>
      <w:r w:rsidR="001977F4">
        <w:rPr>
          <w:noProof/>
        </w:rPr>
        <w:t>est invité à noter q</w:t>
      </w:r>
      <w:r w:rsidR="001F5419">
        <w:rPr>
          <w:noProof/>
        </w:rPr>
        <w:t>u’un grand nombre de pays FNC préparent actuellement ou vont préparer la phase II de leurs plans de gestion de l’</w:t>
      </w:r>
      <w:r w:rsidR="00713DAC">
        <w:rPr>
          <w:noProof/>
        </w:rPr>
        <w:t>élimination</w:t>
      </w:r>
      <w:r w:rsidR="001F5419">
        <w:rPr>
          <w:noProof/>
        </w:rPr>
        <w:t xml:space="preserve"> des </w:t>
      </w:r>
      <w:r w:rsidRPr="006437DD">
        <w:rPr>
          <w:noProof/>
        </w:rPr>
        <w:t xml:space="preserve">HCFC, </w:t>
      </w:r>
      <w:r w:rsidR="001F5419">
        <w:rPr>
          <w:noProof/>
        </w:rPr>
        <w:t xml:space="preserve">eet que plus de </w:t>
      </w:r>
      <w:r w:rsidRPr="006437DD">
        <w:rPr>
          <w:noProof/>
        </w:rPr>
        <w:t xml:space="preserve">35 </w:t>
      </w:r>
      <w:r w:rsidR="001F5419">
        <w:rPr>
          <w:noProof/>
        </w:rPr>
        <w:t>p</w:t>
      </w:r>
      <w:r w:rsidR="00FF53E4" w:rsidRPr="006437DD">
        <w:rPr>
          <w:noProof/>
        </w:rPr>
        <w:t xml:space="preserve">ays </w:t>
      </w:r>
      <w:r w:rsidR="009327B4">
        <w:rPr>
          <w:noProof/>
        </w:rPr>
        <w:t>visés à l’Article</w:t>
      </w:r>
      <w:r w:rsidR="00FF53E4" w:rsidRPr="006437DD">
        <w:rPr>
          <w:noProof/>
        </w:rPr>
        <w:t xml:space="preserve"> 5</w:t>
      </w:r>
      <w:r w:rsidRPr="006437DD">
        <w:rPr>
          <w:noProof/>
        </w:rPr>
        <w:t xml:space="preserve"> </w:t>
      </w:r>
      <w:r w:rsidR="001F5419">
        <w:rPr>
          <w:noProof/>
        </w:rPr>
        <w:t xml:space="preserve">qui ont ratifié l’Amendement de Kigali seraient en mesure de soumettre en 2019 des demandes de financement préparatoiure pour des plans de réduction graduelle des </w:t>
      </w:r>
      <w:r w:rsidRPr="006437DD">
        <w:rPr>
          <w:noProof/>
        </w:rPr>
        <w:t xml:space="preserve">HFC. </w:t>
      </w:r>
      <w:r w:rsidR="004724E3">
        <w:rPr>
          <w:noProof/>
        </w:rPr>
        <w:t xml:space="preserve">La détermination d’un point de départ pour des réductions durables de la consommation de </w:t>
      </w:r>
      <w:r w:rsidRPr="006437DD">
        <w:rPr>
          <w:noProof/>
        </w:rPr>
        <w:t>HFC</w:t>
      </w:r>
      <w:r w:rsidR="004724E3">
        <w:rPr>
          <w:noProof/>
        </w:rPr>
        <w:t xml:space="preserve"> dans le secteur de l’entretien en réfrigération serait également utile pour la majorité des p</w:t>
      </w:r>
      <w:r w:rsidR="00FF53E4" w:rsidRPr="006437DD">
        <w:rPr>
          <w:noProof/>
        </w:rPr>
        <w:t xml:space="preserve">ays </w:t>
      </w:r>
      <w:r w:rsidR="009327B4">
        <w:rPr>
          <w:noProof/>
        </w:rPr>
        <w:t>visés à l’Article</w:t>
      </w:r>
      <w:r w:rsidR="00FF53E4" w:rsidRPr="006437DD">
        <w:rPr>
          <w:noProof/>
        </w:rPr>
        <w:t xml:space="preserve"> 5</w:t>
      </w:r>
      <w:r w:rsidRPr="006437DD">
        <w:rPr>
          <w:noProof/>
        </w:rPr>
        <w:t xml:space="preserve">, </w:t>
      </w:r>
      <w:r w:rsidR="004724E3">
        <w:rPr>
          <w:noProof/>
        </w:rPr>
        <w:t>qui semblent n’avoir de consommation de HFC que dans ce secteur</w:t>
      </w:r>
      <w:r w:rsidRPr="006437DD">
        <w:rPr>
          <w:noProof/>
        </w:rPr>
        <w:t>.</w:t>
      </w:r>
    </w:p>
    <w:p w:rsidR="003E46F8" w:rsidRPr="006437DD" w:rsidRDefault="004724E3" w:rsidP="004724E3">
      <w:pPr>
        <w:pStyle w:val="Heading1"/>
        <w:rPr>
          <w:noProof/>
        </w:rPr>
      </w:pPr>
      <w:r>
        <w:rPr>
          <w:noProof/>
        </w:rPr>
        <w:t xml:space="preserve">Em attendant les résultats des débats à sa </w:t>
      </w:r>
      <w:r w:rsidR="003E46F8" w:rsidRPr="006437DD">
        <w:rPr>
          <w:noProof/>
        </w:rPr>
        <w:t>83</w:t>
      </w:r>
      <w:r>
        <w:rPr>
          <w:noProof/>
          <w:vertAlign w:val="superscript"/>
        </w:rPr>
        <w:t>e</w:t>
      </w:r>
      <w:r w:rsidR="003E46F8" w:rsidRPr="006437DD">
        <w:rPr>
          <w:noProof/>
        </w:rPr>
        <w:t> </w:t>
      </w:r>
      <w:r w:rsidR="00FF53E4" w:rsidRPr="006437DD">
        <w:rPr>
          <w:noProof/>
        </w:rPr>
        <w:t>réunion</w:t>
      </w:r>
      <w:r w:rsidR="003E46F8" w:rsidRPr="006437DD">
        <w:rPr>
          <w:noProof/>
        </w:rPr>
        <w:t xml:space="preserve">, </w:t>
      </w:r>
      <w:r>
        <w:rPr>
          <w:noProof/>
        </w:rPr>
        <w:t>l</w:t>
      </w:r>
      <w:r w:rsidR="003E46F8" w:rsidRPr="006437DD">
        <w:rPr>
          <w:noProof/>
        </w:rPr>
        <w:t xml:space="preserve">e </w:t>
      </w:r>
      <w:r w:rsidR="00F72434" w:rsidRPr="006437DD">
        <w:rPr>
          <w:noProof/>
        </w:rPr>
        <w:t>Comité exécutif</w:t>
      </w:r>
      <w:r w:rsidR="003E46F8" w:rsidRPr="006437DD">
        <w:rPr>
          <w:noProof/>
        </w:rPr>
        <w:t xml:space="preserve"> </w:t>
      </w:r>
      <w:r>
        <w:rPr>
          <w:noProof/>
        </w:rPr>
        <w:t>est invité à demander au Secrétariat</w:t>
      </w:r>
      <w:r w:rsidR="003E46F8" w:rsidRPr="006437DD">
        <w:rPr>
          <w:noProof/>
        </w:rPr>
        <w:t xml:space="preserve"> </w:t>
      </w:r>
      <w:r>
        <w:rPr>
          <w:noProof/>
        </w:rPr>
        <w:t xml:space="preserve">de préparer un </w:t>
      </w:r>
      <w:r w:rsidR="003E46F8" w:rsidRPr="006437DD">
        <w:rPr>
          <w:noProof/>
        </w:rPr>
        <w:t xml:space="preserve">document </w:t>
      </w:r>
      <w:r>
        <w:rPr>
          <w:noProof/>
        </w:rPr>
        <w:t xml:space="preserve">contenant des </w:t>
      </w:r>
      <w:r w:rsidR="003E46F8" w:rsidRPr="006437DD">
        <w:rPr>
          <w:noProof/>
        </w:rPr>
        <w:t>information</w:t>
      </w:r>
      <w:r>
        <w:rPr>
          <w:noProof/>
        </w:rPr>
        <w:t>s</w:t>
      </w:r>
      <w:r w:rsidR="003E46F8" w:rsidRPr="006437DD">
        <w:rPr>
          <w:noProof/>
        </w:rPr>
        <w:t xml:space="preserve"> </w:t>
      </w:r>
      <w:r>
        <w:rPr>
          <w:noProof/>
        </w:rPr>
        <w:t>sur le niveau et les modalités de financement pour le secteur de l’entretien en réfrigération</w:t>
      </w:r>
      <w:r w:rsidR="003E46F8" w:rsidRPr="006437DD">
        <w:rPr>
          <w:noProof/>
        </w:rPr>
        <w:t>.</w:t>
      </w:r>
    </w:p>
    <w:p w:rsidR="003E46F8" w:rsidRPr="006437DD" w:rsidRDefault="004F413A" w:rsidP="003E46F8">
      <w:pPr>
        <w:keepNext/>
        <w:keepLines/>
        <w:tabs>
          <w:tab w:val="left" w:pos="8280"/>
        </w:tabs>
        <w:rPr>
          <w:noProof/>
          <w:u w:val="single"/>
        </w:rPr>
      </w:pPr>
      <w:r>
        <w:rPr>
          <w:noProof/>
          <w:u w:val="single"/>
        </w:rPr>
        <w:t>Efficacité</w:t>
      </w:r>
      <w:r w:rsidR="00065255">
        <w:rPr>
          <w:noProof/>
          <w:u w:val="single"/>
        </w:rPr>
        <w:t xml:space="preserve"> </w:t>
      </w:r>
      <w:r w:rsidR="004724E3">
        <w:rPr>
          <w:noProof/>
          <w:u w:val="single"/>
        </w:rPr>
        <w:t>énergétique</w:t>
      </w:r>
    </w:p>
    <w:p w:rsidR="003E46F8" w:rsidRPr="006437DD" w:rsidRDefault="003E46F8" w:rsidP="003E46F8">
      <w:pPr>
        <w:keepNext/>
        <w:keepLines/>
        <w:tabs>
          <w:tab w:val="left" w:pos="8280"/>
        </w:tabs>
        <w:rPr>
          <w:noProof/>
        </w:rPr>
      </w:pPr>
    </w:p>
    <w:p w:rsidR="003E46F8" w:rsidRPr="006437DD" w:rsidRDefault="004724E3" w:rsidP="00F463D8">
      <w:pPr>
        <w:pStyle w:val="Heading1"/>
        <w:keepNext/>
        <w:keepLines/>
        <w:rPr>
          <w:noProof/>
        </w:rPr>
      </w:pPr>
      <w:r>
        <w:rPr>
          <w:noProof/>
        </w:rPr>
        <w:t xml:space="preserve">À sa </w:t>
      </w:r>
      <w:r w:rsidR="003E46F8" w:rsidRPr="006437DD">
        <w:rPr>
          <w:noProof/>
        </w:rPr>
        <w:t>81</w:t>
      </w:r>
      <w:r>
        <w:rPr>
          <w:noProof/>
          <w:vertAlign w:val="superscript"/>
        </w:rPr>
        <w:t xml:space="preserve">e </w:t>
      </w:r>
      <w:r w:rsidR="00FF53E4" w:rsidRPr="006437DD">
        <w:rPr>
          <w:noProof/>
        </w:rPr>
        <w:t>réunion</w:t>
      </w:r>
      <w:r w:rsidR="003E46F8" w:rsidRPr="006437DD">
        <w:rPr>
          <w:noProof/>
        </w:rPr>
        <w:t xml:space="preserve">, </w:t>
      </w:r>
      <w:r>
        <w:rPr>
          <w:noProof/>
        </w:rPr>
        <w:t>le</w:t>
      </w:r>
      <w:r w:rsidR="003E46F8" w:rsidRPr="006437DD">
        <w:rPr>
          <w:noProof/>
        </w:rPr>
        <w:t xml:space="preserve"> </w:t>
      </w:r>
      <w:r w:rsidR="00F72434" w:rsidRPr="006437DD">
        <w:rPr>
          <w:noProof/>
        </w:rPr>
        <w:t>Comité exécutif</w:t>
      </w:r>
      <w:r w:rsidR="003E46F8" w:rsidRPr="006437DD">
        <w:rPr>
          <w:noProof/>
        </w:rPr>
        <w:t xml:space="preserve"> </w:t>
      </w:r>
      <w:r w:rsidR="00F463D8">
        <w:rPr>
          <w:noProof/>
        </w:rPr>
        <w:t xml:space="preserve">s’était penché sur des questions liées au </w:t>
      </w:r>
      <w:r w:rsidR="004F413A">
        <w:rPr>
          <w:noProof/>
        </w:rPr>
        <w:t>efficacité</w:t>
      </w:r>
      <w:r w:rsidR="00F463D8">
        <w:rPr>
          <w:noProof/>
        </w:rPr>
        <w:t xml:space="preserve">énergétique, et a demandé au </w:t>
      </w:r>
      <w:r>
        <w:rPr>
          <w:noProof/>
        </w:rPr>
        <w:t>Secrétariat</w:t>
      </w:r>
      <w:r w:rsidR="003E46F8" w:rsidRPr="006437DD">
        <w:rPr>
          <w:noProof/>
        </w:rPr>
        <w:t xml:space="preserve"> </w:t>
      </w:r>
      <w:r w:rsidR="00F463D8">
        <w:rPr>
          <w:noProof/>
        </w:rPr>
        <w:t xml:space="preserve">de lui présenter à sa </w:t>
      </w:r>
      <w:r w:rsidR="003E46F8" w:rsidRPr="006437DD">
        <w:rPr>
          <w:noProof/>
        </w:rPr>
        <w:t>82</w:t>
      </w:r>
      <w:r w:rsidR="00F463D8">
        <w:rPr>
          <w:noProof/>
          <w:vertAlign w:val="superscript"/>
        </w:rPr>
        <w:t>e</w:t>
      </w:r>
      <w:r w:rsidR="003E46F8" w:rsidRPr="006437DD">
        <w:rPr>
          <w:noProof/>
        </w:rPr>
        <w:t> </w:t>
      </w:r>
      <w:r w:rsidR="00FF53E4" w:rsidRPr="006437DD">
        <w:rPr>
          <w:noProof/>
        </w:rPr>
        <w:t>réunion</w:t>
      </w:r>
      <w:r w:rsidR="003E46F8" w:rsidRPr="006437DD">
        <w:rPr>
          <w:noProof/>
        </w:rPr>
        <w:t xml:space="preserve"> </w:t>
      </w:r>
      <w:r w:rsidR="00F463D8">
        <w:rPr>
          <w:noProof/>
        </w:rPr>
        <w:t xml:space="preserve">le résumé des délibérations des parties à la </w:t>
      </w:r>
      <w:r w:rsidR="003E46F8" w:rsidRPr="006437DD">
        <w:rPr>
          <w:noProof/>
        </w:rPr>
        <w:t>40</w:t>
      </w:r>
      <w:r w:rsidR="00F463D8">
        <w:rPr>
          <w:noProof/>
          <w:vertAlign w:val="superscript"/>
        </w:rPr>
        <w:t>e</w:t>
      </w:r>
      <w:r w:rsidR="003E46F8" w:rsidRPr="006437DD">
        <w:rPr>
          <w:noProof/>
        </w:rPr>
        <w:t> </w:t>
      </w:r>
      <w:r w:rsidR="00F463D8">
        <w:rPr>
          <w:noProof/>
        </w:rPr>
        <w:t>r</w:t>
      </w:r>
      <w:r w:rsidR="00FF53E4" w:rsidRPr="006437DD">
        <w:rPr>
          <w:noProof/>
        </w:rPr>
        <w:t>éunion</w:t>
      </w:r>
      <w:r w:rsidR="003E46F8" w:rsidRPr="006437DD">
        <w:rPr>
          <w:noProof/>
        </w:rPr>
        <w:t xml:space="preserve"> </w:t>
      </w:r>
      <w:r w:rsidR="00F463D8">
        <w:rPr>
          <w:noProof/>
        </w:rPr>
        <w:t>du Groupe de travail à composition non limitée</w:t>
      </w:r>
      <w:r w:rsidR="003E46F8" w:rsidRPr="006437DD">
        <w:rPr>
          <w:noProof/>
        </w:rPr>
        <w:t xml:space="preserve"> (OEWG) </w:t>
      </w:r>
      <w:r w:rsidR="00F463D8">
        <w:rPr>
          <w:noProof/>
        </w:rPr>
        <w:t xml:space="preserve">des parties et à la trentième </w:t>
      </w:r>
      <w:r w:rsidR="00F72434" w:rsidRPr="006437DD">
        <w:rPr>
          <w:noProof/>
        </w:rPr>
        <w:t>Réunion des Parties</w:t>
      </w:r>
      <w:r w:rsidR="003E46F8" w:rsidRPr="006437DD">
        <w:rPr>
          <w:noProof/>
        </w:rPr>
        <w:t xml:space="preserve"> </w:t>
      </w:r>
      <w:r w:rsidR="00F463D8">
        <w:rPr>
          <w:noProof/>
        </w:rPr>
        <w:t xml:space="preserve">relatives au </w:t>
      </w:r>
      <w:r w:rsidR="003E46F8" w:rsidRPr="006437DD">
        <w:rPr>
          <w:noProof/>
        </w:rPr>
        <w:t xml:space="preserve">TEAP </w:t>
      </w:r>
      <w:r w:rsidR="00F463D8">
        <w:rPr>
          <w:noProof/>
        </w:rPr>
        <w:t xml:space="preserve">sur des questions liées </w:t>
      </w:r>
      <w:r w:rsidR="00065255">
        <w:rPr>
          <w:noProof/>
        </w:rPr>
        <w:t>à l’</w:t>
      </w:r>
      <w:r w:rsidR="004F413A">
        <w:rPr>
          <w:noProof/>
        </w:rPr>
        <w:t>efficacité</w:t>
      </w:r>
      <w:r w:rsidR="00065255">
        <w:rPr>
          <w:noProof/>
        </w:rPr>
        <w:t xml:space="preserve"> </w:t>
      </w:r>
      <w:r w:rsidR="00F463D8">
        <w:rPr>
          <w:noProof/>
        </w:rPr>
        <w:t>énergétique</w:t>
      </w:r>
      <w:r w:rsidR="003E46F8" w:rsidRPr="006437DD">
        <w:rPr>
          <w:noProof/>
        </w:rPr>
        <w:t xml:space="preserve">, </w:t>
      </w:r>
      <w:r w:rsidR="00F463D8">
        <w:rPr>
          <w:noProof/>
        </w:rPr>
        <w:t>e</w:t>
      </w:r>
      <w:r w:rsidR="003E46F8" w:rsidRPr="006437DD">
        <w:rPr>
          <w:noProof/>
        </w:rPr>
        <w:t>n r</w:t>
      </w:r>
      <w:r w:rsidR="00F463D8">
        <w:rPr>
          <w:noProof/>
        </w:rPr>
        <w:t>é</w:t>
      </w:r>
      <w:r w:rsidR="003E46F8" w:rsidRPr="006437DD">
        <w:rPr>
          <w:noProof/>
        </w:rPr>
        <w:t xml:space="preserve">ponse </w:t>
      </w:r>
      <w:r w:rsidR="00F463D8">
        <w:rPr>
          <w:noProof/>
        </w:rPr>
        <w:t>à la</w:t>
      </w:r>
      <w:r w:rsidR="003E46F8" w:rsidRPr="006437DD">
        <w:rPr>
          <w:noProof/>
        </w:rPr>
        <w:t xml:space="preserve"> </w:t>
      </w:r>
      <w:r w:rsidR="00F72434" w:rsidRPr="006437DD">
        <w:rPr>
          <w:noProof/>
        </w:rPr>
        <w:t>décision</w:t>
      </w:r>
      <w:r w:rsidR="003E46F8" w:rsidRPr="006437DD">
        <w:rPr>
          <w:noProof/>
        </w:rPr>
        <w:t> XXIX/10 (</w:t>
      </w:r>
      <w:r w:rsidR="00F72434" w:rsidRPr="006437DD">
        <w:rPr>
          <w:noProof/>
        </w:rPr>
        <w:t>décision</w:t>
      </w:r>
      <w:r w:rsidR="003E46F8" w:rsidRPr="006437DD">
        <w:rPr>
          <w:noProof/>
        </w:rPr>
        <w:t xml:space="preserve"> 81/67(b)). </w:t>
      </w:r>
    </w:p>
    <w:p w:rsidR="003E46F8" w:rsidRPr="006437DD" w:rsidRDefault="002040FE" w:rsidP="002C568B">
      <w:pPr>
        <w:pStyle w:val="Heading1"/>
        <w:rPr>
          <w:noProof/>
        </w:rPr>
      </w:pPr>
      <w:r>
        <w:rPr>
          <w:noProof/>
        </w:rPr>
        <w:t>Donnant suite à</w:t>
      </w:r>
      <w:r w:rsidR="00F463D8">
        <w:rPr>
          <w:noProof/>
        </w:rPr>
        <w:t xml:space="preserve"> la</w:t>
      </w:r>
      <w:r w:rsidR="003E46F8" w:rsidRPr="006437DD">
        <w:rPr>
          <w:noProof/>
        </w:rPr>
        <w:t xml:space="preserve"> </w:t>
      </w:r>
      <w:r w:rsidR="00F72434" w:rsidRPr="006437DD">
        <w:rPr>
          <w:noProof/>
        </w:rPr>
        <w:t>décision</w:t>
      </w:r>
      <w:r w:rsidR="003E46F8" w:rsidRPr="006437DD">
        <w:rPr>
          <w:noProof/>
        </w:rPr>
        <w:t xml:space="preserve"> 81/67(b), </w:t>
      </w:r>
      <w:r w:rsidR="00F463D8">
        <w:rPr>
          <w:noProof/>
        </w:rPr>
        <w:t>l</w:t>
      </w:r>
      <w:r w:rsidR="003E46F8" w:rsidRPr="006437DD">
        <w:rPr>
          <w:noProof/>
        </w:rPr>
        <w:t xml:space="preserve">e </w:t>
      </w:r>
      <w:r w:rsidR="004724E3">
        <w:rPr>
          <w:noProof/>
        </w:rPr>
        <w:t>Secrétariat</w:t>
      </w:r>
      <w:r w:rsidR="003E46F8" w:rsidRPr="006437DD">
        <w:rPr>
          <w:noProof/>
        </w:rPr>
        <w:t xml:space="preserve"> </w:t>
      </w:r>
      <w:r>
        <w:rPr>
          <w:noProof/>
        </w:rPr>
        <w:t xml:space="preserve">a présenté à la </w:t>
      </w:r>
      <w:r w:rsidR="003E46F8" w:rsidRPr="006437DD">
        <w:rPr>
          <w:noProof/>
        </w:rPr>
        <w:t>82</w:t>
      </w:r>
      <w:r>
        <w:rPr>
          <w:noProof/>
          <w:vertAlign w:val="superscript"/>
        </w:rPr>
        <w:t>e</w:t>
      </w:r>
      <w:r w:rsidR="003E46F8" w:rsidRPr="006437DD">
        <w:rPr>
          <w:noProof/>
        </w:rPr>
        <w:t> </w:t>
      </w:r>
      <w:r w:rsidR="00FF53E4" w:rsidRPr="006437DD">
        <w:rPr>
          <w:noProof/>
        </w:rPr>
        <w:t>réunion</w:t>
      </w:r>
      <w:r w:rsidR="003E46F8" w:rsidRPr="006437DD">
        <w:rPr>
          <w:noProof/>
        </w:rPr>
        <w:t xml:space="preserve"> </w:t>
      </w:r>
      <w:r>
        <w:rPr>
          <w:noProof/>
        </w:rPr>
        <w:t xml:space="preserve">les </w:t>
      </w:r>
      <w:r w:rsidR="003E46F8" w:rsidRPr="006437DD">
        <w:rPr>
          <w:noProof/>
        </w:rPr>
        <w:t xml:space="preserve">documents UNEP/OzL.Pro/ExCom/82/65 </w:t>
      </w:r>
      <w:r>
        <w:rPr>
          <w:noProof/>
        </w:rPr>
        <w:t>et</w:t>
      </w:r>
      <w:r w:rsidR="003E46F8" w:rsidRPr="006437DD">
        <w:rPr>
          <w:noProof/>
        </w:rPr>
        <w:t xml:space="preserve"> Add.1. </w:t>
      </w:r>
      <w:r>
        <w:rPr>
          <w:noProof/>
        </w:rPr>
        <w:t xml:space="preserve">À la même réunion, le </w:t>
      </w:r>
      <w:r w:rsidR="00F72434" w:rsidRPr="006437DD">
        <w:rPr>
          <w:noProof/>
        </w:rPr>
        <w:t>Comité</w:t>
      </w:r>
      <w:r w:rsidR="003E46F8" w:rsidRPr="006437DD">
        <w:rPr>
          <w:noProof/>
        </w:rPr>
        <w:t xml:space="preserve"> </w:t>
      </w:r>
      <w:r>
        <w:rPr>
          <w:noProof/>
        </w:rPr>
        <w:t>a décidé d’examiner l</w:t>
      </w:r>
      <w:r w:rsidR="00065255">
        <w:rPr>
          <w:noProof/>
        </w:rPr>
        <w:t>’</w:t>
      </w:r>
      <w:r w:rsidR="004F413A">
        <w:rPr>
          <w:noProof/>
        </w:rPr>
        <w:t>efficacité</w:t>
      </w:r>
      <w:r w:rsidR="00065255">
        <w:rPr>
          <w:noProof/>
        </w:rPr>
        <w:t xml:space="preserve"> </w:t>
      </w:r>
      <w:r>
        <w:rPr>
          <w:noProof/>
        </w:rPr>
        <w:t xml:space="preserve">énergétique séparément des lignes directrices sur le coût de la réduction graduelle des </w:t>
      </w:r>
      <w:r w:rsidR="003E46F8" w:rsidRPr="006437DD">
        <w:rPr>
          <w:noProof/>
        </w:rPr>
        <w:t xml:space="preserve">HFC. </w:t>
      </w:r>
      <w:r>
        <w:rPr>
          <w:noProof/>
        </w:rPr>
        <w:t xml:space="preserve">Le </w:t>
      </w:r>
      <w:r w:rsidR="00F72434" w:rsidRPr="006437DD">
        <w:rPr>
          <w:noProof/>
        </w:rPr>
        <w:t>Comité</w:t>
      </w:r>
      <w:r w:rsidR="003E46F8" w:rsidRPr="006437DD">
        <w:rPr>
          <w:noProof/>
        </w:rPr>
        <w:t xml:space="preserve"> </w:t>
      </w:r>
      <w:r>
        <w:rPr>
          <w:noProof/>
        </w:rPr>
        <w:t xml:space="preserve">est également convenu de débattre l’augmentation du financement pour les pays FVC pour le </w:t>
      </w:r>
      <w:r>
        <w:rPr>
          <w:noProof/>
        </w:rPr>
        <w:lastRenderedPageBreak/>
        <w:t xml:space="preserve">remplacemeetn des HCFC dans le secteur de l’entretien, conformément au </w:t>
      </w:r>
      <w:r w:rsidR="003E46F8" w:rsidRPr="006437DD">
        <w:rPr>
          <w:noProof/>
        </w:rPr>
        <w:t>paragraph</w:t>
      </w:r>
      <w:r>
        <w:rPr>
          <w:noProof/>
        </w:rPr>
        <w:t>e</w:t>
      </w:r>
      <w:r w:rsidR="003E46F8" w:rsidRPr="006437DD">
        <w:rPr>
          <w:noProof/>
        </w:rPr>
        <w:t xml:space="preserve"> 16 </w:t>
      </w:r>
      <w:r>
        <w:rPr>
          <w:noProof/>
        </w:rPr>
        <w:t xml:space="preserve">de la </w:t>
      </w:r>
      <w:r w:rsidR="00F72434" w:rsidRPr="006437DD">
        <w:rPr>
          <w:noProof/>
        </w:rPr>
        <w:t>décision</w:t>
      </w:r>
      <w:r w:rsidR="003E46F8" w:rsidRPr="006437DD">
        <w:rPr>
          <w:noProof/>
        </w:rPr>
        <w:t xml:space="preserve"> XXVIII/2 </w:t>
      </w:r>
      <w:r>
        <w:rPr>
          <w:noProof/>
        </w:rPr>
        <w:t xml:space="preserve">au titre </w:t>
      </w:r>
      <w:r w:rsidR="00065255">
        <w:rPr>
          <w:noProof/>
        </w:rPr>
        <w:t>de l’</w:t>
      </w:r>
      <w:r w:rsidR="004F413A">
        <w:rPr>
          <w:noProof/>
        </w:rPr>
        <w:t>efficacité</w:t>
      </w:r>
      <w:r w:rsidR="00065255">
        <w:rPr>
          <w:noProof/>
        </w:rPr>
        <w:t xml:space="preserve"> </w:t>
      </w:r>
      <w:r w:rsidR="002C568B">
        <w:rPr>
          <w:noProof/>
        </w:rPr>
        <w:t xml:space="preserve">énergétique relatif au </w:t>
      </w:r>
      <w:r w:rsidR="003E46F8" w:rsidRPr="006437DD">
        <w:rPr>
          <w:noProof/>
        </w:rPr>
        <w:t>paragraph</w:t>
      </w:r>
      <w:r w:rsidR="002C568B">
        <w:rPr>
          <w:noProof/>
        </w:rPr>
        <w:t>e</w:t>
      </w:r>
      <w:r w:rsidR="003E46F8" w:rsidRPr="006437DD">
        <w:rPr>
          <w:noProof/>
        </w:rPr>
        <w:t xml:space="preserve"> 2 </w:t>
      </w:r>
      <w:r w:rsidR="002C568B">
        <w:rPr>
          <w:noProof/>
        </w:rPr>
        <w:t>de la</w:t>
      </w:r>
      <w:r w:rsidR="003E46F8" w:rsidRPr="006437DD">
        <w:rPr>
          <w:noProof/>
        </w:rPr>
        <w:t xml:space="preserve"> </w:t>
      </w:r>
      <w:r w:rsidR="00F72434" w:rsidRPr="006437DD">
        <w:rPr>
          <w:noProof/>
        </w:rPr>
        <w:t>décision</w:t>
      </w:r>
      <w:r w:rsidR="003E46F8" w:rsidRPr="006437DD">
        <w:rPr>
          <w:noProof/>
        </w:rPr>
        <w:t> XXX/5.</w:t>
      </w:r>
      <w:r w:rsidR="003E46F8" w:rsidRPr="006437DD">
        <w:rPr>
          <w:rStyle w:val="FootnoteReference"/>
          <w:noProof/>
        </w:rPr>
        <w:footnoteReference w:id="7"/>
      </w:r>
      <w:r w:rsidR="003E46F8" w:rsidRPr="006437DD">
        <w:rPr>
          <w:noProof/>
        </w:rPr>
        <w:t xml:space="preserve"> </w:t>
      </w:r>
    </w:p>
    <w:p w:rsidR="003E46F8" w:rsidRPr="006437DD" w:rsidRDefault="002C568B" w:rsidP="002C568B">
      <w:pPr>
        <w:pStyle w:val="Heading1"/>
        <w:rPr>
          <w:noProof/>
        </w:rPr>
      </w:pPr>
      <w:r>
        <w:rPr>
          <w:noProof/>
        </w:rPr>
        <w:t xml:space="preserve">À l’issue de ses </w:t>
      </w:r>
      <w:r w:rsidR="003E46F8" w:rsidRPr="006437DD">
        <w:rPr>
          <w:noProof/>
        </w:rPr>
        <w:t>d</w:t>
      </w:r>
      <w:r>
        <w:rPr>
          <w:noProof/>
        </w:rPr>
        <w:t>é</w:t>
      </w:r>
      <w:r w:rsidR="003E46F8" w:rsidRPr="006437DD">
        <w:rPr>
          <w:noProof/>
        </w:rPr>
        <w:t xml:space="preserve">liberations, </w:t>
      </w:r>
      <w:r>
        <w:rPr>
          <w:noProof/>
        </w:rPr>
        <w:t>l</w:t>
      </w:r>
      <w:r w:rsidR="003E46F8" w:rsidRPr="006437DD">
        <w:rPr>
          <w:noProof/>
        </w:rPr>
        <w:t xml:space="preserve">e </w:t>
      </w:r>
      <w:r w:rsidR="00F72434" w:rsidRPr="006437DD">
        <w:rPr>
          <w:noProof/>
        </w:rPr>
        <w:t>Comité exécutif</w:t>
      </w:r>
      <w:r w:rsidR="003E46F8" w:rsidRPr="006437DD">
        <w:rPr>
          <w:noProof/>
        </w:rPr>
        <w:t xml:space="preserve"> </w:t>
      </w:r>
      <w:r>
        <w:rPr>
          <w:noProof/>
        </w:rPr>
        <w:t xml:space="preserve">a décidé </w:t>
      </w:r>
      <w:r w:rsidR="00FE5C51">
        <w:rPr>
          <w:noProof/>
        </w:rPr>
        <w:t>entre autres</w:t>
      </w:r>
      <w:r>
        <w:rPr>
          <w:noProof/>
        </w:rPr>
        <w:t xml:space="preserve"> d’examiner </w:t>
      </w:r>
      <w:r w:rsidR="00FE5C51">
        <w:rPr>
          <w:noProof/>
        </w:rPr>
        <w:t>les élémnts ci-après</w:t>
      </w:r>
      <w:r>
        <w:rPr>
          <w:noProof/>
        </w:rPr>
        <w:t xml:space="preserve"> à sa </w:t>
      </w:r>
      <w:r w:rsidR="003E46F8" w:rsidRPr="006437DD">
        <w:rPr>
          <w:noProof/>
        </w:rPr>
        <w:t>83</w:t>
      </w:r>
      <w:r>
        <w:rPr>
          <w:noProof/>
          <w:vertAlign w:val="superscript"/>
        </w:rPr>
        <w:t>e</w:t>
      </w:r>
      <w:r w:rsidR="003E46F8" w:rsidRPr="006437DD">
        <w:rPr>
          <w:noProof/>
        </w:rPr>
        <w:t> </w:t>
      </w:r>
      <w:r w:rsidR="00FF53E4" w:rsidRPr="006437DD">
        <w:rPr>
          <w:noProof/>
        </w:rPr>
        <w:t>réunion</w:t>
      </w:r>
      <w:r w:rsidR="003E46F8" w:rsidRPr="006437DD">
        <w:rPr>
          <w:noProof/>
        </w:rPr>
        <w:t xml:space="preserve"> (</w:t>
      </w:r>
      <w:r w:rsidR="00F72434" w:rsidRPr="006437DD">
        <w:rPr>
          <w:noProof/>
        </w:rPr>
        <w:t>décision</w:t>
      </w:r>
      <w:r w:rsidR="003E46F8" w:rsidRPr="006437DD">
        <w:rPr>
          <w:noProof/>
        </w:rPr>
        <w:t> 82/83):</w:t>
      </w:r>
    </w:p>
    <w:p w:rsidR="003E46F8" w:rsidRPr="006437DD" w:rsidRDefault="00FE5C51" w:rsidP="003E46F8">
      <w:pPr>
        <w:pStyle w:val="Heading2"/>
        <w:numPr>
          <w:ilvl w:val="1"/>
          <w:numId w:val="1"/>
        </w:numPr>
        <w:rPr>
          <w:noProof/>
        </w:rPr>
      </w:pPr>
      <w:r>
        <w:rPr>
          <w:noProof/>
        </w:rPr>
        <w:t>Un</w:t>
      </w:r>
      <w:r w:rsidR="003E46F8" w:rsidRPr="006437DD">
        <w:rPr>
          <w:noProof/>
        </w:rPr>
        <w:t xml:space="preserve"> document </w:t>
      </w:r>
      <w:r>
        <w:rPr>
          <w:noProof/>
        </w:rPr>
        <w:t xml:space="preserve">sur les </w:t>
      </w:r>
      <w:bookmarkStart w:id="2" w:name="_Hlk7633742"/>
      <w:r>
        <w:rPr>
          <w:noProof/>
        </w:rPr>
        <w:t xml:space="preserve">moyens de rendre opérationnels le </w:t>
      </w:r>
      <w:r w:rsidR="003E46F8" w:rsidRPr="006437DD">
        <w:rPr>
          <w:noProof/>
        </w:rPr>
        <w:t>paragraph</w:t>
      </w:r>
      <w:r>
        <w:rPr>
          <w:noProof/>
        </w:rPr>
        <w:t>e</w:t>
      </w:r>
      <w:r w:rsidR="003E46F8" w:rsidRPr="006437DD">
        <w:rPr>
          <w:noProof/>
        </w:rPr>
        <w:t> </w:t>
      </w:r>
      <w:bookmarkEnd w:id="2"/>
      <w:r w:rsidR="003E46F8" w:rsidRPr="006437DD">
        <w:rPr>
          <w:noProof/>
        </w:rPr>
        <w:t xml:space="preserve">16 </w:t>
      </w:r>
      <w:r>
        <w:rPr>
          <w:noProof/>
        </w:rPr>
        <w:t>de la</w:t>
      </w:r>
      <w:r w:rsidR="003E46F8" w:rsidRPr="006437DD">
        <w:rPr>
          <w:noProof/>
        </w:rPr>
        <w:t xml:space="preserve"> </w:t>
      </w:r>
      <w:r w:rsidR="00F72434" w:rsidRPr="006437DD">
        <w:rPr>
          <w:noProof/>
        </w:rPr>
        <w:t>décision</w:t>
      </w:r>
      <w:r w:rsidR="003E46F8" w:rsidRPr="006437DD">
        <w:rPr>
          <w:noProof/>
        </w:rPr>
        <w:t> XXVIII/2</w:t>
      </w:r>
      <w:r>
        <w:rPr>
          <w:noProof/>
        </w:rPr>
        <w:t xml:space="preserve"> et le </w:t>
      </w:r>
      <w:r w:rsidR="003E46F8" w:rsidRPr="006437DD">
        <w:rPr>
          <w:noProof/>
        </w:rPr>
        <w:t>paragraph</w:t>
      </w:r>
      <w:r>
        <w:rPr>
          <w:noProof/>
        </w:rPr>
        <w:t>e</w:t>
      </w:r>
      <w:r w:rsidR="003E46F8" w:rsidRPr="006437DD">
        <w:rPr>
          <w:noProof/>
        </w:rPr>
        <w:t xml:space="preserve"> 2 </w:t>
      </w:r>
      <w:r>
        <w:rPr>
          <w:noProof/>
        </w:rPr>
        <w:t>de la</w:t>
      </w:r>
      <w:r w:rsidR="003E46F8" w:rsidRPr="006437DD">
        <w:rPr>
          <w:noProof/>
        </w:rPr>
        <w:t xml:space="preserve"> </w:t>
      </w:r>
      <w:r w:rsidR="00F72434" w:rsidRPr="006437DD">
        <w:rPr>
          <w:noProof/>
        </w:rPr>
        <w:t>décision</w:t>
      </w:r>
      <w:r w:rsidR="003E46F8" w:rsidRPr="006437DD">
        <w:rPr>
          <w:noProof/>
        </w:rPr>
        <w:t> XXX/5;</w:t>
      </w:r>
    </w:p>
    <w:p w:rsidR="003E46F8" w:rsidRPr="006437DD" w:rsidRDefault="00FE5C51" w:rsidP="003E46F8">
      <w:pPr>
        <w:pStyle w:val="Heading2"/>
        <w:numPr>
          <w:ilvl w:val="1"/>
          <w:numId w:val="1"/>
        </w:numPr>
        <w:rPr>
          <w:noProof/>
        </w:rPr>
      </w:pPr>
      <w:r>
        <w:rPr>
          <w:noProof/>
        </w:rPr>
        <w:t>Un</w:t>
      </w:r>
      <w:r w:rsidR="003E46F8" w:rsidRPr="006437DD">
        <w:rPr>
          <w:noProof/>
        </w:rPr>
        <w:t xml:space="preserve"> document </w:t>
      </w:r>
      <w:r>
        <w:rPr>
          <w:noProof/>
        </w:rPr>
        <w:t xml:space="preserve">présentant des </w:t>
      </w:r>
      <w:r w:rsidR="003E46F8" w:rsidRPr="006437DD">
        <w:rPr>
          <w:noProof/>
        </w:rPr>
        <w:t>information</w:t>
      </w:r>
      <w:r>
        <w:rPr>
          <w:noProof/>
        </w:rPr>
        <w:t xml:space="preserve">s sur les fonds et les institutions financières mobilisant des </w:t>
      </w:r>
      <w:r w:rsidR="003E46F8" w:rsidRPr="006437DD">
        <w:rPr>
          <w:noProof/>
        </w:rPr>
        <w:t>re</w:t>
      </w:r>
      <w:r>
        <w:rPr>
          <w:noProof/>
        </w:rPr>
        <w:t>s</w:t>
      </w:r>
      <w:r w:rsidR="003E46F8" w:rsidRPr="006437DD">
        <w:rPr>
          <w:noProof/>
        </w:rPr>
        <w:t xml:space="preserve">sources </w:t>
      </w:r>
      <w:r>
        <w:rPr>
          <w:noProof/>
        </w:rPr>
        <w:t>pour l</w:t>
      </w:r>
      <w:r w:rsidR="00065255">
        <w:rPr>
          <w:noProof/>
        </w:rPr>
        <w:t>’</w:t>
      </w:r>
      <w:r w:rsidR="004F413A">
        <w:rPr>
          <w:noProof/>
        </w:rPr>
        <w:t>efficacité</w:t>
      </w:r>
      <w:r w:rsidR="00D90C44">
        <w:rPr>
          <w:noProof/>
        </w:rPr>
        <w:t xml:space="preserve"> </w:t>
      </w:r>
      <w:r>
        <w:rPr>
          <w:noProof/>
        </w:rPr>
        <w:t xml:space="preserve">énergétique qui pourraient être utilisés dans la réduction graduelle des </w:t>
      </w:r>
      <w:r w:rsidR="003E46F8" w:rsidRPr="006437DD">
        <w:rPr>
          <w:noProof/>
        </w:rPr>
        <w:t>HFC</w:t>
      </w:r>
      <w:r>
        <w:rPr>
          <w:noProof/>
        </w:rPr>
        <w:t xml:space="preserve"> dans le cadre du Fonds multilatéral</w:t>
      </w:r>
      <w:r w:rsidR="003E46F8" w:rsidRPr="006437DD">
        <w:rPr>
          <w:noProof/>
        </w:rPr>
        <w:t>;</w:t>
      </w:r>
    </w:p>
    <w:p w:rsidR="00FE5C51" w:rsidRDefault="00FE5C51" w:rsidP="002D1D5B">
      <w:pPr>
        <w:pStyle w:val="Heading2"/>
        <w:numPr>
          <w:ilvl w:val="1"/>
          <w:numId w:val="1"/>
        </w:numPr>
        <w:rPr>
          <w:noProof/>
        </w:rPr>
      </w:pPr>
      <w:r>
        <w:rPr>
          <w:noProof/>
        </w:rPr>
        <w:t xml:space="preserve">Les </w:t>
      </w:r>
      <w:r w:rsidR="0055483F" w:rsidRPr="0055483F">
        <w:rPr>
          <w:noProof/>
        </w:rPr>
        <w:t>moyens d’opérationnaliser le paragraphe 22 de la décision XXVIII/2, et les paragraphes 5 et 6 de la décision XX</w:t>
      </w:r>
      <w:r w:rsidR="003E46F8" w:rsidRPr="006437DD">
        <w:rPr>
          <w:noProof/>
        </w:rPr>
        <w:t xml:space="preserve">; </w:t>
      </w:r>
    </w:p>
    <w:p w:rsidR="003E46F8" w:rsidRPr="006437DD" w:rsidRDefault="00FE5C51" w:rsidP="002D1D5B">
      <w:pPr>
        <w:pStyle w:val="Heading2"/>
        <w:numPr>
          <w:ilvl w:val="1"/>
          <w:numId w:val="1"/>
        </w:numPr>
        <w:rPr>
          <w:noProof/>
        </w:rPr>
      </w:pPr>
      <w:r>
        <w:rPr>
          <w:noProof/>
        </w:rPr>
        <w:t xml:space="preserve">Un sommaire du rapport du </w:t>
      </w:r>
      <w:r w:rsidR="003E46F8" w:rsidRPr="006437DD">
        <w:rPr>
          <w:noProof/>
        </w:rPr>
        <w:t xml:space="preserve">TEAP </w:t>
      </w:r>
      <w:r>
        <w:rPr>
          <w:noProof/>
        </w:rPr>
        <w:t xml:space="preserve">sur des sujets liés </w:t>
      </w:r>
      <w:r w:rsidR="00D90C44">
        <w:rPr>
          <w:noProof/>
        </w:rPr>
        <w:t>à l’</w:t>
      </w:r>
      <w:r w:rsidR="004F413A">
        <w:rPr>
          <w:noProof/>
        </w:rPr>
        <w:t>efficacité</w:t>
      </w:r>
      <w:r w:rsidR="00D90C44">
        <w:rPr>
          <w:noProof/>
        </w:rPr>
        <w:t xml:space="preserve"> </w:t>
      </w:r>
      <w:r>
        <w:rPr>
          <w:noProof/>
        </w:rPr>
        <w:t>énergétique pour les questions indiquées à l’alinéa</w:t>
      </w:r>
      <w:r w:rsidR="003E46F8" w:rsidRPr="006437DD">
        <w:rPr>
          <w:noProof/>
        </w:rPr>
        <w:t xml:space="preserve"> (e) </w:t>
      </w:r>
      <w:r>
        <w:rPr>
          <w:noProof/>
        </w:rPr>
        <w:t xml:space="preserve">de la </w:t>
      </w:r>
      <w:r w:rsidR="00F72434" w:rsidRPr="006437DD">
        <w:rPr>
          <w:noProof/>
        </w:rPr>
        <w:t>décision</w:t>
      </w:r>
      <w:r w:rsidR="003E46F8" w:rsidRPr="006437DD">
        <w:rPr>
          <w:noProof/>
        </w:rPr>
        <w:t> 82/83.</w:t>
      </w:r>
      <w:r w:rsidR="003E46F8" w:rsidRPr="006437DD">
        <w:rPr>
          <w:rStyle w:val="FootnoteReference"/>
          <w:noProof/>
        </w:rPr>
        <w:footnoteReference w:id="8"/>
      </w:r>
      <w:r w:rsidR="003E46F8" w:rsidRPr="006437DD">
        <w:rPr>
          <w:noProof/>
        </w:rPr>
        <w:t xml:space="preserve"> </w:t>
      </w:r>
    </w:p>
    <w:p w:rsidR="003E46F8" w:rsidRPr="006437DD" w:rsidRDefault="00FE5C51" w:rsidP="003E46F8">
      <w:pPr>
        <w:pStyle w:val="Heading1"/>
        <w:rPr>
          <w:noProof/>
        </w:rPr>
      </w:pPr>
      <w:r>
        <w:rPr>
          <w:noProof/>
        </w:rPr>
        <w:t xml:space="preserve">Comme suite à la </w:t>
      </w:r>
      <w:r w:rsidR="00F72434" w:rsidRPr="006437DD">
        <w:rPr>
          <w:noProof/>
        </w:rPr>
        <w:t>décision</w:t>
      </w:r>
      <w:r w:rsidR="003E46F8" w:rsidRPr="006437DD">
        <w:rPr>
          <w:noProof/>
        </w:rPr>
        <w:t xml:space="preserve"> 82/83, </w:t>
      </w:r>
      <w:r>
        <w:rPr>
          <w:noProof/>
        </w:rPr>
        <w:t>l</w:t>
      </w:r>
      <w:r w:rsidR="003E46F8" w:rsidRPr="006437DD">
        <w:rPr>
          <w:noProof/>
        </w:rPr>
        <w:t xml:space="preserve">e </w:t>
      </w:r>
      <w:r w:rsidR="004724E3">
        <w:rPr>
          <w:noProof/>
        </w:rPr>
        <w:t>Secrétariat</w:t>
      </w:r>
      <w:r w:rsidR="003E46F8" w:rsidRPr="006437DD">
        <w:rPr>
          <w:noProof/>
        </w:rPr>
        <w:t xml:space="preserve"> a s</w:t>
      </w:r>
      <w:r>
        <w:rPr>
          <w:noProof/>
        </w:rPr>
        <w:t xml:space="preserve">oumis les documents demandés à la </w:t>
      </w:r>
      <w:r w:rsidR="003E46F8" w:rsidRPr="006437DD">
        <w:rPr>
          <w:noProof/>
        </w:rPr>
        <w:t>83</w:t>
      </w:r>
      <w:r>
        <w:rPr>
          <w:noProof/>
          <w:vertAlign w:val="superscript"/>
        </w:rPr>
        <w:t>e </w:t>
      </w:r>
      <w:r w:rsidR="00FF53E4" w:rsidRPr="006437DD">
        <w:rPr>
          <w:noProof/>
        </w:rPr>
        <w:t>réunion</w:t>
      </w:r>
      <w:r w:rsidR="003E46F8" w:rsidRPr="006437DD">
        <w:rPr>
          <w:noProof/>
        </w:rPr>
        <w:t>,</w:t>
      </w:r>
      <w:r w:rsidR="003E46F8" w:rsidRPr="006437DD">
        <w:rPr>
          <w:rStyle w:val="FootnoteReference"/>
          <w:noProof/>
        </w:rPr>
        <w:footnoteReference w:id="9"/>
      </w:r>
      <w:r w:rsidR="003E46F8" w:rsidRPr="006437DD">
        <w:rPr>
          <w:noProof/>
        </w:rPr>
        <w:t xml:space="preserve"> </w:t>
      </w:r>
      <w:r>
        <w:rPr>
          <w:noProof/>
        </w:rPr>
        <w:t>pour examen au titre du point</w:t>
      </w:r>
      <w:r w:rsidR="003E46F8" w:rsidRPr="006437DD">
        <w:rPr>
          <w:noProof/>
        </w:rPr>
        <w:t xml:space="preserve"> 12(a) </w:t>
      </w:r>
      <w:r w:rsidR="00797D21">
        <w:rPr>
          <w:noProof/>
        </w:rPr>
        <w:t xml:space="preserve">sur les questions relatives à l’Amendement de </w:t>
      </w:r>
      <w:r w:rsidR="003E46F8" w:rsidRPr="006437DD">
        <w:rPr>
          <w:noProof/>
        </w:rPr>
        <w:t xml:space="preserve">Kigali </w:t>
      </w:r>
      <w:r w:rsidR="00797D21">
        <w:rPr>
          <w:noProof/>
        </w:rPr>
        <w:t xml:space="preserve">au Protocole de </w:t>
      </w:r>
      <w:r w:rsidR="003E46F8" w:rsidRPr="006437DD">
        <w:rPr>
          <w:noProof/>
        </w:rPr>
        <w:t>Montr</w:t>
      </w:r>
      <w:r w:rsidR="00797D21">
        <w:rPr>
          <w:noProof/>
        </w:rPr>
        <w:t>é</w:t>
      </w:r>
      <w:r w:rsidR="003E46F8" w:rsidRPr="006437DD">
        <w:rPr>
          <w:noProof/>
        </w:rPr>
        <w:t xml:space="preserve">al: </w:t>
      </w:r>
      <w:r w:rsidR="004F413A">
        <w:rPr>
          <w:noProof/>
        </w:rPr>
        <w:t xml:space="preserve">Efficacité </w:t>
      </w:r>
      <w:r w:rsidR="00797D21">
        <w:rPr>
          <w:noProof/>
        </w:rPr>
        <w:t>énergétique</w:t>
      </w:r>
      <w:r w:rsidR="003E46F8" w:rsidRPr="006437DD">
        <w:rPr>
          <w:noProof/>
        </w:rPr>
        <w:t>.</w:t>
      </w:r>
    </w:p>
    <w:p w:rsidR="003E46F8" w:rsidRPr="006437DD" w:rsidRDefault="00797D21" w:rsidP="003E46F8">
      <w:pPr>
        <w:pStyle w:val="Heading1"/>
        <w:rPr>
          <w:noProof/>
        </w:rPr>
      </w:pPr>
      <w:r>
        <w:rPr>
          <w:noProof/>
        </w:rPr>
        <w:t>L</w:t>
      </w:r>
      <w:r w:rsidR="003E46F8" w:rsidRPr="006437DD">
        <w:rPr>
          <w:noProof/>
        </w:rPr>
        <w:t xml:space="preserve">e </w:t>
      </w:r>
      <w:r w:rsidR="00F72434" w:rsidRPr="006437DD">
        <w:rPr>
          <w:noProof/>
        </w:rPr>
        <w:t>Comité exécutif</w:t>
      </w:r>
      <w:r w:rsidR="003E46F8" w:rsidRPr="006437DD">
        <w:rPr>
          <w:noProof/>
        </w:rPr>
        <w:t xml:space="preserve"> </w:t>
      </w:r>
      <w:r>
        <w:rPr>
          <w:noProof/>
        </w:rPr>
        <w:t xml:space="preserve">est invité à déterminer s’il convient d’inclure dans les lignes directrices sur les coûts de la réducfion graduelle des </w:t>
      </w:r>
      <w:r w:rsidR="003E46F8" w:rsidRPr="006437DD">
        <w:rPr>
          <w:noProof/>
        </w:rPr>
        <w:t xml:space="preserve">HFC </w:t>
      </w:r>
      <w:r>
        <w:rPr>
          <w:noProof/>
        </w:rPr>
        <w:t>dans les p</w:t>
      </w:r>
      <w:r w:rsidR="00FF53E4" w:rsidRPr="006437DD">
        <w:rPr>
          <w:noProof/>
        </w:rPr>
        <w:t xml:space="preserve">ays </w:t>
      </w:r>
      <w:r w:rsidR="009327B4">
        <w:rPr>
          <w:noProof/>
        </w:rPr>
        <w:t>visés à l’Article</w:t>
      </w:r>
      <w:r w:rsidR="00FF53E4" w:rsidRPr="006437DD">
        <w:rPr>
          <w:noProof/>
        </w:rPr>
        <w:t xml:space="preserve"> 5</w:t>
      </w:r>
      <w:r>
        <w:rPr>
          <w:noProof/>
        </w:rPr>
        <w:t xml:space="preserve">, toute décision qu’il adopterait sur le </w:t>
      </w:r>
      <w:r w:rsidR="004F413A">
        <w:rPr>
          <w:noProof/>
        </w:rPr>
        <w:t>efficacité</w:t>
      </w:r>
      <w:r>
        <w:rPr>
          <w:noProof/>
        </w:rPr>
        <w:t xml:space="preserve">énergétique au titre du point </w:t>
      </w:r>
      <w:r w:rsidR="003E46F8" w:rsidRPr="006437DD">
        <w:rPr>
          <w:noProof/>
        </w:rPr>
        <w:t>12(a)</w:t>
      </w:r>
      <w:r>
        <w:rPr>
          <w:noProof/>
        </w:rPr>
        <w:t xml:space="preserve"> de l’ordre du jout</w:t>
      </w:r>
      <w:r w:rsidR="003E46F8" w:rsidRPr="006437DD">
        <w:rPr>
          <w:noProof/>
        </w:rPr>
        <w:t>.</w:t>
      </w:r>
    </w:p>
    <w:p w:rsidR="003E46F8" w:rsidRPr="006437DD" w:rsidRDefault="00D90C44" w:rsidP="003E46F8">
      <w:pPr>
        <w:tabs>
          <w:tab w:val="left" w:pos="8280"/>
        </w:tabs>
        <w:rPr>
          <w:noProof/>
          <w:u w:val="single"/>
        </w:rPr>
      </w:pPr>
      <w:r>
        <w:rPr>
          <w:noProof/>
          <w:u w:val="single"/>
        </w:rPr>
        <w:t>Élimination définitive</w:t>
      </w:r>
    </w:p>
    <w:p w:rsidR="003E46F8" w:rsidRPr="006437DD" w:rsidRDefault="003E46F8" w:rsidP="003E46F8">
      <w:pPr>
        <w:tabs>
          <w:tab w:val="left" w:pos="8280"/>
        </w:tabs>
        <w:rPr>
          <w:noProof/>
        </w:rPr>
      </w:pPr>
    </w:p>
    <w:p w:rsidR="003E46F8" w:rsidRPr="006437DD" w:rsidRDefault="00797D21" w:rsidP="003E46F8">
      <w:pPr>
        <w:pStyle w:val="Heading1"/>
        <w:rPr>
          <w:noProof/>
        </w:rPr>
      </w:pPr>
      <w:r>
        <w:rPr>
          <w:noProof/>
        </w:rPr>
        <w:t xml:space="preserve">À sa </w:t>
      </w:r>
      <w:r w:rsidR="003E46F8" w:rsidRPr="006437DD">
        <w:rPr>
          <w:noProof/>
        </w:rPr>
        <w:t>81</w:t>
      </w:r>
      <w:r w:rsidR="00E43248">
        <w:rPr>
          <w:noProof/>
          <w:vertAlign w:val="superscript"/>
        </w:rPr>
        <w:t>e</w:t>
      </w:r>
      <w:r w:rsidR="003E46F8" w:rsidRPr="006437DD">
        <w:rPr>
          <w:noProof/>
        </w:rPr>
        <w:t> </w:t>
      </w:r>
      <w:r w:rsidR="00FF53E4" w:rsidRPr="006437DD">
        <w:rPr>
          <w:noProof/>
        </w:rPr>
        <w:t>réunion</w:t>
      </w:r>
      <w:r w:rsidR="003E46F8" w:rsidRPr="006437DD">
        <w:rPr>
          <w:noProof/>
        </w:rPr>
        <w:t xml:space="preserve">, </w:t>
      </w:r>
      <w:r w:rsidR="00E43248">
        <w:rPr>
          <w:noProof/>
        </w:rPr>
        <w:t>l</w:t>
      </w:r>
      <w:r w:rsidR="003E46F8" w:rsidRPr="006437DD">
        <w:rPr>
          <w:noProof/>
        </w:rPr>
        <w:t xml:space="preserve">e </w:t>
      </w:r>
      <w:r w:rsidR="00F72434" w:rsidRPr="006437DD">
        <w:rPr>
          <w:noProof/>
        </w:rPr>
        <w:t>Comité exécutif</w:t>
      </w:r>
      <w:r w:rsidR="003E46F8" w:rsidRPr="006437DD">
        <w:rPr>
          <w:noProof/>
        </w:rPr>
        <w:t xml:space="preserve"> </w:t>
      </w:r>
      <w:r w:rsidR="00E43248">
        <w:rPr>
          <w:noProof/>
        </w:rPr>
        <w:t>a décidé d’examiner à sa</w:t>
      </w:r>
      <w:r w:rsidR="003E46F8" w:rsidRPr="006437DD">
        <w:rPr>
          <w:noProof/>
        </w:rPr>
        <w:t xml:space="preserve"> 82</w:t>
      </w:r>
      <w:r w:rsidR="00E43248">
        <w:rPr>
          <w:noProof/>
          <w:vertAlign w:val="superscript"/>
        </w:rPr>
        <w:t>e</w:t>
      </w:r>
      <w:r w:rsidR="003E46F8" w:rsidRPr="006437DD">
        <w:rPr>
          <w:noProof/>
        </w:rPr>
        <w:t> </w:t>
      </w:r>
      <w:r w:rsidR="00FF53E4" w:rsidRPr="006437DD">
        <w:rPr>
          <w:noProof/>
        </w:rPr>
        <w:t>réunion</w:t>
      </w:r>
      <w:r w:rsidR="003E46F8" w:rsidRPr="006437DD">
        <w:rPr>
          <w:noProof/>
        </w:rPr>
        <w:t xml:space="preserve">, </w:t>
      </w:r>
      <w:r w:rsidR="00E43248">
        <w:rPr>
          <w:noProof/>
        </w:rPr>
        <w:t xml:space="preserve">des questions liées au financement de la gestion efficiente </w:t>
      </w:r>
      <w:bookmarkStart w:id="3" w:name="_Hlk7644358"/>
      <w:r w:rsidR="00E43248">
        <w:rPr>
          <w:noProof/>
        </w:rPr>
        <w:t xml:space="preserve">des </w:t>
      </w:r>
      <w:r w:rsidR="00D90C44">
        <w:rPr>
          <w:noProof/>
        </w:rPr>
        <w:t>stocks</w:t>
      </w:r>
      <w:r w:rsidR="00E43248">
        <w:rPr>
          <w:noProof/>
        </w:rPr>
        <w:t xml:space="preserve"> de substances réglementées usées ou </w:t>
      </w:r>
      <w:r w:rsidR="00D90C44">
        <w:rPr>
          <w:noProof/>
        </w:rPr>
        <w:t>indésirabl</w:t>
      </w:r>
      <w:r w:rsidR="00E43248">
        <w:rPr>
          <w:noProof/>
        </w:rPr>
        <w:t xml:space="preserve">es, incluant leur destruction, à la lumière de la note sur la destruction de SAO préparée par le </w:t>
      </w:r>
      <w:r w:rsidR="004724E3">
        <w:rPr>
          <w:noProof/>
        </w:rPr>
        <w:t>Secrétariat</w:t>
      </w:r>
      <w:r w:rsidR="003E46F8" w:rsidRPr="006437DD">
        <w:rPr>
          <w:noProof/>
        </w:rPr>
        <w:t xml:space="preserve"> </w:t>
      </w:r>
      <w:r w:rsidR="00E43248">
        <w:rPr>
          <w:noProof/>
        </w:rPr>
        <w:t>e</w:t>
      </w:r>
      <w:r w:rsidR="003E46F8" w:rsidRPr="006437DD">
        <w:rPr>
          <w:noProof/>
        </w:rPr>
        <w:t>n r</w:t>
      </w:r>
      <w:r w:rsidR="00E43248">
        <w:rPr>
          <w:noProof/>
        </w:rPr>
        <w:t>é</w:t>
      </w:r>
      <w:r w:rsidR="003E46F8" w:rsidRPr="006437DD">
        <w:rPr>
          <w:noProof/>
        </w:rPr>
        <w:t xml:space="preserve">ponse </w:t>
      </w:r>
      <w:r w:rsidR="00E43248">
        <w:rPr>
          <w:noProof/>
        </w:rPr>
        <w:t xml:space="preserve">à la </w:t>
      </w:r>
      <w:r w:rsidR="00F72434" w:rsidRPr="006437DD">
        <w:rPr>
          <w:noProof/>
        </w:rPr>
        <w:t>décision</w:t>
      </w:r>
      <w:r w:rsidR="003E46F8" w:rsidRPr="006437DD">
        <w:rPr>
          <w:noProof/>
        </w:rPr>
        <w:t> 79/18(e) (</w:t>
      </w:r>
      <w:r w:rsidR="00F72434" w:rsidRPr="006437DD">
        <w:rPr>
          <w:noProof/>
        </w:rPr>
        <w:t>décision</w:t>
      </w:r>
      <w:r w:rsidR="003E46F8" w:rsidRPr="006437DD">
        <w:rPr>
          <w:noProof/>
        </w:rPr>
        <w:t> 81/67(d)).</w:t>
      </w:r>
      <w:bookmarkEnd w:id="3"/>
    </w:p>
    <w:p w:rsidR="003E46F8" w:rsidRPr="006437DD" w:rsidRDefault="00E43248" w:rsidP="003E46F8">
      <w:pPr>
        <w:pStyle w:val="Heading1"/>
        <w:rPr>
          <w:noProof/>
        </w:rPr>
      </w:pPr>
      <w:r>
        <w:rPr>
          <w:noProof/>
        </w:rPr>
        <w:t xml:space="preserve">Donnant suite à la </w:t>
      </w:r>
      <w:r w:rsidR="00F72434" w:rsidRPr="006437DD">
        <w:rPr>
          <w:noProof/>
        </w:rPr>
        <w:t>décision</w:t>
      </w:r>
      <w:r w:rsidR="003E46F8" w:rsidRPr="006437DD">
        <w:rPr>
          <w:noProof/>
        </w:rPr>
        <w:t xml:space="preserve"> 81/67(d), </w:t>
      </w:r>
      <w:r>
        <w:rPr>
          <w:noProof/>
        </w:rPr>
        <w:t>l</w:t>
      </w:r>
      <w:r w:rsidR="003E46F8" w:rsidRPr="006437DD">
        <w:rPr>
          <w:noProof/>
        </w:rPr>
        <w:t xml:space="preserve">e </w:t>
      </w:r>
      <w:r w:rsidR="004724E3">
        <w:rPr>
          <w:noProof/>
        </w:rPr>
        <w:t>Secrétariat</w:t>
      </w:r>
      <w:r w:rsidR="003E46F8" w:rsidRPr="006437DD">
        <w:rPr>
          <w:noProof/>
        </w:rPr>
        <w:t xml:space="preserve"> </w:t>
      </w:r>
      <w:r>
        <w:rPr>
          <w:noProof/>
        </w:rPr>
        <w:t xml:space="preserve">a présenté à la </w:t>
      </w:r>
      <w:r w:rsidR="003E46F8" w:rsidRPr="006437DD">
        <w:rPr>
          <w:noProof/>
        </w:rPr>
        <w:t>82</w:t>
      </w:r>
      <w:r>
        <w:rPr>
          <w:noProof/>
          <w:vertAlign w:val="superscript"/>
        </w:rPr>
        <w:t>e</w:t>
      </w:r>
      <w:r w:rsidR="003E46F8" w:rsidRPr="006437DD">
        <w:rPr>
          <w:noProof/>
        </w:rPr>
        <w:t> </w:t>
      </w:r>
      <w:r w:rsidR="00FF53E4" w:rsidRPr="006437DD">
        <w:rPr>
          <w:noProof/>
        </w:rPr>
        <w:t>réunion</w:t>
      </w:r>
      <w:r w:rsidR="003E46F8" w:rsidRPr="006437DD">
        <w:rPr>
          <w:noProof/>
        </w:rPr>
        <w:t xml:space="preserve"> </w:t>
      </w:r>
      <w:r>
        <w:rPr>
          <w:noProof/>
        </w:rPr>
        <w:t xml:space="preserve">le </w:t>
      </w:r>
      <w:r w:rsidR="003E46F8" w:rsidRPr="006437DD">
        <w:rPr>
          <w:noProof/>
        </w:rPr>
        <w:t>document UNEP/OzL.Pro/ExCom/82/21.</w:t>
      </w:r>
      <w:r w:rsidR="003E46F8" w:rsidRPr="006437DD">
        <w:rPr>
          <w:rStyle w:val="FootnoteReference"/>
          <w:noProof/>
        </w:rPr>
        <w:footnoteReference w:id="10"/>
      </w:r>
      <w:r w:rsidR="003E46F8" w:rsidRPr="006437DD">
        <w:rPr>
          <w:noProof/>
        </w:rPr>
        <w:t xml:space="preserve"> Dur</w:t>
      </w:r>
      <w:r>
        <w:rPr>
          <w:noProof/>
        </w:rPr>
        <w:t>ant les débats</w:t>
      </w:r>
      <w:r w:rsidR="003E46F8" w:rsidRPr="006437DD">
        <w:rPr>
          <w:noProof/>
        </w:rPr>
        <w:t xml:space="preserve">, </w:t>
      </w:r>
      <w:r w:rsidR="00E56A6E">
        <w:rPr>
          <w:noProof/>
        </w:rPr>
        <w:t>quelques</w:t>
      </w:r>
      <w:r>
        <w:rPr>
          <w:noProof/>
        </w:rPr>
        <w:t xml:space="preserve"> membres</w:t>
      </w:r>
      <w:r w:rsidR="00E56A6E" w:rsidRPr="00E56A6E">
        <w:t xml:space="preserve"> </w:t>
      </w:r>
      <w:r w:rsidR="00E56A6E" w:rsidRPr="00E56A6E">
        <w:rPr>
          <w:noProof/>
        </w:rPr>
        <w:t xml:space="preserve">estimaient que la </w:t>
      </w:r>
      <w:r w:rsidR="00E56A6E" w:rsidRPr="00E56A6E">
        <w:rPr>
          <w:noProof/>
        </w:rPr>
        <w:lastRenderedPageBreak/>
        <w:t>destruction</w:t>
      </w:r>
      <w:r>
        <w:rPr>
          <w:noProof/>
        </w:rPr>
        <w:t xml:space="preserve">, </w:t>
      </w:r>
      <w:r w:rsidR="00E56A6E">
        <w:rPr>
          <w:noProof/>
        </w:rPr>
        <w:t>bien qu’</w:t>
      </w:r>
      <w:r>
        <w:rPr>
          <w:noProof/>
        </w:rPr>
        <w:t xml:space="preserve">importante et </w:t>
      </w:r>
      <w:r w:rsidR="00E56A6E">
        <w:rPr>
          <w:noProof/>
        </w:rPr>
        <w:t>imposé</w:t>
      </w:r>
      <w:r>
        <w:rPr>
          <w:noProof/>
        </w:rPr>
        <w:t xml:space="preserve">e par la </w:t>
      </w:r>
      <w:r w:rsidR="00F72434" w:rsidRPr="006437DD">
        <w:rPr>
          <w:noProof/>
        </w:rPr>
        <w:t>décision</w:t>
      </w:r>
      <w:r w:rsidR="003E46F8" w:rsidRPr="006437DD">
        <w:rPr>
          <w:noProof/>
        </w:rPr>
        <w:t xml:space="preserve"> XXVIII/2, </w:t>
      </w:r>
      <w:r w:rsidR="00E56A6E">
        <w:rPr>
          <w:noProof/>
        </w:rPr>
        <w:t>n’était cependant pas requise aux fins de conformité et ne constituaient pas un surcoût</w:t>
      </w:r>
      <w:r w:rsidR="003E46F8" w:rsidRPr="006437DD">
        <w:rPr>
          <w:noProof/>
        </w:rPr>
        <w:t xml:space="preserve">, </w:t>
      </w:r>
      <w:r w:rsidR="00E56A6E">
        <w:rPr>
          <w:noProof/>
        </w:rPr>
        <w:t xml:space="preserve">et qu’il ne convenait donc pas d’en discuter dans le cadre des lignes directrices sur le coût de la réduction graduelle des </w:t>
      </w:r>
      <w:r w:rsidR="003E46F8" w:rsidRPr="006437DD">
        <w:rPr>
          <w:noProof/>
        </w:rPr>
        <w:t xml:space="preserve">HFC. </w:t>
      </w:r>
      <w:r w:rsidR="00E56A6E">
        <w:rPr>
          <w:noProof/>
        </w:rPr>
        <w:t xml:space="preserve">D’autres membres trouvaient que la destruction était d’une importance capitale, surtout pour les pays FVC, </w:t>
      </w:r>
      <w:r w:rsidR="0055483F">
        <w:rPr>
          <w:noProof/>
        </w:rPr>
        <w:t>et la considéraient comme faisant partie intégrante des lignes directrices sur les coûts</w:t>
      </w:r>
      <w:r w:rsidR="003E46F8" w:rsidRPr="006437DD">
        <w:rPr>
          <w:noProof/>
        </w:rPr>
        <w:t xml:space="preserve">. </w:t>
      </w:r>
      <w:r w:rsidR="0055483F">
        <w:rPr>
          <w:noProof/>
        </w:rPr>
        <w:t>D’autres questions ont aussi été soulevées, telles que la pertinence du rapport de synthèse sur la destruction des SAO</w:t>
      </w:r>
      <w:r w:rsidR="003E46F8" w:rsidRPr="006437DD">
        <w:rPr>
          <w:noProof/>
        </w:rPr>
        <w:t xml:space="preserve">; </w:t>
      </w:r>
      <w:r w:rsidR="0055483F">
        <w:rPr>
          <w:noProof/>
        </w:rPr>
        <w:t xml:space="preserve">les lignes directrices intérimaires pour les projets pilotes approuvés à la </w:t>
      </w:r>
      <w:r w:rsidR="003E46F8" w:rsidRPr="006437DD">
        <w:rPr>
          <w:noProof/>
        </w:rPr>
        <w:t>58</w:t>
      </w:r>
      <w:r w:rsidR="0055483F">
        <w:rPr>
          <w:noProof/>
          <w:vertAlign w:val="superscript"/>
        </w:rPr>
        <w:t>e</w:t>
      </w:r>
      <w:r w:rsidR="003E46F8" w:rsidRPr="006437DD">
        <w:rPr>
          <w:noProof/>
        </w:rPr>
        <w:t> </w:t>
      </w:r>
      <w:r w:rsidR="00FF53E4" w:rsidRPr="006437DD">
        <w:rPr>
          <w:noProof/>
        </w:rPr>
        <w:t>réunion</w:t>
      </w:r>
      <w:r w:rsidR="003E46F8" w:rsidRPr="006437DD">
        <w:rPr>
          <w:noProof/>
        </w:rPr>
        <w:t xml:space="preserve">; </w:t>
      </w:r>
      <w:r w:rsidR="0055483F">
        <w:rPr>
          <w:noProof/>
        </w:rPr>
        <w:t>et les politiques sur la gestion des frigorigènes visant à réduire au minimum les frigorigènes non nécessaires</w:t>
      </w:r>
      <w:r w:rsidR="003E46F8" w:rsidRPr="006437DD">
        <w:rPr>
          <w:noProof/>
        </w:rPr>
        <w:t xml:space="preserve">. </w:t>
      </w:r>
    </w:p>
    <w:p w:rsidR="003E46F8" w:rsidRPr="006437DD" w:rsidRDefault="00597BCC" w:rsidP="003E46F8">
      <w:pPr>
        <w:pStyle w:val="Heading1"/>
        <w:rPr>
          <w:noProof/>
        </w:rPr>
      </w:pPr>
      <w:r>
        <w:rPr>
          <w:noProof/>
        </w:rPr>
        <w:t>L</w:t>
      </w:r>
      <w:r w:rsidR="003E46F8" w:rsidRPr="006437DD">
        <w:rPr>
          <w:noProof/>
        </w:rPr>
        <w:t xml:space="preserve">e </w:t>
      </w:r>
      <w:r w:rsidR="00F72434" w:rsidRPr="006437DD">
        <w:rPr>
          <w:noProof/>
        </w:rPr>
        <w:t>Comité exécutif</w:t>
      </w:r>
      <w:r w:rsidR="003E46F8" w:rsidRPr="006437DD">
        <w:rPr>
          <w:noProof/>
        </w:rPr>
        <w:t xml:space="preserve"> </w:t>
      </w:r>
      <w:r>
        <w:rPr>
          <w:noProof/>
        </w:rPr>
        <w:t xml:space="preserve">est invité à poursuivre ses délibérations sur cette question durant la </w:t>
      </w:r>
      <w:r w:rsidR="003E46F8" w:rsidRPr="006437DD">
        <w:rPr>
          <w:noProof/>
        </w:rPr>
        <w:t>83</w:t>
      </w:r>
      <w:r>
        <w:rPr>
          <w:noProof/>
          <w:vertAlign w:val="superscript"/>
        </w:rPr>
        <w:t>e</w:t>
      </w:r>
      <w:r>
        <w:rPr>
          <w:noProof/>
        </w:rPr>
        <w:t> </w:t>
      </w:r>
      <w:r w:rsidR="00FF53E4" w:rsidRPr="006437DD">
        <w:rPr>
          <w:noProof/>
        </w:rPr>
        <w:t>réunion</w:t>
      </w:r>
      <w:r w:rsidR="003E46F8" w:rsidRPr="006437DD">
        <w:rPr>
          <w:noProof/>
        </w:rPr>
        <w:t xml:space="preserve">. </w:t>
      </w:r>
    </w:p>
    <w:p w:rsidR="003E46F8" w:rsidRPr="006437DD" w:rsidRDefault="00597BCC" w:rsidP="003E46F8">
      <w:pPr>
        <w:keepNext/>
        <w:keepLines/>
        <w:tabs>
          <w:tab w:val="left" w:pos="8280"/>
        </w:tabs>
        <w:rPr>
          <w:noProof/>
          <w:u w:val="single"/>
        </w:rPr>
      </w:pPr>
      <w:r>
        <w:rPr>
          <w:noProof/>
          <w:u w:val="single"/>
        </w:rPr>
        <w:t xml:space="preserve">Autres questions </w:t>
      </w:r>
      <w:r w:rsidR="00D90C44">
        <w:rPr>
          <w:noProof/>
          <w:u w:val="single"/>
        </w:rPr>
        <w:t xml:space="preserve">d’ordre </w:t>
      </w:r>
      <w:r>
        <w:rPr>
          <w:noProof/>
          <w:u w:val="single"/>
        </w:rPr>
        <w:t xml:space="preserve">général </w:t>
      </w:r>
      <w:r w:rsidR="00D90C44">
        <w:rPr>
          <w:noProof/>
          <w:u w:val="single"/>
        </w:rPr>
        <w:t xml:space="preserve">en lien avec à </w:t>
      </w:r>
      <w:r>
        <w:rPr>
          <w:noProof/>
          <w:u w:val="single"/>
        </w:rPr>
        <w:t xml:space="preserve">la réduction graduelle des </w:t>
      </w:r>
      <w:r w:rsidR="003E46F8" w:rsidRPr="006437DD">
        <w:rPr>
          <w:noProof/>
          <w:u w:val="single"/>
        </w:rPr>
        <w:t xml:space="preserve">HFC </w:t>
      </w:r>
    </w:p>
    <w:p w:rsidR="003E46F8" w:rsidRPr="006437DD" w:rsidRDefault="003E46F8" w:rsidP="003E46F8">
      <w:pPr>
        <w:keepNext/>
        <w:keepLines/>
        <w:tabs>
          <w:tab w:val="left" w:pos="8280"/>
        </w:tabs>
        <w:rPr>
          <w:noProof/>
        </w:rPr>
      </w:pPr>
    </w:p>
    <w:p w:rsidR="003E46F8" w:rsidRPr="006437DD" w:rsidRDefault="00D90C44" w:rsidP="003E46F8">
      <w:pPr>
        <w:pStyle w:val="Heading1"/>
        <w:keepNext/>
        <w:keepLines/>
        <w:rPr>
          <w:noProof/>
        </w:rPr>
      </w:pPr>
      <w:r>
        <w:rPr>
          <w:noProof/>
        </w:rPr>
        <w:t xml:space="preserve">Le </w:t>
      </w:r>
      <w:r w:rsidR="003E46F8" w:rsidRPr="006437DD">
        <w:rPr>
          <w:noProof/>
        </w:rPr>
        <w:t>document</w:t>
      </w:r>
      <w:r>
        <w:rPr>
          <w:noProof/>
        </w:rPr>
        <w:t xml:space="preserve"> sur les lignes directrices sur le coût de la réduction graduelle des </w:t>
      </w:r>
      <w:r w:rsidR="003E46F8" w:rsidRPr="006437DD">
        <w:rPr>
          <w:noProof/>
        </w:rPr>
        <w:t>HFC</w:t>
      </w:r>
      <w:r>
        <w:rPr>
          <w:noProof/>
        </w:rPr>
        <w:t xml:space="preserve"> présenté à la </w:t>
      </w:r>
      <w:r w:rsidR="003E46F8" w:rsidRPr="006437DD">
        <w:rPr>
          <w:noProof/>
        </w:rPr>
        <w:t>80</w:t>
      </w:r>
      <w:r>
        <w:rPr>
          <w:noProof/>
          <w:vertAlign w:val="superscript"/>
        </w:rPr>
        <w:t>e</w:t>
      </w:r>
      <w:r w:rsidR="003E46F8" w:rsidRPr="006437DD">
        <w:rPr>
          <w:noProof/>
        </w:rPr>
        <w:t> </w:t>
      </w:r>
      <w:r w:rsidR="00FF53E4" w:rsidRPr="006437DD">
        <w:rPr>
          <w:noProof/>
        </w:rPr>
        <w:t>réunion</w:t>
      </w:r>
      <w:r w:rsidR="003E46F8" w:rsidRPr="006437DD">
        <w:rPr>
          <w:noProof/>
        </w:rPr>
        <w:t xml:space="preserve"> </w:t>
      </w:r>
      <w:r>
        <w:rPr>
          <w:noProof/>
        </w:rPr>
        <w:t>comprenait des aspects</w:t>
      </w:r>
      <w:r w:rsidR="003E46F8" w:rsidRPr="006437DD">
        <w:rPr>
          <w:rStyle w:val="FootnoteReference"/>
          <w:noProof/>
        </w:rPr>
        <w:footnoteReference w:id="11"/>
      </w:r>
      <w:r>
        <w:rPr>
          <w:noProof/>
        </w:rPr>
        <w:t xml:space="preserve">généraux </w:t>
      </w:r>
      <w:r w:rsidR="006702EE">
        <w:rPr>
          <w:noProof/>
        </w:rPr>
        <w:t xml:space="preserve">qui étaient déjà appliqués dans le contexte des activités habilitantes et des projets d’investissement autonomes sur les </w:t>
      </w:r>
      <w:r w:rsidR="003E46F8" w:rsidRPr="006437DD">
        <w:rPr>
          <w:noProof/>
        </w:rPr>
        <w:t xml:space="preserve">HFC </w:t>
      </w:r>
      <w:r w:rsidR="006702EE">
        <w:rPr>
          <w:noProof/>
        </w:rPr>
        <w:t xml:space="preserve">en cours d’exécution </w:t>
      </w:r>
      <w:r w:rsidR="003E46F8" w:rsidRPr="006437DD">
        <w:rPr>
          <w:noProof/>
        </w:rPr>
        <w:t>(</w:t>
      </w:r>
      <w:r w:rsidR="006702EE">
        <w:rPr>
          <w:noProof/>
        </w:rPr>
        <w:t>ces</w:t>
      </w:r>
      <w:r w:rsidR="003E46F8" w:rsidRPr="006437DD">
        <w:rPr>
          <w:noProof/>
        </w:rPr>
        <w:t xml:space="preserve"> aspects </w:t>
      </w:r>
      <w:r w:rsidR="006702EE">
        <w:rPr>
          <w:noProof/>
        </w:rPr>
        <w:t xml:space="preserve">sont présentés dans la </w:t>
      </w:r>
      <w:r w:rsidR="003E46F8" w:rsidRPr="006437DD">
        <w:rPr>
          <w:noProof/>
        </w:rPr>
        <w:t>Part</w:t>
      </w:r>
      <w:r w:rsidR="006702EE">
        <w:rPr>
          <w:noProof/>
        </w:rPr>
        <w:t>ie</w:t>
      </w:r>
      <w:r w:rsidR="003E46F8" w:rsidRPr="006437DD">
        <w:rPr>
          <w:noProof/>
        </w:rPr>
        <w:t xml:space="preserve"> III </w:t>
      </w:r>
      <w:r w:rsidR="006702EE">
        <w:rPr>
          <w:noProof/>
        </w:rPr>
        <w:t>de l’</w:t>
      </w:r>
      <w:r w:rsidR="003E46F8" w:rsidRPr="006437DD">
        <w:rPr>
          <w:noProof/>
        </w:rPr>
        <w:t>Annex</w:t>
      </w:r>
      <w:r w:rsidR="006702EE">
        <w:rPr>
          <w:noProof/>
        </w:rPr>
        <w:t>e</w:t>
      </w:r>
      <w:r w:rsidR="003E46F8" w:rsidRPr="006437DD">
        <w:rPr>
          <w:noProof/>
        </w:rPr>
        <w:t xml:space="preserve"> II </w:t>
      </w:r>
      <w:r w:rsidR="006702EE">
        <w:rPr>
          <w:noProof/>
        </w:rPr>
        <w:t>au présent</w:t>
      </w:r>
      <w:r w:rsidR="003E46F8" w:rsidRPr="006437DD">
        <w:rPr>
          <w:noProof/>
        </w:rPr>
        <w:t xml:space="preserve"> document). </w:t>
      </w:r>
      <w:r w:rsidR="006702EE">
        <w:rPr>
          <w:noProof/>
        </w:rPr>
        <w:t>L</w:t>
      </w:r>
      <w:r w:rsidR="003E46F8" w:rsidRPr="006437DD">
        <w:rPr>
          <w:noProof/>
        </w:rPr>
        <w:t xml:space="preserve">e </w:t>
      </w:r>
      <w:r w:rsidR="00F72434" w:rsidRPr="006437DD">
        <w:rPr>
          <w:noProof/>
        </w:rPr>
        <w:t>Comité exécutif</w:t>
      </w:r>
      <w:r w:rsidR="003E46F8" w:rsidRPr="006437DD">
        <w:rPr>
          <w:noProof/>
        </w:rPr>
        <w:t xml:space="preserve"> </w:t>
      </w:r>
      <w:r w:rsidR="006702EE">
        <w:rPr>
          <w:noProof/>
        </w:rPr>
        <w:t xml:space="preserve">n’est cependant pas encore arrivé à un accord sur les </w:t>
      </w:r>
      <w:r w:rsidR="003E46F8" w:rsidRPr="006437DD">
        <w:rPr>
          <w:noProof/>
        </w:rPr>
        <w:t>aspects</w:t>
      </w:r>
      <w:r w:rsidR="006702EE">
        <w:rPr>
          <w:noProof/>
        </w:rPr>
        <w:t xml:space="preserve"> généraux</w:t>
      </w:r>
      <w:r w:rsidR="003E46F8" w:rsidRPr="006437DD">
        <w:rPr>
          <w:noProof/>
        </w:rPr>
        <w:t xml:space="preserve">. </w:t>
      </w:r>
    </w:p>
    <w:p w:rsidR="003E46F8" w:rsidRPr="006437DD" w:rsidRDefault="006702EE" w:rsidP="003E46F8">
      <w:pPr>
        <w:pStyle w:val="Heading1"/>
        <w:rPr>
          <w:noProof/>
        </w:rPr>
      </w:pPr>
      <w:r>
        <w:rPr>
          <w:noProof/>
        </w:rPr>
        <w:t xml:space="preserve">Compte tenu des aspects généraux appliqués, le </w:t>
      </w:r>
      <w:r w:rsidR="00F72434" w:rsidRPr="006437DD">
        <w:rPr>
          <w:noProof/>
        </w:rPr>
        <w:t>Comité exécutif</w:t>
      </w:r>
      <w:r w:rsidR="003E46F8" w:rsidRPr="006437DD">
        <w:rPr>
          <w:noProof/>
        </w:rPr>
        <w:t xml:space="preserve"> </w:t>
      </w:r>
      <w:r>
        <w:rPr>
          <w:noProof/>
        </w:rPr>
        <w:t>est invité à déc</w:t>
      </w:r>
      <w:r w:rsidR="00527CAD">
        <w:rPr>
          <w:noProof/>
        </w:rPr>
        <w:t>id</w:t>
      </w:r>
      <w:r>
        <w:rPr>
          <w:noProof/>
        </w:rPr>
        <w:t xml:space="preserve">er s’il </w:t>
      </w:r>
      <w:r w:rsidR="00527CAD">
        <w:rPr>
          <w:noProof/>
        </w:rPr>
        <w:t>convient d’incorporer le texte figurant dans l’</w:t>
      </w:r>
      <w:r w:rsidR="003E46F8" w:rsidRPr="006437DD">
        <w:rPr>
          <w:noProof/>
        </w:rPr>
        <w:t>Annex</w:t>
      </w:r>
      <w:r w:rsidR="00527CAD">
        <w:rPr>
          <w:noProof/>
        </w:rPr>
        <w:t>e</w:t>
      </w:r>
      <w:r w:rsidR="003E46F8" w:rsidRPr="006437DD">
        <w:rPr>
          <w:noProof/>
        </w:rPr>
        <w:t xml:space="preserve"> II </w:t>
      </w:r>
      <w:r w:rsidR="00527CAD">
        <w:rPr>
          <w:noProof/>
        </w:rPr>
        <w:t xml:space="preserve">au présent </w:t>
      </w:r>
      <w:r w:rsidR="003E46F8" w:rsidRPr="006437DD">
        <w:rPr>
          <w:noProof/>
        </w:rPr>
        <w:t xml:space="preserve">document </w:t>
      </w:r>
      <w:r w:rsidR="00527CAD">
        <w:rPr>
          <w:noProof/>
        </w:rPr>
        <w:t xml:space="preserve">dans le projet de modèle de lignes directrices sur le coût de la réduction graduelle des </w:t>
      </w:r>
      <w:r w:rsidR="003E46F8" w:rsidRPr="006437DD">
        <w:rPr>
          <w:noProof/>
        </w:rPr>
        <w:t>HFC contain</w:t>
      </w:r>
      <w:r w:rsidR="00527CAD">
        <w:rPr>
          <w:noProof/>
        </w:rPr>
        <w:t>u dans l’</w:t>
      </w:r>
      <w:r w:rsidR="003E46F8" w:rsidRPr="006437DD">
        <w:rPr>
          <w:noProof/>
        </w:rPr>
        <w:t>Annex</w:t>
      </w:r>
      <w:r w:rsidR="00527CAD">
        <w:rPr>
          <w:noProof/>
        </w:rPr>
        <w:t>e</w:t>
      </w:r>
      <w:r w:rsidR="003E46F8" w:rsidRPr="006437DD">
        <w:rPr>
          <w:noProof/>
        </w:rPr>
        <w:t xml:space="preserve"> I </w:t>
      </w:r>
      <w:r w:rsidR="00527CAD">
        <w:rPr>
          <w:noProof/>
        </w:rPr>
        <w:t>au présent</w:t>
      </w:r>
      <w:r w:rsidR="003E46F8" w:rsidRPr="006437DD">
        <w:rPr>
          <w:noProof/>
        </w:rPr>
        <w:t xml:space="preserve"> document, o</w:t>
      </w:r>
      <w:r w:rsidR="00527CAD">
        <w:rPr>
          <w:noProof/>
        </w:rPr>
        <w:t>u de reporter la suite des débats sur ces aspects jusqu’à ce que d’autres éléments des lignes directrices sur le coût aient été convenus</w:t>
      </w:r>
      <w:r w:rsidR="003E46F8" w:rsidRPr="006437DD">
        <w:rPr>
          <w:noProof/>
        </w:rPr>
        <w:t>.</w:t>
      </w:r>
    </w:p>
    <w:p w:rsidR="003E46F8" w:rsidRPr="006437DD" w:rsidRDefault="003E46F8" w:rsidP="003E46F8">
      <w:pPr>
        <w:keepNext/>
        <w:tabs>
          <w:tab w:val="left" w:pos="8280"/>
        </w:tabs>
        <w:rPr>
          <w:noProof/>
          <w:u w:val="single"/>
        </w:rPr>
      </w:pPr>
      <w:r w:rsidRPr="006437DD">
        <w:rPr>
          <w:noProof/>
          <w:u w:val="single"/>
        </w:rPr>
        <w:t>Recomm</w:t>
      </w:r>
      <w:r w:rsidR="00527CAD">
        <w:rPr>
          <w:noProof/>
          <w:u w:val="single"/>
        </w:rPr>
        <w:t>a</w:t>
      </w:r>
      <w:r w:rsidRPr="006437DD">
        <w:rPr>
          <w:noProof/>
          <w:u w:val="single"/>
        </w:rPr>
        <w:t>ndation</w:t>
      </w:r>
    </w:p>
    <w:p w:rsidR="003E46F8" w:rsidRPr="006437DD" w:rsidRDefault="003E46F8" w:rsidP="003E46F8">
      <w:pPr>
        <w:keepNext/>
        <w:tabs>
          <w:tab w:val="left" w:pos="8280"/>
        </w:tabs>
        <w:rPr>
          <w:noProof/>
        </w:rPr>
      </w:pPr>
    </w:p>
    <w:p w:rsidR="003E46F8" w:rsidRPr="006437DD" w:rsidRDefault="00527CAD" w:rsidP="003E46F8">
      <w:pPr>
        <w:pStyle w:val="Heading1"/>
        <w:rPr>
          <w:noProof/>
        </w:rPr>
      </w:pPr>
      <w:r>
        <w:rPr>
          <w:noProof/>
        </w:rPr>
        <w:t>L</w:t>
      </w:r>
      <w:r w:rsidR="003E46F8" w:rsidRPr="006437DD">
        <w:rPr>
          <w:noProof/>
        </w:rPr>
        <w:t xml:space="preserve">e </w:t>
      </w:r>
      <w:r w:rsidR="00F72434" w:rsidRPr="006437DD">
        <w:rPr>
          <w:noProof/>
        </w:rPr>
        <w:t>Comité exécutif</w:t>
      </w:r>
      <w:r w:rsidR="003E46F8" w:rsidRPr="006437DD">
        <w:rPr>
          <w:noProof/>
        </w:rPr>
        <w:t xml:space="preserve"> </w:t>
      </w:r>
      <w:r>
        <w:rPr>
          <w:noProof/>
        </w:rPr>
        <w:t>est invité</w:t>
      </w:r>
      <w:r w:rsidR="003E46F8" w:rsidRPr="006437DD">
        <w:rPr>
          <w:noProof/>
        </w:rPr>
        <w:t>:</w:t>
      </w:r>
    </w:p>
    <w:p w:rsidR="003E46F8" w:rsidRPr="006437DD" w:rsidRDefault="00527CAD" w:rsidP="003E46F8">
      <w:pPr>
        <w:pStyle w:val="Heading2"/>
        <w:numPr>
          <w:ilvl w:val="1"/>
          <w:numId w:val="1"/>
        </w:numPr>
        <w:rPr>
          <w:noProof/>
        </w:rPr>
      </w:pPr>
      <w:r>
        <w:rPr>
          <w:noProof/>
        </w:rPr>
        <w:t xml:space="preserve">À prendre </w:t>
      </w:r>
      <w:r w:rsidR="003E46F8" w:rsidRPr="006437DD">
        <w:rPr>
          <w:noProof/>
        </w:rPr>
        <w:t xml:space="preserve">note </w:t>
      </w:r>
      <w:r>
        <w:rPr>
          <w:noProof/>
        </w:rPr>
        <w:t xml:space="preserve">du </w:t>
      </w:r>
      <w:r w:rsidR="003E46F8" w:rsidRPr="006437DD">
        <w:rPr>
          <w:noProof/>
        </w:rPr>
        <w:t xml:space="preserve">document UNEP/OzL.Pro/ExCom/83/43 </w:t>
      </w:r>
      <w:r>
        <w:rPr>
          <w:noProof/>
        </w:rPr>
        <w:t xml:space="preserve">sur l’établissement des </w:t>
      </w:r>
      <w:bookmarkStart w:id="4" w:name="_Hlk7640298"/>
      <w:r>
        <w:rPr>
          <w:noProof/>
        </w:rPr>
        <w:t xml:space="preserve">lignes directrices sur le coût de la réduction graduelle des </w:t>
      </w:r>
      <w:r w:rsidR="003E46F8" w:rsidRPr="006437DD">
        <w:rPr>
          <w:noProof/>
        </w:rPr>
        <w:t xml:space="preserve">HFC </w:t>
      </w:r>
      <w:r>
        <w:rPr>
          <w:noProof/>
        </w:rPr>
        <w:t>dans les p</w:t>
      </w:r>
      <w:r w:rsidR="00FF53E4" w:rsidRPr="006437DD">
        <w:rPr>
          <w:noProof/>
        </w:rPr>
        <w:t xml:space="preserve">ays </w:t>
      </w:r>
      <w:r w:rsidR="009327B4">
        <w:rPr>
          <w:noProof/>
        </w:rPr>
        <w:t>visés à l’Article</w:t>
      </w:r>
      <w:bookmarkEnd w:id="4"/>
      <w:r w:rsidR="00FF53E4" w:rsidRPr="006437DD">
        <w:rPr>
          <w:noProof/>
        </w:rPr>
        <w:t xml:space="preserve"> 5</w:t>
      </w:r>
      <w:r w:rsidR="003E46F8" w:rsidRPr="006437DD">
        <w:rPr>
          <w:noProof/>
        </w:rPr>
        <w:t xml:space="preserve">: </w:t>
      </w:r>
      <w:r>
        <w:rPr>
          <w:noProof/>
        </w:rPr>
        <w:t>Projet de critères de financement</w:t>
      </w:r>
      <w:r w:rsidR="003E46F8" w:rsidRPr="006437DD">
        <w:rPr>
          <w:noProof/>
        </w:rPr>
        <w:t xml:space="preserve">; </w:t>
      </w:r>
    </w:p>
    <w:p w:rsidR="003E46F8" w:rsidRPr="006437DD" w:rsidRDefault="00527CAD" w:rsidP="003E46F8">
      <w:pPr>
        <w:pStyle w:val="Heading2"/>
        <w:keepNext/>
        <w:keepLines/>
        <w:numPr>
          <w:ilvl w:val="1"/>
          <w:numId w:val="1"/>
        </w:numPr>
        <w:rPr>
          <w:noProof/>
        </w:rPr>
      </w:pPr>
      <w:r>
        <w:rPr>
          <w:noProof/>
        </w:rPr>
        <w:t xml:space="preserve">Lorsqu’il poursuivra ses délibérations sur les </w:t>
      </w:r>
      <w:r w:rsidRPr="00527CAD">
        <w:rPr>
          <w:noProof/>
        </w:rPr>
        <w:t xml:space="preserve">lignes directrices sur le coût de la réduction graduelle des HFC dans les pays visés à l’Article </w:t>
      </w:r>
      <w:r w:rsidR="00FF53E4" w:rsidRPr="006437DD">
        <w:rPr>
          <w:noProof/>
        </w:rPr>
        <w:t>5</w:t>
      </w:r>
      <w:r w:rsidR="003E46F8" w:rsidRPr="006437DD">
        <w:rPr>
          <w:noProof/>
        </w:rPr>
        <w:t>:</w:t>
      </w:r>
    </w:p>
    <w:p w:rsidR="003E46F8" w:rsidRPr="006437DD" w:rsidRDefault="00527CAD" w:rsidP="003E46F8">
      <w:pPr>
        <w:tabs>
          <w:tab w:val="left" w:pos="8280"/>
        </w:tabs>
        <w:ind w:left="720"/>
        <w:rPr>
          <w:noProof/>
          <w:u w:val="single"/>
        </w:rPr>
      </w:pPr>
      <w:r>
        <w:rPr>
          <w:noProof/>
          <w:u w:val="single"/>
        </w:rPr>
        <w:t>Concernant les réductions globales durables de la consommation et la production des HFC</w:t>
      </w:r>
    </w:p>
    <w:p w:rsidR="003E46F8" w:rsidRPr="006437DD" w:rsidRDefault="003E46F8" w:rsidP="003E46F8">
      <w:pPr>
        <w:tabs>
          <w:tab w:val="left" w:pos="8280"/>
        </w:tabs>
        <w:ind w:left="720"/>
        <w:rPr>
          <w:noProof/>
          <w:u w:val="single"/>
        </w:rPr>
      </w:pPr>
    </w:p>
    <w:p w:rsidR="003E46F8" w:rsidRPr="006437DD" w:rsidRDefault="00527CAD" w:rsidP="003E46F8">
      <w:pPr>
        <w:pStyle w:val="Heading3"/>
        <w:numPr>
          <w:ilvl w:val="2"/>
          <w:numId w:val="1"/>
        </w:numPr>
        <w:rPr>
          <w:noProof/>
        </w:rPr>
      </w:pPr>
      <w:r>
        <w:rPr>
          <w:noProof/>
        </w:rPr>
        <w:t xml:space="preserve">À examiner </w:t>
      </w:r>
      <w:r w:rsidR="00A451F8">
        <w:rPr>
          <w:noProof/>
        </w:rPr>
        <w:t xml:space="preserve">des propositions particulières des membres du Comité exécutif sur </w:t>
      </w:r>
      <w:r w:rsidR="00A451F8" w:rsidRPr="00A451F8">
        <w:rPr>
          <w:noProof/>
        </w:rPr>
        <w:t xml:space="preserve">l’élaboration d’une méthode pour fixer le point de départ de la réduction progressive globale durable </w:t>
      </w:r>
      <w:r w:rsidR="00A451F8">
        <w:rPr>
          <w:noProof/>
        </w:rPr>
        <w:t xml:space="preserve">des HFC, sur la base des aspects clés décrits dans le </w:t>
      </w:r>
      <w:r w:rsidR="003E46F8" w:rsidRPr="006437DD">
        <w:rPr>
          <w:noProof/>
        </w:rPr>
        <w:t xml:space="preserve">document UNEP/OzL.Pro/ExCom/82/66 </w:t>
      </w:r>
      <w:r w:rsidR="00A451F8">
        <w:rPr>
          <w:noProof/>
        </w:rPr>
        <w:t xml:space="preserve">et de ses </w:t>
      </w:r>
      <w:r w:rsidR="003E46F8" w:rsidRPr="006437DD">
        <w:rPr>
          <w:noProof/>
        </w:rPr>
        <w:t>d</w:t>
      </w:r>
      <w:r w:rsidR="00A451F8">
        <w:rPr>
          <w:noProof/>
        </w:rPr>
        <w:t>é</w:t>
      </w:r>
      <w:r w:rsidR="003E46F8" w:rsidRPr="006437DD">
        <w:rPr>
          <w:noProof/>
        </w:rPr>
        <w:t xml:space="preserve">liberations </w:t>
      </w:r>
      <w:r w:rsidR="00A451F8">
        <w:rPr>
          <w:noProof/>
        </w:rPr>
        <w:t xml:space="preserve">sur cette question à sa </w:t>
      </w:r>
      <w:r w:rsidR="003E46F8" w:rsidRPr="006437DD">
        <w:rPr>
          <w:noProof/>
        </w:rPr>
        <w:t>83</w:t>
      </w:r>
      <w:r w:rsidR="00A451F8">
        <w:rPr>
          <w:noProof/>
          <w:vertAlign w:val="superscript"/>
        </w:rPr>
        <w:t>e</w:t>
      </w:r>
      <w:r w:rsidR="003E46F8" w:rsidRPr="006437DD">
        <w:rPr>
          <w:noProof/>
        </w:rPr>
        <w:t> </w:t>
      </w:r>
      <w:r w:rsidR="00FF53E4" w:rsidRPr="006437DD">
        <w:rPr>
          <w:noProof/>
        </w:rPr>
        <w:t>réunion</w:t>
      </w:r>
      <w:r w:rsidR="003E46F8" w:rsidRPr="006437DD">
        <w:rPr>
          <w:noProof/>
        </w:rPr>
        <w:t>;</w:t>
      </w:r>
    </w:p>
    <w:p w:rsidR="003E46F8" w:rsidRPr="006437DD" w:rsidRDefault="00A451F8" w:rsidP="003E46F8">
      <w:pPr>
        <w:pStyle w:val="Heading3"/>
        <w:numPr>
          <w:ilvl w:val="2"/>
          <w:numId w:val="1"/>
        </w:numPr>
        <w:rPr>
          <w:noProof/>
        </w:rPr>
      </w:pPr>
      <w:bookmarkStart w:id="5" w:name="_Hlk7643407"/>
      <w:r>
        <w:rPr>
          <w:noProof/>
        </w:rPr>
        <w:t xml:space="preserve">À incorporer dans l’Annexe I au présent document, une fois convenue, la méthode </w:t>
      </w:r>
      <w:r w:rsidRPr="00A451F8">
        <w:rPr>
          <w:noProof/>
        </w:rPr>
        <w:t>pour fixer le point de départ de la réduction progressive globale durable des HFC</w:t>
      </w:r>
      <w:r>
        <w:rPr>
          <w:noProof/>
        </w:rPr>
        <w:t xml:space="preserve">, et à supprimer le texte sur les réductions </w:t>
      </w:r>
      <w:r w:rsidR="0011424C" w:rsidRPr="0011424C">
        <w:rPr>
          <w:noProof/>
        </w:rPr>
        <w:t xml:space="preserve">progressives </w:t>
      </w:r>
      <w:r>
        <w:rPr>
          <w:noProof/>
        </w:rPr>
        <w:t xml:space="preserve">globales durables figurant dans l’Annexe II au </w:t>
      </w:r>
      <w:r w:rsidR="003E46F8" w:rsidRPr="006437DD">
        <w:rPr>
          <w:noProof/>
        </w:rPr>
        <w:t>pr</w:t>
      </w:r>
      <w:r>
        <w:rPr>
          <w:noProof/>
        </w:rPr>
        <w:t>é</w:t>
      </w:r>
      <w:r w:rsidR="003E46F8" w:rsidRPr="006437DD">
        <w:rPr>
          <w:noProof/>
        </w:rPr>
        <w:t>sent document</w:t>
      </w:r>
      <w:bookmarkEnd w:id="5"/>
      <w:r w:rsidR="003E46F8" w:rsidRPr="006437DD">
        <w:rPr>
          <w:noProof/>
        </w:rPr>
        <w:t xml:space="preserve">; </w:t>
      </w:r>
    </w:p>
    <w:p w:rsidR="003E46F8" w:rsidRPr="006437DD" w:rsidRDefault="0011424C" w:rsidP="003E46F8">
      <w:pPr>
        <w:tabs>
          <w:tab w:val="left" w:pos="8280"/>
        </w:tabs>
        <w:ind w:left="720"/>
        <w:rPr>
          <w:noProof/>
          <w:u w:val="single"/>
        </w:rPr>
      </w:pPr>
      <w:r>
        <w:rPr>
          <w:noProof/>
          <w:u w:val="single"/>
        </w:rPr>
        <w:lastRenderedPageBreak/>
        <w:t xml:space="preserve">Concernant la consommation </w:t>
      </w:r>
      <w:r w:rsidR="00CE0E14">
        <w:rPr>
          <w:noProof/>
          <w:u w:val="single"/>
        </w:rPr>
        <w:t>du</w:t>
      </w:r>
      <w:r w:rsidR="00CC68B3" w:rsidRPr="00CC68B3">
        <w:rPr>
          <w:noProof/>
          <w:u w:val="single"/>
        </w:rPr>
        <w:t xml:space="preserve"> secteur de</w:t>
      </w:r>
      <w:r>
        <w:rPr>
          <w:noProof/>
          <w:u w:val="single"/>
        </w:rPr>
        <w:t xml:space="preserve"> la fabrication</w:t>
      </w:r>
    </w:p>
    <w:p w:rsidR="003E46F8" w:rsidRPr="006437DD" w:rsidRDefault="003E46F8" w:rsidP="003E46F8">
      <w:pPr>
        <w:tabs>
          <w:tab w:val="left" w:pos="8280"/>
        </w:tabs>
        <w:rPr>
          <w:noProof/>
        </w:rPr>
      </w:pPr>
    </w:p>
    <w:p w:rsidR="003E46F8" w:rsidRPr="006437DD" w:rsidRDefault="0011424C" w:rsidP="003E46F8">
      <w:pPr>
        <w:pStyle w:val="Heading3"/>
        <w:numPr>
          <w:ilvl w:val="2"/>
          <w:numId w:val="1"/>
        </w:numPr>
        <w:rPr>
          <w:noProof/>
        </w:rPr>
      </w:pPr>
      <w:r>
        <w:rPr>
          <w:noProof/>
        </w:rPr>
        <w:t xml:space="preserve">À envisager d’établir des </w:t>
      </w:r>
      <w:bookmarkStart w:id="6" w:name="_Hlk7642295"/>
      <w:r>
        <w:rPr>
          <w:noProof/>
        </w:rPr>
        <w:t xml:space="preserve">seuils pour le rapport coût-efficacité et des seuils pour les surcoûts d’exploitation (IOC) pour les activités de réduction graduelle des </w:t>
      </w:r>
      <w:r w:rsidR="003E46F8" w:rsidRPr="006437DD">
        <w:rPr>
          <w:noProof/>
        </w:rPr>
        <w:t>HFC</w:t>
      </w:r>
      <w:r>
        <w:rPr>
          <w:noProof/>
        </w:rPr>
        <w:t xml:space="preserve"> dans </w:t>
      </w:r>
      <w:r w:rsidR="00CC68B3">
        <w:rPr>
          <w:noProof/>
        </w:rPr>
        <w:t>la consommation du</w:t>
      </w:r>
      <w:r>
        <w:rPr>
          <w:noProof/>
        </w:rPr>
        <w:t xml:space="preserve"> secteur de</w:t>
      </w:r>
      <w:r w:rsidR="00CC68B3">
        <w:rPr>
          <w:noProof/>
        </w:rPr>
        <w:t xml:space="preserve"> </w:t>
      </w:r>
      <w:r>
        <w:rPr>
          <w:noProof/>
        </w:rPr>
        <w:t>la fabrication</w:t>
      </w:r>
      <w:bookmarkEnd w:id="6"/>
      <w:r>
        <w:rPr>
          <w:noProof/>
        </w:rPr>
        <w:t>, en fonction des résultats de la mise en œuvre de projets d’investissement sur les</w:t>
      </w:r>
      <w:r w:rsidR="003E46F8" w:rsidRPr="006437DD">
        <w:rPr>
          <w:noProof/>
        </w:rPr>
        <w:t xml:space="preserve"> HFC; </w:t>
      </w:r>
    </w:p>
    <w:p w:rsidR="003E46F8" w:rsidRPr="006437DD" w:rsidRDefault="00D55027" w:rsidP="003E46F8">
      <w:pPr>
        <w:pStyle w:val="Heading3"/>
        <w:numPr>
          <w:ilvl w:val="2"/>
          <w:numId w:val="1"/>
        </w:numPr>
        <w:rPr>
          <w:noProof/>
        </w:rPr>
      </w:pPr>
      <w:r w:rsidRPr="00D55027">
        <w:rPr>
          <w:noProof/>
        </w:rPr>
        <w:t>À incorporer dans l’Annexe I au présent document, une fois convenu</w:t>
      </w:r>
      <w:r>
        <w:rPr>
          <w:noProof/>
        </w:rPr>
        <w:t>s</w:t>
      </w:r>
      <w:r w:rsidRPr="00D55027">
        <w:rPr>
          <w:noProof/>
        </w:rPr>
        <w:t>, l</w:t>
      </w:r>
      <w:r>
        <w:rPr>
          <w:noProof/>
        </w:rPr>
        <w:t>es</w:t>
      </w:r>
      <w:r w:rsidRPr="00D55027">
        <w:rPr>
          <w:noProof/>
        </w:rPr>
        <w:t xml:space="preserve"> seuils pour le rapport coût-efficacité et </w:t>
      </w:r>
      <w:r>
        <w:rPr>
          <w:noProof/>
        </w:rPr>
        <w:t>l</w:t>
      </w:r>
      <w:r w:rsidRPr="00D55027">
        <w:rPr>
          <w:noProof/>
        </w:rPr>
        <w:t xml:space="preserve">es seuils pour les IOC pour les activités de réduction graduelle des HFC dans </w:t>
      </w:r>
      <w:r w:rsidR="00CC68B3" w:rsidRPr="00CC68B3">
        <w:rPr>
          <w:noProof/>
        </w:rPr>
        <w:t>la consommation du secteur</w:t>
      </w:r>
      <w:r w:rsidR="00CC68B3">
        <w:rPr>
          <w:noProof/>
        </w:rPr>
        <w:t xml:space="preserve"> de</w:t>
      </w:r>
      <w:r w:rsidRPr="00D55027">
        <w:rPr>
          <w:noProof/>
        </w:rPr>
        <w:t xml:space="preserve"> la fabrication</w:t>
      </w:r>
      <w:r w:rsidR="003E46F8" w:rsidRPr="006437DD">
        <w:rPr>
          <w:noProof/>
        </w:rPr>
        <w:t xml:space="preserve">, </w:t>
      </w:r>
      <w:r>
        <w:rPr>
          <w:noProof/>
        </w:rPr>
        <w:t>et à supprimer le texte sur les tr</w:t>
      </w:r>
      <w:r w:rsidR="003E46F8" w:rsidRPr="006437DD">
        <w:rPr>
          <w:noProof/>
        </w:rPr>
        <w:t>a</w:t>
      </w:r>
      <w:r>
        <w:rPr>
          <w:noProof/>
        </w:rPr>
        <w:t xml:space="preserve">vaux supplémentaires à demander au </w:t>
      </w:r>
      <w:r w:rsidR="004724E3">
        <w:rPr>
          <w:noProof/>
        </w:rPr>
        <w:t>Secrétariat</w:t>
      </w:r>
      <w:r w:rsidR="003E46F8" w:rsidRPr="006437DD">
        <w:rPr>
          <w:noProof/>
        </w:rPr>
        <w:t xml:space="preserve"> </w:t>
      </w:r>
      <w:r>
        <w:rPr>
          <w:noProof/>
        </w:rPr>
        <w:t xml:space="preserve">en rapport avec la consommation </w:t>
      </w:r>
      <w:r w:rsidR="00CC68B3" w:rsidRPr="00CC68B3">
        <w:rPr>
          <w:noProof/>
        </w:rPr>
        <w:t>du secteur de</w:t>
      </w:r>
      <w:r w:rsidR="00CC68B3">
        <w:rPr>
          <w:noProof/>
        </w:rPr>
        <w:t xml:space="preserve"> la production</w:t>
      </w:r>
      <w:r>
        <w:rPr>
          <w:noProof/>
        </w:rPr>
        <w:t>, contenu dans l’</w:t>
      </w:r>
      <w:r w:rsidR="003E46F8" w:rsidRPr="006437DD">
        <w:rPr>
          <w:noProof/>
        </w:rPr>
        <w:t>Annex</w:t>
      </w:r>
      <w:r>
        <w:rPr>
          <w:noProof/>
        </w:rPr>
        <w:t>e</w:t>
      </w:r>
      <w:r w:rsidR="003E46F8" w:rsidRPr="006437DD">
        <w:rPr>
          <w:noProof/>
        </w:rPr>
        <w:t xml:space="preserve"> II </w:t>
      </w:r>
      <w:r>
        <w:rPr>
          <w:noProof/>
        </w:rPr>
        <w:t xml:space="preserve">au </w:t>
      </w:r>
      <w:r w:rsidR="003E46F8" w:rsidRPr="006437DD">
        <w:rPr>
          <w:noProof/>
        </w:rPr>
        <w:t>pr</w:t>
      </w:r>
      <w:r>
        <w:rPr>
          <w:noProof/>
        </w:rPr>
        <w:t>é</w:t>
      </w:r>
      <w:r w:rsidR="003E46F8" w:rsidRPr="006437DD">
        <w:rPr>
          <w:noProof/>
        </w:rPr>
        <w:t>sent document;</w:t>
      </w:r>
    </w:p>
    <w:p w:rsidR="003E46F8" w:rsidRPr="006437DD" w:rsidRDefault="00D55027" w:rsidP="003E46F8">
      <w:pPr>
        <w:tabs>
          <w:tab w:val="left" w:pos="8280"/>
        </w:tabs>
        <w:ind w:left="720"/>
        <w:rPr>
          <w:noProof/>
          <w:u w:val="single"/>
        </w:rPr>
      </w:pPr>
      <w:r>
        <w:rPr>
          <w:noProof/>
          <w:u w:val="single"/>
        </w:rPr>
        <w:t>Concernant les surcoûts admissibles pour le secteur de l’entretien en réfrigération</w:t>
      </w:r>
    </w:p>
    <w:p w:rsidR="003E46F8" w:rsidRPr="006437DD" w:rsidRDefault="003E46F8" w:rsidP="003E46F8">
      <w:pPr>
        <w:tabs>
          <w:tab w:val="left" w:pos="8280"/>
        </w:tabs>
        <w:rPr>
          <w:noProof/>
        </w:rPr>
      </w:pPr>
    </w:p>
    <w:p w:rsidR="003E46F8" w:rsidRPr="006437DD" w:rsidRDefault="00713DAC" w:rsidP="003E46F8">
      <w:pPr>
        <w:pStyle w:val="Heading3"/>
        <w:numPr>
          <w:ilvl w:val="2"/>
          <w:numId w:val="1"/>
        </w:numPr>
        <w:rPr>
          <w:noProof/>
        </w:rPr>
      </w:pPr>
      <w:r>
        <w:rPr>
          <w:noProof/>
        </w:rPr>
        <w:t xml:space="preserve">À examiner le niveau et les modalités de financement des surcoûts admissibles pour la réduction graduelle desd HFC dans le secteur de l’entretien en réfrigération, à la lumière des </w:t>
      </w:r>
      <w:r w:rsidR="003E46F8" w:rsidRPr="006437DD">
        <w:rPr>
          <w:noProof/>
        </w:rPr>
        <w:t>information</w:t>
      </w:r>
      <w:r>
        <w:rPr>
          <w:noProof/>
        </w:rPr>
        <w:t xml:space="preserve">s présentées dans le </w:t>
      </w:r>
      <w:r w:rsidR="003E46F8" w:rsidRPr="006437DD">
        <w:rPr>
          <w:noProof/>
        </w:rPr>
        <w:t>document</w:t>
      </w:r>
      <w:r>
        <w:rPr>
          <w:noProof/>
        </w:rPr>
        <w:t xml:space="preserve"> </w:t>
      </w:r>
      <w:r w:rsidR="003E46F8" w:rsidRPr="006437DD">
        <w:rPr>
          <w:noProof/>
        </w:rPr>
        <w:t xml:space="preserve">UNEP/OzL.Pro/ExCom/82/64, </w:t>
      </w:r>
      <w:r>
        <w:rPr>
          <w:noProof/>
        </w:rPr>
        <w:t xml:space="preserve">notamment les opportunités et les synergies découlant des activités de mise en œuvre </w:t>
      </w:r>
      <w:r w:rsidRPr="00713DAC">
        <w:rPr>
          <w:noProof/>
        </w:rPr>
        <w:t>favorables à l’é</w:t>
      </w:r>
      <w:r>
        <w:rPr>
          <w:noProof/>
        </w:rPr>
        <w:t xml:space="preserve">limination </w:t>
      </w:r>
      <w:r w:rsidRPr="00713DAC">
        <w:rPr>
          <w:noProof/>
        </w:rPr>
        <w:t>des HCFC aussi bien qu’à la réduction graduelle des HFC</w:t>
      </w:r>
      <w:r w:rsidR="003E46F8" w:rsidRPr="006437DD">
        <w:rPr>
          <w:noProof/>
        </w:rPr>
        <w:t xml:space="preserve">, </w:t>
      </w:r>
      <w:r>
        <w:rPr>
          <w:noProof/>
        </w:rPr>
        <w:t>les difficultés soulevées par l’</w:t>
      </w:r>
      <w:r w:rsidR="003E46F8" w:rsidRPr="006437DD">
        <w:rPr>
          <w:noProof/>
        </w:rPr>
        <w:t xml:space="preserve">introduction </w:t>
      </w:r>
      <w:r>
        <w:rPr>
          <w:noProof/>
        </w:rPr>
        <w:t>de solutions de rechange à faible PRG</w:t>
      </w:r>
      <w:r w:rsidR="003E46F8" w:rsidRPr="006437DD">
        <w:rPr>
          <w:noProof/>
        </w:rPr>
        <w:t xml:space="preserve">, </w:t>
      </w:r>
      <w:r>
        <w:rPr>
          <w:noProof/>
        </w:rPr>
        <w:t>les niveaux de financement nécessaires</w:t>
      </w:r>
      <w:r w:rsidR="003E46F8" w:rsidRPr="006437DD">
        <w:rPr>
          <w:noProof/>
        </w:rPr>
        <w:t xml:space="preserve">, </w:t>
      </w:r>
      <w:r>
        <w:rPr>
          <w:noProof/>
        </w:rPr>
        <w:t>et la souplesse requise par les p</w:t>
      </w:r>
      <w:r w:rsidR="00FF53E4" w:rsidRPr="006437DD">
        <w:rPr>
          <w:noProof/>
        </w:rPr>
        <w:t xml:space="preserve">ays </w:t>
      </w:r>
      <w:r w:rsidR="009327B4">
        <w:rPr>
          <w:noProof/>
        </w:rPr>
        <w:t>visés à l’Article</w:t>
      </w:r>
      <w:r w:rsidR="00FF53E4" w:rsidRPr="006437DD">
        <w:rPr>
          <w:noProof/>
        </w:rPr>
        <w:t xml:space="preserve"> 5</w:t>
      </w:r>
      <w:r w:rsidR="003E46F8" w:rsidRPr="006437DD">
        <w:rPr>
          <w:noProof/>
        </w:rPr>
        <w:t xml:space="preserve"> </w:t>
      </w:r>
      <w:r>
        <w:rPr>
          <w:noProof/>
        </w:rPr>
        <w:t>pour attribuer le financement aux priorités stratégiques en fonction de leur consommation</w:t>
      </w:r>
      <w:r w:rsidR="003E46F8" w:rsidRPr="006437DD">
        <w:rPr>
          <w:noProof/>
        </w:rPr>
        <w:t xml:space="preserve">; </w:t>
      </w:r>
    </w:p>
    <w:p w:rsidR="003E46F8" w:rsidRPr="006437DD" w:rsidRDefault="00713DAC" w:rsidP="003E46F8">
      <w:pPr>
        <w:pStyle w:val="Heading3"/>
        <w:numPr>
          <w:ilvl w:val="2"/>
          <w:numId w:val="1"/>
        </w:numPr>
        <w:rPr>
          <w:noProof/>
        </w:rPr>
      </w:pPr>
      <w:r>
        <w:rPr>
          <w:noProof/>
        </w:rPr>
        <w:t xml:space="preserve">À déterminer s’il convient de demander au </w:t>
      </w:r>
      <w:r w:rsidR="004724E3">
        <w:rPr>
          <w:noProof/>
        </w:rPr>
        <w:t>Secrétariat</w:t>
      </w:r>
      <w:r w:rsidR="003E46F8" w:rsidRPr="006437DD">
        <w:rPr>
          <w:noProof/>
        </w:rPr>
        <w:t xml:space="preserve"> </w:t>
      </w:r>
      <w:r>
        <w:rPr>
          <w:noProof/>
        </w:rPr>
        <w:t>de</w:t>
      </w:r>
      <w:r w:rsidR="003E46F8" w:rsidRPr="006437DD">
        <w:rPr>
          <w:noProof/>
        </w:rPr>
        <w:t xml:space="preserve"> pr</w:t>
      </w:r>
      <w:r>
        <w:rPr>
          <w:noProof/>
        </w:rPr>
        <w:t>é</w:t>
      </w:r>
      <w:r w:rsidR="003E46F8" w:rsidRPr="006437DD">
        <w:rPr>
          <w:noProof/>
        </w:rPr>
        <w:t>pare</w:t>
      </w:r>
      <w:r>
        <w:rPr>
          <w:noProof/>
        </w:rPr>
        <w:t>r</w:t>
      </w:r>
      <w:r w:rsidR="003E46F8" w:rsidRPr="006437DD">
        <w:rPr>
          <w:noProof/>
        </w:rPr>
        <w:t xml:space="preserve"> </w:t>
      </w:r>
      <w:r>
        <w:rPr>
          <w:noProof/>
        </w:rPr>
        <w:t>un</w:t>
      </w:r>
      <w:r w:rsidR="003E46F8" w:rsidRPr="006437DD">
        <w:rPr>
          <w:noProof/>
        </w:rPr>
        <w:t xml:space="preserve"> document </w:t>
      </w:r>
      <w:r>
        <w:rPr>
          <w:noProof/>
        </w:rPr>
        <w:t xml:space="preserve">présentant une analyse du niveau et des modalités de financement pour l;e secteur de l’entretien en </w:t>
      </w:r>
      <w:r w:rsidR="003E46F8" w:rsidRPr="006437DD">
        <w:rPr>
          <w:noProof/>
        </w:rPr>
        <w:t>r</w:t>
      </w:r>
      <w:r w:rsidR="00170611">
        <w:rPr>
          <w:noProof/>
        </w:rPr>
        <w:t>é</w:t>
      </w:r>
      <w:r w:rsidR="003E46F8" w:rsidRPr="006437DD">
        <w:rPr>
          <w:noProof/>
        </w:rPr>
        <w:t>frig</w:t>
      </w:r>
      <w:r w:rsidR="00170611">
        <w:rPr>
          <w:noProof/>
        </w:rPr>
        <w:t>é</w:t>
      </w:r>
      <w:r w:rsidR="003E46F8" w:rsidRPr="006437DD">
        <w:rPr>
          <w:noProof/>
        </w:rPr>
        <w:t>ration;</w:t>
      </w:r>
    </w:p>
    <w:p w:rsidR="003E46F8" w:rsidRPr="006437DD" w:rsidRDefault="00170611" w:rsidP="003E46F8">
      <w:pPr>
        <w:pStyle w:val="Heading3"/>
        <w:numPr>
          <w:ilvl w:val="2"/>
          <w:numId w:val="1"/>
        </w:numPr>
        <w:rPr>
          <w:noProof/>
        </w:rPr>
      </w:pPr>
      <w:r w:rsidRPr="00170611">
        <w:rPr>
          <w:noProof/>
        </w:rPr>
        <w:t xml:space="preserve">À incorporer dans l’Annexe I au présent document, une fois convenus, les seuils pour le rapport coût-efficacité </w:t>
      </w:r>
      <w:r>
        <w:rPr>
          <w:noProof/>
        </w:rPr>
        <w:t>pour</w:t>
      </w:r>
      <w:r w:rsidRPr="00170611">
        <w:rPr>
          <w:noProof/>
        </w:rPr>
        <w:t xml:space="preserve"> le secteur de </w:t>
      </w:r>
      <w:r>
        <w:rPr>
          <w:noProof/>
        </w:rPr>
        <w:t xml:space="preserve">l’entretien en réfrigération </w:t>
      </w:r>
      <w:r w:rsidRPr="00170611">
        <w:rPr>
          <w:noProof/>
        </w:rPr>
        <w:t xml:space="preserve">et à supprimer le texte </w:t>
      </w:r>
      <w:r>
        <w:rPr>
          <w:noProof/>
        </w:rPr>
        <w:t xml:space="preserve">correspondant </w:t>
      </w:r>
      <w:r w:rsidRPr="00170611">
        <w:rPr>
          <w:noProof/>
        </w:rPr>
        <w:t>dans l’Annexe II au présent document</w:t>
      </w:r>
      <w:r w:rsidR="003E46F8" w:rsidRPr="006437DD">
        <w:rPr>
          <w:noProof/>
        </w:rPr>
        <w:t>;</w:t>
      </w:r>
    </w:p>
    <w:p w:rsidR="003E46F8" w:rsidRPr="006437DD" w:rsidRDefault="00170611" w:rsidP="003E46F8">
      <w:pPr>
        <w:tabs>
          <w:tab w:val="left" w:pos="8280"/>
        </w:tabs>
        <w:ind w:left="720"/>
        <w:rPr>
          <w:noProof/>
          <w:u w:val="single"/>
        </w:rPr>
      </w:pPr>
      <w:r>
        <w:rPr>
          <w:noProof/>
          <w:u w:val="single"/>
        </w:rPr>
        <w:t>Concernant l’efficacité énergétique</w:t>
      </w:r>
    </w:p>
    <w:p w:rsidR="003E46F8" w:rsidRPr="006437DD" w:rsidRDefault="003E46F8" w:rsidP="003E46F8">
      <w:pPr>
        <w:tabs>
          <w:tab w:val="left" w:pos="8280"/>
        </w:tabs>
        <w:rPr>
          <w:noProof/>
        </w:rPr>
      </w:pPr>
    </w:p>
    <w:p w:rsidR="003E46F8" w:rsidRPr="006437DD" w:rsidRDefault="00170611" w:rsidP="003E46F8">
      <w:pPr>
        <w:pStyle w:val="Heading3"/>
        <w:numPr>
          <w:ilvl w:val="2"/>
          <w:numId w:val="1"/>
        </w:numPr>
        <w:rPr>
          <w:noProof/>
        </w:rPr>
      </w:pPr>
      <w:r>
        <w:rPr>
          <w:noProof/>
        </w:rPr>
        <w:t>À décider s’il convient d’incorporer</w:t>
      </w:r>
      <w:r w:rsidRPr="00170611">
        <w:t xml:space="preserve"> </w:t>
      </w:r>
      <w:r>
        <w:rPr>
          <w:noProof/>
        </w:rPr>
        <w:t>dans l’</w:t>
      </w:r>
      <w:r w:rsidRPr="00170611">
        <w:rPr>
          <w:noProof/>
        </w:rPr>
        <w:t>Annex</w:t>
      </w:r>
      <w:r>
        <w:rPr>
          <w:noProof/>
        </w:rPr>
        <w:t>e</w:t>
      </w:r>
      <w:r w:rsidRPr="00170611">
        <w:rPr>
          <w:noProof/>
        </w:rPr>
        <w:t xml:space="preserve"> I </w:t>
      </w:r>
      <w:r>
        <w:rPr>
          <w:noProof/>
        </w:rPr>
        <w:t>au</w:t>
      </w:r>
      <w:r w:rsidRPr="00170611">
        <w:rPr>
          <w:noProof/>
        </w:rPr>
        <w:t xml:space="preserve"> pr</w:t>
      </w:r>
      <w:r>
        <w:rPr>
          <w:noProof/>
        </w:rPr>
        <w:t>é</w:t>
      </w:r>
      <w:r w:rsidRPr="00170611">
        <w:rPr>
          <w:noProof/>
        </w:rPr>
        <w:t>sent document</w:t>
      </w:r>
      <w:r>
        <w:rPr>
          <w:noProof/>
        </w:rPr>
        <w:t xml:space="preserve">, une fois convenues, toutes décisions relatives à l’efficacité énergétique au titre du point </w:t>
      </w:r>
      <w:r w:rsidR="003E46F8" w:rsidRPr="006437DD">
        <w:rPr>
          <w:noProof/>
        </w:rPr>
        <w:t xml:space="preserve">12(a) </w:t>
      </w:r>
      <w:r>
        <w:rPr>
          <w:noProof/>
        </w:rPr>
        <w:t xml:space="preserve">de l’ordre du jour de la </w:t>
      </w:r>
      <w:r w:rsidR="003E46F8" w:rsidRPr="006437DD">
        <w:rPr>
          <w:noProof/>
        </w:rPr>
        <w:t>pr</w:t>
      </w:r>
      <w:r>
        <w:rPr>
          <w:noProof/>
        </w:rPr>
        <w:t>é</w:t>
      </w:r>
      <w:r w:rsidR="003E46F8" w:rsidRPr="006437DD">
        <w:rPr>
          <w:noProof/>
        </w:rPr>
        <w:t>sent</w:t>
      </w:r>
      <w:r>
        <w:rPr>
          <w:noProof/>
        </w:rPr>
        <w:t>e</w:t>
      </w:r>
      <w:r w:rsidR="003E46F8" w:rsidRPr="006437DD">
        <w:rPr>
          <w:noProof/>
        </w:rPr>
        <w:t xml:space="preserve"> </w:t>
      </w:r>
      <w:r w:rsidR="00FF53E4" w:rsidRPr="006437DD">
        <w:rPr>
          <w:noProof/>
        </w:rPr>
        <w:t>réunion</w:t>
      </w:r>
      <w:r w:rsidR="003E46F8" w:rsidRPr="006437DD">
        <w:rPr>
          <w:noProof/>
        </w:rPr>
        <w:t>;</w:t>
      </w:r>
    </w:p>
    <w:p w:rsidR="003E46F8" w:rsidRPr="006437DD" w:rsidRDefault="00170611" w:rsidP="003E46F8">
      <w:pPr>
        <w:pStyle w:val="Heading3"/>
        <w:numPr>
          <w:ilvl w:val="2"/>
          <w:numId w:val="1"/>
        </w:numPr>
        <w:rPr>
          <w:noProof/>
        </w:rPr>
      </w:pPr>
      <w:r>
        <w:rPr>
          <w:noProof/>
        </w:rPr>
        <w:t>À supprimer</w:t>
      </w:r>
      <w:r w:rsidR="0072020C">
        <w:rPr>
          <w:noProof/>
        </w:rPr>
        <w:t>,</w:t>
      </w:r>
      <w:r>
        <w:rPr>
          <w:noProof/>
        </w:rPr>
        <w:t xml:space="preserve"> </w:t>
      </w:r>
      <w:r w:rsidR="0072020C">
        <w:rPr>
          <w:noProof/>
        </w:rPr>
        <w:t xml:space="preserve">dans l’Annexe II au présent document, </w:t>
      </w:r>
      <w:r>
        <w:rPr>
          <w:noProof/>
        </w:rPr>
        <w:t xml:space="preserve">le texte sur l’efficacité énergétique, notamment le document de séance présenté par le gouvernement </w:t>
      </w:r>
      <w:r w:rsidR="0072020C">
        <w:rPr>
          <w:noProof/>
        </w:rPr>
        <w:t>d</w:t>
      </w:r>
      <w:r>
        <w:rPr>
          <w:noProof/>
        </w:rPr>
        <w:t>’Autriche</w:t>
      </w:r>
      <w:r w:rsidR="0072020C">
        <w:rPr>
          <w:noProof/>
        </w:rPr>
        <w:t xml:space="preserve"> à la</w:t>
      </w:r>
      <w:r>
        <w:rPr>
          <w:noProof/>
        </w:rPr>
        <w:t xml:space="preserve"> </w:t>
      </w:r>
      <w:r w:rsidR="003E46F8" w:rsidRPr="006437DD">
        <w:rPr>
          <w:noProof/>
        </w:rPr>
        <w:t>80</w:t>
      </w:r>
      <w:r w:rsidR="0072020C">
        <w:rPr>
          <w:noProof/>
          <w:vertAlign w:val="superscript"/>
        </w:rPr>
        <w:t>e</w:t>
      </w:r>
      <w:r w:rsidR="003E46F8" w:rsidRPr="006437DD">
        <w:rPr>
          <w:noProof/>
        </w:rPr>
        <w:t> </w:t>
      </w:r>
      <w:r w:rsidR="00FF53E4" w:rsidRPr="006437DD">
        <w:rPr>
          <w:noProof/>
        </w:rPr>
        <w:t>réunion</w:t>
      </w:r>
      <w:r w:rsidR="003E46F8" w:rsidRPr="006437DD">
        <w:rPr>
          <w:noProof/>
        </w:rPr>
        <w:t xml:space="preserve">; </w:t>
      </w:r>
    </w:p>
    <w:p w:rsidR="003E46F8" w:rsidRPr="006437DD" w:rsidRDefault="0072020C" w:rsidP="003E46F8">
      <w:pPr>
        <w:tabs>
          <w:tab w:val="left" w:pos="8280"/>
        </w:tabs>
        <w:ind w:left="720"/>
        <w:rPr>
          <w:noProof/>
          <w:u w:val="single"/>
        </w:rPr>
      </w:pPr>
      <w:r>
        <w:rPr>
          <w:noProof/>
          <w:u w:val="single"/>
        </w:rPr>
        <w:t>Concernant l’élimination définitive</w:t>
      </w:r>
    </w:p>
    <w:p w:rsidR="003E46F8" w:rsidRPr="006437DD" w:rsidRDefault="003E46F8" w:rsidP="003E46F8">
      <w:pPr>
        <w:tabs>
          <w:tab w:val="left" w:pos="8280"/>
        </w:tabs>
        <w:rPr>
          <w:noProof/>
        </w:rPr>
      </w:pPr>
    </w:p>
    <w:p w:rsidR="003E46F8" w:rsidRPr="006437DD" w:rsidRDefault="0072020C" w:rsidP="003E46F8">
      <w:pPr>
        <w:pStyle w:val="Heading3"/>
        <w:numPr>
          <w:ilvl w:val="2"/>
          <w:numId w:val="1"/>
        </w:numPr>
        <w:rPr>
          <w:noProof/>
        </w:rPr>
      </w:pPr>
      <w:r>
        <w:rPr>
          <w:noProof/>
        </w:rPr>
        <w:t xml:space="preserve">Lorsqu’il examinera l’élément d’élimination définitive, à prendre en considération les questions relatives à la gestion efficiente des </w:t>
      </w:r>
      <w:r w:rsidRPr="0072020C">
        <w:rPr>
          <w:noProof/>
        </w:rPr>
        <w:t>stocks de substances réglementées usées ou indésirables, incluant leur destruction, à la lumière de la note sur la destruction de SAO préparée par le Secrétariat en réponse à la décision 79/18(e)</w:t>
      </w:r>
      <w:r w:rsidR="003E46F8" w:rsidRPr="006437DD">
        <w:rPr>
          <w:noProof/>
        </w:rPr>
        <w:t xml:space="preserve">, </w:t>
      </w:r>
      <w:r>
        <w:rPr>
          <w:noProof/>
        </w:rPr>
        <w:t xml:space="preserve">figurant dans le </w:t>
      </w:r>
      <w:r w:rsidR="003E46F8" w:rsidRPr="006437DD">
        <w:rPr>
          <w:noProof/>
        </w:rPr>
        <w:t>document UNEP/OzL.Pro/ExCom/82/21;</w:t>
      </w:r>
    </w:p>
    <w:p w:rsidR="003E46F8" w:rsidRPr="006437DD" w:rsidRDefault="0072020C" w:rsidP="003E46F8">
      <w:pPr>
        <w:pStyle w:val="Heading3"/>
        <w:numPr>
          <w:ilvl w:val="2"/>
          <w:numId w:val="1"/>
        </w:numPr>
        <w:rPr>
          <w:noProof/>
        </w:rPr>
      </w:pPr>
      <w:r>
        <w:rPr>
          <w:noProof/>
        </w:rPr>
        <w:lastRenderedPageBreak/>
        <w:t>À déterminer s’il convient d’incorporer dans l’Annexe I au présent document, une fois convenues, toutes décisions relatives à l’élimination définitive, et ça supprimer en conséquence le texte correspondant dans l’A</w:t>
      </w:r>
      <w:r w:rsidR="003E46F8" w:rsidRPr="006437DD">
        <w:rPr>
          <w:noProof/>
        </w:rPr>
        <w:t>nnex</w:t>
      </w:r>
      <w:r>
        <w:rPr>
          <w:noProof/>
        </w:rPr>
        <w:t>e</w:t>
      </w:r>
      <w:r w:rsidR="003E46F8" w:rsidRPr="006437DD">
        <w:rPr>
          <w:noProof/>
        </w:rPr>
        <w:t xml:space="preserve"> II </w:t>
      </w:r>
      <w:r>
        <w:rPr>
          <w:noProof/>
        </w:rPr>
        <w:t>au</w:t>
      </w:r>
      <w:r w:rsidR="003E46F8" w:rsidRPr="006437DD">
        <w:rPr>
          <w:noProof/>
        </w:rPr>
        <w:t xml:space="preserve"> pr</w:t>
      </w:r>
      <w:r>
        <w:rPr>
          <w:noProof/>
        </w:rPr>
        <w:t>é</w:t>
      </w:r>
      <w:r w:rsidR="003E46F8" w:rsidRPr="006437DD">
        <w:rPr>
          <w:noProof/>
        </w:rPr>
        <w:t xml:space="preserve">sent document; </w:t>
      </w:r>
      <w:r>
        <w:rPr>
          <w:noProof/>
        </w:rPr>
        <w:t>et</w:t>
      </w:r>
    </w:p>
    <w:p w:rsidR="003E46F8" w:rsidRPr="006437DD" w:rsidRDefault="0072020C" w:rsidP="003E46F8">
      <w:pPr>
        <w:tabs>
          <w:tab w:val="left" w:pos="8280"/>
        </w:tabs>
        <w:ind w:left="720"/>
        <w:rPr>
          <w:noProof/>
          <w:u w:val="single"/>
        </w:rPr>
      </w:pPr>
      <w:r>
        <w:rPr>
          <w:noProof/>
          <w:u w:val="single"/>
        </w:rPr>
        <w:t xml:space="preserve">Concernant d’autres questions d’ordre général liées à la réduction graduelle des </w:t>
      </w:r>
      <w:r w:rsidR="003E46F8" w:rsidRPr="006437DD">
        <w:rPr>
          <w:noProof/>
          <w:u w:val="single"/>
        </w:rPr>
        <w:t>HFC</w:t>
      </w:r>
    </w:p>
    <w:p w:rsidR="003E46F8" w:rsidRPr="006437DD" w:rsidRDefault="003E46F8" w:rsidP="003E46F8">
      <w:pPr>
        <w:tabs>
          <w:tab w:val="left" w:pos="8280"/>
        </w:tabs>
        <w:rPr>
          <w:noProof/>
        </w:rPr>
      </w:pPr>
    </w:p>
    <w:p w:rsidR="00441083" w:rsidRPr="006437DD" w:rsidRDefault="005D2B0A" w:rsidP="00355683">
      <w:pPr>
        <w:pStyle w:val="Heading3"/>
        <w:numPr>
          <w:ilvl w:val="2"/>
          <w:numId w:val="1"/>
        </w:numPr>
        <w:rPr>
          <w:noProof/>
        </w:rPr>
      </w:pPr>
      <w:r>
        <w:rPr>
          <w:noProof/>
        </w:rPr>
        <w:t xml:space="preserve">À déterminer s’il convient d’incorporer dans l’Annexe I le texte relatif asux « autres questions d’ordre général liées à la réduction graduelle des </w:t>
      </w:r>
      <w:r w:rsidR="003E46F8" w:rsidRPr="006437DD">
        <w:rPr>
          <w:noProof/>
        </w:rPr>
        <w:t>HFC</w:t>
      </w:r>
      <w:r>
        <w:rPr>
          <w:noProof/>
        </w:rPr>
        <w:t> » figurant dans l’A</w:t>
      </w:r>
      <w:r w:rsidR="003E46F8" w:rsidRPr="006437DD">
        <w:rPr>
          <w:noProof/>
        </w:rPr>
        <w:t>nnex</w:t>
      </w:r>
      <w:r>
        <w:rPr>
          <w:noProof/>
        </w:rPr>
        <w:t>e I</w:t>
      </w:r>
      <w:r w:rsidR="003E46F8" w:rsidRPr="006437DD">
        <w:rPr>
          <w:noProof/>
        </w:rPr>
        <w:t>I, o</w:t>
      </w:r>
      <w:r>
        <w:rPr>
          <w:noProof/>
        </w:rPr>
        <w:t>u de reporter l’examen de cette question à une réunion future</w:t>
      </w:r>
      <w:r w:rsidR="003E46F8" w:rsidRPr="006437DD">
        <w:rPr>
          <w:noProof/>
        </w:rPr>
        <w:t>.</w:t>
      </w:r>
    </w:p>
    <w:p w:rsidR="00441083" w:rsidRPr="006437DD" w:rsidRDefault="00441083">
      <w:pPr>
        <w:pStyle w:val="StyleHeader4Para4Left0Firstline0"/>
        <w:numPr>
          <w:ilvl w:val="0"/>
          <w:numId w:val="0"/>
        </w:numPr>
        <w:rPr>
          <w:noProof/>
        </w:rPr>
      </w:pPr>
    </w:p>
    <w:p w:rsidR="00441083" w:rsidRPr="006437DD" w:rsidRDefault="00441083">
      <w:pPr>
        <w:rPr>
          <w:noProof/>
        </w:rPr>
        <w:sectPr w:rsidR="00441083" w:rsidRPr="006437DD">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rsidR="00441083" w:rsidRPr="00355683" w:rsidRDefault="00441083" w:rsidP="00355683">
      <w:pPr>
        <w:jc w:val="cente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441083" w:rsidRPr="006437DD">
        <w:tc>
          <w:tcPr>
            <w:tcW w:w="1915" w:type="dxa"/>
          </w:tcPr>
          <w:p w:rsidR="00441083" w:rsidRPr="006437DD" w:rsidRDefault="00441083">
            <w:pPr>
              <w:rPr>
                <w:noProof/>
              </w:rPr>
            </w:pPr>
          </w:p>
        </w:tc>
        <w:tc>
          <w:tcPr>
            <w:tcW w:w="1915" w:type="dxa"/>
          </w:tcPr>
          <w:p w:rsidR="00441083" w:rsidRPr="006437DD" w:rsidRDefault="00441083">
            <w:pPr>
              <w:rPr>
                <w:noProof/>
              </w:rPr>
            </w:pPr>
          </w:p>
        </w:tc>
        <w:tc>
          <w:tcPr>
            <w:tcW w:w="1915" w:type="dxa"/>
            <w:tcBorders>
              <w:bottom w:val="single" w:sz="4" w:space="0" w:color="auto"/>
            </w:tcBorders>
          </w:tcPr>
          <w:p w:rsidR="00441083" w:rsidRPr="006437DD" w:rsidRDefault="00441083">
            <w:pPr>
              <w:rPr>
                <w:b/>
                <w:bCs/>
                <w:noProof/>
              </w:rPr>
            </w:pPr>
          </w:p>
        </w:tc>
        <w:tc>
          <w:tcPr>
            <w:tcW w:w="1915" w:type="dxa"/>
          </w:tcPr>
          <w:p w:rsidR="00441083" w:rsidRPr="006437DD" w:rsidRDefault="00441083">
            <w:pPr>
              <w:rPr>
                <w:noProof/>
              </w:rPr>
            </w:pPr>
          </w:p>
        </w:tc>
        <w:tc>
          <w:tcPr>
            <w:tcW w:w="1916" w:type="dxa"/>
          </w:tcPr>
          <w:p w:rsidR="00441083" w:rsidRPr="006437DD" w:rsidRDefault="00441083">
            <w:pPr>
              <w:rPr>
                <w:noProof/>
              </w:rPr>
            </w:pPr>
          </w:p>
        </w:tc>
      </w:tr>
    </w:tbl>
    <w:p w:rsidR="00441083" w:rsidRPr="006437DD" w:rsidRDefault="00441083">
      <w:pPr>
        <w:rPr>
          <w:noProof/>
        </w:rPr>
      </w:pPr>
    </w:p>
    <w:sectPr w:rsidR="00441083" w:rsidRPr="006437DD">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3A3" w:rsidRDefault="001903A3">
      <w:r>
        <w:separator/>
      </w:r>
    </w:p>
  </w:endnote>
  <w:endnote w:type="continuationSeparator" w:id="0">
    <w:p w:rsidR="001903A3" w:rsidRDefault="0019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5B" w:rsidRDefault="002D1D5B">
    <w:pPr>
      <w:jc w:val="center"/>
    </w:pPr>
    <w:r>
      <w:fldChar w:fldCharType="begin"/>
    </w:r>
    <w:r>
      <w:instrText xml:space="preserve"> PAGE </w:instrText>
    </w:r>
    <w:r>
      <w:fldChar w:fldCharType="separate"/>
    </w:r>
    <w:r w:rsidR="00F221FD">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5B" w:rsidRDefault="002D1D5B">
    <w:pPr>
      <w:jc w:val="center"/>
    </w:pPr>
    <w:r>
      <w:fldChar w:fldCharType="begin"/>
    </w:r>
    <w:r>
      <w:instrText xml:space="preserve"> PAGE </w:instrText>
    </w:r>
    <w:r>
      <w:fldChar w:fldCharType="separate"/>
    </w:r>
    <w:r w:rsidR="00F221FD">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5B" w:rsidRDefault="002D1D5B">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rsidR="002D1D5B" w:rsidRDefault="002D1D5B">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Montréal sont présentés sous réserve des décisions pouvant être prises par le Comité exécutif après leur publication.</w:t>
    </w:r>
  </w:p>
  <w:p w:rsidR="002D1D5B" w:rsidRDefault="002D1D5B">
    <w:pPr>
      <w:pStyle w:val="Footer"/>
      <w:rPr>
        <w:lang w:val="fr-F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rsidR="002D1D5B" w:rsidRDefault="002D1D5B">
        <w:pPr>
          <w:pStyle w:val="Footer"/>
          <w:jc w:val="center"/>
        </w:pPr>
        <w:r>
          <w:fldChar w:fldCharType="begin"/>
        </w:r>
        <w:r>
          <w:instrText xml:space="preserve"> PAGE   \* MERGEFORMAT </w:instrText>
        </w:r>
        <w:r>
          <w:fldChar w:fldCharType="separate"/>
        </w:r>
        <w:r w:rsidR="00F221FD">
          <w:rPr>
            <w:noProof/>
          </w:rPr>
          <w:t>1</w:t>
        </w:r>
        <w:r>
          <w:rPr>
            <w:noProof/>
          </w:rPr>
          <w:fldChar w:fldCharType="end"/>
        </w:r>
      </w:p>
    </w:sdtContent>
  </w:sdt>
  <w:p w:rsidR="002D1D5B" w:rsidRDefault="002D1D5B">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3A3" w:rsidRDefault="001903A3">
      <w:r>
        <w:separator/>
      </w:r>
    </w:p>
  </w:footnote>
  <w:footnote w:type="continuationSeparator" w:id="0">
    <w:p w:rsidR="001903A3" w:rsidRDefault="001903A3">
      <w:r>
        <w:continuationSeparator/>
      </w:r>
    </w:p>
  </w:footnote>
  <w:footnote w:id="1">
    <w:p w:rsidR="002D1D5B" w:rsidRPr="00336558" w:rsidRDefault="002D1D5B" w:rsidP="003E46F8">
      <w:pPr>
        <w:pStyle w:val="FootnoteText"/>
      </w:pPr>
      <w:r w:rsidRPr="00336558">
        <w:rPr>
          <w:rStyle w:val="FootnoteReference"/>
        </w:rPr>
        <w:footnoteRef/>
      </w:r>
      <w:r w:rsidRPr="00336558">
        <w:t xml:space="preserve"> Paragraphe 10 de la décision XXVIII/2.</w:t>
      </w:r>
    </w:p>
  </w:footnote>
  <w:footnote w:id="2">
    <w:p w:rsidR="002D1D5B" w:rsidRDefault="002D1D5B" w:rsidP="006F2CF7">
      <w:pPr>
        <w:pStyle w:val="FootnoteText"/>
        <w:jc w:val="left"/>
        <w:rPr>
          <w:rFonts w:eastAsiaTheme="majorEastAsia"/>
        </w:rPr>
      </w:pPr>
      <w:r w:rsidRPr="00336558">
        <w:rPr>
          <w:rStyle w:val="FootnoteReference"/>
        </w:rPr>
        <w:footnoteRef/>
      </w:r>
      <w:r w:rsidRPr="00336558">
        <w:rPr>
          <w:rFonts w:eastAsiaTheme="majorEastAsia"/>
        </w:rPr>
        <w:t>  </w:t>
      </w:r>
      <w:r w:rsidRPr="00336558">
        <w:rPr>
          <w:rStyle w:val="FootnoteReference"/>
          <w:rFonts w:eastAsiaTheme="majorEastAsia"/>
          <w:vertAlign w:val="baseline"/>
        </w:rPr>
        <w:t>UNEP/OzL.Pro/ExCom/77/70,</w:t>
      </w:r>
      <w:r w:rsidRPr="00336558">
        <w:rPr>
          <w:rFonts w:eastAsiaTheme="majorEastAsia"/>
        </w:rPr>
        <w:t xml:space="preserve"> </w:t>
      </w:r>
      <w:r w:rsidRPr="00336558">
        <w:rPr>
          <w:rStyle w:val="FootnoteReference"/>
          <w:rFonts w:eastAsiaTheme="majorEastAsia"/>
          <w:vertAlign w:val="baseline"/>
        </w:rPr>
        <w:t>UNEP/OzL.Pro/ExCom/78/5</w:t>
      </w:r>
      <w:r w:rsidRPr="00336558">
        <w:rPr>
          <w:rFonts w:eastAsiaTheme="majorEastAsia"/>
        </w:rPr>
        <w:t xml:space="preserve"> </w:t>
      </w:r>
      <w:r w:rsidRPr="00336558">
        <w:rPr>
          <w:rStyle w:val="FootnoteReference"/>
          <w:rFonts w:eastAsiaTheme="majorEastAsia"/>
          <w:vertAlign w:val="baseline"/>
        </w:rPr>
        <w:t>et Corr.1, UNEP/OzL.Pro/ExCom/79/46, UNEP/OzL.Pro/ExCom/80/55, UNEP/OzL.Pro/ExCom/81/53</w:t>
      </w:r>
      <w:r w:rsidRPr="00336558">
        <w:t xml:space="preserve"> et </w:t>
      </w:r>
      <w:r w:rsidRPr="00336558">
        <w:rPr>
          <w:rStyle w:val="FootnoteReference"/>
          <w:rFonts w:eastAsiaTheme="majorEastAsia"/>
          <w:vertAlign w:val="baseline"/>
        </w:rPr>
        <w:t>UNEP/OzL.Pro/ExCom/8</w:t>
      </w:r>
      <w:r w:rsidRPr="00336558">
        <w:rPr>
          <w:rFonts w:eastAsiaTheme="majorEastAsia"/>
        </w:rPr>
        <w:t>2</w:t>
      </w:r>
      <w:r w:rsidRPr="00336558">
        <w:rPr>
          <w:rStyle w:val="FootnoteReference"/>
          <w:rFonts w:eastAsiaTheme="majorEastAsia"/>
          <w:vertAlign w:val="baseline"/>
        </w:rPr>
        <w:t>/6</w:t>
      </w:r>
      <w:r w:rsidRPr="00336558">
        <w:rPr>
          <w:rFonts w:eastAsiaTheme="majorEastAsia"/>
        </w:rPr>
        <w:t>7.</w:t>
      </w:r>
    </w:p>
    <w:p w:rsidR="004973A9" w:rsidRPr="00336558" w:rsidRDefault="004973A9" w:rsidP="006F2CF7">
      <w:pPr>
        <w:pStyle w:val="FootnoteText"/>
        <w:jc w:val="left"/>
        <w:rPr>
          <w:rStyle w:val="FootnoteReference"/>
          <w:rFonts w:eastAsiaTheme="majorEastAsia"/>
        </w:rPr>
      </w:pPr>
    </w:p>
    <w:p w:rsidR="002D1D5B" w:rsidRPr="00336558" w:rsidRDefault="002D1D5B" w:rsidP="003E46F8">
      <w:pPr>
        <w:pStyle w:val="FootnoteText"/>
      </w:pPr>
    </w:p>
  </w:footnote>
  <w:footnote w:id="3">
    <w:p w:rsidR="002D1D5B" w:rsidRPr="004727F7" w:rsidRDefault="002D1D5B" w:rsidP="00397260">
      <w:pPr>
        <w:pStyle w:val="FootnoteText"/>
      </w:pPr>
      <w:r>
        <w:rPr>
          <w:rStyle w:val="FootnoteReference"/>
        </w:rPr>
        <w:footnoteRef/>
      </w:r>
      <w:r w:rsidRPr="00336558">
        <w:t xml:space="preserve"> Des p</w:t>
      </w:r>
      <w:r w:rsidRPr="004727F7">
        <w:t xml:space="preserve">rojets </w:t>
      </w:r>
      <w:r>
        <w:t xml:space="preserve">pourraient être soumis jusqu’à la </w:t>
      </w:r>
      <w:r w:rsidRPr="004727F7">
        <w:t>84</w:t>
      </w:r>
      <w:r>
        <w:rPr>
          <w:vertAlign w:val="superscript"/>
        </w:rPr>
        <w:t>e</w:t>
      </w:r>
      <w:r w:rsidRPr="004727F7">
        <w:t xml:space="preserve"> réunion</w:t>
      </w:r>
      <w:r>
        <w:t xml:space="preserve"> incluse</w:t>
      </w:r>
      <w:r w:rsidRPr="004727F7">
        <w:t xml:space="preserve">, </w:t>
      </w:r>
      <w:r>
        <w:t xml:space="preserve">en particulier dans les secteurs et régions non couverts par des projets approuvés jusqu’à la </w:t>
      </w:r>
      <w:r w:rsidRPr="004727F7">
        <w:t>81</w:t>
      </w:r>
      <w:r>
        <w:rPr>
          <w:vertAlign w:val="superscript"/>
        </w:rPr>
        <w:t>e</w:t>
      </w:r>
      <w:r w:rsidRPr="004727F7">
        <w:t xml:space="preserve"> réunion </w:t>
      </w:r>
      <w:r>
        <w:t xml:space="preserve">incluse </w:t>
      </w:r>
      <w:r w:rsidRPr="004727F7">
        <w:t>(décision 81/53(b)).</w:t>
      </w:r>
    </w:p>
  </w:footnote>
  <w:footnote w:id="4">
    <w:p w:rsidR="002D1D5B" w:rsidRPr="004727F7" w:rsidRDefault="002D1D5B" w:rsidP="004727F7">
      <w:pPr>
        <w:pStyle w:val="FootnoteText"/>
      </w:pPr>
      <w:r w:rsidRPr="004727F7">
        <w:rPr>
          <w:rStyle w:val="FootnoteReference"/>
        </w:rPr>
        <w:footnoteRef/>
      </w:r>
      <w:r w:rsidRPr="004727F7">
        <w:t xml:space="preserve"> Des projets d’investissement sur les HFC ont été approuvés pour l’Argentine, le Bangladesh, la Chine, la Jordanie, le Liban, le Mexique (deux), la République dominicaine, la Thaïlande </w:t>
      </w:r>
      <w:r>
        <w:t>et le</w:t>
      </w:r>
      <w:r w:rsidRPr="004727F7">
        <w:t xml:space="preserve"> Zimbabwe.</w:t>
      </w:r>
    </w:p>
  </w:footnote>
  <w:footnote w:id="5">
    <w:p w:rsidR="002D1D5B" w:rsidRPr="004727F7" w:rsidRDefault="002D1D5B" w:rsidP="00545526">
      <w:pPr>
        <w:pStyle w:val="FootnoteText"/>
      </w:pPr>
      <w:r w:rsidRPr="004727F7">
        <w:rPr>
          <w:rStyle w:val="FootnoteReference"/>
        </w:rPr>
        <w:footnoteRef/>
      </w:r>
      <w:r w:rsidRPr="004727F7">
        <w:t xml:space="preserve"> </w:t>
      </w:r>
      <w:r>
        <w:t>L</w:t>
      </w:r>
      <w:r w:rsidRPr="004727F7">
        <w:t xml:space="preserve">e document </w:t>
      </w:r>
      <w:r>
        <w:t>devait tenir compte de textes antérieurs : documents de politique, études de cas, examens de surveillance et d’évaluation, ainsi que des travaux entrepris dans l’établissement et la mise en œuvre de programmes   de formation et d’assistance technique</w:t>
      </w:r>
      <w:r w:rsidRPr="004727F7">
        <w:t xml:space="preserve">; </w:t>
      </w:r>
      <w:r>
        <w:t>une analyse des capacités existantes dans les pays visés à l’A</w:t>
      </w:r>
      <w:r w:rsidRPr="004727F7">
        <w:t>rticle</w:t>
      </w:r>
      <w:r>
        <w:t> </w:t>
      </w:r>
      <w:r w:rsidRPr="004727F7">
        <w:t>5</w:t>
      </w:r>
      <w:r>
        <w:t xml:space="preserve"> financée au titre du secteur de l’entretien en réfrigération et des moyens d’utiliser ces capacités pour l’</w:t>
      </w:r>
      <w:r w:rsidR="00713DAC">
        <w:t>élimination</w:t>
      </w:r>
      <w:r>
        <w:t xml:space="preserve"> des </w:t>
      </w:r>
      <w:r w:rsidRPr="004727F7">
        <w:t xml:space="preserve">HFC; </w:t>
      </w:r>
      <w:r>
        <w:t xml:space="preserve">et des </w:t>
      </w:r>
      <w:r w:rsidRPr="004727F7">
        <w:t>information</w:t>
      </w:r>
      <w:r>
        <w:t>s requises pour l’établissement de programmes de formation et de certification fondés sur les compétences, ainsi que des modules pour les techniciens d’entretien et les agents de douane aux fins de transition vers des solutions de rechange</w:t>
      </w:r>
      <w:r w:rsidRPr="004727F7">
        <w:t>.</w:t>
      </w:r>
    </w:p>
  </w:footnote>
  <w:footnote w:id="6">
    <w:p w:rsidR="002D1D5B" w:rsidRPr="004727F7" w:rsidRDefault="002D1D5B" w:rsidP="004727F7">
      <w:pPr>
        <w:pStyle w:val="FootnoteText"/>
      </w:pPr>
      <w:r w:rsidRPr="004727F7">
        <w:rPr>
          <w:rStyle w:val="FootnoteReference"/>
        </w:rPr>
        <w:footnoteRef/>
      </w:r>
      <w:r w:rsidRPr="004727F7">
        <w:t xml:space="preserve"> Paragraphe 23 de la décision XXVIII/2.</w:t>
      </w:r>
    </w:p>
  </w:footnote>
  <w:footnote w:id="7">
    <w:p w:rsidR="002D1D5B" w:rsidRPr="00336558" w:rsidRDefault="002D1D5B" w:rsidP="00303318">
      <w:pPr>
        <w:pStyle w:val="FootnoteText"/>
      </w:pPr>
      <w:r>
        <w:rPr>
          <w:rStyle w:val="FootnoteReference"/>
        </w:rPr>
        <w:footnoteRef/>
      </w:r>
      <w:r w:rsidRPr="00336558">
        <w:t xml:space="preserve"> </w:t>
      </w:r>
      <w:r w:rsidRPr="002C568B">
        <w:t>Le paragraphe 2 de la décision XXX/5 demande au Comité exécutif d’envisager, dans le context</w:t>
      </w:r>
      <w:r>
        <w:t>e</w:t>
      </w:r>
      <w:r w:rsidRPr="002C568B">
        <w:t xml:space="preserve"> du paragraphe 16 de la décision XXVIII/2, </w:t>
      </w:r>
      <w:r>
        <w:t xml:space="preserve">d’augmenter le financement accordé aux pays FVC pour les aider dans l’exécution des activités décrites au </w:t>
      </w:r>
      <w:r w:rsidRPr="002C568B">
        <w:t xml:space="preserve"> paragraph</w:t>
      </w:r>
      <w:r>
        <w:t>e</w:t>
      </w:r>
      <w:r w:rsidRPr="002C568B">
        <w:t xml:space="preserve"> 1 </w:t>
      </w:r>
      <w:r>
        <w:t>de cette</w:t>
      </w:r>
      <w:r w:rsidRPr="002C568B">
        <w:t xml:space="preserve"> décision (</w:t>
      </w:r>
      <w:r>
        <w:t>à savoir</w:t>
      </w:r>
      <w:r w:rsidRPr="002C568B">
        <w:t>,</w:t>
      </w:r>
      <w:r>
        <w:t xml:space="preserve"> établir et appliquer des politiques et des règlements pour éviter l’entrée sur le marché d’équipements de réfrigération, de climatisation et de thermopompes à faible efficacité énergétique</w:t>
      </w:r>
      <w:r w:rsidRPr="002C568B">
        <w:t>; promo</w:t>
      </w:r>
      <w:r>
        <w:t>uvoir l’accès de technologies à haute efficacité énergétique dans ces secteurs</w:t>
      </w:r>
      <w:r w:rsidRPr="002C568B">
        <w:t xml:space="preserve">; </w:t>
      </w:r>
      <w:r>
        <w:t xml:space="preserve">et formation ciblée sur la </w:t>
      </w:r>
      <w:r w:rsidRPr="002C568B">
        <w:t xml:space="preserve">certification, </w:t>
      </w:r>
      <w:r>
        <w:t>la sécurité et les normes</w:t>
      </w:r>
      <w:r w:rsidRPr="002C568B">
        <w:t xml:space="preserve">, </w:t>
      </w:r>
      <w:r>
        <w:t>sensibilisation et renforcement des capacités afin de maintenir et de rehausser l’efficacité énergétique</w:t>
      </w:r>
      <w:r w:rsidRPr="002C568B">
        <w:t>).</w:t>
      </w:r>
    </w:p>
  </w:footnote>
  <w:footnote w:id="8">
    <w:p w:rsidR="002D1D5B" w:rsidRPr="004973A9" w:rsidRDefault="002D1D5B" w:rsidP="003E46F8">
      <w:pPr>
        <w:pStyle w:val="FootnoteText"/>
        <w:rPr>
          <w:lang w:val="fr-FR"/>
        </w:rPr>
      </w:pPr>
      <w:r w:rsidRPr="00355683">
        <w:rPr>
          <w:rStyle w:val="FootnoteReference"/>
        </w:rPr>
        <w:footnoteRef/>
      </w:r>
      <w:r w:rsidRPr="004973A9">
        <w:rPr>
          <w:lang w:val="fr-FR"/>
        </w:rPr>
        <w:t xml:space="preserve"> </w:t>
      </w:r>
      <w:r w:rsidRPr="00355683">
        <w:t>De débattre à la 83</w:t>
      </w:r>
      <w:r w:rsidRPr="00355683">
        <w:rPr>
          <w:vertAlign w:val="superscript"/>
        </w:rPr>
        <w:t>e</w:t>
      </w:r>
      <w:r w:rsidRPr="00355683">
        <w:t xml:space="preserve"> réunion des moyens d’opérationnaliser le paragraphe 22 de la décision XXVIII/2, et les paragraphes 5 et 6 de la décision XXX/5, notamment: (i) les projets associés au maintien et/ou à l’amélioration de l’efficacité énergétique des technologies de remplacement présentant un potentiel de réchauffement de la planète de faible à nul dans le secteur de la réfrigération, de la climatisation et des pompes thermiques, telles que: a. Les méthodes pour quantifier les changements au niveau de l’efficacité énergétique; et b. Les interventions techniques associées au maintien et/ou à l’amélioration de l’efficacité énergétique; (ii) Les coûts, tels que les surcoûts, les possibilités de remboursement et les coûts du suivi et de la vérification; (iii) Les bienfaits environnementaux possibles, surtout ceux associés au climat</w:t>
      </w:r>
      <w:r w:rsidRPr="004973A9">
        <w:rPr>
          <w:lang w:val="fr-FR"/>
        </w:rPr>
        <w:t>.</w:t>
      </w:r>
    </w:p>
  </w:footnote>
  <w:footnote w:id="9">
    <w:p w:rsidR="002D1D5B" w:rsidRPr="004973A9" w:rsidRDefault="002D1D5B" w:rsidP="003E46F8">
      <w:pPr>
        <w:pStyle w:val="FootnoteText"/>
        <w:rPr>
          <w:lang w:val="fr-FR"/>
        </w:rPr>
      </w:pPr>
      <w:r w:rsidRPr="00355683">
        <w:rPr>
          <w:rStyle w:val="FootnoteReference"/>
        </w:rPr>
        <w:footnoteRef/>
      </w:r>
      <w:r w:rsidRPr="004973A9">
        <w:rPr>
          <w:lang w:val="fr-FR"/>
        </w:rPr>
        <w:t xml:space="preserve"> UNEP/OzL.Pro/ExCom/83/40, UNEP/OzL.Pro/ExCom/83/41, et UNEP/OzL.Pro/ExCom/83/42.</w:t>
      </w:r>
    </w:p>
  </w:footnote>
  <w:footnote w:id="10">
    <w:p w:rsidR="002D1D5B" w:rsidRPr="00355683" w:rsidRDefault="002D1D5B" w:rsidP="003E46F8">
      <w:pPr>
        <w:pStyle w:val="FootnoteText"/>
      </w:pPr>
      <w:r w:rsidRPr="00355683">
        <w:rPr>
          <w:rStyle w:val="FootnoteReference"/>
        </w:rPr>
        <w:footnoteRef/>
      </w:r>
      <w:r w:rsidRPr="004973A9">
        <w:rPr>
          <w:lang w:val="fr-FR"/>
        </w:rPr>
        <w:t xml:space="preserve"> </w:t>
      </w:r>
      <w:r w:rsidRPr="00355683">
        <w:t>Le document est basé sur la mise en œuvre de 11 projets, et couvre des questions liées à la conception du projet, la synergie avec d’autres projets, les opportunités pour la mobilisation des ressources, le coût-efficacité et les leçons retenues.</w:t>
      </w:r>
    </w:p>
  </w:footnote>
  <w:footnote w:id="11">
    <w:p w:rsidR="002D1D5B" w:rsidRPr="002E03A7" w:rsidRDefault="002D1D5B" w:rsidP="003E46F8">
      <w:pPr>
        <w:pStyle w:val="FootnoteText"/>
      </w:pPr>
      <w:r>
        <w:rPr>
          <w:rStyle w:val="FootnoteReference"/>
        </w:rPr>
        <w:footnoteRef/>
      </w:r>
      <w:r>
        <w:t xml:space="preserve"> P</w:t>
      </w:r>
      <w:r w:rsidRPr="00FF26E1">
        <w:t>aragraph</w:t>
      </w:r>
      <w:r>
        <w:t>e</w:t>
      </w:r>
      <w:r w:rsidRPr="00FF26E1">
        <w:t xml:space="preserve"> 43 </w:t>
      </w:r>
      <w:r>
        <w:t>du</w:t>
      </w:r>
      <w:r w:rsidRPr="00FF26E1">
        <w:t xml:space="preserve"> do</w:t>
      </w:r>
      <w:r>
        <w:t>cument UNEP/OzL.Pro/ExCom/80/55.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5B" w:rsidRDefault="00A11A60">
    <w:fldSimple w:instr=" DOCPROPERTY &quot;Document number&quot;  \* MERGEFORMAT ">
      <w:r w:rsidR="002D1D5B">
        <w:t>UNEP/OzL.Pro/ExCom/83/43</w:t>
      </w:r>
    </w:fldSimple>
  </w:p>
  <w:p w:rsidR="002D1D5B" w:rsidRDefault="002D1D5B"/>
  <w:p w:rsidR="002D1D5B" w:rsidRDefault="002D1D5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5B" w:rsidRDefault="00A11A60">
    <w:pPr>
      <w:jc w:val="right"/>
    </w:pPr>
    <w:fldSimple w:instr=" DOCPROPERTY &quot;Document number&quot;  \* MERGEFORMAT ">
      <w:r w:rsidR="002D1D5B">
        <w:t>UNEP/OzL.Pro/ExCom/83/43</w:t>
      </w:r>
    </w:fldSimple>
  </w:p>
  <w:p w:rsidR="002D1D5B" w:rsidRDefault="002D1D5B"/>
  <w:p w:rsidR="002D1D5B" w:rsidRDefault="002D1D5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5B" w:rsidRDefault="002D1D5B">
    <w:pPr>
      <w:jc w:val="right"/>
    </w:pPr>
  </w:p>
  <w:p w:rsidR="002D1D5B" w:rsidRDefault="002D1D5B">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9C9591B"/>
    <w:multiLevelType w:val="hybridMultilevel"/>
    <w:tmpl w:val="4B7091D8"/>
    <w:lvl w:ilvl="0" w:tplc="C87022E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 w:numId="18">
    <w:abstractNumId w:val="17"/>
  </w:num>
  <w:num w:numId="19">
    <w:abstractNumId w:val="18"/>
  </w:num>
  <w:num w:numId="20">
    <w:abstractNumId w:val="14"/>
  </w:num>
  <w:num w:numId="21">
    <w:abstractNumId w:val="11"/>
  </w:num>
  <w:num w:numId="22">
    <w:abstractNumId w:val="12"/>
  </w:num>
  <w:num w:numId="2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10"/>
    <w:rsid w:val="000508D8"/>
    <w:rsid w:val="00065255"/>
    <w:rsid w:val="000911CE"/>
    <w:rsid w:val="000946D1"/>
    <w:rsid w:val="000D75B6"/>
    <w:rsid w:val="0011424C"/>
    <w:rsid w:val="00123684"/>
    <w:rsid w:val="001420D4"/>
    <w:rsid w:val="00170611"/>
    <w:rsid w:val="0018110A"/>
    <w:rsid w:val="001903A3"/>
    <w:rsid w:val="001977F4"/>
    <w:rsid w:val="001C3D0C"/>
    <w:rsid w:val="001D4CE7"/>
    <w:rsid w:val="001F5419"/>
    <w:rsid w:val="002040FE"/>
    <w:rsid w:val="00265AF0"/>
    <w:rsid w:val="002871CA"/>
    <w:rsid w:val="002C568B"/>
    <w:rsid w:val="002D1D5B"/>
    <w:rsid w:val="002F0B57"/>
    <w:rsid w:val="00303318"/>
    <w:rsid w:val="00336558"/>
    <w:rsid w:val="00342011"/>
    <w:rsid w:val="00344DF6"/>
    <w:rsid w:val="00355683"/>
    <w:rsid w:val="003645B6"/>
    <w:rsid w:val="00397260"/>
    <w:rsid w:val="003B1EB4"/>
    <w:rsid w:val="003E46F8"/>
    <w:rsid w:val="00441083"/>
    <w:rsid w:val="004724E3"/>
    <w:rsid w:val="004727F7"/>
    <w:rsid w:val="004973A9"/>
    <w:rsid w:val="004B3148"/>
    <w:rsid w:val="004C2C87"/>
    <w:rsid w:val="004E3A36"/>
    <w:rsid w:val="004F413A"/>
    <w:rsid w:val="004F5A68"/>
    <w:rsid w:val="00527CAD"/>
    <w:rsid w:val="00545526"/>
    <w:rsid w:val="005537AD"/>
    <w:rsid w:val="0055483F"/>
    <w:rsid w:val="00585A1D"/>
    <w:rsid w:val="00597BCC"/>
    <w:rsid w:val="005B3C83"/>
    <w:rsid w:val="005D2B0A"/>
    <w:rsid w:val="00605093"/>
    <w:rsid w:val="00625AD1"/>
    <w:rsid w:val="00634F48"/>
    <w:rsid w:val="006437DD"/>
    <w:rsid w:val="00655142"/>
    <w:rsid w:val="00666BEC"/>
    <w:rsid w:val="006702EE"/>
    <w:rsid w:val="006F2CF7"/>
    <w:rsid w:val="007034FA"/>
    <w:rsid w:val="00713DAC"/>
    <w:rsid w:val="0072020C"/>
    <w:rsid w:val="0075750B"/>
    <w:rsid w:val="00797D21"/>
    <w:rsid w:val="007F2826"/>
    <w:rsid w:val="00807459"/>
    <w:rsid w:val="00811281"/>
    <w:rsid w:val="00835719"/>
    <w:rsid w:val="00871BD4"/>
    <w:rsid w:val="008F1BB3"/>
    <w:rsid w:val="0091161A"/>
    <w:rsid w:val="009327B4"/>
    <w:rsid w:val="00984F90"/>
    <w:rsid w:val="00995E4D"/>
    <w:rsid w:val="009A5180"/>
    <w:rsid w:val="009D5C80"/>
    <w:rsid w:val="00A11A60"/>
    <w:rsid w:val="00A16259"/>
    <w:rsid w:val="00A451F8"/>
    <w:rsid w:val="00AD7104"/>
    <w:rsid w:val="00AE63D8"/>
    <w:rsid w:val="00B13F10"/>
    <w:rsid w:val="00B811F2"/>
    <w:rsid w:val="00BC3C7D"/>
    <w:rsid w:val="00BD17E3"/>
    <w:rsid w:val="00BD51BB"/>
    <w:rsid w:val="00C04373"/>
    <w:rsid w:val="00C6443E"/>
    <w:rsid w:val="00CC68B3"/>
    <w:rsid w:val="00CE0E14"/>
    <w:rsid w:val="00D26A41"/>
    <w:rsid w:val="00D55027"/>
    <w:rsid w:val="00D90C44"/>
    <w:rsid w:val="00E43248"/>
    <w:rsid w:val="00E54871"/>
    <w:rsid w:val="00E56A6E"/>
    <w:rsid w:val="00E60D9C"/>
    <w:rsid w:val="00EE6B1E"/>
    <w:rsid w:val="00F221FD"/>
    <w:rsid w:val="00F257EC"/>
    <w:rsid w:val="00F25A15"/>
    <w:rsid w:val="00F26504"/>
    <w:rsid w:val="00F37A42"/>
    <w:rsid w:val="00F463D8"/>
    <w:rsid w:val="00F557F5"/>
    <w:rsid w:val="00F65E0B"/>
    <w:rsid w:val="00F72434"/>
    <w:rsid w:val="00FB2A45"/>
    <w:rsid w:val="00FC5578"/>
    <w:rsid w:val="00FD22FE"/>
    <w:rsid w:val="00FE5C51"/>
    <w:rsid w:val="00FF5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C07837F-FF51-4482-B678-4CFB542D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fr-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link w:val="Heading3Char3"/>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3E46F8"/>
    <w:rPr>
      <w:sz w:val="22"/>
      <w:szCs w:val="22"/>
      <w:lang w:val="en-GB"/>
    </w:rPr>
  </w:style>
  <w:style w:type="character" w:customStyle="1" w:styleId="Heading3Char3">
    <w:name w:val="Heading 3 Char3"/>
    <w:aliases w:val="Char Char3,Heading 3 Char Char1,Char Char Char2,Heading 3 Char1 Char1,Heading 3 Char Char Char1,Char Char Char Char1,Char Char1 Char1,Heading 3 Char1 Char Char,Heading 3 Char Char Char Char,Char Char Char Char Char,Char Char1 Char Char"/>
    <w:basedOn w:val="DefaultParagraphFont"/>
    <w:link w:val="Heading3"/>
    <w:rsid w:val="003E46F8"/>
    <w:rPr>
      <w:sz w:val="22"/>
      <w:szCs w:val="22"/>
      <w:lang w:val="en-GB"/>
    </w:rPr>
  </w:style>
  <w:style w:type="paragraph" w:styleId="FootnoteText">
    <w:name w:val="footnote text"/>
    <w:aliases w:val=" Char1, Char1 Char Char,Fußnotentextf,Char1,Char1 Char Char,Geneva 9,Font: Geneva 9,Boston 10,f,-E Fußnotentext,Fußnotentext Ursprung,-E Fußnotentext1,-E Fußnotentext2,-E Fußnotentext3,Fußnotentext Char1,Fußnotentext Char Char"/>
    <w:basedOn w:val="Normal"/>
    <w:link w:val="FootnoteTextChar"/>
    <w:uiPriority w:val="99"/>
    <w:unhideWhenUsed/>
    <w:qFormat/>
    <w:rsid w:val="003E46F8"/>
    <w:rPr>
      <w:sz w:val="20"/>
      <w:szCs w:val="20"/>
    </w:rPr>
  </w:style>
  <w:style w:type="character" w:customStyle="1" w:styleId="FootnoteTextChar">
    <w:name w:val="Footnote Text Char"/>
    <w:aliases w:val=" Char1 Char, Char1 Char Char Char,Fußnotentextf Char,Char1 Char,Char1 Char Char Char,Geneva 9 Char,Font: Geneva 9 Char,Boston 10 Char,f Char,-E Fußnotentext Char,Fußnotentext Ursprung Char,-E Fußnotentext1 Char,-E Fußnotentext2 Char"/>
    <w:basedOn w:val="DefaultParagraphFont"/>
    <w:link w:val="FootnoteText"/>
    <w:uiPriority w:val="99"/>
    <w:rsid w:val="003E46F8"/>
    <w:rPr>
      <w:lang w:val="en-GB"/>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
    <w:basedOn w:val="DefaultParagraphFont"/>
    <w:uiPriority w:val="99"/>
    <w:unhideWhenUsed/>
    <w:rsid w:val="003E46F8"/>
    <w:rPr>
      <w:vertAlign w:val="superscript"/>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i) Indent 2"/>
    <w:basedOn w:val="Normal"/>
    <w:link w:val="ListParagraphChar"/>
    <w:uiPriority w:val="34"/>
    <w:qFormat/>
    <w:rsid w:val="003E46F8"/>
    <w:pPr>
      <w:ind w:left="720"/>
      <w:contextualSpacing/>
    </w:pPr>
    <w:rPr>
      <w:rFonts w:ascii="Calibri" w:hAnsi="Calibri" w:cs="Calibri"/>
    </w:r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basedOn w:val="DefaultParagraphFont"/>
    <w:link w:val="ListParagraph"/>
    <w:uiPriority w:val="34"/>
    <w:rsid w:val="003E46F8"/>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94564">
      <w:bodyDiv w:val="1"/>
      <w:marLeft w:val="0"/>
      <w:marRight w:val="0"/>
      <w:marTop w:val="0"/>
      <w:marBottom w:val="0"/>
      <w:divBdr>
        <w:top w:val="none" w:sz="0" w:space="0" w:color="auto"/>
        <w:left w:val="none" w:sz="0" w:space="0" w:color="auto"/>
        <w:bottom w:val="none" w:sz="0" w:space="0" w:color="auto"/>
        <w:right w:val="none" w:sz="0" w:space="0" w:color="auto"/>
      </w:divBdr>
      <w:divsChild>
        <w:div w:id="1175726238">
          <w:marLeft w:val="0"/>
          <w:marRight w:val="0"/>
          <w:marTop w:val="0"/>
          <w:marBottom w:val="0"/>
          <w:divBdr>
            <w:top w:val="none" w:sz="0" w:space="0" w:color="auto"/>
            <w:left w:val="none" w:sz="0" w:space="0" w:color="auto"/>
            <w:bottom w:val="none" w:sz="0" w:space="0" w:color="auto"/>
            <w:right w:val="none" w:sz="0" w:space="0" w:color="auto"/>
          </w:divBdr>
          <w:divsChild>
            <w:div w:id="734546313">
              <w:marLeft w:val="0"/>
              <w:marRight w:val="0"/>
              <w:marTop w:val="0"/>
              <w:marBottom w:val="0"/>
              <w:divBdr>
                <w:top w:val="none" w:sz="0" w:space="0" w:color="auto"/>
                <w:left w:val="none" w:sz="0" w:space="0" w:color="auto"/>
                <w:bottom w:val="none" w:sz="0" w:space="0" w:color="auto"/>
                <w:right w:val="none" w:sz="0" w:space="0" w:color="auto"/>
              </w:divBdr>
            </w:div>
            <w:div w:id="962535178">
              <w:marLeft w:val="0"/>
              <w:marRight w:val="0"/>
              <w:marTop w:val="0"/>
              <w:marBottom w:val="0"/>
              <w:divBdr>
                <w:top w:val="none" w:sz="0" w:space="0" w:color="auto"/>
                <w:left w:val="none" w:sz="0" w:space="0" w:color="auto"/>
                <w:bottom w:val="none" w:sz="0" w:space="0" w:color="auto"/>
                <w:right w:val="none" w:sz="0" w:space="0" w:color="auto"/>
              </w:divBdr>
            </w:div>
          </w:divsChild>
        </w:div>
        <w:div w:id="744649980">
          <w:marLeft w:val="0"/>
          <w:marRight w:val="0"/>
          <w:marTop w:val="0"/>
          <w:marBottom w:val="0"/>
          <w:divBdr>
            <w:top w:val="none" w:sz="0" w:space="0" w:color="auto"/>
            <w:left w:val="none" w:sz="0" w:space="0" w:color="auto"/>
            <w:bottom w:val="none" w:sz="0" w:space="0" w:color="auto"/>
            <w:right w:val="none" w:sz="0" w:space="0" w:color="auto"/>
          </w:divBdr>
          <w:divsChild>
            <w:div w:id="2118285148">
              <w:marLeft w:val="0"/>
              <w:marRight w:val="0"/>
              <w:marTop w:val="0"/>
              <w:marBottom w:val="0"/>
              <w:divBdr>
                <w:top w:val="none" w:sz="0" w:space="0" w:color="auto"/>
                <w:left w:val="none" w:sz="0" w:space="0" w:color="auto"/>
                <w:bottom w:val="none" w:sz="0" w:space="0" w:color="auto"/>
                <w:right w:val="none" w:sz="0" w:space="0" w:color="auto"/>
              </w:divBdr>
              <w:divsChild>
                <w:div w:id="10918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8380">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2841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F83-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E4441DB9763A4B9F4793D394AD28DA" ma:contentTypeVersion="2" ma:contentTypeDescription="Create a new document." ma:contentTypeScope="" ma:versionID="171df64618d6dd1096111a941a4c869d">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UNEP/OzL.Pro/ExCom/83/43</Document_x0020_Number>
  </documentManagement>
</p:properties>
</file>

<file path=customXml/itemProps1.xml><?xml version="1.0" encoding="utf-8"?>
<ds:datastoreItem xmlns:ds="http://schemas.openxmlformats.org/officeDocument/2006/customXml" ds:itemID="{2D20C45C-C1DA-451E-8F2F-1805487D18FC}"/>
</file>

<file path=customXml/itemProps2.xml><?xml version="1.0" encoding="utf-8"?>
<ds:datastoreItem xmlns:ds="http://schemas.openxmlformats.org/officeDocument/2006/customXml" ds:itemID="{62FC5964-153A-4601-9903-3B9CBCC9BBFE}"/>
</file>

<file path=customXml/itemProps3.xml><?xml version="1.0" encoding="utf-8"?>
<ds:datastoreItem xmlns:ds="http://schemas.openxmlformats.org/officeDocument/2006/customXml" ds:itemID="{5016E2F7-1293-43DF-A947-9D93EB281C6B}"/>
</file>

<file path=customXml/itemProps4.xml><?xml version="1.0" encoding="utf-8"?>
<ds:datastoreItem xmlns:ds="http://schemas.openxmlformats.org/officeDocument/2006/customXml" ds:itemID="{3DA82B4B-E145-4636-803F-11DB6328BD0C}"/>
</file>

<file path=docProps/app.xml><?xml version="1.0" encoding="utf-8"?>
<Properties xmlns="http://schemas.openxmlformats.org/officeDocument/2006/extended-properties" xmlns:vt="http://schemas.openxmlformats.org/officeDocument/2006/docPropsVTypes">
  <Template>F83-Template</Template>
  <TotalTime>29</TotalTime>
  <Pages>11</Pages>
  <Words>3602</Words>
  <Characters>20533</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Élaboration des lignes directrices sur les coûts de la réduction progressive des HFC dans les pays visés à l'article 5: Projet de critères de financement</vt:lpstr>
      <vt:lpstr/>
    </vt:vector>
  </TitlesOfParts>
  <Company>UNMFS</Company>
  <LinksUpToDate>false</LinksUpToDate>
  <CharactersWithSpaces>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Élaboration des lignes directrices sur les coûts de la réduction progressive des HFC dans les pays visés à l'article 5: Projet de critères de financement</dc:title>
  <dc:creator>Dell</dc:creator>
  <cp:lastModifiedBy>HBE</cp:lastModifiedBy>
  <cp:revision>9</cp:revision>
  <cp:lastPrinted>2001-05-26T16:40:00Z</cp:lastPrinted>
  <dcterms:created xsi:type="dcterms:W3CDTF">2019-05-02T03:42:00Z</dcterms:created>
  <dcterms:modified xsi:type="dcterms:W3CDTF">2019-05-16T14:21:00Z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UNEP/OzL.Pro/ExCom/83/43</vt:lpwstr>
  </property>
  <property fmtid="{D5CDD505-2E9C-101B-9397-08002B2CF9AE}" pid="3" name="Revision date">
    <vt:lpwstr>4/18/2019</vt:lpwstr>
  </property>
  <property fmtid="{D5CDD505-2E9C-101B-9397-08002B2CF9AE}" pid="4" name="ContentTypeId">
    <vt:lpwstr>0x01010021E4441DB9763A4B9F4793D394AD28DA</vt:lpwstr>
  </property>
</Properties>
</file>