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A34B66">
        <w:trPr>
          <w:trHeight w:val="720"/>
        </w:trPr>
        <w:tc>
          <w:tcPr>
            <w:tcW w:w="6494" w:type="dxa"/>
            <w:gridSpan w:val="2"/>
            <w:tcBorders>
              <w:bottom w:val="single" w:sz="18" w:space="0" w:color="auto"/>
            </w:tcBorders>
          </w:tcPr>
          <w:p w:rsidR="0087455A" w:rsidRPr="00A34B66" w:rsidRDefault="0024162E">
            <w:pPr>
              <w:rPr>
                <w:rFonts w:ascii="Univers" w:hAnsi="Univers"/>
                <w:b/>
                <w:sz w:val="28"/>
                <w:szCs w:val="28"/>
                <w:lang w:val="es-ES"/>
              </w:rPr>
            </w:pPr>
            <w:r w:rsidRPr="00A34B66">
              <w:rPr>
                <w:rFonts w:ascii="Univers" w:hAnsi="Univers"/>
                <w:b/>
                <w:sz w:val="28"/>
                <w:szCs w:val="28"/>
                <w:lang w:val="es-ES"/>
              </w:rPr>
              <w:t>NACIONES</w:t>
            </w:r>
          </w:p>
          <w:p w:rsidR="0087455A" w:rsidRPr="00A34B66" w:rsidRDefault="0024162E">
            <w:pPr>
              <w:rPr>
                <w:rFonts w:ascii="Univers" w:hAnsi="Univers"/>
                <w:b/>
                <w:sz w:val="28"/>
                <w:szCs w:val="28"/>
                <w:lang w:val="es-ES"/>
              </w:rPr>
            </w:pPr>
            <w:r w:rsidRPr="00A34B66">
              <w:rPr>
                <w:rFonts w:ascii="Univers" w:hAnsi="Univers"/>
                <w:b/>
                <w:sz w:val="28"/>
                <w:szCs w:val="28"/>
                <w:lang w:val="es-ES"/>
              </w:rPr>
              <w:t>UNIDAS</w:t>
            </w:r>
          </w:p>
        </w:tc>
        <w:tc>
          <w:tcPr>
            <w:tcW w:w="4590" w:type="dxa"/>
            <w:tcBorders>
              <w:bottom w:val="single" w:sz="18" w:space="0" w:color="auto"/>
            </w:tcBorders>
          </w:tcPr>
          <w:p w:rsidR="0087455A" w:rsidRPr="00A34B66" w:rsidRDefault="0024162E">
            <w:pPr>
              <w:jc w:val="right"/>
              <w:rPr>
                <w:rFonts w:asciiTheme="minorBidi" w:hAnsiTheme="minorBidi" w:cstheme="minorBidi"/>
                <w:sz w:val="52"/>
                <w:szCs w:val="52"/>
                <w:lang w:val="es-ES"/>
              </w:rPr>
            </w:pPr>
            <w:r w:rsidRPr="00A34B66">
              <w:rPr>
                <w:rFonts w:asciiTheme="minorBidi" w:hAnsiTheme="minorBidi" w:cstheme="minorBidi"/>
                <w:b/>
                <w:sz w:val="72"/>
                <w:lang w:val="es-ES"/>
              </w:rPr>
              <w:t>EP</w:t>
            </w:r>
          </w:p>
        </w:tc>
      </w:tr>
      <w:tr w:rsidR="0087455A" w:rsidRPr="00A34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Pr="00A34B66" w:rsidRDefault="0024162E">
            <w:pPr>
              <w:spacing w:before="120"/>
              <w:rPr>
                <w:lang w:val="es-ES"/>
              </w:rPr>
            </w:pPr>
            <w:r w:rsidRPr="00A34B66">
              <w:rPr>
                <w:noProof/>
                <w:lang w:val="en-CA" w:eastAsia="en-CA"/>
              </w:rPr>
              <w:drawing>
                <wp:anchor distT="0" distB="0" distL="114300" distR="114300" simplePos="0" relativeHeight="251660288" behindDoc="0" locked="0" layoutInCell="1" allowOverlap="1">
                  <wp:simplePos x="0" y="0"/>
                  <wp:positionH relativeFrom="column">
                    <wp:posOffset>29920</wp:posOffset>
                  </wp:positionH>
                  <wp:positionV relativeFrom="paragraph">
                    <wp:posOffset>949363</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A34B66">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Pr="00A34B66"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rsidR="0087455A" w:rsidRPr="00A34B66"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34B66">
              <w:rPr>
                <w:rFonts w:ascii="Univers" w:hAnsi="Univers"/>
                <w:b/>
                <w:sz w:val="32"/>
                <w:lang w:val="es-ES"/>
              </w:rPr>
              <w:t>Programa de las</w:t>
            </w:r>
          </w:p>
          <w:p w:rsidR="0087455A" w:rsidRPr="00A34B66"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34B66">
              <w:rPr>
                <w:rFonts w:ascii="Univers" w:hAnsi="Univers"/>
                <w:b/>
                <w:sz w:val="32"/>
                <w:lang w:val="es-ES"/>
              </w:rPr>
              <w:t>Naciones Unidas</w:t>
            </w:r>
          </w:p>
          <w:p w:rsidR="0087455A" w:rsidRPr="00A34B66"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A34B66">
              <w:rPr>
                <w:rFonts w:ascii="Univers" w:hAnsi="Univers"/>
                <w:b/>
                <w:sz w:val="32"/>
                <w:lang w:val="es-ES"/>
              </w:rPr>
              <w:t>para el Medio Ambiente</w:t>
            </w:r>
          </w:p>
          <w:p w:rsidR="0087455A" w:rsidRPr="00A34B66"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rsidR="0087455A" w:rsidRPr="00A34B66" w:rsidRDefault="0087455A">
            <w:pPr>
              <w:spacing w:before="720"/>
              <w:ind w:left="158"/>
              <w:rPr>
                <w:lang w:val="es-ES"/>
              </w:rPr>
            </w:pPr>
          </w:p>
        </w:tc>
        <w:tc>
          <w:tcPr>
            <w:tcW w:w="4590" w:type="dxa"/>
            <w:tcBorders>
              <w:top w:val="nil"/>
              <w:left w:val="nil"/>
              <w:bottom w:val="single" w:sz="36" w:space="0" w:color="auto"/>
              <w:right w:val="nil"/>
            </w:tcBorders>
          </w:tcPr>
          <w:p w:rsidR="0087455A" w:rsidRPr="00A34B66" w:rsidRDefault="0087455A">
            <w:pPr>
              <w:rPr>
                <w:lang w:val="es-ES"/>
              </w:rPr>
            </w:pPr>
          </w:p>
          <w:p w:rsidR="0087455A" w:rsidRPr="00A34B66" w:rsidRDefault="0024162E">
            <w:pPr>
              <w:rPr>
                <w:lang w:val="es-ES"/>
              </w:rPr>
            </w:pPr>
            <w:proofErr w:type="spellStart"/>
            <w:r w:rsidRPr="00A34B66">
              <w:rPr>
                <w:lang w:val="es-ES"/>
              </w:rPr>
              <w:t>Distr</w:t>
            </w:r>
            <w:proofErr w:type="spellEnd"/>
            <w:r w:rsidRPr="00A34B66">
              <w:rPr>
                <w:lang w:val="es-ES"/>
              </w:rPr>
              <w:t>.</w:t>
            </w:r>
          </w:p>
          <w:p w:rsidR="0087455A" w:rsidRPr="00A34B66" w:rsidRDefault="0024162E">
            <w:pPr>
              <w:rPr>
                <w:lang w:val="es-ES"/>
              </w:rPr>
            </w:pPr>
            <w:r w:rsidRPr="00A34B66">
              <w:rPr>
                <w:lang w:val="es-ES"/>
              </w:rPr>
              <w:t>GENERAL</w:t>
            </w:r>
          </w:p>
          <w:p w:rsidR="0087455A" w:rsidRPr="00A34B66" w:rsidRDefault="0087455A">
            <w:pPr>
              <w:rPr>
                <w:lang w:val="es-ES"/>
              </w:rPr>
            </w:pPr>
          </w:p>
          <w:p w:rsidR="0087455A" w:rsidRPr="00A34B66" w:rsidRDefault="0024162E">
            <w:pPr>
              <w:rPr>
                <w:lang w:val="es-ES"/>
              </w:rPr>
            </w:pPr>
            <w:r w:rsidRPr="00A34B66">
              <w:rPr>
                <w:lang w:val="es-ES"/>
              </w:rPr>
              <w:fldChar w:fldCharType="begin"/>
            </w:r>
            <w:r w:rsidRPr="00A34B66">
              <w:rPr>
                <w:lang w:val="es-ES"/>
              </w:rPr>
              <w:instrText xml:space="preserve"> DOCPROPERTY "Document number"  \* MERGEFORMAT </w:instrText>
            </w:r>
            <w:r w:rsidRPr="00A34B66">
              <w:rPr>
                <w:lang w:val="es-ES"/>
              </w:rPr>
              <w:fldChar w:fldCharType="separate"/>
            </w:r>
            <w:r w:rsidR="00EC14F6" w:rsidRPr="00A34B66">
              <w:rPr>
                <w:lang w:val="es-ES"/>
              </w:rPr>
              <w:t>UNEP/</w:t>
            </w:r>
            <w:proofErr w:type="spellStart"/>
            <w:r w:rsidR="00EC14F6" w:rsidRPr="00A34B66">
              <w:rPr>
                <w:lang w:val="es-ES"/>
              </w:rPr>
              <w:t>OzL.Pro</w:t>
            </w:r>
            <w:proofErr w:type="spellEnd"/>
            <w:r w:rsidR="00EC14F6" w:rsidRPr="00A34B66">
              <w:rPr>
                <w:lang w:val="es-ES"/>
              </w:rPr>
              <w:t>/</w:t>
            </w:r>
            <w:proofErr w:type="spellStart"/>
            <w:r w:rsidR="00EC14F6" w:rsidRPr="00A34B66">
              <w:rPr>
                <w:lang w:val="es-ES"/>
              </w:rPr>
              <w:t>ExCom</w:t>
            </w:r>
            <w:proofErr w:type="spellEnd"/>
            <w:r w:rsidR="00EC14F6" w:rsidRPr="00A34B66">
              <w:rPr>
                <w:lang w:val="es-ES"/>
              </w:rPr>
              <w:t>/83/</w:t>
            </w:r>
            <w:r w:rsidR="005B1C2B">
              <w:rPr>
                <w:lang w:val="es-ES"/>
              </w:rPr>
              <w:t>6</w:t>
            </w:r>
            <w:r w:rsidRPr="00A34B66">
              <w:rPr>
                <w:lang w:val="es-ES"/>
              </w:rPr>
              <w:fldChar w:fldCharType="end"/>
            </w:r>
          </w:p>
          <w:p w:rsidR="0087455A" w:rsidRPr="00A34B66" w:rsidRDefault="00EC14F6" w:rsidP="001C2D22">
            <w:pPr>
              <w:rPr>
                <w:caps/>
                <w:lang w:val="es-ES"/>
              </w:rPr>
            </w:pPr>
            <w:r w:rsidRPr="00A34B66">
              <w:rPr>
                <w:caps/>
                <w:lang w:val="es-ES"/>
              </w:rPr>
              <w:t xml:space="preserve">30 </w:t>
            </w:r>
            <w:r w:rsidRPr="00A34B66">
              <w:rPr>
                <w:lang w:val="es-ES"/>
              </w:rPr>
              <w:t>de</w:t>
            </w:r>
            <w:r w:rsidRPr="00A34B66">
              <w:rPr>
                <w:caps/>
                <w:lang w:val="es-ES"/>
              </w:rPr>
              <w:t xml:space="preserve"> </w:t>
            </w:r>
            <w:r w:rsidRPr="00A34B66">
              <w:rPr>
                <w:lang w:val="es-ES"/>
              </w:rPr>
              <w:t>abril de</w:t>
            </w:r>
            <w:r w:rsidRPr="00A34B66">
              <w:rPr>
                <w:caps/>
                <w:lang w:val="es-ES"/>
              </w:rPr>
              <w:t xml:space="preserve"> </w:t>
            </w:r>
            <w:r w:rsidR="001C2D22" w:rsidRPr="00A34B66">
              <w:rPr>
                <w:caps/>
                <w:lang w:val="es-ES"/>
              </w:rPr>
              <w:t>2019</w:t>
            </w:r>
          </w:p>
          <w:p w:rsidR="00114CAA" w:rsidRPr="00A34B66" w:rsidRDefault="00114CAA">
            <w:pPr>
              <w:rPr>
                <w:caps/>
                <w:lang w:val="es-ES"/>
              </w:rPr>
            </w:pPr>
          </w:p>
          <w:p w:rsidR="0087455A" w:rsidRPr="00A34B66" w:rsidRDefault="0024162E">
            <w:pPr>
              <w:rPr>
                <w:lang w:val="es-ES"/>
              </w:rPr>
            </w:pPr>
            <w:r w:rsidRPr="00A34B66">
              <w:rPr>
                <w:lang w:val="es-ES"/>
              </w:rPr>
              <w:t xml:space="preserve">ESPAÑOL </w:t>
            </w:r>
          </w:p>
          <w:p w:rsidR="0087455A" w:rsidRPr="00A34B66" w:rsidRDefault="0024162E">
            <w:pPr>
              <w:rPr>
                <w:lang w:val="es-ES"/>
              </w:rPr>
            </w:pPr>
            <w:r w:rsidRPr="00A34B66">
              <w:rPr>
                <w:lang w:val="es-ES"/>
              </w:rPr>
              <w:t>ORIGINAL: INGLÉS</w:t>
            </w:r>
          </w:p>
        </w:tc>
      </w:tr>
    </w:tbl>
    <w:p w:rsidR="0087455A" w:rsidRPr="00A34B66" w:rsidRDefault="0087455A">
      <w:pPr>
        <w:jc w:val="left"/>
        <w:rPr>
          <w:lang w:val="es-ES"/>
        </w:rPr>
      </w:pPr>
    </w:p>
    <w:p w:rsidR="0087455A" w:rsidRPr="00A34B66" w:rsidRDefault="0024162E">
      <w:pPr>
        <w:jc w:val="left"/>
        <w:rPr>
          <w:lang w:val="es-ES"/>
        </w:rPr>
      </w:pPr>
      <w:r w:rsidRPr="00A34B66">
        <w:rPr>
          <w:lang w:val="es-ES"/>
        </w:rPr>
        <w:t>COMITÉ EJECUTIVO DEL FONDO MULTILATERAL</w:t>
      </w:r>
      <w:r w:rsidRPr="00A34B66">
        <w:rPr>
          <w:lang w:val="es-ES"/>
        </w:rPr>
        <w:br/>
        <w:t xml:space="preserve">  PARA LA APLICACIÓN DEL</w:t>
      </w:r>
      <w:r w:rsidRPr="00A34B66">
        <w:rPr>
          <w:lang w:val="es-ES"/>
        </w:rPr>
        <w:br/>
        <w:t xml:space="preserve">  PROTOCOLO DE MONTREAL</w:t>
      </w:r>
    </w:p>
    <w:p w:rsidR="00106F6E" w:rsidRPr="00A34B66" w:rsidRDefault="00106F6E" w:rsidP="001C2D22">
      <w:pPr>
        <w:jc w:val="left"/>
        <w:rPr>
          <w:lang w:val="es-ES"/>
        </w:rPr>
      </w:pPr>
      <w:r w:rsidRPr="00A34B66">
        <w:rPr>
          <w:lang w:val="es-ES"/>
        </w:rPr>
        <w:t xml:space="preserve">Octogésima </w:t>
      </w:r>
      <w:r w:rsidR="001C2D22" w:rsidRPr="00A34B66">
        <w:rPr>
          <w:lang w:val="es-ES"/>
        </w:rPr>
        <w:t>tercera</w:t>
      </w:r>
      <w:r w:rsidRPr="00A34B66">
        <w:rPr>
          <w:lang w:val="es-ES"/>
        </w:rPr>
        <w:t xml:space="preserve"> Reunión</w:t>
      </w:r>
      <w:r w:rsidRPr="00A34B66">
        <w:rPr>
          <w:lang w:val="es-ES"/>
        </w:rPr>
        <w:br/>
        <w:t xml:space="preserve">Montreal, </w:t>
      </w:r>
      <w:r w:rsidR="001C2D22" w:rsidRPr="00A34B66">
        <w:rPr>
          <w:lang w:val="es-ES"/>
        </w:rPr>
        <w:t>27</w:t>
      </w:r>
      <w:r w:rsidRPr="00A34B66">
        <w:rPr>
          <w:lang w:val="es-ES"/>
        </w:rPr>
        <w:t xml:space="preserve"> – </w:t>
      </w:r>
      <w:r w:rsidR="001C2D22" w:rsidRPr="00A34B66">
        <w:rPr>
          <w:lang w:val="es-ES"/>
        </w:rPr>
        <w:t>31</w:t>
      </w:r>
      <w:r w:rsidRPr="00A34B66">
        <w:rPr>
          <w:lang w:val="es-ES"/>
        </w:rPr>
        <w:t xml:space="preserve"> de </w:t>
      </w:r>
      <w:r w:rsidR="001C2D22" w:rsidRPr="00A34B66">
        <w:rPr>
          <w:lang w:val="es-ES"/>
        </w:rPr>
        <w:t>mayo de 2019</w:t>
      </w:r>
    </w:p>
    <w:p w:rsidR="00106F6E" w:rsidRPr="00A34B66" w:rsidRDefault="00106F6E" w:rsidP="00106F6E">
      <w:pPr>
        <w:jc w:val="left"/>
        <w:rPr>
          <w:lang w:val="es-ES"/>
        </w:rPr>
      </w:pPr>
    </w:p>
    <w:p w:rsidR="0087455A" w:rsidRPr="00A34B66" w:rsidRDefault="0087455A">
      <w:pPr>
        <w:jc w:val="left"/>
        <w:rPr>
          <w:lang w:val="es-ES"/>
        </w:rPr>
      </w:pPr>
    </w:p>
    <w:p w:rsidR="001E4D63" w:rsidRDefault="00D12D6F">
      <w:pPr>
        <w:pStyle w:val="Title1"/>
        <w:rPr>
          <w:lang w:val="es-ES"/>
        </w:rPr>
      </w:pPr>
      <w:r w:rsidRPr="00A34B66">
        <w:rPr>
          <w:lang w:val="es-ES"/>
        </w:rPr>
        <w:t>conciliación de las cuentas</w:t>
      </w:r>
      <w:r w:rsidR="0061481C">
        <w:rPr>
          <w:lang w:val="es-ES"/>
        </w:rPr>
        <w:t xml:space="preserve"> de 2017</w:t>
      </w:r>
    </w:p>
    <w:p w:rsidR="0087455A" w:rsidRPr="00A34B66" w:rsidRDefault="00D12D6F">
      <w:pPr>
        <w:pStyle w:val="Title1"/>
        <w:rPr>
          <w:lang w:val="es-ES"/>
        </w:rPr>
      </w:pPr>
      <w:r w:rsidRPr="00A34B66">
        <w:rPr>
          <w:lang w:val="es-ES"/>
        </w:rPr>
        <w:t xml:space="preserve"> (</w:t>
      </w:r>
      <w:r w:rsidRPr="00A34B66">
        <w:rPr>
          <w:bCs/>
          <w:lang w:val="es-ES"/>
        </w:rPr>
        <w:t>DECISI</w:t>
      </w:r>
      <w:r w:rsidR="00930E89" w:rsidRPr="00A34B66">
        <w:rPr>
          <w:bCs/>
          <w:lang w:val="es-ES"/>
        </w:rPr>
        <w:t>Ó</w:t>
      </w:r>
      <w:r w:rsidRPr="00A34B66">
        <w:rPr>
          <w:bCs/>
          <w:lang w:val="es-ES"/>
        </w:rPr>
        <w:t>N 82/5(</w:t>
      </w:r>
      <w:r w:rsidR="00CD354F" w:rsidRPr="00A34B66">
        <w:rPr>
          <w:lang w:val="es-ES"/>
        </w:rPr>
        <w:t>g</w:t>
      </w:r>
      <w:r w:rsidRPr="00A34B66">
        <w:rPr>
          <w:bCs/>
          <w:lang w:val="es-ES"/>
        </w:rPr>
        <w:t xml:space="preserve">)) </w:t>
      </w:r>
      <w:r w:rsidR="00930E89" w:rsidRPr="00A34B66">
        <w:rPr>
          <w:bCs/>
          <w:lang w:val="es-ES"/>
        </w:rPr>
        <w:t xml:space="preserve"> </w:t>
      </w:r>
      <w:r w:rsidR="00CD354F">
        <w:rPr>
          <w:bCs/>
          <w:lang w:val="es-ES"/>
        </w:rPr>
        <w:t xml:space="preserve"> </w:t>
      </w:r>
    </w:p>
    <w:p w:rsidR="0087455A" w:rsidRPr="00A34B66" w:rsidRDefault="0087455A">
      <w:pPr>
        <w:pStyle w:val="Heading1"/>
        <w:numPr>
          <w:ilvl w:val="0"/>
          <w:numId w:val="0"/>
        </w:numPr>
        <w:rPr>
          <w:lang w:val="es-ES"/>
        </w:rPr>
      </w:pPr>
    </w:p>
    <w:p w:rsidR="00D12D6F" w:rsidRPr="00A34B66" w:rsidRDefault="007A0542" w:rsidP="00D12D6F">
      <w:pPr>
        <w:pStyle w:val="ListParagraph"/>
        <w:numPr>
          <w:ilvl w:val="0"/>
          <w:numId w:val="21"/>
        </w:numPr>
        <w:ind w:left="142" w:firstLine="0"/>
        <w:outlineLvl w:val="0"/>
        <w:rPr>
          <w:lang w:val="es-ES"/>
        </w:rPr>
      </w:pPr>
      <w:r w:rsidRPr="00A34B66">
        <w:rPr>
          <w:lang w:val="es-ES"/>
        </w:rPr>
        <w:t xml:space="preserve">En su </w:t>
      </w:r>
      <w:r w:rsidR="00D12D6F" w:rsidRPr="00A34B66">
        <w:rPr>
          <w:lang w:val="es-ES"/>
        </w:rPr>
        <w:t>82</w:t>
      </w:r>
      <w:r w:rsidR="00D83E66" w:rsidRPr="00A34B66">
        <w:rPr>
          <w:vertAlign w:val="superscript"/>
          <w:lang w:val="es-ES"/>
        </w:rPr>
        <w:t>ª</w:t>
      </w:r>
      <w:r w:rsidR="00D12D6F" w:rsidRPr="00A34B66">
        <w:rPr>
          <w:lang w:val="es-ES"/>
        </w:rPr>
        <w:t xml:space="preserve"> </w:t>
      </w:r>
      <w:r w:rsidRPr="00A34B66">
        <w:rPr>
          <w:lang w:val="es-ES"/>
        </w:rPr>
        <w:t>reunión</w:t>
      </w:r>
      <w:r w:rsidR="00D12D6F" w:rsidRPr="00A34B66">
        <w:rPr>
          <w:lang w:val="es-ES"/>
        </w:rPr>
        <w:t xml:space="preserve">, </w:t>
      </w:r>
      <w:r w:rsidRPr="00A34B66">
        <w:rPr>
          <w:lang w:val="es-ES"/>
        </w:rPr>
        <w:t>el Comité Ejecutivo</w:t>
      </w:r>
      <w:r w:rsidR="00D12D6F" w:rsidRPr="00A34B66">
        <w:rPr>
          <w:lang w:val="es-ES"/>
        </w:rPr>
        <w:t xml:space="preserve"> </w:t>
      </w:r>
      <w:r w:rsidRPr="005B1C2B">
        <w:rPr>
          <w:lang w:val="es-ES"/>
        </w:rPr>
        <w:t>examinó</w:t>
      </w:r>
      <w:r w:rsidR="00D12D6F" w:rsidRPr="00A34B66">
        <w:rPr>
          <w:lang w:val="es-ES"/>
        </w:rPr>
        <w:t xml:space="preserve"> </w:t>
      </w:r>
      <w:r w:rsidRPr="00A34B66">
        <w:rPr>
          <w:lang w:val="es-ES"/>
        </w:rPr>
        <w:t>la conciliación de las cuentas de</w:t>
      </w:r>
      <w:r w:rsidR="00D12D6F" w:rsidRPr="00A34B66">
        <w:rPr>
          <w:lang w:val="es-ES"/>
        </w:rPr>
        <w:t xml:space="preserve"> 2017</w:t>
      </w:r>
      <w:r w:rsidR="00D12D6F" w:rsidRPr="00A34B66">
        <w:rPr>
          <w:rStyle w:val="FootnoteReference"/>
          <w:lang w:val="es-ES"/>
        </w:rPr>
        <w:footnoteReference w:id="1"/>
      </w:r>
      <w:r w:rsidR="00D12D6F" w:rsidRPr="00A34B66">
        <w:rPr>
          <w:lang w:val="es-ES"/>
        </w:rPr>
        <w:t xml:space="preserve">. </w:t>
      </w:r>
      <w:r w:rsidR="003F7BA2" w:rsidRPr="00A34B66">
        <w:rPr>
          <w:lang w:val="es-ES"/>
        </w:rPr>
        <w:t>Se</w:t>
      </w:r>
      <w:r w:rsidRPr="00A34B66">
        <w:rPr>
          <w:lang w:val="es-ES"/>
        </w:rPr>
        <w:t xml:space="preserve"> informó </w:t>
      </w:r>
      <w:r w:rsidR="003F7BA2" w:rsidRPr="00A34B66">
        <w:rPr>
          <w:lang w:val="es-ES"/>
        </w:rPr>
        <w:t xml:space="preserve">de </w:t>
      </w:r>
      <w:r w:rsidRPr="00A34B66">
        <w:rPr>
          <w:lang w:val="es-ES"/>
        </w:rPr>
        <w:t>que el PNUMA</w:t>
      </w:r>
      <w:r w:rsidR="00D12D6F" w:rsidRPr="00A34B66">
        <w:rPr>
          <w:lang w:val="es-ES"/>
        </w:rPr>
        <w:t xml:space="preserve"> </w:t>
      </w:r>
      <w:r w:rsidRPr="00A34B66">
        <w:rPr>
          <w:lang w:val="es-ES"/>
        </w:rPr>
        <w:t>había tenido dif</w:t>
      </w:r>
      <w:r w:rsidR="00E13FC7" w:rsidRPr="00A34B66">
        <w:rPr>
          <w:lang w:val="es-ES"/>
        </w:rPr>
        <w:t>i</w:t>
      </w:r>
      <w:r w:rsidRPr="00A34B66">
        <w:rPr>
          <w:lang w:val="es-ES"/>
        </w:rPr>
        <w:t xml:space="preserve">cultades </w:t>
      </w:r>
      <w:r w:rsidR="00513808" w:rsidRPr="00A34B66">
        <w:rPr>
          <w:lang w:val="es-ES"/>
        </w:rPr>
        <w:t>para</w:t>
      </w:r>
      <w:r w:rsidRPr="00A34B66">
        <w:rPr>
          <w:lang w:val="es-ES"/>
        </w:rPr>
        <w:t xml:space="preserve"> explicar </w:t>
      </w:r>
      <w:r w:rsidR="00A80CFB" w:rsidRPr="00A34B66">
        <w:rPr>
          <w:lang w:val="es-ES"/>
        </w:rPr>
        <w:t>una</w:t>
      </w:r>
      <w:r w:rsidRPr="00A34B66">
        <w:rPr>
          <w:lang w:val="es-ES"/>
        </w:rPr>
        <w:t xml:space="preserve"> diferencia </w:t>
      </w:r>
      <w:r w:rsidR="00E71F27">
        <w:rPr>
          <w:lang w:val="es-ES"/>
        </w:rPr>
        <w:t>en los</w:t>
      </w:r>
      <w:r w:rsidR="009D1DC8" w:rsidRPr="00A34B66">
        <w:rPr>
          <w:lang w:val="es-ES"/>
        </w:rPr>
        <w:t xml:space="preserve"> gastos</w:t>
      </w:r>
      <w:r w:rsidRPr="00A34B66">
        <w:rPr>
          <w:lang w:val="es-ES"/>
        </w:rPr>
        <w:t xml:space="preserve"> </w:t>
      </w:r>
      <w:r w:rsidR="00797850" w:rsidRPr="00A34B66">
        <w:rPr>
          <w:lang w:val="es-ES"/>
        </w:rPr>
        <w:t>por valor de</w:t>
      </w:r>
      <w:r w:rsidR="00D12D6F" w:rsidRPr="00A34B66">
        <w:rPr>
          <w:lang w:val="es-ES"/>
        </w:rPr>
        <w:t xml:space="preserve"> </w:t>
      </w:r>
      <w:r w:rsidR="00966E81">
        <w:rPr>
          <w:lang w:val="es-ES"/>
        </w:rPr>
        <w:t xml:space="preserve">              </w:t>
      </w:r>
      <w:r w:rsidR="00D12D6F" w:rsidRPr="00A34B66">
        <w:rPr>
          <w:lang w:val="es-ES"/>
        </w:rPr>
        <w:t>15</w:t>
      </w:r>
      <w:r w:rsidR="00797850" w:rsidRPr="00A34B66">
        <w:rPr>
          <w:lang w:val="es-ES"/>
        </w:rPr>
        <w:t xml:space="preserve"> </w:t>
      </w:r>
      <w:r w:rsidR="00D12D6F" w:rsidRPr="00A34B66">
        <w:rPr>
          <w:lang w:val="es-ES"/>
        </w:rPr>
        <w:t>528</w:t>
      </w:r>
      <w:r w:rsidR="00797850" w:rsidRPr="00A34B66">
        <w:rPr>
          <w:lang w:val="es-ES"/>
        </w:rPr>
        <w:t xml:space="preserve"> </w:t>
      </w:r>
      <w:r w:rsidR="00D12D6F" w:rsidRPr="00A34B66">
        <w:rPr>
          <w:lang w:val="es-ES"/>
        </w:rPr>
        <w:t>515</w:t>
      </w:r>
      <w:r w:rsidR="00797850" w:rsidRPr="00A34B66">
        <w:rPr>
          <w:lang w:val="es-ES"/>
        </w:rPr>
        <w:t xml:space="preserve"> $EUA</w:t>
      </w:r>
      <w:r w:rsidRPr="00A34B66">
        <w:rPr>
          <w:lang w:val="es-ES"/>
        </w:rPr>
        <w:t>,</w:t>
      </w:r>
      <w:r w:rsidR="00D12D6F" w:rsidRPr="00A34B66">
        <w:rPr>
          <w:lang w:val="es-ES"/>
        </w:rPr>
        <w:t xml:space="preserve"> </w:t>
      </w:r>
      <w:r w:rsidRPr="00A34B66">
        <w:rPr>
          <w:lang w:val="es-ES"/>
        </w:rPr>
        <w:t>entre su</w:t>
      </w:r>
      <w:r w:rsidR="00D12D6F" w:rsidRPr="00A34B66">
        <w:rPr>
          <w:lang w:val="es-ES"/>
        </w:rPr>
        <w:t xml:space="preserve"> </w:t>
      </w:r>
      <w:r w:rsidRPr="00A34B66">
        <w:rPr>
          <w:lang w:val="es-ES"/>
        </w:rPr>
        <w:t>informe sobre la marcha de las actividades y las cuentas finales</w:t>
      </w:r>
      <w:r w:rsidR="00D12D6F" w:rsidRPr="00A34B66">
        <w:rPr>
          <w:lang w:val="es-ES"/>
        </w:rPr>
        <w:t xml:space="preserve">, </w:t>
      </w:r>
      <w:r w:rsidRPr="00A34B66">
        <w:rPr>
          <w:lang w:val="es-ES"/>
        </w:rPr>
        <w:t xml:space="preserve">y que había </w:t>
      </w:r>
      <w:r w:rsidR="00E71F27">
        <w:rPr>
          <w:lang w:val="es-ES"/>
        </w:rPr>
        <w:t>solicitado</w:t>
      </w:r>
      <w:r w:rsidRPr="00A34B66">
        <w:rPr>
          <w:lang w:val="es-ES"/>
        </w:rPr>
        <w:t xml:space="preserve"> presentar </w:t>
      </w:r>
      <w:r w:rsidR="009D1DC8" w:rsidRPr="00A34B66">
        <w:rPr>
          <w:lang w:val="es-ES"/>
        </w:rPr>
        <w:t>a la 83</w:t>
      </w:r>
      <w:r w:rsidR="009D1DC8" w:rsidRPr="00A34B66">
        <w:rPr>
          <w:vertAlign w:val="superscript"/>
          <w:lang w:val="es-ES"/>
        </w:rPr>
        <w:t>ª</w:t>
      </w:r>
      <w:r w:rsidR="009D1DC8" w:rsidRPr="00A34B66">
        <w:rPr>
          <w:lang w:val="es-ES"/>
        </w:rPr>
        <w:t xml:space="preserve"> reunión </w:t>
      </w:r>
      <w:r w:rsidRPr="00A34B66">
        <w:rPr>
          <w:lang w:val="es-ES"/>
        </w:rPr>
        <w:t xml:space="preserve">un </w:t>
      </w:r>
      <w:r w:rsidR="009D1DC8" w:rsidRPr="00A34B66">
        <w:rPr>
          <w:lang w:val="es-ES"/>
        </w:rPr>
        <w:t>i</w:t>
      </w:r>
      <w:r w:rsidRPr="00A34B66">
        <w:rPr>
          <w:lang w:val="es-ES"/>
        </w:rPr>
        <w:t>nforme</w:t>
      </w:r>
      <w:r w:rsidR="00490460" w:rsidRPr="00A34B66">
        <w:rPr>
          <w:lang w:val="es-ES"/>
        </w:rPr>
        <w:t xml:space="preserve"> </w:t>
      </w:r>
      <w:r w:rsidRPr="00A34B66">
        <w:rPr>
          <w:lang w:val="es-ES"/>
        </w:rPr>
        <w:t>sobre la marcha de las actividades</w:t>
      </w:r>
      <w:r w:rsidR="00607C63">
        <w:rPr>
          <w:lang w:val="es-ES"/>
        </w:rPr>
        <w:t xml:space="preserve"> revisado</w:t>
      </w:r>
      <w:r w:rsidRPr="00A34B66">
        <w:rPr>
          <w:lang w:val="es-ES"/>
        </w:rPr>
        <w:t>,</w:t>
      </w:r>
      <w:r w:rsidR="00D12D6F" w:rsidRPr="00A34B66">
        <w:rPr>
          <w:lang w:val="es-ES"/>
        </w:rPr>
        <w:t xml:space="preserve"> </w:t>
      </w:r>
      <w:r w:rsidR="000178EB" w:rsidRPr="00A34B66">
        <w:rPr>
          <w:lang w:val="es-ES"/>
        </w:rPr>
        <w:t>una vez que hubiera examinado</w:t>
      </w:r>
      <w:r w:rsidRPr="00A34B66">
        <w:rPr>
          <w:lang w:val="es-ES"/>
        </w:rPr>
        <w:t xml:space="preserve"> sus datos financieros</w:t>
      </w:r>
      <w:r w:rsidR="00490460" w:rsidRPr="00A34B66">
        <w:rPr>
          <w:lang w:val="es-ES"/>
        </w:rPr>
        <w:t xml:space="preserve">, ya que se consideraba que las discrepancias </w:t>
      </w:r>
      <w:r w:rsidR="00A80CFB" w:rsidRPr="00A34B66">
        <w:rPr>
          <w:lang w:val="es-ES"/>
        </w:rPr>
        <w:t>se relacionaban con</w:t>
      </w:r>
      <w:r w:rsidR="00950319" w:rsidRPr="00A34B66">
        <w:rPr>
          <w:lang w:val="es-ES"/>
        </w:rPr>
        <w:t xml:space="preserve"> </w:t>
      </w:r>
      <w:r w:rsidR="00A80CFB" w:rsidRPr="00A34B66">
        <w:rPr>
          <w:lang w:val="es-ES"/>
        </w:rPr>
        <w:t>una</w:t>
      </w:r>
      <w:r w:rsidR="00950319" w:rsidRPr="00A34B66">
        <w:rPr>
          <w:lang w:val="es-ES"/>
        </w:rPr>
        <w:t xml:space="preserve"> doble contabilización de</w:t>
      </w:r>
      <w:r w:rsidR="00D12D6F" w:rsidRPr="00A34B66">
        <w:rPr>
          <w:lang w:val="es-ES"/>
        </w:rPr>
        <w:t xml:space="preserve"> </w:t>
      </w:r>
      <w:r w:rsidR="00797850" w:rsidRPr="00A34B66">
        <w:rPr>
          <w:lang w:val="es-ES"/>
        </w:rPr>
        <w:t xml:space="preserve">los </w:t>
      </w:r>
      <w:r w:rsidR="00950319" w:rsidRPr="00A34B66">
        <w:rPr>
          <w:lang w:val="es-ES"/>
        </w:rPr>
        <w:t>compromisos y la transición</w:t>
      </w:r>
      <w:r w:rsidR="00D12D6F" w:rsidRPr="00A34B66">
        <w:rPr>
          <w:lang w:val="es-ES"/>
        </w:rPr>
        <w:t xml:space="preserve"> </w:t>
      </w:r>
      <w:r w:rsidR="00950319" w:rsidRPr="00A34B66">
        <w:rPr>
          <w:lang w:val="es-ES"/>
        </w:rPr>
        <w:t xml:space="preserve">de un sistema de contabilidad </w:t>
      </w:r>
      <w:r w:rsidR="00266942" w:rsidRPr="00A34B66">
        <w:rPr>
          <w:lang w:val="es-ES"/>
        </w:rPr>
        <w:t>anterior</w:t>
      </w:r>
      <w:r w:rsidR="00D12D6F" w:rsidRPr="00A34B66">
        <w:rPr>
          <w:lang w:val="es-ES"/>
        </w:rPr>
        <w:t>.</w:t>
      </w:r>
    </w:p>
    <w:p w:rsidR="00D12D6F" w:rsidRPr="00A34B66" w:rsidRDefault="00D12D6F" w:rsidP="00D12D6F">
      <w:pPr>
        <w:pStyle w:val="ListParagraph"/>
        <w:ind w:left="142"/>
        <w:outlineLvl w:val="0"/>
        <w:rPr>
          <w:lang w:val="es-ES"/>
        </w:rPr>
      </w:pPr>
      <w:r w:rsidRPr="00A34B66">
        <w:rPr>
          <w:lang w:val="es-ES"/>
        </w:rPr>
        <w:t xml:space="preserve"> </w:t>
      </w:r>
    </w:p>
    <w:p w:rsidR="00D12D6F" w:rsidRPr="00A34B66" w:rsidRDefault="00E71F27" w:rsidP="00D12D6F">
      <w:pPr>
        <w:pStyle w:val="ListParagraph"/>
        <w:numPr>
          <w:ilvl w:val="0"/>
          <w:numId w:val="21"/>
        </w:numPr>
        <w:ind w:left="142" w:firstLine="0"/>
        <w:outlineLvl w:val="0"/>
        <w:rPr>
          <w:lang w:val="es-ES"/>
        </w:rPr>
      </w:pPr>
      <w:r>
        <w:rPr>
          <w:lang w:val="es-ES"/>
        </w:rPr>
        <w:t>Tomando nota de</w:t>
      </w:r>
      <w:r w:rsidR="007C2B35" w:rsidRPr="00A34B66">
        <w:rPr>
          <w:lang w:val="es-ES"/>
        </w:rPr>
        <w:t xml:space="preserve"> que </w:t>
      </w:r>
      <w:r>
        <w:rPr>
          <w:lang w:val="es-ES"/>
        </w:rPr>
        <w:t>el monto</w:t>
      </w:r>
      <w:r w:rsidR="007C2B35" w:rsidRPr="00A34B66">
        <w:rPr>
          <w:lang w:val="es-ES"/>
        </w:rPr>
        <w:t xml:space="preserve"> en cuestión </w:t>
      </w:r>
      <w:r w:rsidR="00DC63B2" w:rsidRPr="00A34B66">
        <w:rPr>
          <w:lang w:val="es-ES"/>
        </w:rPr>
        <w:t>era considerable</w:t>
      </w:r>
      <w:r w:rsidR="00D12D6F" w:rsidRPr="00A34B66">
        <w:rPr>
          <w:lang w:val="es-ES"/>
        </w:rPr>
        <w:t xml:space="preserve">, </w:t>
      </w:r>
      <w:r w:rsidR="00DC63B2" w:rsidRPr="00A34B66">
        <w:rPr>
          <w:lang w:val="es-ES"/>
        </w:rPr>
        <w:t>el Comité Ejecutivo</w:t>
      </w:r>
      <w:r w:rsidR="00887D0F" w:rsidRPr="00A34B66">
        <w:rPr>
          <w:lang w:val="es-ES"/>
        </w:rPr>
        <w:t xml:space="preserve"> </w:t>
      </w:r>
      <w:r w:rsidR="00DC63B2" w:rsidRPr="00A34B66">
        <w:rPr>
          <w:lang w:val="es-ES"/>
        </w:rPr>
        <w:t>pidió posteriormente al PNUMA</w:t>
      </w:r>
      <w:r w:rsidRPr="00A34B66">
        <w:rPr>
          <w:lang w:val="es-ES"/>
        </w:rPr>
        <w:t>, entre otras cosas,</w:t>
      </w:r>
      <w:r w:rsidR="00887D0F" w:rsidRPr="00A34B66">
        <w:rPr>
          <w:lang w:val="es-ES"/>
        </w:rPr>
        <w:t xml:space="preserve"> que </w:t>
      </w:r>
      <w:r w:rsidR="00DC63B2" w:rsidRPr="00A34B66">
        <w:rPr>
          <w:lang w:val="es-ES"/>
        </w:rPr>
        <w:t>presentar</w:t>
      </w:r>
      <w:r w:rsidR="00887D0F" w:rsidRPr="00A34B66">
        <w:rPr>
          <w:lang w:val="es-ES"/>
        </w:rPr>
        <w:t>a</w:t>
      </w:r>
      <w:r w:rsidR="00DC63B2" w:rsidRPr="00A34B66">
        <w:rPr>
          <w:lang w:val="es-ES"/>
        </w:rPr>
        <w:t xml:space="preserve"> a la 83</w:t>
      </w:r>
      <w:r w:rsidR="00DC63B2" w:rsidRPr="00A34B66">
        <w:rPr>
          <w:vertAlign w:val="superscript"/>
          <w:lang w:val="es-ES"/>
        </w:rPr>
        <w:t>ª</w:t>
      </w:r>
      <w:r w:rsidR="00DC63B2" w:rsidRPr="00A34B66">
        <w:rPr>
          <w:lang w:val="es-ES"/>
        </w:rPr>
        <w:t xml:space="preserve"> reunión un informe sobre la marcha de las actividades de</w:t>
      </w:r>
      <w:r w:rsidR="00D12D6F" w:rsidRPr="00A34B66">
        <w:rPr>
          <w:lang w:val="es-ES"/>
        </w:rPr>
        <w:t xml:space="preserve"> 2017</w:t>
      </w:r>
      <w:r>
        <w:rPr>
          <w:lang w:val="es-ES"/>
        </w:rPr>
        <w:t xml:space="preserve"> revisado</w:t>
      </w:r>
      <w:r w:rsidR="00DC63B2" w:rsidRPr="00A34B66">
        <w:rPr>
          <w:lang w:val="es-ES"/>
        </w:rPr>
        <w:t xml:space="preserve">, </w:t>
      </w:r>
      <w:r>
        <w:rPr>
          <w:lang w:val="es-ES"/>
        </w:rPr>
        <w:t>con miras a</w:t>
      </w:r>
      <w:r w:rsidR="00166499" w:rsidRPr="00A34B66">
        <w:rPr>
          <w:lang w:val="es-ES"/>
        </w:rPr>
        <w:t xml:space="preserve"> </w:t>
      </w:r>
      <w:r>
        <w:rPr>
          <w:lang w:val="es-ES"/>
        </w:rPr>
        <w:t>completar el ejercicio de</w:t>
      </w:r>
      <w:r w:rsidR="00166499" w:rsidRPr="00A34B66">
        <w:rPr>
          <w:lang w:val="es-ES"/>
        </w:rPr>
        <w:t xml:space="preserve"> conciliación de las cuentas de </w:t>
      </w:r>
      <w:r w:rsidR="00D12D6F" w:rsidRPr="00A34B66">
        <w:rPr>
          <w:lang w:val="es-ES"/>
        </w:rPr>
        <w:t xml:space="preserve">2017, </w:t>
      </w:r>
      <w:r w:rsidR="00166499" w:rsidRPr="00A34B66">
        <w:rPr>
          <w:lang w:val="es-ES"/>
        </w:rPr>
        <w:t>señalando las diferencias de</w:t>
      </w:r>
      <w:r w:rsidR="00D12D6F" w:rsidRPr="00A34B66">
        <w:rPr>
          <w:lang w:val="es-ES"/>
        </w:rPr>
        <w:t xml:space="preserve"> 7</w:t>
      </w:r>
      <w:r w:rsidR="00166499" w:rsidRPr="00A34B66">
        <w:rPr>
          <w:lang w:val="es-ES"/>
        </w:rPr>
        <w:t xml:space="preserve"> </w:t>
      </w:r>
      <w:r w:rsidR="00D12D6F" w:rsidRPr="00A34B66">
        <w:rPr>
          <w:lang w:val="es-ES"/>
        </w:rPr>
        <w:t>357</w:t>
      </w:r>
      <w:r w:rsidR="00166499" w:rsidRPr="00A34B66">
        <w:rPr>
          <w:lang w:val="es-ES"/>
        </w:rPr>
        <w:t xml:space="preserve"> $EUA</w:t>
      </w:r>
      <w:r w:rsidR="00D12D6F" w:rsidRPr="00A34B66">
        <w:rPr>
          <w:lang w:val="es-ES"/>
        </w:rPr>
        <w:t xml:space="preserve"> </w:t>
      </w:r>
      <w:r w:rsidR="00166499" w:rsidRPr="00A34B66">
        <w:rPr>
          <w:lang w:val="es-ES"/>
        </w:rPr>
        <w:t>en los ingresos</w:t>
      </w:r>
      <w:r w:rsidR="00D12D6F" w:rsidRPr="00A34B66">
        <w:rPr>
          <w:lang w:val="es-ES"/>
        </w:rPr>
        <w:t xml:space="preserve"> </w:t>
      </w:r>
      <w:r w:rsidR="00166499" w:rsidRPr="00A34B66">
        <w:rPr>
          <w:lang w:val="es-ES"/>
        </w:rPr>
        <w:t xml:space="preserve">y </w:t>
      </w:r>
      <w:r w:rsidR="00D12D6F" w:rsidRPr="00A34B66">
        <w:rPr>
          <w:lang w:val="es-ES"/>
        </w:rPr>
        <w:t>15</w:t>
      </w:r>
      <w:r w:rsidR="00166499" w:rsidRPr="00A34B66">
        <w:rPr>
          <w:lang w:val="es-ES"/>
        </w:rPr>
        <w:t xml:space="preserve"> </w:t>
      </w:r>
      <w:r w:rsidR="00D12D6F" w:rsidRPr="00A34B66">
        <w:rPr>
          <w:lang w:val="es-ES"/>
        </w:rPr>
        <w:t>528</w:t>
      </w:r>
      <w:r w:rsidR="00166499" w:rsidRPr="00A34B66">
        <w:rPr>
          <w:lang w:val="es-ES"/>
        </w:rPr>
        <w:t xml:space="preserve"> </w:t>
      </w:r>
      <w:r w:rsidR="00D12D6F" w:rsidRPr="00A34B66">
        <w:rPr>
          <w:lang w:val="es-ES"/>
        </w:rPr>
        <w:t>515</w:t>
      </w:r>
      <w:r w:rsidR="00166499" w:rsidRPr="00A34B66">
        <w:rPr>
          <w:lang w:val="es-ES"/>
        </w:rPr>
        <w:t xml:space="preserve"> $EUA</w:t>
      </w:r>
      <w:r w:rsidR="00D12D6F" w:rsidRPr="00A34B66">
        <w:rPr>
          <w:lang w:val="es-ES"/>
        </w:rPr>
        <w:t xml:space="preserve"> </w:t>
      </w:r>
      <w:r w:rsidR="00166499" w:rsidRPr="00A34B66">
        <w:rPr>
          <w:lang w:val="es-ES"/>
        </w:rPr>
        <w:t xml:space="preserve">en </w:t>
      </w:r>
      <w:r w:rsidR="00887D0F" w:rsidRPr="00607C63">
        <w:rPr>
          <w:lang w:val="es-ES"/>
        </w:rPr>
        <w:t>los</w:t>
      </w:r>
      <w:r w:rsidR="00887D0F" w:rsidRPr="00A34B66">
        <w:rPr>
          <w:lang w:val="es-ES"/>
        </w:rPr>
        <w:t xml:space="preserve"> </w:t>
      </w:r>
      <w:r w:rsidR="00166499" w:rsidRPr="00A34B66">
        <w:rPr>
          <w:lang w:val="es-ES"/>
        </w:rPr>
        <w:t>gastos</w:t>
      </w:r>
      <w:r w:rsidR="00D12D6F" w:rsidRPr="00A34B66">
        <w:rPr>
          <w:lang w:val="es-ES"/>
        </w:rPr>
        <w:t xml:space="preserve">, </w:t>
      </w:r>
      <w:r w:rsidR="00166499" w:rsidRPr="00A34B66">
        <w:rPr>
          <w:lang w:val="es-ES"/>
        </w:rPr>
        <w:t xml:space="preserve">entre el informe sobre la marcha de las actividades y las cuentas </w:t>
      </w:r>
      <w:r w:rsidR="00D12D6F" w:rsidRPr="00A34B66">
        <w:rPr>
          <w:lang w:val="es-ES"/>
        </w:rPr>
        <w:t>final</w:t>
      </w:r>
      <w:r w:rsidR="00166499" w:rsidRPr="00A34B66">
        <w:rPr>
          <w:lang w:val="es-ES"/>
        </w:rPr>
        <w:t>es</w:t>
      </w:r>
      <w:r w:rsidR="00D12D6F" w:rsidRPr="00A34B66">
        <w:rPr>
          <w:lang w:val="es-ES"/>
        </w:rPr>
        <w:t xml:space="preserve"> </w:t>
      </w:r>
      <w:r w:rsidR="00166499" w:rsidRPr="00A34B66">
        <w:rPr>
          <w:lang w:val="es-ES"/>
        </w:rPr>
        <w:t>del PNUMA</w:t>
      </w:r>
      <w:r w:rsidR="00D12D6F" w:rsidRPr="00A34B66">
        <w:rPr>
          <w:lang w:val="es-ES"/>
        </w:rPr>
        <w:t xml:space="preserve"> (decisi</w:t>
      </w:r>
      <w:r w:rsidR="00166499" w:rsidRPr="00A34B66">
        <w:rPr>
          <w:lang w:val="es-ES"/>
        </w:rPr>
        <w:t>ó</w:t>
      </w:r>
      <w:r w:rsidR="00D12D6F" w:rsidRPr="00A34B66">
        <w:rPr>
          <w:lang w:val="es-ES"/>
        </w:rPr>
        <w:t>n 82/5(g))</w:t>
      </w:r>
      <w:r w:rsidR="00166499" w:rsidRPr="00A34B66">
        <w:rPr>
          <w:lang w:val="es-ES"/>
        </w:rPr>
        <w:t>.</w:t>
      </w:r>
    </w:p>
    <w:p w:rsidR="00D12D6F" w:rsidRPr="00A34B66" w:rsidRDefault="00D12D6F" w:rsidP="00D12D6F">
      <w:pPr>
        <w:pStyle w:val="ListParagraph"/>
        <w:ind w:left="142"/>
        <w:outlineLvl w:val="0"/>
        <w:rPr>
          <w:lang w:val="es-ES"/>
        </w:rPr>
      </w:pPr>
    </w:p>
    <w:p w:rsidR="00D12D6F" w:rsidRPr="00A34B66" w:rsidRDefault="00517E3C" w:rsidP="00D12D6F">
      <w:pPr>
        <w:pStyle w:val="ListParagraph"/>
        <w:numPr>
          <w:ilvl w:val="0"/>
          <w:numId w:val="21"/>
        </w:numPr>
        <w:ind w:left="142" w:firstLine="0"/>
        <w:outlineLvl w:val="0"/>
        <w:rPr>
          <w:lang w:val="es-ES"/>
        </w:rPr>
      </w:pPr>
      <w:r w:rsidRPr="00A34B66">
        <w:rPr>
          <w:lang w:val="es-ES"/>
        </w:rPr>
        <w:t>La Secretaría del Fondo ha preparado el presente documento en respuesta a la decisión</w:t>
      </w:r>
      <w:r w:rsidR="00D12D6F" w:rsidRPr="00A34B66">
        <w:rPr>
          <w:lang w:val="es-ES"/>
        </w:rPr>
        <w:t xml:space="preserve"> 82/5(g).</w:t>
      </w:r>
    </w:p>
    <w:p w:rsidR="00D12D6F" w:rsidRPr="00A34B66" w:rsidRDefault="00D12D6F" w:rsidP="00D12D6F">
      <w:pPr>
        <w:tabs>
          <w:tab w:val="left" w:pos="1440"/>
        </w:tabs>
        <w:rPr>
          <w:bCs/>
          <w:lang w:val="es-ES"/>
        </w:rPr>
      </w:pPr>
    </w:p>
    <w:p w:rsidR="001E4D63" w:rsidRDefault="001E4D63">
      <w:pPr>
        <w:jc w:val="left"/>
        <w:rPr>
          <w:b/>
          <w:bCs/>
          <w:lang w:val="es-ES"/>
        </w:rPr>
      </w:pPr>
      <w:r>
        <w:rPr>
          <w:b/>
          <w:bCs/>
          <w:lang w:val="es-ES"/>
        </w:rPr>
        <w:br w:type="page"/>
      </w:r>
    </w:p>
    <w:p w:rsidR="00D12D6F" w:rsidRPr="00A34B66" w:rsidRDefault="00653069" w:rsidP="00D12D6F">
      <w:pPr>
        <w:tabs>
          <w:tab w:val="left" w:pos="1440"/>
        </w:tabs>
        <w:ind w:left="142"/>
        <w:rPr>
          <w:b/>
          <w:bCs/>
          <w:lang w:val="es-ES"/>
        </w:rPr>
      </w:pPr>
      <w:r w:rsidRPr="00A34B66">
        <w:rPr>
          <w:b/>
          <w:bCs/>
          <w:lang w:val="es-ES"/>
        </w:rPr>
        <w:lastRenderedPageBreak/>
        <w:t xml:space="preserve">Presentación de un informe sobre la marcha de las actividades de </w:t>
      </w:r>
      <w:r w:rsidR="00D12D6F" w:rsidRPr="00A34B66">
        <w:rPr>
          <w:b/>
          <w:bCs/>
          <w:lang w:val="es-ES"/>
        </w:rPr>
        <w:t>2017</w:t>
      </w:r>
      <w:r w:rsidR="00A815B4">
        <w:rPr>
          <w:b/>
          <w:bCs/>
          <w:lang w:val="es-ES"/>
        </w:rPr>
        <w:t xml:space="preserve"> revisado</w:t>
      </w:r>
      <w:r w:rsidR="00D12D6F" w:rsidRPr="00A34B66">
        <w:rPr>
          <w:b/>
          <w:bCs/>
          <w:lang w:val="es-ES"/>
        </w:rPr>
        <w:t xml:space="preserve"> </w:t>
      </w:r>
    </w:p>
    <w:p w:rsidR="00D12D6F" w:rsidRPr="00A34B66" w:rsidRDefault="00D12D6F" w:rsidP="00D12D6F">
      <w:pPr>
        <w:tabs>
          <w:tab w:val="left" w:pos="1440"/>
        </w:tabs>
        <w:rPr>
          <w:bCs/>
          <w:lang w:val="es-ES"/>
        </w:rPr>
      </w:pPr>
    </w:p>
    <w:p w:rsidR="00D12D6F" w:rsidRPr="00A34B66" w:rsidRDefault="005C0325" w:rsidP="00D12D6F">
      <w:pPr>
        <w:pStyle w:val="ListParagraph"/>
        <w:numPr>
          <w:ilvl w:val="0"/>
          <w:numId w:val="21"/>
        </w:numPr>
        <w:ind w:left="142" w:firstLine="0"/>
        <w:outlineLvl w:val="0"/>
        <w:rPr>
          <w:lang w:val="es-ES"/>
        </w:rPr>
      </w:pPr>
      <w:r w:rsidRPr="00A34B66">
        <w:rPr>
          <w:lang w:val="es-ES"/>
        </w:rPr>
        <w:t>En cumplimiento de la decisión</w:t>
      </w:r>
      <w:r w:rsidR="00D12D6F" w:rsidRPr="00A34B66">
        <w:rPr>
          <w:lang w:val="es-ES"/>
        </w:rPr>
        <w:t xml:space="preserve"> 82/5(g), </w:t>
      </w:r>
      <w:r w:rsidRPr="00A34B66">
        <w:rPr>
          <w:lang w:val="es-ES"/>
        </w:rPr>
        <w:t>la Secretaría del Fondo y el PNUMA</w:t>
      </w:r>
      <w:r w:rsidR="00D12D6F" w:rsidRPr="00A34B66">
        <w:rPr>
          <w:lang w:val="es-ES"/>
        </w:rPr>
        <w:t xml:space="preserve"> </w:t>
      </w:r>
      <w:r w:rsidRPr="00A34B66">
        <w:rPr>
          <w:lang w:val="es-ES"/>
        </w:rPr>
        <w:t>celebraron varias reuniones paralelamente a la</w:t>
      </w:r>
      <w:r w:rsidR="00137714" w:rsidRPr="00A34B66">
        <w:rPr>
          <w:lang w:val="es-ES"/>
        </w:rPr>
        <w:t xml:space="preserve"> Segunda Reunión Mundial Interregional</w:t>
      </w:r>
      <w:r w:rsidR="00D12D6F" w:rsidRPr="00A34B66">
        <w:rPr>
          <w:lang w:val="es-ES"/>
        </w:rPr>
        <w:t xml:space="preserve"> </w:t>
      </w:r>
      <w:r w:rsidR="00774F25" w:rsidRPr="00A34B66">
        <w:rPr>
          <w:lang w:val="es-ES"/>
        </w:rPr>
        <w:t xml:space="preserve">y </w:t>
      </w:r>
      <w:r w:rsidR="002D34C3" w:rsidRPr="00A34B66">
        <w:rPr>
          <w:lang w:val="es-ES"/>
        </w:rPr>
        <w:t xml:space="preserve">a </w:t>
      </w:r>
      <w:r w:rsidR="00D448BA" w:rsidRPr="00A34B66">
        <w:rPr>
          <w:lang w:val="es-ES"/>
        </w:rPr>
        <w:t xml:space="preserve">las </w:t>
      </w:r>
      <w:r w:rsidR="00774F25" w:rsidRPr="00A34B66">
        <w:rPr>
          <w:lang w:val="es-ES"/>
        </w:rPr>
        <w:t xml:space="preserve">reuniones de redes </w:t>
      </w:r>
      <w:r w:rsidR="00774F25" w:rsidRPr="00A815B4">
        <w:rPr>
          <w:lang w:val="es-ES"/>
        </w:rPr>
        <w:t>paralelas</w:t>
      </w:r>
      <w:r w:rsidR="00D12D6F" w:rsidRPr="00A34B66">
        <w:rPr>
          <w:lang w:val="es-ES"/>
        </w:rPr>
        <w:t xml:space="preserve"> </w:t>
      </w:r>
      <w:r w:rsidR="002D34C3" w:rsidRPr="00A34B66">
        <w:rPr>
          <w:lang w:val="es-ES"/>
        </w:rPr>
        <w:t>de</w:t>
      </w:r>
      <w:r w:rsidR="00D12D6F" w:rsidRPr="00A34B66">
        <w:rPr>
          <w:lang w:val="es-ES"/>
        </w:rPr>
        <w:t xml:space="preserve"> </w:t>
      </w:r>
      <w:r w:rsidR="00A6345C" w:rsidRPr="00A34B66">
        <w:rPr>
          <w:spacing w:val="-2"/>
          <w:lang w:val="es-ES"/>
        </w:rPr>
        <w:t>f</w:t>
      </w:r>
      <w:r w:rsidR="002D34C3" w:rsidRPr="00A34B66">
        <w:rPr>
          <w:spacing w:val="-2"/>
          <w:lang w:val="es-ES"/>
        </w:rPr>
        <w:t>uncionarios nacionales del ozono</w:t>
      </w:r>
      <w:r w:rsidR="00D12D6F" w:rsidRPr="00A34B66">
        <w:rPr>
          <w:rStyle w:val="FootnoteReference"/>
          <w:lang w:val="es-ES"/>
        </w:rPr>
        <w:footnoteReference w:id="2"/>
      </w:r>
      <w:r w:rsidR="00D12D6F" w:rsidRPr="00A34B66">
        <w:rPr>
          <w:lang w:val="es-ES"/>
        </w:rPr>
        <w:t xml:space="preserve"> </w:t>
      </w:r>
      <w:r w:rsidRPr="00A34B66">
        <w:rPr>
          <w:lang w:val="es-ES"/>
        </w:rPr>
        <w:t>y la</w:t>
      </w:r>
      <w:r w:rsidR="00D12D6F" w:rsidRPr="00A34B66">
        <w:rPr>
          <w:lang w:val="es-ES"/>
        </w:rPr>
        <w:t xml:space="preserve"> </w:t>
      </w:r>
      <w:r w:rsidRPr="00A34B66">
        <w:rPr>
          <w:lang w:val="es-ES"/>
        </w:rPr>
        <w:t>reunión de coordinación interinstitucional</w:t>
      </w:r>
      <w:r w:rsidR="00D12D6F" w:rsidRPr="00A34B66">
        <w:rPr>
          <w:rStyle w:val="FootnoteReference"/>
          <w:lang w:val="es-ES"/>
        </w:rPr>
        <w:footnoteReference w:id="3"/>
      </w:r>
      <w:r w:rsidRPr="00A34B66">
        <w:rPr>
          <w:lang w:val="es-ES"/>
        </w:rPr>
        <w:t>,</w:t>
      </w:r>
      <w:r w:rsidR="00D12D6F" w:rsidRPr="00A34B66">
        <w:rPr>
          <w:lang w:val="es-ES"/>
        </w:rPr>
        <w:t xml:space="preserve"> </w:t>
      </w:r>
      <w:r w:rsidR="001C2496">
        <w:rPr>
          <w:lang w:val="es-ES"/>
        </w:rPr>
        <w:t>con vistas a</w:t>
      </w:r>
      <w:r w:rsidRPr="00A34B66">
        <w:rPr>
          <w:lang w:val="es-ES"/>
        </w:rPr>
        <w:t xml:space="preserve"> </w:t>
      </w:r>
      <w:r w:rsidR="00521AC8">
        <w:rPr>
          <w:lang w:val="es-ES"/>
        </w:rPr>
        <w:t>explicar</w:t>
      </w:r>
      <w:r w:rsidRPr="00A34B66">
        <w:rPr>
          <w:lang w:val="es-ES"/>
        </w:rPr>
        <w:t xml:space="preserve"> la justificación de las</w:t>
      </w:r>
      <w:r w:rsidR="00D12D6F" w:rsidRPr="00A34B66">
        <w:rPr>
          <w:lang w:val="es-ES"/>
        </w:rPr>
        <w:t xml:space="preserve"> discrepanci</w:t>
      </w:r>
      <w:r w:rsidRPr="00A34B66">
        <w:rPr>
          <w:lang w:val="es-ES"/>
        </w:rPr>
        <w:t>a</w:t>
      </w:r>
      <w:r w:rsidR="00D12D6F" w:rsidRPr="00A34B66">
        <w:rPr>
          <w:lang w:val="es-ES"/>
        </w:rPr>
        <w:t>s.</w:t>
      </w:r>
    </w:p>
    <w:p w:rsidR="00D12D6F" w:rsidRPr="00A34B66" w:rsidRDefault="00D12D6F" w:rsidP="00D12D6F">
      <w:pPr>
        <w:ind w:left="142"/>
        <w:outlineLvl w:val="0"/>
        <w:rPr>
          <w:lang w:val="es-ES"/>
        </w:rPr>
      </w:pPr>
    </w:p>
    <w:p w:rsidR="00D12D6F" w:rsidRPr="00A34B66" w:rsidRDefault="005C0325" w:rsidP="00D12D6F">
      <w:pPr>
        <w:pStyle w:val="ListParagraph"/>
        <w:numPr>
          <w:ilvl w:val="0"/>
          <w:numId w:val="21"/>
        </w:numPr>
        <w:ind w:left="142" w:firstLine="0"/>
        <w:outlineLvl w:val="0"/>
        <w:rPr>
          <w:lang w:val="es-ES"/>
        </w:rPr>
      </w:pPr>
      <w:r w:rsidRPr="00A34B66">
        <w:rPr>
          <w:lang w:val="es-ES"/>
        </w:rPr>
        <w:t>El PNUMA explicó que las</w:t>
      </w:r>
      <w:r w:rsidR="00D12D6F" w:rsidRPr="00A34B66">
        <w:rPr>
          <w:lang w:val="es-ES"/>
        </w:rPr>
        <w:t xml:space="preserve"> discrepanci</w:t>
      </w:r>
      <w:r w:rsidRPr="00A34B66">
        <w:rPr>
          <w:lang w:val="es-ES"/>
        </w:rPr>
        <w:t>a</w:t>
      </w:r>
      <w:r w:rsidR="00D12D6F" w:rsidRPr="00A34B66">
        <w:rPr>
          <w:lang w:val="es-ES"/>
        </w:rPr>
        <w:t xml:space="preserve">s </w:t>
      </w:r>
      <w:r w:rsidRPr="00A34B66">
        <w:rPr>
          <w:lang w:val="es-ES"/>
        </w:rPr>
        <w:t>e</w:t>
      </w:r>
      <w:r w:rsidR="00D12D6F" w:rsidRPr="00A34B66">
        <w:rPr>
          <w:lang w:val="es-ES"/>
        </w:rPr>
        <w:t xml:space="preserve">n </w:t>
      </w:r>
      <w:r w:rsidRPr="00A34B66">
        <w:rPr>
          <w:lang w:val="es-ES"/>
        </w:rPr>
        <w:t>los gastos obedecían principalmente a los compromisos</w:t>
      </w:r>
      <w:r w:rsidR="00D12D6F" w:rsidRPr="00A34B66">
        <w:rPr>
          <w:lang w:val="es-ES"/>
        </w:rPr>
        <w:t xml:space="preserve"> </w:t>
      </w:r>
      <w:r w:rsidRPr="00A34B66">
        <w:rPr>
          <w:lang w:val="es-ES"/>
        </w:rPr>
        <w:t>previstos para</w:t>
      </w:r>
      <w:r w:rsidR="00D12D6F" w:rsidRPr="00A34B66">
        <w:rPr>
          <w:lang w:val="es-ES"/>
        </w:rPr>
        <w:t xml:space="preserve"> 2018 </w:t>
      </w:r>
      <w:r w:rsidRPr="00A34B66">
        <w:rPr>
          <w:lang w:val="es-ES"/>
        </w:rPr>
        <w:t>y</w:t>
      </w:r>
      <w:r w:rsidR="00D12D6F" w:rsidRPr="00A34B66">
        <w:rPr>
          <w:lang w:val="es-ES"/>
        </w:rPr>
        <w:t xml:space="preserve"> </w:t>
      </w:r>
      <w:r w:rsidR="00D27E66" w:rsidRPr="00A34B66">
        <w:rPr>
          <w:lang w:val="es-ES"/>
        </w:rPr>
        <w:t xml:space="preserve">a los </w:t>
      </w:r>
      <w:r w:rsidRPr="00A34B66">
        <w:rPr>
          <w:lang w:val="es-ES"/>
        </w:rPr>
        <w:t xml:space="preserve">gastos de apoyo al organismo conexos, </w:t>
      </w:r>
      <w:r w:rsidR="00A6345C" w:rsidRPr="00A34B66">
        <w:rPr>
          <w:lang w:val="es-ES"/>
        </w:rPr>
        <w:t>reflejado inadvertidamente en el informe</w:t>
      </w:r>
      <w:r w:rsidR="00D12D6F" w:rsidRPr="00A34B66">
        <w:rPr>
          <w:lang w:val="es-ES"/>
        </w:rPr>
        <w:t xml:space="preserve"> </w:t>
      </w:r>
      <w:r w:rsidRPr="00A34B66">
        <w:rPr>
          <w:color w:val="000000"/>
          <w:spacing w:val="-2"/>
          <w:lang w:val="es-ES"/>
        </w:rPr>
        <w:t>sobre la marcha de las actividades de</w:t>
      </w:r>
      <w:r w:rsidR="00D12D6F" w:rsidRPr="00A34B66">
        <w:rPr>
          <w:lang w:val="es-ES"/>
        </w:rPr>
        <w:t xml:space="preserve"> 2017, </w:t>
      </w:r>
      <w:r w:rsidR="00D27E66" w:rsidRPr="00A34B66">
        <w:rPr>
          <w:lang w:val="es-ES"/>
        </w:rPr>
        <w:t xml:space="preserve">así como a una diferencia entre los gastos de apoyo al organismo previstos en el informe sobre la marcha de las actividades y los gastos de apoyo </w:t>
      </w:r>
      <w:r w:rsidR="00EC3AA0">
        <w:rPr>
          <w:lang w:val="es-ES"/>
        </w:rPr>
        <w:t>reales</w:t>
      </w:r>
      <w:r w:rsidR="00D12D6F" w:rsidRPr="00A34B66">
        <w:rPr>
          <w:lang w:val="es-ES"/>
        </w:rPr>
        <w:t xml:space="preserve"> </w:t>
      </w:r>
      <w:r w:rsidR="00D27E66" w:rsidRPr="00A34B66">
        <w:rPr>
          <w:lang w:val="es-ES"/>
        </w:rPr>
        <w:t>calculados en el sistema financiero del PNUMA</w:t>
      </w:r>
      <w:r w:rsidR="00D12D6F" w:rsidRPr="00A34B66">
        <w:rPr>
          <w:lang w:val="es-ES"/>
        </w:rPr>
        <w:t xml:space="preserve">. </w:t>
      </w:r>
      <w:r w:rsidR="00D27E66" w:rsidRPr="00A34B66">
        <w:rPr>
          <w:lang w:val="es-ES"/>
        </w:rPr>
        <w:t>La diferencia en los ingresos</w:t>
      </w:r>
      <w:r w:rsidR="00C25EFA" w:rsidRPr="00A34B66">
        <w:rPr>
          <w:lang w:val="es-ES"/>
        </w:rPr>
        <w:t xml:space="preserve"> se </w:t>
      </w:r>
      <w:r w:rsidR="00521AC8">
        <w:rPr>
          <w:lang w:val="es-ES"/>
        </w:rPr>
        <w:t>atribuyó</w:t>
      </w:r>
      <w:r w:rsidR="00C25EFA" w:rsidRPr="00A34B66">
        <w:rPr>
          <w:lang w:val="es-ES"/>
        </w:rPr>
        <w:t xml:space="preserve"> al registro</w:t>
      </w:r>
      <w:r w:rsidR="0015704B" w:rsidRPr="00A34B66">
        <w:rPr>
          <w:lang w:val="es-ES"/>
        </w:rPr>
        <w:t xml:space="preserve"> </w:t>
      </w:r>
      <w:r w:rsidR="00A6345C" w:rsidRPr="00A34B66">
        <w:rPr>
          <w:lang w:val="es-ES"/>
        </w:rPr>
        <w:t>de las ganancias derivadas del cambio</w:t>
      </w:r>
      <w:r w:rsidR="00D12D6F" w:rsidRPr="00A34B66">
        <w:rPr>
          <w:lang w:val="es-ES"/>
        </w:rPr>
        <w:t>.</w:t>
      </w:r>
    </w:p>
    <w:p w:rsidR="00D12D6F" w:rsidRPr="00A34B66" w:rsidRDefault="00D12D6F" w:rsidP="00D12D6F">
      <w:pPr>
        <w:ind w:left="142"/>
        <w:outlineLvl w:val="0"/>
        <w:rPr>
          <w:lang w:val="es-ES"/>
        </w:rPr>
      </w:pPr>
    </w:p>
    <w:p w:rsidR="00D12D6F" w:rsidRPr="00A34B66" w:rsidRDefault="00D27E66" w:rsidP="00D12D6F">
      <w:pPr>
        <w:pStyle w:val="ListParagraph"/>
        <w:numPr>
          <w:ilvl w:val="0"/>
          <w:numId w:val="21"/>
        </w:numPr>
        <w:ind w:left="142" w:firstLine="0"/>
        <w:outlineLvl w:val="0"/>
        <w:rPr>
          <w:lang w:val="es-ES"/>
        </w:rPr>
      </w:pPr>
      <w:r w:rsidRPr="00A34B66">
        <w:rPr>
          <w:lang w:val="es-ES"/>
        </w:rPr>
        <w:t xml:space="preserve">El PNUMA ha revisado su </w:t>
      </w:r>
      <w:r w:rsidR="00521AC8">
        <w:rPr>
          <w:lang w:val="es-ES"/>
        </w:rPr>
        <w:t>I</w:t>
      </w:r>
      <w:r w:rsidRPr="00A34B66">
        <w:rPr>
          <w:lang w:val="es-ES"/>
        </w:rPr>
        <w:t>nforme sobre la marcha de las actividades de</w:t>
      </w:r>
      <w:r w:rsidR="00D12D6F" w:rsidRPr="00A34B66">
        <w:rPr>
          <w:lang w:val="es-ES"/>
        </w:rPr>
        <w:t xml:space="preserve"> 2017</w:t>
      </w:r>
      <w:r w:rsidRPr="00A34B66">
        <w:rPr>
          <w:lang w:val="es-ES"/>
        </w:rPr>
        <w:t>,</w:t>
      </w:r>
      <w:r w:rsidR="00D12D6F" w:rsidRPr="00A34B66">
        <w:rPr>
          <w:lang w:val="es-ES"/>
        </w:rPr>
        <w:t xml:space="preserve"> </w:t>
      </w:r>
      <w:r w:rsidR="00521AC8">
        <w:rPr>
          <w:lang w:val="es-ES"/>
        </w:rPr>
        <w:t>mediante correcciones</w:t>
      </w:r>
      <w:r w:rsidR="00963E46">
        <w:rPr>
          <w:lang w:val="es-ES"/>
        </w:rPr>
        <w:t>, tanto</w:t>
      </w:r>
      <w:r w:rsidR="00521AC8">
        <w:rPr>
          <w:lang w:val="es-ES"/>
        </w:rPr>
        <w:t xml:space="preserve"> en</w:t>
      </w:r>
      <w:r w:rsidR="0057272A" w:rsidRPr="00A34B66">
        <w:rPr>
          <w:lang w:val="es-ES"/>
        </w:rPr>
        <w:t xml:space="preserve"> los ingresos </w:t>
      </w:r>
      <w:r w:rsidR="00963E46">
        <w:rPr>
          <w:lang w:val="es-ES"/>
        </w:rPr>
        <w:t>como en</w:t>
      </w:r>
      <w:r w:rsidR="0057272A" w:rsidRPr="00A34B66">
        <w:rPr>
          <w:lang w:val="es-ES"/>
        </w:rPr>
        <w:t xml:space="preserve"> los gastos correspondientes a</w:t>
      </w:r>
      <w:r w:rsidR="00D12D6F" w:rsidRPr="00A34B66">
        <w:rPr>
          <w:lang w:val="es-ES"/>
        </w:rPr>
        <w:t xml:space="preserve"> 2017. </w:t>
      </w:r>
      <w:r w:rsidR="0057272A" w:rsidRPr="00A34B66">
        <w:rPr>
          <w:lang w:val="es-ES"/>
        </w:rPr>
        <w:t xml:space="preserve">Asimismo, ha adoptado medidas administrativas adecuadas con el fin de garantizar que en el futuro se eviten dichas discrepancias, al </w:t>
      </w:r>
      <w:r w:rsidR="00DE50D6" w:rsidRPr="00A34B66">
        <w:rPr>
          <w:lang w:val="es-ES"/>
        </w:rPr>
        <w:t>fortalecer la capacidad de su equipo de finanzas y de presentación de informes,</w:t>
      </w:r>
      <w:r w:rsidR="00D12D6F" w:rsidRPr="00A34B66">
        <w:rPr>
          <w:lang w:val="es-ES"/>
        </w:rPr>
        <w:t xml:space="preserve"> </w:t>
      </w:r>
      <w:r w:rsidR="0057272A" w:rsidRPr="00A34B66">
        <w:rPr>
          <w:lang w:val="es-ES"/>
        </w:rPr>
        <w:t>y reforzar su sistema de</w:t>
      </w:r>
      <w:r w:rsidR="00D12D6F" w:rsidRPr="00A34B66">
        <w:rPr>
          <w:lang w:val="es-ES"/>
        </w:rPr>
        <w:t xml:space="preserve"> </w:t>
      </w:r>
      <w:r w:rsidR="0057272A" w:rsidRPr="00A34B66">
        <w:rPr>
          <w:lang w:val="es-ES"/>
        </w:rPr>
        <w:t>verificaciones internas antes de presentar los informes</w:t>
      </w:r>
      <w:r w:rsidR="00D12D6F" w:rsidRPr="00A34B66">
        <w:rPr>
          <w:lang w:val="es-ES"/>
        </w:rPr>
        <w:t>.</w:t>
      </w:r>
    </w:p>
    <w:p w:rsidR="00D12D6F" w:rsidRPr="00A34B66" w:rsidRDefault="00D12D6F" w:rsidP="00D12D6F">
      <w:pPr>
        <w:ind w:left="142"/>
        <w:outlineLvl w:val="0"/>
        <w:rPr>
          <w:bCs/>
          <w:lang w:val="es-ES"/>
        </w:rPr>
      </w:pPr>
    </w:p>
    <w:p w:rsidR="00D12D6F" w:rsidRPr="00A34B66" w:rsidRDefault="0057272A" w:rsidP="00D12D6F">
      <w:pPr>
        <w:tabs>
          <w:tab w:val="left" w:pos="1440"/>
        </w:tabs>
        <w:ind w:left="142"/>
        <w:rPr>
          <w:b/>
          <w:bCs/>
          <w:lang w:val="es-ES"/>
        </w:rPr>
      </w:pPr>
      <w:bookmarkStart w:id="0" w:name="_Hlk6920963"/>
      <w:r w:rsidRPr="00A34B66">
        <w:rPr>
          <w:b/>
          <w:bCs/>
          <w:lang w:val="es-ES"/>
        </w:rPr>
        <w:t>Conciliación de los ingresos</w:t>
      </w:r>
    </w:p>
    <w:bookmarkEnd w:id="0"/>
    <w:p w:rsidR="00D12D6F" w:rsidRPr="00A34B66" w:rsidRDefault="00D12D6F" w:rsidP="00D12D6F">
      <w:pPr>
        <w:tabs>
          <w:tab w:val="left" w:pos="1440"/>
        </w:tabs>
        <w:rPr>
          <w:b/>
          <w:bCs/>
          <w:lang w:val="es-ES"/>
        </w:rPr>
      </w:pPr>
    </w:p>
    <w:p w:rsidR="00D12D6F" w:rsidRPr="00A34B66" w:rsidRDefault="0057272A" w:rsidP="00D12D6F">
      <w:pPr>
        <w:pStyle w:val="Heading1"/>
        <w:numPr>
          <w:ilvl w:val="0"/>
          <w:numId w:val="21"/>
        </w:numPr>
        <w:spacing w:after="0"/>
        <w:ind w:left="142" w:firstLine="0"/>
        <w:rPr>
          <w:lang w:val="es-ES"/>
        </w:rPr>
      </w:pPr>
      <w:r w:rsidRPr="00A34B66">
        <w:rPr>
          <w:lang w:val="es-ES"/>
        </w:rPr>
        <w:t>Como se indica en el Cuadro 1, n</w:t>
      </w:r>
      <w:r w:rsidR="00D12D6F" w:rsidRPr="00A34B66">
        <w:rPr>
          <w:lang w:val="es-ES"/>
        </w:rPr>
        <w:t xml:space="preserve">o </w:t>
      </w:r>
      <w:r w:rsidRPr="00A34B66">
        <w:rPr>
          <w:lang w:val="es-ES"/>
        </w:rPr>
        <w:t xml:space="preserve">se encontraron </w:t>
      </w:r>
      <w:r w:rsidR="00D12D6F" w:rsidRPr="00A34B66">
        <w:rPr>
          <w:lang w:val="es-ES"/>
        </w:rPr>
        <w:t>discrepanci</w:t>
      </w:r>
      <w:r w:rsidRPr="00A34B66">
        <w:rPr>
          <w:lang w:val="es-ES"/>
        </w:rPr>
        <w:t>a</w:t>
      </w:r>
      <w:r w:rsidR="00D12D6F" w:rsidRPr="00A34B66">
        <w:rPr>
          <w:lang w:val="es-ES"/>
        </w:rPr>
        <w:t xml:space="preserve">s </w:t>
      </w:r>
      <w:r w:rsidRPr="00A34B66">
        <w:rPr>
          <w:lang w:val="es-ES"/>
        </w:rPr>
        <w:t xml:space="preserve">entre el </w:t>
      </w:r>
      <w:r w:rsidR="00963E46">
        <w:rPr>
          <w:lang w:val="es-ES"/>
        </w:rPr>
        <w:t>I</w:t>
      </w:r>
      <w:r w:rsidRPr="00A34B66">
        <w:rPr>
          <w:lang w:val="es-ES"/>
        </w:rPr>
        <w:t>nforme sobre la marcha de las actividades de</w:t>
      </w:r>
      <w:r w:rsidR="00D12D6F" w:rsidRPr="00A34B66">
        <w:rPr>
          <w:lang w:val="es-ES"/>
        </w:rPr>
        <w:t xml:space="preserve"> 2017</w:t>
      </w:r>
      <w:r w:rsidR="00521AC8">
        <w:rPr>
          <w:lang w:val="es-ES"/>
        </w:rPr>
        <w:t xml:space="preserve"> revisado</w:t>
      </w:r>
      <w:r w:rsidRPr="00A34B66">
        <w:rPr>
          <w:lang w:val="es-ES"/>
        </w:rPr>
        <w:t xml:space="preserve"> y el </w:t>
      </w:r>
      <w:r w:rsidR="00521AC8">
        <w:rPr>
          <w:lang w:val="es-ES"/>
        </w:rPr>
        <w:t>I</w:t>
      </w:r>
      <w:r w:rsidRPr="00A34B66">
        <w:rPr>
          <w:lang w:val="es-ES"/>
        </w:rPr>
        <w:t>nventario</w:t>
      </w:r>
      <w:r w:rsidR="00D12D6F" w:rsidRPr="00A34B66">
        <w:rPr>
          <w:lang w:val="es-ES"/>
        </w:rPr>
        <w:t xml:space="preserve"> </w:t>
      </w:r>
      <w:r w:rsidRPr="00A34B66">
        <w:rPr>
          <w:lang w:val="es-ES"/>
        </w:rPr>
        <w:t>de proyectos aprobados</w:t>
      </w:r>
      <w:r w:rsidR="00D12D6F" w:rsidRPr="00A34B66">
        <w:rPr>
          <w:lang w:val="es-ES"/>
        </w:rPr>
        <w:t>.</w:t>
      </w:r>
    </w:p>
    <w:p w:rsidR="00D12D6F" w:rsidRPr="00A34B66" w:rsidRDefault="00D12D6F" w:rsidP="00D12D6F">
      <w:pPr>
        <w:pStyle w:val="Heading1"/>
        <w:numPr>
          <w:ilvl w:val="0"/>
          <w:numId w:val="0"/>
        </w:numPr>
        <w:spacing w:after="0"/>
        <w:ind w:left="142"/>
        <w:rPr>
          <w:lang w:val="es-ES"/>
        </w:rPr>
      </w:pPr>
    </w:p>
    <w:p w:rsidR="00D12D6F" w:rsidRPr="00A34B66" w:rsidRDefault="005265DB" w:rsidP="00D12D6F">
      <w:pPr>
        <w:ind w:left="142"/>
        <w:rPr>
          <w:b/>
          <w:bCs/>
          <w:lang w:val="es-ES"/>
        </w:rPr>
      </w:pPr>
      <w:r w:rsidRPr="00A34B66">
        <w:rPr>
          <w:b/>
          <w:lang w:val="es-ES"/>
        </w:rPr>
        <w:t>Cuadro</w:t>
      </w:r>
      <w:r w:rsidR="00D12D6F" w:rsidRPr="00A34B66">
        <w:rPr>
          <w:b/>
          <w:lang w:val="es-ES"/>
        </w:rPr>
        <w:t xml:space="preserve"> 1</w:t>
      </w:r>
      <w:r w:rsidR="00D12D6F" w:rsidRPr="00A34B66">
        <w:rPr>
          <w:b/>
          <w:bCs/>
          <w:lang w:val="es-ES"/>
        </w:rPr>
        <w:t>. Discrepanci</w:t>
      </w:r>
      <w:r w:rsidRPr="00A34B66">
        <w:rPr>
          <w:b/>
          <w:bCs/>
          <w:lang w:val="es-ES"/>
        </w:rPr>
        <w:t>a</w:t>
      </w:r>
      <w:r w:rsidR="00D12D6F" w:rsidRPr="00A34B66">
        <w:rPr>
          <w:b/>
          <w:bCs/>
          <w:lang w:val="es-ES"/>
        </w:rPr>
        <w:t xml:space="preserve">s </w:t>
      </w:r>
      <w:r w:rsidRPr="00A34B66">
        <w:rPr>
          <w:b/>
          <w:bCs/>
          <w:lang w:val="es-ES"/>
        </w:rPr>
        <w:t xml:space="preserve">entre el Informe sobre la marcha de las actividades de </w:t>
      </w:r>
      <w:r w:rsidR="00D12D6F" w:rsidRPr="00A34B66">
        <w:rPr>
          <w:b/>
          <w:bCs/>
          <w:lang w:val="es-ES"/>
        </w:rPr>
        <w:t>2017</w:t>
      </w:r>
      <w:r w:rsidR="00521AC8">
        <w:rPr>
          <w:b/>
          <w:bCs/>
          <w:lang w:val="es-ES"/>
        </w:rPr>
        <w:t xml:space="preserve"> revisado</w:t>
      </w:r>
      <w:r w:rsidR="00D12D6F" w:rsidRPr="00A34B66">
        <w:rPr>
          <w:b/>
          <w:bCs/>
          <w:lang w:val="es-ES"/>
        </w:rPr>
        <w:t xml:space="preserve"> </w:t>
      </w:r>
      <w:r w:rsidRPr="00A34B66">
        <w:rPr>
          <w:b/>
          <w:bCs/>
          <w:lang w:val="es-ES"/>
        </w:rPr>
        <w:t>y el Inventario</w:t>
      </w:r>
      <w:r w:rsidR="00D12D6F" w:rsidRPr="00A34B66">
        <w:rPr>
          <w:b/>
          <w:bCs/>
          <w:lang w:val="es-ES"/>
        </w:rPr>
        <w:t xml:space="preserve"> (</w:t>
      </w:r>
      <w:r w:rsidRPr="00A34B66">
        <w:rPr>
          <w:b/>
          <w:bCs/>
          <w:lang w:val="es-ES"/>
        </w:rPr>
        <w:t>$</w:t>
      </w:r>
      <w:proofErr w:type="gramStart"/>
      <w:r w:rsidRPr="00A34B66">
        <w:rPr>
          <w:b/>
          <w:bCs/>
          <w:lang w:val="es-ES"/>
        </w:rPr>
        <w:t>EUA</w:t>
      </w:r>
      <w:r w:rsidR="00D12D6F" w:rsidRPr="00A34B66">
        <w:rPr>
          <w:b/>
          <w:bCs/>
          <w:lang w:val="es-ES"/>
        </w:rPr>
        <w:t>)*</w:t>
      </w:r>
      <w:proofErr w:type="gramEnd"/>
    </w:p>
    <w:tbl>
      <w:tblPr>
        <w:tblW w:w="9072" w:type="dxa"/>
        <w:tblInd w:w="137" w:type="dxa"/>
        <w:tblLook w:val="04A0" w:firstRow="1" w:lastRow="0" w:firstColumn="1" w:lastColumn="0" w:noHBand="0" w:noVBand="1"/>
      </w:tblPr>
      <w:tblGrid>
        <w:gridCol w:w="1559"/>
        <w:gridCol w:w="2694"/>
        <w:gridCol w:w="2693"/>
        <w:gridCol w:w="2126"/>
      </w:tblGrid>
      <w:tr w:rsidR="00D12D6F" w:rsidRPr="00A34B66" w:rsidTr="003F7BA2">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2D6F" w:rsidRPr="00A34B66" w:rsidRDefault="004F7E39" w:rsidP="003F7BA2">
            <w:pPr>
              <w:jc w:val="center"/>
              <w:rPr>
                <w:rFonts w:ascii="Times New Romant" w:hAnsi="Times New Romant"/>
                <w:b/>
                <w:bCs/>
                <w:color w:val="000000"/>
                <w:lang w:val="es-ES" w:eastAsia="en-CA"/>
              </w:rPr>
            </w:pPr>
            <w:bookmarkStart w:id="1" w:name="_Hlk6921185"/>
            <w:r w:rsidRPr="00A34B66">
              <w:rPr>
                <w:rFonts w:ascii="Times New Romant" w:hAnsi="Times New Romant"/>
                <w:b/>
                <w:bCs/>
                <w:color w:val="000000"/>
                <w:lang w:val="es-ES" w:eastAsia="en-CA"/>
              </w:rPr>
              <w:t>Organismo</w:t>
            </w:r>
          </w:p>
        </w:tc>
        <w:tc>
          <w:tcPr>
            <w:tcW w:w="2694" w:type="dxa"/>
            <w:tcBorders>
              <w:top w:val="single" w:sz="4" w:space="0" w:color="auto"/>
              <w:left w:val="nil"/>
              <w:bottom w:val="single" w:sz="4" w:space="0" w:color="auto"/>
              <w:right w:val="single" w:sz="4" w:space="0" w:color="auto"/>
            </w:tcBorders>
            <w:shd w:val="clear" w:color="auto" w:fill="auto"/>
            <w:vAlign w:val="center"/>
          </w:tcPr>
          <w:p w:rsidR="00D12D6F" w:rsidRPr="00A34B66" w:rsidRDefault="005265DB" w:rsidP="003F7BA2">
            <w:pPr>
              <w:jc w:val="center"/>
              <w:rPr>
                <w:rFonts w:ascii="Times New Romant" w:hAnsi="Times New Romant"/>
                <w:b/>
                <w:bCs/>
                <w:color w:val="000000"/>
                <w:lang w:val="es-ES" w:eastAsia="en-CA"/>
              </w:rPr>
            </w:pPr>
            <w:r w:rsidRPr="00A34B66">
              <w:rPr>
                <w:b/>
                <w:bCs/>
                <w:lang w:val="es-ES"/>
              </w:rPr>
              <w:t>Informe sobre la marcha de las actividades</w:t>
            </w:r>
            <w:r w:rsidR="00521AC8">
              <w:rPr>
                <w:b/>
                <w:bCs/>
                <w:lang w:val="es-ES"/>
              </w:rPr>
              <w:t xml:space="preserve"> </w:t>
            </w:r>
            <w:r w:rsidR="00521AC8" w:rsidRPr="00A34B66">
              <w:rPr>
                <w:b/>
                <w:bCs/>
                <w:lang w:val="es-ES"/>
              </w:rPr>
              <w:t>revisado</w:t>
            </w:r>
          </w:p>
        </w:tc>
        <w:tc>
          <w:tcPr>
            <w:tcW w:w="2693" w:type="dxa"/>
            <w:tcBorders>
              <w:top w:val="single" w:sz="4" w:space="0" w:color="auto"/>
              <w:left w:val="nil"/>
              <w:bottom w:val="single" w:sz="4" w:space="0" w:color="auto"/>
              <w:right w:val="single" w:sz="4" w:space="0" w:color="auto"/>
            </w:tcBorders>
            <w:shd w:val="clear" w:color="auto" w:fill="auto"/>
            <w:vAlign w:val="center"/>
          </w:tcPr>
          <w:p w:rsidR="00D12D6F" w:rsidRPr="00A34B66" w:rsidRDefault="005265DB" w:rsidP="003F7BA2">
            <w:pPr>
              <w:jc w:val="center"/>
              <w:rPr>
                <w:rFonts w:ascii="Times New Romant" w:hAnsi="Times New Romant"/>
                <w:b/>
                <w:bCs/>
                <w:color w:val="000000"/>
                <w:lang w:val="es-ES" w:eastAsia="en-CA"/>
              </w:rPr>
            </w:pPr>
            <w:r w:rsidRPr="00A34B66">
              <w:rPr>
                <w:rFonts w:ascii="Times New Romant" w:hAnsi="Times New Romant"/>
                <w:b/>
                <w:bCs/>
                <w:color w:val="000000"/>
                <w:lang w:val="es-ES" w:eastAsia="en-CA"/>
              </w:rPr>
              <w:t>Inventario</w:t>
            </w:r>
            <w:r w:rsidR="00D12D6F" w:rsidRPr="00A34B66">
              <w:rPr>
                <w:rFonts w:ascii="Times New Romant" w:hAnsi="Times New Romant"/>
                <w:b/>
                <w:bCs/>
                <w:color w:val="000000"/>
                <w:lang w:val="es-ES" w:eastAsia="en-CA"/>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rsidR="00D12D6F" w:rsidRPr="00A34B66" w:rsidRDefault="005265DB" w:rsidP="003F7BA2">
            <w:pPr>
              <w:jc w:val="center"/>
              <w:rPr>
                <w:rFonts w:ascii="Times New Romant" w:hAnsi="Times New Romant"/>
                <w:b/>
                <w:bCs/>
                <w:color w:val="000000"/>
                <w:lang w:val="es-ES" w:eastAsia="en-CA"/>
              </w:rPr>
            </w:pPr>
            <w:r w:rsidRPr="00A34B66">
              <w:rPr>
                <w:rFonts w:ascii="Times New Romant" w:hAnsi="Times New Romant"/>
                <w:b/>
                <w:bCs/>
                <w:color w:val="000000"/>
                <w:lang w:val="es-ES" w:eastAsia="en-CA"/>
              </w:rPr>
              <w:t>Diferencia</w:t>
            </w:r>
          </w:p>
        </w:tc>
      </w:tr>
      <w:tr w:rsidR="00D12D6F" w:rsidRPr="00A34B66" w:rsidTr="003F7BA2">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2D6F" w:rsidRPr="00A34B66" w:rsidRDefault="004F7E39" w:rsidP="003F7BA2">
            <w:pPr>
              <w:jc w:val="left"/>
              <w:rPr>
                <w:rFonts w:ascii="Times New Romant" w:hAnsi="Times New Romant"/>
                <w:bCs/>
                <w:color w:val="000000"/>
                <w:lang w:val="es-ES" w:eastAsia="en-CA"/>
              </w:rPr>
            </w:pPr>
            <w:r w:rsidRPr="00A34B66">
              <w:rPr>
                <w:rFonts w:ascii="Times New Romant" w:hAnsi="Times New Romant"/>
                <w:bCs/>
                <w:color w:val="000000"/>
                <w:lang w:val="es-ES" w:eastAsia="en-CA"/>
              </w:rPr>
              <w:t>PNUMA</w:t>
            </w:r>
          </w:p>
        </w:tc>
        <w:tc>
          <w:tcPr>
            <w:tcW w:w="2694" w:type="dxa"/>
            <w:tcBorders>
              <w:top w:val="single" w:sz="4" w:space="0" w:color="auto"/>
              <w:left w:val="nil"/>
              <w:bottom w:val="single" w:sz="4" w:space="0" w:color="auto"/>
              <w:right w:val="single" w:sz="4" w:space="0" w:color="auto"/>
            </w:tcBorders>
            <w:shd w:val="clear" w:color="auto" w:fill="auto"/>
            <w:vAlign w:val="center"/>
          </w:tcPr>
          <w:p w:rsidR="00D12D6F" w:rsidRPr="00A34B66" w:rsidRDefault="00D12D6F" w:rsidP="003F7BA2">
            <w:pPr>
              <w:jc w:val="center"/>
              <w:rPr>
                <w:rFonts w:ascii="Times New Romant" w:hAnsi="Times New Romant"/>
                <w:bCs/>
                <w:color w:val="000000"/>
                <w:lang w:val="es-ES" w:eastAsia="en-CA"/>
              </w:rPr>
            </w:pPr>
            <w:r w:rsidRPr="00A34B66">
              <w:rPr>
                <w:rFonts w:ascii="Times New Romant" w:hAnsi="Times New Romant"/>
                <w:bCs/>
                <w:color w:val="000000"/>
                <w:lang w:val="es-ES" w:eastAsia="en-CA"/>
              </w:rPr>
              <w:t>322</w:t>
            </w:r>
            <w:r w:rsidR="004F7E39" w:rsidRPr="00A34B66">
              <w:rPr>
                <w:rFonts w:ascii="Times New Romant" w:hAnsi="Times New Romant"/>
                <w:bCs/>
                <w:color w:val="000000"/>
                <w:lang w:val="es-ES" w:eastAsia="en-CA"/>
              </w:rPr>
              <w:t xml:space="preserve"> </w:t>
            </w:r>
            <w:r w:rsidRPr="00A34B66">
              <w:rPr>
                <w:rFonts w:ascii="Times New Romant" w:hAnsi="Times New Romant"/>
                <w:bCs/>
                <w:color w:val="000000"/>
                <w:lang w:val="es-ES" w:eastAsia="en-CA"/>
              </w:rPr>
              <w:t>875</w:t>
            </w:r>
            <w:r w:rsidR="004F7E39" w:rsidRPr="00A34B66">
              <w:rPr>
                <w:rFonts w:ascii="Times New Romant" w:hAnsi="Times New Romant"/>
                <w:bCs/>
                <w:color w:val="000000"/>
                <w:lang w:val="es-ES" w:eastAsia="en-CA"/>
              </w:rPr>
              <w:t xml:space="preserve"> </w:t>
            </w:r>
            <w:r w:rsidRPr="00A34B66">
              <w:rPr>
                <w:rFonts w:ascii="Times New Romant" w:hAnsi="Times New Romant"/>
                <w:bCs/>
                <w:color w:val="000000"/>
                <w:lang w:val="es-ES" w:eastAsia="en-CA"/>
              </w:rPr>
              <w:t>043</w:t>
            </w:r>
          </w:p>
        </w:tc>
        <w:tc>
          <w:tcPr>
            <w:tcW w:w="2693" w:type="dxa"/>
            <w:tcBorders>
              <w:top w:val="single" w:sz="4" w:space="0" w:color="auto"/>
              <w:left w:val="nil"/>
              <w:bottom w:val="single" w:sz="4" w:space="0" w:color="auto"/>
              <w:right w:val="single" w:sz="4" w:space="0" w:color="auto"/>
            </w:tcBorders>
            <w:shd w:val="clear" w:color="auto" w:fill="auto"/>
            <w:vAlign w:val="center"/>
          </w:tcPr>
          <w:p w:rsidR="00D12D6F" w:rsidRPr="00A34B66" w:rsidRDefault="00D12D6F" w:rsidP="003F7BA2">
            <w:pPr>
              <w:jc w:val="center"/>
              <w:rPr>
                <w:rFonts w:ascii="Times New Romant" w:hAnsi="Times New Romant"/>
                <w:bCs/>
                <w:color w:val="000000"/>
                <w:lang w:val="es-ES" w:eastAsia="en-CA"/>
              </w:rPr>
            </w:pPr>
            <w:r w:rsidRPr="00A34B66">
              <w:rPr>
                <w:rFonts w:ascii="Times New Romant" w:hAnsi="Times New Romant"/>
                <w:bCs/>
                <w:color w:val="000000"/>
                <w:lang w:val="es-ES" w:eastAsia="en-CA"/>
              </w:rPr>
              <w:t>322</w:t>
            </w:r>
            <w:r w:rsidR="004F7E39" w:rsidRPr="00A34B66">
              <w:rPr>
                <w:rFonts w:ascii="Times New Romant" w:hAnsi="Times New Romant"/>
                <w:bCs/>
                <w:color w:val="000000"/>
                <w:lang w:val="es-ES" w:eastAsia="en-CA"/>
              </w:rPr>
              <w:t xml:space="preserve"> </w:t>
            </w:r>
            <w:r w:rsidRPr="00A34B66">
              <w:rPr>
                <w:rFonts w:ascii="Times New Romant" w:hAnsi="Times New Romant"/>
                <w:bCs/>
                <w:color w:val="000000"/>
                <w:lang w:val="es-ES" w:eastAsia="en-CA"/>
              </w:rPr>
              <w:t>875</w:t>
            </w:r>
            <w:r w:rsidR="004F7E39" w:rsidRPr="00A34B66">
              <w:rPr>
                <w:rFonts w:ascii="Times New Romant" w:hAnsi="Times New Romant"/>
                <w:bCs/>
                <w:color w:val="000000"/>
                <w:lang w:val="es-ES" w:eastAsia="en-CA"/>
              </w:rPr>
              <w:t xml:space="preserve"> </w:t>
            </w:r>
            <w:r w:rsidRPr="00A34B66">
              <w:rPr>
                <w:rFonts w:ascii="Times New Romant" w:hAnsi="Times New Romant"/>
                <w:bCs/>
                <w:color w:val="000000"/>
                <w:lang w:val="es-ES" w:eastAsia="en-CA"/>
              </w:rPr>
              <w:t>043</w:t>
            </w:r>
          </w:p>
        </w:tc>
        <w:tc>
          <w:tcPr>
            <w:tcW w:w="2126" w:type="dxa"/>
            <w:tcBorders>
              <w:top w:val="single" w:sz="4" w:space="0" w:color="auto"/>
              <w:left w:val="nil"/>
              <w:bottom w:val="single" w:sz="4" w:space="0" w:color="auto"/>
              <w:right w:val="single" w:sz="4" w:space="0" w:color="auto"/>
            </w:tcBorders>
            <w:shd w:val="clear" w:color="auto" w:fill="auto"/>
            <w:vAlign w:val="center"/>
          </w:tcPr>
          <w:p w:rsidR="00D12D6F" w:rsidRPr="00A34B66" w:rsidRDefault="00D12D6F" w:rsidP="003F7BA2">
            <w:pPr>
              <w:jc w:val="center"/>
              <w:rPr>
                <w:rFonts w:ascii="Times New Romant" w:hAnsi="Times New Romant"/>
                <w:bCs/>
                <w:color w:val="000000"/>
                <w:lang w:val="es-ES" w:eastAsia="en-CA"/>
              </w:rPr>
            </w:pPr>
            <w:r w:rsidRPr="00A34B66">
              <w:rPr>
                <w:rFonts w:ascii="Times New Romant" w:hAnsi="Times New Romant"/>
                <w:bCs/>
                <w:color w:val="000000"/>
                <w:lang w:val="es-ES" w:eastAsia="en-CA"/>
              </w:rPr>
              <w:t>0</w:t>
            </w:r>
          </w:p>
        </w:tc>
      </w:tr>
    </w:tbl>
    <w:bookmarkEnd w:id="1"/>
    <w:p w:rsidR="00D12D6F" w:rsidRPr="00A34B66" w:rsidRDefault="00D12D6F" w:rsidP="00D12D6F">
      <w:pPr>
        <w:ind w:left="142"/>
        <w:outlineLvl w:val="0"/>
        <w:rPr>
          <w:sz w:val="20"/>
          <w:szCs w:val="20"/>
          <w:lang w:val="es-ES"/>
        </w:rPr>
      </w:pPr>
      <w:r w:rsidRPr="00A34B66">
        <w:rPr>
          <w:sz w:val="20"/>
          <w:szCs w:val="20"/>
          <w:lang w:val="es-ES"/>
        </w:rPr>
        <w:t xml:space="preserve">(*) </w:t>
      </w:r>
      <w:r w:rsidR="004F7E39" w:rsidRPr="00A34B66">
        <w:rPr>
          <w:sz w:val="20"/>
          <w:szCs w:val="20"/>
          <w:lang w:val="es-ES"/>
        </w:rPr>
        <w:t>Incluidos los gastos de apoyo al organismo</w:t>
      </w:r>
      <w:r w:rsidRPr="00A34B66">
        <w:rPr>
          <w:sz w:val="20"/>
          <w:szCs w:val="20"/>
          <w:lang w:val="es-ES"/>
        </w:rPr>
        <w:t>.</w:t>
      </w:r>
    </w:p>
    <w:p w:rsidR="00D12D6F" w:rsidRPr="00A34B66" w:rsidRDefault="00D12D6F" w:rsidP="00D12D6F">
      <w:pPr>
        <w:ind w:left="142"/>
        <w:outlineLvl w:val="0"/>
        <w:rPr>
          <w:sz w:val="20"/>
          <w:szCs w:val="20"/>
          <w:lang w:val="es-ES"/>
        </w:rPr>
      </w:pPr>
    </w:p>
    <w:p w:rsidR="00D12D6F" w:rsidRPr="00A34B66" w:rsidRDefault="007502DE" w:rsidP="00D12D6F">
      <w:pPr>
        <w:ind w:left="142"/>
        <w:rPr>
          <w:u w:val="single"/>
          <w:lang w:val="es-ES"/>
        </w:rPr>
      </w:pPr>
      <w:r w:rsidRPr="00A34B66">
        <w:rPr>
          <w:u w:val="single"/>
          <w:lang w:val="es-ES"/>
        </w:rPr>
        <w:t>Fondos netos aprobados e ingresos en las cuentas finales</w:t>
      </w:r>
      <w:r w:rsidR="00963E46">
        <w:rPr>
          <w:u w:val="single"/>
          <w:lang w:val="es-ES"/>
        </w:rPr>
        <w:t xml:space="preserve"> de 2017</w:t>
      </w:r>
      <w:r w:rsidRPr="00A34B66">
        <w:rPr>
          <w:u w:val="single"/>
          <w:lang w:val="es-ES"/>
        </w:rPr>
        <w:t xml:space="preserve"> y en el Informe sobre la marcha de las actividades de </w:t>
      </w:r>
      <w:r w:rsidR="00D12D6F" w:rsidRPr="00A34B66">
        <w:rPr>
          <w:u w:val="single"/>
          <w:lang w:val="es-ES"/>
        </w:rPr>
        <w:t>2017</w:t>
      </w:r>
      <w:r w:rsidR="00521AC8">
        <w:rPr>
          <w:u w:val="single"/>
          <w:lang w:val="es-ES"/>
        </w:rPr>
        <w:t xml:space="preserve"> revisado</w:t>
      </w:r>
      <w:r w:rsidRPr="00A34B66">
        <w:rPr>
          <w:u w:val="single"/>
          <w:lang w:val="es-ES"/>
        </w:rPr>
        <w:t>.</w:t>
      </w:r>
      <w:r w:rsidR="00D12D6F" w:rsidRPr="00A34B66">
        <w:rPr>
          <w:u w:val="single"/>
          <w:lang w:val="es-ES"/>
        </w:rPr>
        <w:t xml:space="preserve"> </w:t>
      </w:r>
    </w:p>
    <w:p w:rsidR="00D12D6F" w:rsidRPr="00A34B66" w:rsidRDefault="00D12D6F" w:rsidP="00D12D6F">
      <w:pPr>
        <w:ind w:left="142"/>
        <w:rPr>
          <w:lang w:val="es-ES"/>
        </w:rPr>
      </w:pPr>
    </w:p>
    <w:p w:rsidR="00D12D6F" w:rsidRPr="00A34B66" w:rsidRDefault="0046309B" w:rsidP="00D12D6F">
      <w:pPr>
        <w:pStyle w:val="Heading1"/>
        <w:numPr>
          <w:ilvl w:val="0"/>
          <w:numId w:val="21"/>
        </w:numPr>
        <w:ind w:left="142" w:firstLine="0"/>
        <w:rPr>
          <w:lang w:val="es-ES"/>
        </w:rPr>
      </w:pPr>
      <w:bookmarkStart w:id="2" w:name="_Hlk6921221"/>
      <w:r w:rsidRPr="00A34B66">
        <w:rPr>
          <w:lang w:val="es-ES"/>
        </w:rPr>
        <w:t>Las diferencias entre las cuentas finales</w:t>
      </w:r>
      <w:r w:rsidR="00963E46">
        <w:rPr>
          <w:lang w:val="es-ES"/>
        </w:rPr>
        <w:t xml:space="preserve"> de 2017</w:t>
      </w:r>
      <w:r w:rsidRPr="00A34B66">
        <w:rPr>
          <w:lang w:val="es-ES"/>
        </w:rPr>
        <w:t xml:space="preserve"> y el Informe sobre la marcha de las actividades de</w:t>
      </w:r>
      <w:r w:rsidR="00D12D6F" w:rsidRPr="00A34B66">
        <w:rPr>
          <w:lang w:val="es-ES"/>
        </w:rPr>
        <w:t xml:space="preserve"> 2017</w:t>
      </w:r>
      <w:r w:rsidR="00F70361">
        <w:rPr>
          <w:lang w:val="es-ES"/>
        </w:rPr>
        <w:t xml:space="preserve"> revisado</w:t>
      </w:r>
      <w:r w:rsidR="00D12D6F" w:rsidRPr="00A34B66">
        <w:rPr>
          <w:lang w:val="es-ES"/>
        </w:rPr>
        <w:t xml:space="preserve"> </w:t>
      </w:r>
      <w:r w:rsidRPr="00A34B66">
        <w:rPr>
          <w:lang w:val="es-ES"/>
        </w:rPr>
        <w:t>se indican en el Cuadro</w:t>
      </w:r>
      <w:r w:rsidR="00D12D6F" w:rsidRPr="00A34B66">
        <w:rPr>
          <w:lang w:val="es-ES"/>
        </w:rPr>
        <w:t xml:space="preserve"> 2.</w:t>
      </w:r>
      <w:bookmarkEnd w:id="2"/>
    </w:p>
    <w:p w:rsidR="00D12D6F" w:rsidRPr="00A34B66" w:rsidRDefault="00DB04F1" w:rsidP="00D12D6F">
      <w:pPr>
        <w:keepNext/>
        <w:ind w:left="142"/>
        <w:jc w:val="left"/>
        <w:rPr>
          <w:b/>
          <w:bCs/>
          <w:szCs w:val="24"/>
          <w:lang w:val="es-ES"/>
        </w:rPr>
      </w:pPr>
      <w:r w:rsidRPr="00A34B66">
        <w:rPr>
          <w:b/>
          <w:szCs w:val="24"/>
          <w:lang w:val="es-ES"/>
        </w:rPr>
        <w:t>Cuadro</w:t>
      </w:r>
      <w:r w:rsidR="00D12D6F" w:rsidRPr="00A34B66">
        <w:rPr>
          <w:b/>
          <w:szCs w:val="24"/>
          <w:lang w:val="es-ES"/>
        </w:rPr>
        <w:t xml:space="preserve"> 2. </w:t>
      </w:r>
      <w:r w:rsidRPr="00A34B66">
        <w:rPr>
          <w:b/>
          <w:szCs w:val="24"/>
          <w:lang w:val="es-ES"/>
        </w:rPr>
        <w:t>Diferencias entre las cuentas finales</w:t>
      </w:r>
      <w:r w:rsidR="005309B5" w:rsidRPr="00A34B66">
        <w:rPr>
          <w:b/>
          <w:szCs w:val="24"/>
          <w:lang w:val="es-ES"/>
        </w:rPr>
        <w:t xml:space="preserve"> de 2017</w:t>
      </w:r>
      <w:r w:rsidRPr="00A34B66">
        <w:rPr>
          <w:b/>
          <w:szCs w:val="24"/>
          <w:lang w:val="es-ES"/>
        </w:rPr>
        <w:t xml:space="preserve"> y</w:t>
      </w:r>
      <w:r w:rsidRPr="00A34B66">
        <w:rPr>
          <w:b/>
          <w:bCs/>
          <w:szCs w:val="24"/>
          <w:lang w:val="es-ES"/>
        </w:rPr>
        <w:t xml:space="preserve"> el </w:t>
      </w:r>
      <w:r w:rsidR="00521AC8">
        <w:rPr>
          <w:b/>
          <w:bCs/>
          <w:szCs w:val="24"/>
          <w:lang w:val="es-ES"/>
        </w:rPr>
        <w:t>I</w:t>
      </w:r>
      <w:r w:rsidRPr="00A34B66">
        <w:rPr>
          <w:b/>
          <w:bCs/>
          <w:szCs w:val="24"/>
          <w:lang w:val="es-ES"/>
        </w:rPr>
        <w:t>nforme sobre la marcha de las actividades de</w:t>
      </w:r>
      <w:r w:rsidR="00D12D6F" w:rsidRPr="00A34B66">
        <w:rPr>
          <w:b/>
          <w:bCs/>
          <w:szCs w:val="24"/>
          <w:lang w:val="es-ES"/>
        </w:rPr>
        <w:t xml:space="preserve"> 2017</w:t>
      </w:r>
      <w:r w:rsidR="00521AC8">
        <w:rPr>
          <w:b/>
          <w:bCs/>
          <w:szCs w:val="24"/>
          <w:lang w:val="es-ES"/>
        </w:rPr>
        <w:t xml:space="preserve"> revisado</w:t>
      </w:r>
      <w:r w:rsidR="00D12D6F" w:rsidRPr="00A34B66">
        <w:rPr>
          <w:b/>
          <w:bCs/>
          <w:szCs w:val="24"/>
          <w:lang w:val="es-ES"/>
        </w:rPr>
        <w:t xml:space="preserve"> ($</w:t>
      </w:r>
      <w:r w:rsidRPr="00A34B66">
        <w:rPr>
          <w:b/>
          <w:bCs/>
          <w:szCs w:val="24"/>
          <w:lang w:val="es-ES"/>
        </w:rPr>
        <w:t>EUA</w:t>
      </w:r>
      <w:r w:rsidR="00D12D6F" w:rsidRPr="00A34B66">
        <w:rPr>
          <w:b/>
          <w:bCs/>
          <w:szCs w:val="24"/>
          <w:lang w:val="es-ES"/>
        </w:rPr>
        <w:t>)</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694"/>
        <w:gridCol w:w="2551"/>
        <w:gridCol w:w="2268"/>
      </w:tblGrid>
      <w:tr w:rsidR="00D12D6F" w:rsidRPr="00A34B66" w:rsidTr="003F7BA2">
        <w:trPr>
          <w:trHeight w:val="510"/>
        </w:trPr>
        <w:tc>
          <w:tcPr>
            <w:tcW w:w="1559" w:type="dxa"/>
            <w:shd w:val="clear" w:color="000000" w:fill="FFFFFF"/>
            <w:vAlign w:val="center"/>
            <w:hideMark/>
          </w:tcPr>
          <w:p w:rsidR="00D12D6F" w:rsidRPr="00A34B66" w:rsidRDefault="00DB04F1" w:rsidP="003F7BA2">
            <w:pPr>
              <w:jc w:val="left"/>
              <w:rPr>
                <w:b/>
                <w:bCs/>
                <w:color w:val="000000"/>
                <w:lang w:val="es-ES" w:eastAsia="en-CA"/>
              </w:rPr>
            </w:pPr>
            <w:bookmarkStart w:id="3" w:name="_Hlk6922140"/>
            <w:r w:rsidRPr="00A34B66">
              <w:rPr>
                <w:b/>
                <w:bCs/>
                <w:color w:val="000000"/>
                <w:lang w:val="es-ES" w:eastAsia="en-CA"/>
              </w:rPr>
              <w:t>Organismo</w:t>
            </w:r>
          </w:p>
        </w:tc>
        <w:tc>
          <w:tcPr>
            <w:tcW w:w="2694" w:type="dxa"/>
            <w:shd w:val="clear" w:color="000000" w:fill="FFFFFF"/>
            <w:vAlign w:val="center"/>
            <w:hideMark/>
          </w:tcPr>
          <w:p w:rsidR="00D12D6F" w:rsidRPr="00A34B66" w:rsidRDefault="00DB04F1" w:rsidP="003F7BA2">
            <w:pPr>
              <w:jc w:val="center"/>
              <w:rPr>
                <w:b/>
                <w:bCs/>
                <w:color w:val="000000"/>
                <w:lang w:val="es-ES" w:eastAsia="en-CA"/>
              </w:rPr>
            </w:pPr>
            <w:r w:rsidRPr="00A34B66">
              <w:rPr>
                <w:b/>
                <w:bCs/>
                <w:lang w:val="es-ES"/>
              </w:rPr>
              <w:t>Informe sobre la marcha de las actividades</w:t>
            </w:r>
            <w:r w:rsidR="00521AC8">
              <w:rPr>
                <w:b/>
                <w:bCs/>
                <w:lang w:val="es-ES"/>
              </w:rPr>
              <w:t xml:space="preserve"> </w:t>
            </w:r>
            <w:r w:rsidR="00521AC8" w:rsidRPr="00A34B66">
              <w:rPr>
                <w:b/>
                <w:bCs/>
                <w:lang w:val="es-ES"/>
              </w:rPr>
              <w:t>revisado</w:t>
            </w:r>
            <w:r w:rsidR="00D12D6F" w:rsidRPr="00A34B66">
              <w:rPr>
                <w:b/>
                <w:bCs/>
                <w:color w:val="000000"/>
                <w:lang w:val="es-ES" w:eastAsia="en-CA"/>
              </w:rPr>
              <w:t>*</w:t>
            </w:r>
          </w:p>
        </w:tc>
        <w:tc>
          <w:tcPr>
            <w:tcW w:w="2551" w:type="dxa"/>
            <w:shd w:val="clear" w:color="000000" w:fill="FFFFFF"/>
            <w:vAlign w:val="center"/>
            <w:hideMark/>
          </w:tcPr>
          <w:p w:rsidR="00D12D6F" w:rsidRPr="00A34B66" w:rsidRDefault="00DB04F1" w:rsidP="003F7BA2">
            <w:pPr>
              <w:jc w:val="center"/>
              <w:rPr>
                <w:b/>
                <w:bCs/>
                <w:color w:val="000000"/>
                <w:lang w:val="es-ES" w:eastAsia="en-CA"/>
              </w:rPr>
            </w:pPr>
            <w:r w:rsidRPr="00A34B66">
              <w:rPr>
                <w:b/>
                <w:bCs/>
                <w:color w:val="000000"/>
                <w:lang w:val="es-ES" w:eastAsia="en-CA"/>
              </w:rPr>
              <w:t>Cuentas finales de 2017</w:t>
            </w:r>
          </w:p>
        </w:tc>
        <w:tc>
          <w:tcPr>
            <w:tcW w:w="2268" w:type="dxa"/>
            <w:shd w:val="clear" w:color="000000" w:fill="FFFFFF"/>
            <w:vAlign w:val="center"/>
            <w:hideMark/>
          </w:tcPr>
          <w:p w:rsidR="00D12D6F" w:rsidRPr="00A34B66" w:rsidRDefault="00DB04F1" w:rsidP="003F7BA2">
            <w:pPr>
              <w:jc w:val="center"/>
              <w:rPr>
                <w:b/>
                <w:bCs/>
                <w:color w:val="000000"/>
                <w:lang w:val="es-ES" w:eastAsia="en-CA"/>
              </w:rPr>
            </w:pPr>
            <w:r w:rsidRPr="00A34B66">
              <w:rPr>
                <w:b/>
                <w:bCs/>
                <w:color w:val="000000"/>
                <w:lang w:val="es-ES" w:eastAsia="en-CA"/>
              </w:rPr>
              <w:t>Diferencia</w:t>
            </w:r>
            <w:r w:rsidR="00D12D6F" w:rsidRPr="00A34B66">
              <w:rPr>
                <w:b/>
                <w:bCs/>
                <w:color w:val="000000"/>
                <w:lang w:val="es-ES" w:eastAsia="en-CA"/>
              </w:rPr>
              <w:t>**</w:t>
            </w:r>
          </w:p>
        </w:tc>
      </w:tr>
      <w:tr w:rsidR="00D12D6F" w:rsidRPr="00A34B66" w:rsidTr="003F7BA2">
        <w:trPr>
          <w:trHeight w:val="300"/>
        </w:trPr>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2D6F" w:rsidRPr="00A34B66" w:rsidRDefault="00DB04F1" w:rsidP="003F7BA2">
            <w:pPr>
              <w:jc w:val="left"/>
              <w:rPr>
                <w:color w:val="000000"/>
                <w:lang w:val="es-ES" w:eastAsia="en-CA"/>
              </w:rPr>
            </w:pPr>
            <w:r w:rsidRPr="00A34B66">
              <w:rPr>
                <w:color w:val="000000"/>
                <w:lang w:val="es-ES" w:eastAsia="en-CA"/>
              </w:rPr>
              <w:t>PNUMA</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2D6F" w:rsidRPr="00A34B66" w:rsidRDefault="00D12D6F" w:rsidP="003F7BA2">
            <w:pPr>
              <w:jc w:val="center"/>
              <w:rPr>
                <w:lang w:val="es-ES" w:eastAsia="en-CA"/>
              </w:rPr>
            </w:pPr>
            <w:r w:rsidRPr="00A34B66">
              <w:rPr>
                <w:rFonts w:ascii="Times New Romant" w:hAnsi="Times New Romant"/>
                <w:bCs/>
                <w:lang w:val="es-ES" w:eastAsia="en-CA"/>
              </w:rPr>
              <w:t>322</w:t>
            </w:r>
            <w:r w:rsidR="00DB04F1" w:rsidRPr="00A34B66">
              <w:rPr>
                <w:rFonts w:ascii="Times New Romant" w:hAnsi="Times New Romant"/>
                <w:bCs/>
                <w:lang w:val="es-ES" w:eastAsia="en-CA"/>
              </w:rPr>
              <w:t xml:space="preserve"> </w:t>
            </w:r>
            <w:r w:rsidRPr="00A34B66">
              <w:rPr>
                <w:rFonts w:ascii="Times New Romant" w:hAnsi="Times New Romant"/>
                <w:bCs/>
                <w:lang w:val="es-ES" w:eastAsia="en-CA"/>
              </w:rPr>
              <w:t>875</w:t>
            </w:r>
            <w:r w:rsidR="00DB04F1" w:rsidRPr="00A34B66">
              <w:rPr>
                <w:rFonts w:ascii="Times New Romant" w:hAnsi="Times New Romant"/>
                <w:bCs/>
                <w:lang w:val="es-ES" w:eastAsia="en-CA"/>
              </w:rPr>
              <w:t xml:space="preserve"> </w:t>
            </w:r>
            <w:r w:rsidRPr="00A34B66">
              <w:rPr>
                <w:rFonts w:ascii="Times New Romant" w:hAnsi="Times New Romant"/>
                <w:bCs/>
                <w:lang w:val="es-ES" w:eastAsia="en-CA"/>
              </w:rPr>
              <w:t>043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2D6F" w:rsidRPr="00A34B66" w:rsidRDefault="00D12D6F" w:rsidP="003F7BA2">
            <w:pPr>
              <w:jc w:val="center"/>
              <w:rPr>
                <w:lang w:val="es-ES" w:eastAsia="en-CA"/>
              </w:rPr>
            </w:pPr>
            <w:r w:rsidRPr="00A34B66">
              <w:rPr>
                <w:lang w:val="es-ES" w:eastAsia="en-CA"/>
              </w:rPr>
              <w:t>322</w:t>
            </w:r>
            <w:r w:rsidR="00DB04F1" w:rsidRPr="00A34B66">
              <w:rPr>
                <w:lang w:val="es-ES" w:eastAsia="en-CA"/>
              </w:rPr>
              <w:t xml:space="preserve"> </w:t>
            </w:r>
            <w:r w:rsidRPr="00A34B66">
              <w:rPr>
                <w:lang w:val="es-ES" w:eastAsia="en-CA"/>
              </w:rPr>
              <w:t>847</w:t>
            </w:r>
            <w:r w:rsidR="00DB04F1" w:rsidRPr="00A34B66">
              <w:rPr>
                <w:lang w:val="es-ES" w:eastAsia="en-CA"/>
              </w:rPr>
              <w:t xml:space="preserve"> </w:t>
            </w:r>
            <w:r w:rsidRPr="00A34B66">
              <w:rPr>
                <w:lang w:val="es-ES" w:eastAsia="en-CA"/>
              </w:rPr>
              <w:t>686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2D6F" w:rsidRPr="00A34B66" w:rsidRDefault="00D12D6F" w:rsidP="003F7BA2">
            <w:pPr>
              <w:jc w:val="center"/>
              <w:rPr>
                <w:lang w:val="es-ES" w:eastAsia="en-CA"/>
              </w:rPr>
            </w:pPr>
            <w:r w:rsidRPr="00A34B66">
              <w:rPr>
                <w:lang w:val="es-ES" w:eastAsia="en-CA"/>
              </w:rPr>
              <w:t>27</w:t>
            </w:r>
            <w:r w:rsidR="00DB04F1" w:rsidRPr="00A34B66">
              <w:rPr>
                <w:lang w:val="es-ES" w:eastAsia="en-CA"/>
              </w:rPr>
              <w:t xml:space="preserve"> </w:t>
            </w:r>
            <w:r w:rsidRPr="00A34B66">
              <w:rPr>
                <w:lang w:val="es-ES" w:eastAsia="en-CA"/>
              </w:rPr>
              <w:t>357</w:t>
            </w:r>
          </w:p>
        </w:tc>
      </w:tr>
    </w:tbl>
    <w:bookmarkEnd w:id="3"/>
    <w:p w:rsidR="00D12D6F" w:rsidRPr="00A34B66" w:rsidRDefault="00D12D6F" w:rsidP="00D12D6F">
      <w:pPr>
        <w:ind w:left="142"/>
        <w:rPr>
          <w:sz w:val="20"/>
          <w:lang w:val="es-ES"/>
        </w:rPr>
      </w:pPr>
      <w:r w:rsidRPr="00A34B66">
        <w:rPr>
          <w:sz w:val="20"/>
          <w:lang w:val="es-ES"/>
        </w:rPr>
        <w:t>(*)</w:t>
      </w:r>
      <w:r w:rsidR="00ED5288" w:rsidRPr="00A34B66">
        <w:rPr>
          <w:sz w:val="20"/>
          <w:lang w:val="es-ES"/>
        </w:rPr>
        <w:t xml:space="preserve"> Incluidos los gastos de apoyo al organismo</w:t>
      </w:r>
      <w:r w:rsidRPr="00A34B66">
        <w:rPr>
          <w:sz w:val="20"/>
          <w:lang w:val="es-ES"/>
        </w:rPr>
        <w:t>.</w:t>
      </w:r>
    </w:p>
    <w:p w:rsidR="00D12D6F" w:rsidRPr="00A34B66" w:rsidRDefault="00D12D6F" w:rsidP="00D12D6F">
      <w:pPr>
        <w:ind w:left="142"/>
        <w:rPr>
          <w:sz w:val="20"/>
          <w:szCs w:val="20"/>
          <w:lang w:val="es-ES"/>
        </w:rPr>
      </w:pPr>
      <w:r w:rsidRPr="00A34B66">
        <w:rPr>
          <w:sz w:val="20"/>
          <w:lang w:val="es-ES"/>
        </w:rPr>
        <w:t xml:space="preserve">(**) </w:t>
      </w:r>
      <w:r w:rsidR="00ED5288" w:rsidRPr="00A34B66">
        <w:rPr>
          <w:sz w:val="20"/>
          <w:lang w:val="es-ES"/>
        </w:rPr>
        <w:t>Una cifra</w:t>
      </w:r>
      <w:r w:rsidRPr="00A34B66">
        <w:rPr>
          <w:sz w:val="20"/>
          <w:lang w:val="es-ES"/>
        </w:rPr>
        <w:t xml:space="preserve"> positiv</w:t>
      </w:r>
      <w:r w:rsidR="00ED5288" w:rsidRPr="00A34B66">
        <w:rPr>
          <w:sz w:val="20"/>
          <w:lang w:val="es-ES"/>
        </w:rPr>
        <w:t>a</w:t>
      </w:r>
      <w:r w:rsidRPr="00A34B66">
        <w:rPr>
          <w:sz w:val="20"/>
          <w:lang w:val="es-ES"/>
        </w:rPr>
        <w:t xml:space="preserve"> </w:t>
      </w:r>
      <w:r w:rsidR="00ED5288" w:rsidRPr="00A34B66">
        <w:rPr>
          <w:sz w:val="20"/>
          <w:lang w:val="es-ES"/>
        </w:rPr>
        <w:t>indica más ingresos</w:t>
      </w:r>
      <w:r w:rsidRPr="00A34B66">
        <w:rPr>
          <w:sz w:val="20"/>
          <w:lang w:val="es-ES"/>
        </w:rPr>
        <w:t xml:space="preserve">, </w:t>
      </w:r>
      <w:r w:rsidR="00ED5288" w:rsidRPr="00A34B66">
        <w:rPr>
          <w:sz w:val="20"/>
          <w:lang w:val="es-ES"/>
        </w:rPr>
        <w:t xml:space="preserve">mientras que una cifra </w:t>
      </w:r>
      <w:r w:rsidRPr="00A34B66">
        <w:rPr>
          <w:sz w:val="20"/>
          <w:lang w:val="es-ES"/>
        </w:rPr>
        <w:t>negativ</w:t>
      </w:r>
      <w:r w:rsidR="00ED5288" w:rsidRPr="00A34B66">
        <w:rPr>
          <w:sz w:val="20"/>
          <w:lang w:val="es-ES"/>
        </w:rPr>
        <w:t>a</w:t>
      </w:r>
      <w:r w:rsidRPr="00A34B66">
        <w:rPr>
          <w:sz w:val="20"/>
          <w:lang w:val="es-ES"/>
        </w:rPr>
        <w:t xml:space="preserve"> </w:t>
      </w:r>
      <w:r w:rsidR="00ED5288" w:rsidRPr="00A34B66">
        <w:rPr>
          <w:sz w:val="20"/>
          <w:lang w:val="es-ES"/>
        </w:rPr>
        <w:t>indica menos ingresos notificados</w:t>
      </w:r>
      <w:r w:rsidRPr="00A34B66">
        <w:rPr>
          <w:sz w:val="20"/>
          <w:lang w:val="es-ES"/>
        </w:rPr>
        <w:t xml:space="preserve"> </w:t>
      </w:r>
      <w:r w:rsidR="00ED5288" w:rsidRPr="00A34B66">
        <w:rPr>
          <w:sz w:val="20"/>
          <w:lang w:val="es-ES"/>
        </w:rPr>
        <w:t>en las cuentas</w:t>
      </w:r>
      <w:r w:rsidRPr="00A34B66">
        <w:rPr>
          <w:sz w:val="20"/>
          <w:szCs w:val="20"/>
          <w:lang w:val="es-ES"/>
        </w:rPr>
        <w:t>.</w:t>
      </w:r>
    </w:p>
    <w:p w:rsidR="00D12D6F" w:rsidRPr="00A34B66" w:rsidRDefault="00D12D6F" w:rsidP="00D12D6F">
      <w:pPr>
        <w:ind w:left="142"/>
        <w:rPr>
          <w:sz w:val="20"/>
          <w:lang w:val="es-ES"/>
        </w:rPr>
      </w:pPr>
    </w:p>
    <w:p w:rsidR="00D12D6F" w:rsidRPr="00A34B66" w:rsidRDefault="00D12D6F" w:rsidP="00D12D6F">
      <w:pPr>
        <w:pStyle w:val="Heading1"/>
        <w:numPr>
          <w:ilvl w:val="0"/>
          <w:numId w:val="21"/>
        </w:numPr>
        <w:ind w:left="142" w:firstLine="0"/>
        <w:rPr>
          <w:b/>
          <w:lang w:val="es-ES"/>
        </w:rPr>
      </w:pPr>
      <w:r w:rsidRPr="00A34B66">
        <w:rPr>
          <w:lang w:val="es-ES"/>
        </w:rPr>
        <w:lastRenderedPageBreak/>
        <w:t xml:space="preserve"> </w:t>
      </w:r>
      <w:r w:rsidR="00B56CF6" w:rsidRPr="00A34B66">
        <w:rPr>
          <w:lang w:val="es-ES"/>
        </w:rPr>
        <w:t xml:space="preserve">Las explicaciones proporcionadas por el PNUMA acerca de la diferencia entre el </w:t>
      </w:r>
      <w:r w:rsidR="00963E46">
        <w:rPr>
          <w:lang w:val="es-ES"/>
        </w:rPr>
        <w:t>I</w:t>
      </w:r>
      <w:r w:rsidR="00B56CF6" w:rsidRPr="00A34B66">
        <w:rPr>
          <w:lang w:val="es-ES"/>
        </w:rPr>
        <w:t>nforme sobre la marcha de las actividades de</w:t>
      </w:r>
      <w:r w:rsidRPr="00A34B66">
        <w:rPr>
          <w:lang w:val="es-ES"/>
        </w:rPr>
        <w:t xml:space="preserve"> 2017</w:t>
      </w:r>
      <w:r w:rsidR="00F70361">
        <w:rPr>
          <w:lang w:val="es-ES"/>
        </w:rPr>
        <w:t xml:space="preserve"> </w:t>
      </w:r>
      <w:r w:rsidR="00F70361" w:rsidRPr="00A34B66">
        <w:rPr>
          <w:lang w:val="es-ES"/>
        </w:rPr>
        <w:t>revisado</w:t>
      </w:r>
      <w:r w:rsidRPr="00A34B66">
        <w:rPr>
          <w:lang w:val="es-ES"/>
        </w:rPr>
        <w:t xml:space="preserve"> </w:t>
      </w:r>
      <w:r w:rsidR="00B56CF6" w:rsidRPr="00A34B66">
        <w:rPr>
          <w:lang w:val="es-ES"/>
        </w:rPr>
        <w:t>y las cuentas finales</w:t>
      </w:r>
      <w:r w:rsidRPr="00A34B66">
        <w:rPr>
          <w:lang w:val="es-ES"/>
        </w:rPr>
        <w:t xml:space="preserve"> </w:t>
      </w:r>
      <w:r w:rsidR="00B56CF6" w:rsidRPr="00A34B66">
        <w:rPr>
          <w:lang w:val="es-ES"/>
        </w:rPr>
        <w:t xml:space="preserve">de </w:t>
      </w:r>
      <w:r w:rsidRPr="00A34B66">
        <w:rPr>
          <w:lang w:val="es-ES"/>
        </w:rPr>
        <w:t xml:space="preserve">2017 </w:t>
      </w:r>
      <w:r w:rsidR="00B56CF6" w:rsidRPr="00A34B66">
        <w:rPr>
          <w:lang w:val="es-ES"/>
        </w:rPr>
        <w:t>se indican en el Cuadro</w:t>
      </w:r>
      <w:r w:rsidRPr="00A34B66">
        <w:rPr>
          <w:lang w:val="es-ES"/>
        </w:rPr>
        <w:t xml:space="preserve"> 3. </w:t>
      </w:r>
      <w:r w:rsidRPr="00A34B66">
        <w:rPr>
          <w:b/>
          <w:lang w:val="es-ES"/>
        </w:rPr>
        <w:t xml:space="preserve"> </w:t>
      </w:r>
      <w:r w:rsidR="00F70361">
        <w:rPr>
          <w:b/>
          <w:lang w:val="es-ES"/>
        </w:rPr>
        <w:t xml:space="preserve"> </w:t>
      </w:r>
    </w:p>
    <w:p w:rsidR="00D12D6F" w:rsidRPr="00A34B66" w:rsidRDefault="00963E46" w:rsidP="00D12D6F">
      <w:pPr>
        <w:ind w:left="142"/>
        <w:rPr>
          <w:b/>
          <w:bCs/>
          <w:lang w:val="es-ES"/>
        </w:rPr>
      </w:pPr>
      <w:r>
        <w:rPr>
          <w:b/>
          <w:lang w:val="es-ES"/>
        </w:rPr>
        <w:t>Cuadro</w:t>
      </w:r>
      <w:r w:rsidR="00D12D6F" w:rsidRPr="00A34B66">
        <w:rPr>
          <w:b/>
          <w:lang w:val="es-ES"/>
        </w:rPr>
        <w:t xml:space="preserve"> 3. </w:t>
      </w:r>
      <w:r w:rsidR="007A6CA3" w:rsidRPr="00A34B66">
        <w:rPr>
          <w:b/>
          <w:bCs/>
          <w:lang w:val="es-ES"/>
        </w:rPr>
        <w:t xml:space="preserve">Justificación de las diferencias en los ingresos entre el </w:t>
      </w:r>
      <w:r w:rsidR="00521AC8">
        <w:rPr>
          <w:b/>
          <w:bCs/>
          <w:lang w:val="es-ES"/>
        </w:rPr>
        <w:t>I</w:t>
      </w:r>
      <w:r w:rsidR="007A6CA3" w:rsidRPr="00A34B66">
        <w:rPr>
          <w:b/>
          <w:bCs/>
          <w:lang w:val="es-ES"/>
        </w:rPr>
        <w:t>nforme</w:t>
      </w:r>
      <w:r w:rsidR="00D12D6F" w:rsidRPr="00A34B66">
        <w:rPr>
          <w:b/>
          <w:bCs/>
          <w:lang w:val="es-ES"/>
        </w:rPr>
        <w:t xml:space="preserve"> </w:t>
      </w:r>
      <w:r w:rsidR="007A6CA3" w:rsidRPr="00A34B66">
        <w:rPr>
          <w:b/>
          <w:bCs/>
          <w:lang w:val="es-ES"/>
        </w:rPr>
        <w:t>sobre la marcha de las actividades de 2017</w:t>
      </w:r>
      <w:r w:rsidR="00521AC8">
        <w:rPr>
          <w:b/>
          <w:bCs/>
          <w:lang w:val="es-ES"/>
        </w:rPr>
        <w:t xml:space="preserve"> </w:t>
      </w:r>
      <w:r w:rsidR="00521AC8" w:rsidRPr="00A34B66">
        <w:rPr>
          <w:b/>
          <w:bCs/>
          <w:lang w:val="es-ES"/>
        </w:rPr>
        <w:t>revisado</w:t>
      </w:r>
      <w:r w:rsidR="007A6CA3" w:rsidRPr="00A34B66">
        <w:rPr>
          <w:b/>
          <w:bCs/>
          <w:lang w:val="es-ES"/>
        </w:rPr>
        <w:t xml:space="preserve"> y las cuentas finales de</w:t>
      </w:r>
      <w:r w:rsidR="00D12D6F" w:rsidRPr="00A34B66">
        <w:rPr>
          <w:b/>
          <w:bCs/>
          <w:lang w:val="es-ES"/>
        </w:rPr>
        <w:t xml:space="preserve"> 2017 ($</w:t>
      </w:r>
      <w:r w:rsidR="007A6CA3" w:rsidRPr="00A34B66">
        <w:rPr>
          <w:b/>
          <w:bCs/>
          <w:lang w:val="es-ES"/>
        </w:rPr>
        <w:t>EUA</w:t>
      </w:r>
      <w:r w:rsidR="00D12D6F" w:rsidRPr="00A34B66">
        <w:rPr>
          <w:b/>
          <w:bCs/>
          <w:lang w:val="es-ES"/>
        </w:rPr>
        <w:t>)</w:t>
      </w:r>
      <w:r w:rsidR="00521AC8">
        <w:rPr>
          <w:b/>
          <w:bCs/>
          <w:lang w:val="es-ES"/>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01"/>
      </w:tblGrid>
      <w:tr w:rsidR="00D12D6F" w:rsidRPr="00A34B66" w:rsidTr="003F7BA2">
        <w:trPr>
          <w:tblHeader/>
        </w:trPr>
        <w:tc>
          <w:tcPr>
            <w:tcW w:w="7371" w:type="dxa"/>
            <w:shd w:val="clear" w:color="auto" w:fill="auto"/>
          </w:tcPr>
          <w:p w:rsidR="00D12D6F" w:rsidRPr="00A34B66" w:rsidRDefault="00BD20C7" w:rsidP="003F7BA2">
            <w:pPr>
              <w:jc w:val="center"/>
              <w:rPr>
                <w:b/>
                <w:sz w:val="20"/>
                <w:szCs w:val="20"/>
                <w:lang w:val="es-ES"/>
              </w:rPr>
            </w:pPr>
            <w:bookmarkStart w:id="4" w:name="_Hlk6922267"/>
            <w:r w:rsidRPr="00A34B66">
              <w:rPr>
                <w:b/>
                <w:sz w:val="20"/>
                <w:szCs w:val="20"/>
                <w:lang w:val="es-ES"/>
              </w:rPr>
              <w:t>Observaciones</w:t>
            </w:r>
          </w:p>
        </w:tc>
        <w:tc>
          <w:tcPr>
            <w:tcW w:w="1701" w:type="dxa"/>
            <w:shd w:val="clear" w:color="auto" w:fill="auto"/>
            <w:tcMar>
              <w:left w:w="0" w:type="dxa"/>
              <w:right w:w="0" w:type="dxa"/>
            </w:tcMar>
          </w:tcPr>
          <w:p w:rsidR="00D12D6F" w:rsidRPr="00A34B66" w:rsidRDefault="00BD20C7" w:rsidP="003F7BA2">
            <w:pPr>
              <w:jc w:val="center"/>
              <w:rPr>
                <w:b/>
                <w:bCs/>
                <w:sz w:val="20"/>
                <w:szCs w:val="20"/>
                <w:lang w:val="es-ES"/>
              </w:rPr>
            </w:pPr>
            <w:r w:rsidRPr="00A34B66">
              <w:rPr>
                <w:rFonts w:eastAsia="MS Mincho"/>
                <w:b/>
                <w:bCs/>
                <w:sz w:val="20"/>
                <w:szCs w:val="20"/>
                <w:lang w:val="es-ES" w:eastAsia="ja-JP"/>
              </w:rPr>
              <w:t>PNUMA</w:t>
            </w:r>
          </w:p>
        </w:tc>
      </w:tr>
      <w:tr w:rsidR="00D12D6F" w:rsidRPr="00A34B66" w:rsidTr="003F7BA2">
        <w:tc>
          <w:tcPr>
            <w:tcW w:w="7371" w:type="dxa"/>
            <w:shd w:val="clear" w:color="auto" w:fill="auto"/>
          </w:tcPr>
          <w:p w:rsidR="00D12D6F" w:rsidRPr="00A34B66" w:rsidRDefault="00BD20C7" w:rsidP="003F7BA2">
            <w:pPr>
              <w:jc w:val="left"/>
              <w:rPr>
                <w:lang w:val="es-ES"/>
              </w:rPr>
            </w:pPr>
            <w:r w:rsidRPr="00A34B66">
              <w:rPr>
                <w:lang w:val="es-ES"/>
              </w:rPr>
              <w:t xml:space="preserve">Diferencia entre el </w:t>
            </w:r>
            <w:r w:rsidR="00521AC8">
              <w:rPr>
                <w:lang w:val="es-ES"/>
              </w:rPr>
              <w:t>I</w:t>
            </w:r>
            <w:r w:rsidRPr="00A34B66">
              <w:rPr>
                <w:lang w:val="es-ES"/>
              </w:rPr>
              <w:t>nforme sobre la marcha de las actividades de</w:t>
            </w:r>
            <w:r w:rsidR="00D12D6F" w:rsidRPr="00A34B66">
              <w:rPr>
                <w:lang w:val="es-ES"/>
              </w:rPr>
              <w:t xml:space="preserve"> 2017</w:t>
            </w:r>
            <w:r w:rsidR="00521AC8">
              <w:rPr>
                <w:lang w:val="es-ES"/>
              </w:rPr>
              <w:t xml:space="preserve"> revisado</w:t>
            </w:r>
            <w:r w:rsidR="00D12D6F" w:rsidRPr="00A34B66">
              <w:rPr>
                <w:lang w:val="es-ES"/>
              </w:rPr>
              <w:t xml:space="preserve"> </w:t>
            </w:r>
            <w:r w:rsidRPr="00A34B66">
              <w:rPr>
                <w:lang w:val="es-ES"/>
              </w:rPr>
              <w:t>y las cuentas finales de</w:t>
            </w:r>
            <w:r w:rsidR="00D12D6F" w:rsidRPr="00A34B66">
              <w:rPr>
                <w:lang w:val="es-ES"/>
              </w:rPr>
              <w:t xml:space="preserve"> 2017 </w:t>
            </w:r>
          </w:p>
        </w:tc>
        <w:tc>
          <w:tcPr>
            <w:tcW w:w="1701" w:type="dxa"/>
            <w:shd w:val="clear" w:color="auto" w:fill="auto"/>
          </w:tcPr>
          <w:p w:rsidR="00D12D6F" w:rsidRPr="00A34B66" w:rsidRDefault="00D12D6F" w:rsidP="003F7BA2">
            <w:pPr>
              <w:jc w:val="right"/>
              <w:rPr>
                <w:lang w:val="es-ES"/>
              </w:rPr>
            </w:pPr>
            <w:r w:rsidRPr="00A34B66">
              <w:rPr>
                <w:lang w:val="es-ES" w:eastAsia="en-CA"/>
              </w:rPr>
              <w:t>27</w:t>
            </w:r>
            <w:r w:rsidR="00BD20C7" w:rsidRPr="00A34B66">
              <w:rPr>
                <w:lang w:val="es-ES" w:eastAsia="en-CA"/>
              </w:rPr>
              <w:t xml:space="preserve"> </w:t>
            </w:r>
            <w:r w:rsidRPr="00A34B66">
              <w:rPr>
                <w:lang w:val="es-ES" w:eastAsia="en-CA"/>
              </w:rPr>
              <w:t>357</w:t>
            </w:r>
          </w:p>
        </w:tc>
      </w:tr>
      <w:tr w:rsidR="00D12D6F" w:rsidRPr="00A34B66" w:rsidTr="003F7BA2">
        <w:tc>
          <w:tcPr>
            <w:tcW w:w="7371" w:type="dxa"/>
            <w:shd w:val="clear" w:color="auto" w:fill="auto"/>
          </w:tcPr>
          <w:p w:rsidR="00D12D6F" w:rsidRPr="00A34B66" w:rsidRDefault="00BD20C7" w:rsidP="003F7BA2">
            <w:pPr>
              <w:jc w:val="left"/>
              <w:rPr>
                <w:b/>
                <w:lang w:val="es-ES"/>
              </w:rPr>
            </w:pPr>
            <w:r w:rsidRPr="00A34B66">
              <w:rPr>
                <w:b/>
                <w:lang w:val="es-ES"/>
              </w:rPr>
              <w:t>Explicaciones proporcionadas</w:t>
            </w:r>
            <w:r w:rsidR="00D12D6F" w:rsidRPr="00A34B66">
              <w:rPr>
                <w:b/>
                <w:color w:val="FF0000"/>
                <w:lang w:val="es-ES"/>
              </w:rPr>
              <w:t xml:space="preserve"> </w:t>
            </w:r>
          </w:p>
        </w:tc>
        <w:tc>
          <w:tcPr>
            <w:tcW w:w="1701" w:type="dxa"/>
            <w:shd w:val="clear" w:color="auto" w:fill="auto"/>
          </w:tcPr>
          <w:p w:rsidR="00D12D6F" w:rsidRPr="00A34B66" w:rsidRDefault="00D12D6F" w:rsidP="003F7BA2">
            <w:pPr>
              <w:jc w:val="right"/>
              <w:rPr>
                <w:lang w:val="es-ES"/>
              </w:rPr>
            </w:pPr>
          </w:p>
        </w:tc>
      </w:tr>
      <w:tr w:rsidR="00D12D6F" w:rsidRPr="00A34B66" w:rsidTr="003F7BA2">
        <w:tc>
          <w:tcPr>
            <w:tcW w:w="7371" w:type="dxa"/>
            <w:shd w:val="clear" w:color="auto" w:fill="auto"/>
          </w:tcPr>
          <w:p w:rsidR="00D12D6F" w:rsidRPr="00A34B66" w:rsidRDefault="00F83678" w:rsidP="003F7BA2">
            <w:pPr>
              <w:jc w:val="left"/>
              <w:rPr>
                <w:lang w:val="es-ES" w:eastAsia="ja-JP"/>
              </w:rPr>
            </w:pPr>
            <w:r w:rsidRPr="00A34B66">
              <w:rPr>
                <w:lang w:val="es-ES"/>
              </w:rPr>
              <w:t>En el Informe sobre la marcha de las actividades de 2017 se incluyó asistencia adicional para un proyecto</w:t>
            </w:r>
            <w:r w:rsidR="00D12D6F" w:rsidRPr="00A34B66">
              <w:rPr>
                <w:lang w:val="es-ES"/>
              </w:rPr>
              <w:t xml:space="preserve"> (DMI/SEV/80/INS/23)</w:t>
            </w:r>
            <w:r w:rsidRPr="00A34B66">
              <w:rPr>
                <w:lang w:val="es-ES"/>
              </w:rPr>
              <w:t>,</w:t>
            </w:r>
            <w:r w:rsidR="00D12D6F" w:rsidRPr="00A34B66">
              <w:rPr>
                <w:lang w:val="es-ES"/>
              </w:rPr>
              <w:t xml:space="preserve"> </w:t>
            </w:r>
            <w:r w:rsidR="00A8033E" w:rsidRPr="00A34B66">
              <w:rPr>
                <w:lang w:val="es-ES"/>
              </w:rPr>
              <w:t>pero el Tesorero realizó la transferencia e</w:t>
            </w:r>
            <w:r w:rsidR="00D12D6F" w:rsidRPr="00A34B66">
              <w:rPr>
                <w:lang w:val="es-ES"/>
              </w:rPr>
              <w:t xml:space="preserve">n 2018 (no </w:t>
            </w:r>
            <w:r w:rsidRPr="00A34B66">
              <w:rPr>
                <w:lang w:val="es-ES"/>
              </w:rPr>
              <w:t>se requieren medidas</w:t>
            </w:r>
            <w:r w:rsidR="00D12D6F" w:rsidRPr="00A34B66">
              <w:rPr>
                <w:lang w:val="es-ES"/>
              </w:rPr>
              <w:t xml:space="preserve">) </w:t>
            </w:r>
          </w:p>
        </w:tc>
        <w:tc>
          <w:tcPr>
            <w:tcW w:w="1701" w:type="dxa"/>
            <w:shd w:val="clear" w:color="auto" w:fill="auto"/>
          </w:tcPr>
          <w:p w:rsidR="00D12D6F" w:rsidRPr="00A34B66" w:rsidRDefault="00D12D6F" w:rsidP="003F7BA2">
            <w:pPr>
              <w:jc w:val="right"/>
              <w:rPr>
                <w:lang w:val="es-ES"/>
              </w:rPr>
            </w:pPr>
            <w:r w:rsidRPr="00A34B66">
              <w:rPr>
                <w:lang w:val="es-ES"/>
              </w:rPr>
              <w:t>(20</w:t>
            </w:r>
            <w:r w:rsidR="00BD20C7" w:rsidRPr="00A34B66">
              <w:rPr>
                <w:lang w:val="es-ES"/>
              </w:rPr>
              <w:t xml:space="preserve"> </w:t>
            </w:r>
            <w:r w:rsidRPr="00A34B66">
              <w:rPr>
                <w:lang w:val="es-ES"/>
              </w:rPr>
              <w:t>000)</w:t>
            </w:r>
          </w:p>
        </w:tc>
      </w:tr>
      <w:tr w:rsidR="00D12D6F" w:rsidRPr="00A34B66" w:rsidTr="003F7BA2">
        <w:tc>
          <w:tcPr>
            <w:tcW w:w="7371" w:type="dxa"/>
            <w:shd w:val="clear" w:color="auto" w:fill="auto"/>
          </w:tcPr>
          <w:p w:rsidR="00D12D6F" w:rsidRPr="00A34B66" w:rsidRDefault="008E5370" w:rsidP="003F7BA2">
            <w:pPr>
              <w:jc w:val="left"/>
              <w:rPr>
                <w:lang w:val="es-ES"/>
              </w:rPr>
            </w:pPr>
            <w:r w:rsidRPr="00A34B66">
              <w:rPr>
                <w:lang w:val="es-ES"/>
              </w:rPr>
              <w:t>Corrección relacionada con el registro de ganancias derivadas del cambio en años anteriores</w:t>
            </w:r>
            <w:r w:rsidR="00D12D6F" w:rsidRPr="00A34B66">
              <w:rPr>
                <w:lang w:val="es-ES"/>
              </w:rPr>
              <w:t xml:space="preserve"> (</w:t>
            </w:r>
            <w:r w:rsidRPr="00A34B66">
              <w:rPr>
                <w:lang w:val="es-ES"/>
              </w:rPr>
              <w:t>el PNUMA lo ajustará en sus cuentas de</w:t>
            </w:r>
            <w:r w:rsidR="00D12D6F" w:rsidRPr="00A34B66">
              <w:rPr>
                <w:lang w:val="es-ES"/>
              </w:rPr>
              <w:t xml:space="preserve"> 2019) </w:t>
            </w:r>
          </w:p>
        </w:tc>
        <w:tc>
          <w:tcPr>
            <w:tcW w:w="1701" w:type="dxa"/>
            <w:shd w:val="clear" w:color="auto" w:fill="auto"/>
          </w:tcPr>
          <w:p w:rsidR="00D12D6F" w:rsidRPr="00A34B66" w:rsidRDefault="00D12D6F" w:rsidP="003F7BA2">
            <w:pPr>
              <w:jc w:val="right"/>
              <w:rPr>
                <w:lang w:val="es-ES"/>
              </w:rPr>
            </w:pPr>
            <w:r w:rsidRPr="00A34B66">
              <w:rPr>
                <w:lang w:val="es-ES"/>
              </w:rPr>
              <w:t>(7</w:t>
            </w:r>
            <w:r w:rsidR="00BD20C7" w:rsidRPr="00A34B66">
              <w:rPr>
                <w:lang w:val="es-ES"/>
              </w:rPr>
              <w:t xml:space="preserve"> </w:t>
            </w:r>
            <w:r w:rsidRPr="00A34B66">
              <w:rPr>
                <w:lang w:val="es-ES"/>
              </w:rPr>
              <w:t>357)</w:t>
            </w:r>
          </w:p>
        </w:tc>
      </w:tr>
      <w:tr w:rsidR="00D12D6F" w:rsidRPr="00A34B66" w:rsidTr="003F7BA2">
        <w:tc>
          <w:tcPr>
            <w:tcW w:w="7371" w:type="dxa"/>
            <w:shd w:val="clear" w:color="auto" w:fill="auto"/>
          </w:tcPr>
          <w:p w:rsidR="00D12D6F" w:rsidRPr="00A34B66" w:rsidRDefault="00020C41" w:rsidP="00020C41">
            <w:pPr>
              <w:pStyle w:val="NormalWeb"/>
              <w:rPr>
                <w:lang w:val="es-ES"/>
              </w:rPr>
            </w:pPr>
            <w:r w:rsidRPr="00A34B66">
              <w:rPr>
                <w:rFonts w:ascii="TimesNewRomanPS" w:hAnsi="TimesNewRomanPS"/>
                <w:b/>
                <w:bCs/>
                <w:sz w:val="20"/>
                <w:szCs w:val="20"/>
                <w:lang w:val="es-ES"/>
              </w:rPr>
              <w:t xml:space="preserve">Diferencia (partida compensatoria pendiente) </w:t>
            </w:r>
          </w:p>
        </w:tc>
        <w:tc>
          <w:tcPr>
            <w:tcW w:w="1701" w:type="dxa"/>
            <w:shd w:val="clear" w:color="auto" w:fill="auto"/>
          </w:tcPr>
          <w:p w:rsidR="00D12D6F" w:rsidRPr="00A34B66" w:rsidRDefault="00D12D6F" w:rsidP="003F7BA2">
            <w:pPr>
              <w:jc w:val="right"/>
              <w:rPr>
                <w:b/>
                <w:lang w:val="es-ES"/>
              </w:rPr>
            </w:pPr>
            <w:r w:rsidRPr="00A34B66">
              <w:rPr>
                <w:b/>
                <w:lang w:val="es-ES"/>
              </w:rPr>
              <w:t>0</w:t>
            </w:r>
          </w:p>
        </w:tc>
      </w:tr>
      <w:bookmarkEnd w:id="4"/>
    </w:tbl>
    <w:p w:rsidR="00D12D6F" w:rsidRPr="00A34B66" w:rsidRDefault="00D12D6F" w:rsidP="00D12D6F">
      <w:pPr>
        <w:rPr>
          <w:highlight w:val="yellow"/>
          <w:lang w:val="es-ES"/>
        </w:rPr>
      </w:pPr>
    </w:p>
    <w:p w:rsidR="00D12D6F" w:rsidRPr="00A34B66" w:rsidRDefault="008E706C" w:rsidP="00D12D6F">
      <w:pPr>
        <w:pStyle w:val="Heading1"/>
        <w:numPr>
          <w:ilvl w:val="0"/>
          <w:numId w:val="21"/>
        </w:numPr>
        <w:spacing w:after="0"/>
        <w:ind w:left="142" w:firstLine="0"/>
        <w:rPr>
          <w:lang w:val="es-ES"/>
        </w:rPr>
      </w:pPr>
      <w:r w:rsidRPr="00A34B66">
        <w:rPr>
          <w:lang w:val="es-ES"/>
        </w:rPr>
        <w:t>Sobre la base de las explicaciones proporcionadas</w:t>
      </w:r>
      <w:r w:rsidR="00D12D6F" w:rsidRPr="00A34B66">
        <w:rPr>
          <w:lang w:val="es-ES"/>
        </w:rPr>
        <w:t xml:space="preserve">, </w:t>
      </w:r>
      <w:r w:rsidRPr="00A34B66">
        <w:rPr>
          <w:lang w:val="es-ES"/>
        </w:rPr>
        <w:t>no hay partidas compensatorias pendientes que deberían explicarse</w:t>
      </w:r>
      <w:r w:rsidR="00D12D6F" w:rsidRPr="00A34B66">
        <w:rPr>
          <w:lang w:val="es-ES"/>
        </w:rPr>
        <w:t>.</w:t>
      </w:r>
    </w:p>
    <w:p w:rsidR="00D12D6F" w:rsidRPr="00A34B66" w:rsidRDefault="00D12D6F" w:rsidP="00D12D6F">
      <w:pPr>
        <w:rPr>
          <w:lang w:val="es-ES"/>
        </w:rPr>
      </w:pPr>
    </w:p>
    <w:p w:rsidR="00D12D6F" w:rsidRPr="00A34B66" w:rsidRDefault="00707EC3" w:rsidP="00D12D6F">
      <w:pPr>
        <w:ind w:left="142"/>
        <w:rPr>
          <w:b/>
          <w:lang w:val="es-ES"/>
        </w:rPr>
      </w:pPr>
      <w:bookmarkStart w:id="5" w:name="_Hlk6922287"/>
      <w:r w:rsidRPr="00A34B66">
        <w:rPr>
          <w:b/>
          <w:lang w:val="es-ES"/>
        </w:rPr>
        <w:t>Gastos notificados en las cuentas finales de</w:t>
      </w:r>
      <w:r w:rsidR="00D12D6F" w:rsidRPr="00A34B66">
        <w:rPr>
          <w:b/>
          <w:lang w:val="es-ES"/>
        </w:rPr>
        <w:t xml:space="preserve"> 2017 </w:t>
      </w:r>
      <w:r w:rsidRPr="00A34B66">
        <w:rPr>
          <w:b/>
          <w:lang w:val="es-ES"/>
        </w:rPr>
        <w:t>y e</w:t>
      </w:r>
      <w:r w:rsidR="00D12D6F" w:rsidRPr="00A34B66">
        <w:rPr>
          <w:b/>
          <w:lang w:val="es-ES"/>
        </w:rPr>
        <w:t xml:space="preserve">n </w:t>
      </w:r>
      <w:r w:rsidRPr="00A34B66">
        <w:rPr>
          <w:b/>
          <w:lang w:val="es-ES"/>
        </w:rPr>
        <w:t xml:space="preserve">el </w:t>
      </w:r>
      <w:r w:rsidR="00521AC8">
        <w:rPr>
          <w:b/>
          <w:lang w:val="es-ES"/>
        </w:rPr>
        <w:t>I</w:t>
      </w:r>
      <w:r w:rsidRPr="00A34B66">
        <w:rPr>
          <w:b/>
          <w:lang w:val="es-ES"/>
        </w:rPr>
        <w:t>nforme sobre la marcha de las actividades de</w:t>
      </w:r>
      <w:r w:rsidR="00D12D6F" w:rsidRPr="00A34B66">
        <w:rPr>
          <w:b/>
          <w:lang w:val="es-ES"/>
        </w:rPr>
        <w:t xml:space="preserve"> 2017 </w:t>
      </w:r>
      <w:r w:rsidR="00521AC8">
        <w:rPr>
          <w:b/>
          <w:lang w:val="es-ES"/>
        </w:rPr>
        <w:t>revisado</w:t>
      </w:r>
    </w:p>
    <w:bookmarkEnd w:id="5"/>
    <w:p w:rsidR="00D12D6F" w:rsidRPr="00A34B66" w:rsidRDefault="00D12D6F" w:rsidP="00D12D6F">
      <w:pPr>
        <w:rPr>
          <w:b/>
          <w:lang w:val="es-ES"/>
        </w:rPr>
      </w:pPr>
    </w:p>
    <w:p w:rsidR="00D12D6F" w:rsidRPr="00A34B66" w:rsidRDefault="00707EC3" w:rsidP="00D12D6F">
      <w:pPr>
        <w:pStyle w:val="Heading1"/>
        <w:numPr>
          <w:ilvl w:val="0"/>
          <w:numId w:val="21"/>
        </w:numPr>
        <w:spacing w:after="0"/>
        <w:ind w:left="142" w:firstLine="0"/>
        <w:rPr>
          <w:lang w:val="es-ES"/>
        </w:rPr>
      </w:pPr>
      <w:r w:rsidRPr="00A34B66">
        <w:rPr>
          <w:lang w:val="es-ES"/>
        </w:rPr>
        <w:t>En el Cuadro</w:t>
      </w:r>
      <w:r w:rsidR="00D12D6F" w:rsidRPr="00A34B66">
        <w:rPr>
          <w:lang w:val="es-ES"/>
        </w:rPr>
        <w:t xml:space="preserve"> 4 </w:t>
      </w:r>
      <w:r w:rsidRPr="00A34B66">
        <w:rPr>
          <w:lang w:val="es-ES"/>
        </w:rPr>
        <w:t>se muestran las diferencias entre los gastos acumulados notificados al Tesorero</w:t>
      </w:r>
      <w:r w:rsidR="00D12D6F" w:rsidRPr="00A34B66">
        <w:rPr>
          <w:lang w:val="es-ES"/>
        </w:rPr>
        <w:t xml:space="preserve"> </w:t>
      </w:r>
      <w:r w:rsidRPr="00A34B66">
        <w:rPr>
          <w:lang w:val="es-ES"/>
        </w:rPr>
        <w:t>en las cuentas finales de</w:t>
      </w:r>
      <w:r w:rsidR="00D12D6F" w:rsidRPr="00A34B66">
        <w:rPr>
          <w:lang w:val="es-ES"/>
        </w:rPr>
        <w:t xml:space="preserve"> 2017 </w:t>
      </w:r>
      <w:r w:rsidRPr="00A34B66">
        <w:rPr>
          <w:lang w:val="es-ES"/>
        </w:rPr>
        <w:t>y los fondos desembolsados</w:t>
      </w:r>
      <w:r w:rsidR="00D12D6F" w:rsidRPr="00A34B66">
        <w:rPr>
          <w:lang w:val="es-ES"/>
        </w:rPr>
        <w:t xml:space="preserve"> </w:t>
      </w:r>
      <w:r w:rsidRPr="00A34B66">
        <w:rPr>
          <w:lang w:val="es-ES"/>
        </w:rPr>
        <w:t xml:space="preserve">y comprometidos que se </w:t>
      </w:r>
      <w:r w:rsidR="00521AC8">
        <w:rPr>
          <w:lang w:val="es-ES"/>
        </w:rPr>
        <w:t>comunicaron</w:t>
      </w:r>
      <w:r w:rsidRPr="00A34B66">
        <w:rPr>
          <w:lang w:val="es-ES"/>
        </w:rPr>
        <w:t xml:space="preserve"> en el </w:t>
      </w:r>
      <w:r w:rsidR="00521AC8">
        <w:rPr>
          <w:lang w:val="es-ES"/>
        </w:rPr>
        <w:t>I</w:t>
      </w:r>
      <w:r w:rsidRPr="00A34B66">
        <w:rPr>
          <w:lang w:val="es-ES"/>
        </w:rPr>
        <w:t>nforme sobre la marcha de las actividades de</w:t>
      </w:r>
      <w:r w:rsidR="00D12D6F" w:rsidRPr="00A34B66">
        <w:rPr>
          <w:lang w:val="es-ES"/>
        </w:rPr>
        <w:t xml:space="preserve"> 2017 </w:t>
      </w:r>
      <w:r w:rsidR="00521AC8">
        <w:rPr>
          <w:lang w:val="es-ES"/>
        </w:rPr>
        <w:t xml:space="preserve">revisado </w:t>
      </w:r>
      <w:r w:rsidRPr="00A34B66">
        <w:rPr>
          <w:lang w:val="es-ES"/>
        </w:rPr>
        <w:t>para el período de</w:t>
      </w:r>
      <w:r w:rsidR="00D12D6F" w:rsidRPr="00A34B66">
        <w:rPr>
          <w:lang w:val="es-ES"/>
        </w:rPr>
        <w:t xml:space="preserve"> 1991 </w:t>
      </w:r>
      <w:r w:rsidRPr="00A34B66">
        <w:rPr>
          <w:lang w:val="es-ES"/>
        </w:rPr>
        <w:t>a</w:t>
      </w:r>
      <w:r w:rsidR="00D12D6F" w:rsidRPr="00A34B66">
        <w:rPr>
          <w:lang w:val="es-ES"/>
        </w:rPr>
        <w:t xml:space="preserve"> 2017.</w:t>
      </w:r>
    </w:p>
    <w:p w:rsidR="00D12D6F" w:rsidRPr="00A34B66" w:rsidRDefault="00D12D6F" w:rsidP="00D12D6F">
      <w:pPr>
        <w:ind w:left="142"/>
        <w:outlineLvl w:val="0"/>
        <w:rPr>
          <w:b/>
          <w:lang w:val="es-ES"/>
        </w:rPr>
      </w:pPr>
    </w:p>
    <w:p w:rsidR="00D12D6F" w:rsidRPr="00A34B66" w:rsidRDefault="00D12D6F" w:rsidP="00D12D6F">
      <w:pPr>
        <w:ind w:left="142"/>
        <w:outlineLvl w:val="0"/>
        <w:rPr>
          <w:b/>
          <w:lang w:val="es-ES"/>
        </w:rPr>
      </w:pPr>
    </w:p>
    <w:p w:rsidR="00D12D6F" w:rsidRPr="00A34B66" w:rsidRDefault="00995445" w:rsidP="00D12D6F">
      <w:pPr>
        <w:ind w:left="142"/>
        <w:outlineLvl w:val="0"/>
        <w:rPr>
          <w:b/>
          <w:bCs/>
          <w:lang w:val="es-ES"/>
        </w:rPr>
      </w:pPr>
      <w:r w:rsidRPr="00A34B66">
        <w:rPr>
          <w:b/>
          <w:lang w:val="es-ES"/>
        </w:rPr>
        <w:t>Cuadro</w:t>
      </w:r>
      <w:r w:rsidR="00D12D6F" w:rsidRPr="00A34B66">
        <w:rPr>
          <w:b/>
          <w:lang w:val="es-ES"/>
        </w:rPr>
        <w:t xml:space="preserve"> 4. </w:t>
      </w:r>
      <w:r w:rsidR="00C303BF" w:rsidRPr="00A34B66">
        <w:rPr>
          <w:b/>
          <w:bCs/>
          <w:lang w:val="es-ES"/>
        </w:rPr>
        <w:t>Diferencias entre los gastos</w:t>
      </w:r>
      <w:r w:rsidR="00D12D6F" w:rsidRPr="00A34B66">
        <w:rPr>
          <w:b/>
          <w:bCs/>
          <w:lang w:val="es-ES"/>
        </w:rPr>
        <w:t xml:space="preserve"> </w:t>
      </w:r>
      <w:r w:rsidR="00C303BF" w:rsidRPr="00A34B66">
        <w:rPr>
          <w:b/>
          <w:bCs/>
          <w:lang w:val="es-ES"/>
        </w:rPr>
        <w:t>acumulados</w:t>
      </w:r>
      <w:r w:rsidR="00D12D6F" w:rsidRPr="00A34B66">
        <w:rPr>
          <w:b/>
          <w:bCs/>
          <w:lang w:val="es-ES"/>
        </w:rPr>
        <w:t xml:space="preserve"> ($</w:t>
      </w:r>
      <w:r w:rsidR="00C303BF" w:rsidRPr="00A34B66">
        <w:rPr>
          <w:b/>
          <w:bCs/>
          <w:lang w:val="es-ES"/>
        </w:rPr>
        <w:t>EUA</w:t>
      </w:r>
      <w:r w:rsidR="00D12D6F" w:rsidRPr="00A34B66">
        <w:rPr>
          <w:b/>
          <w:bCs/>
          <w:lang w:val="es-ES"/>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556"/>
        <w:gridCol w:w="1544"/>
        <w:gridCol w:w="1556"/>
        <w:gridCol w:w="1692"/>
        <w:gridCol w:w="1499"/>
      </w:tblGrid>
      <w:tr w:rsidR="00D12D6F" w:rsidRPr="00A34B66" w:rsidTr="003F7BA2">
        <w:trPr>
          <w:tblHeader/>
          <w:jc w:val="center"/>
        </w:trPr>
        <w:tc>
          <w:tcPr>
            <w:tcW w:w="1395" w:type="dxa"/>
            <w:vMerge w:val="restart"/>
            <w:vAlign w:val="center"/>
          </w:tcPr>
          <w:p w:rsidR="00D12D6F" w:rsidRPr="00A34B66" w:rsidRDefault="00C303BF" w:rsidP="003F7BA2">
            <w:pPr>
              <w:jc w:val="center"/>
              <w:rPr>
                <w:b/>
                <w:bCs/>
                <w:lang w:val="es-ES"/>
              </w:rPr>
            </w:pPr>
            <w:bookmarkStart w:id="6" w:name="_Hlk6922303"/>
            <w:r w:rsidRPr="00A34B66">
              <w:rPr>
                <w:b/>
                <w:bCs/>
                <w:lang w:val="es-ES"/>
              </w:rPr>
              <w:t>Organismo</w:t>
            </w:r>
          </w:p>
        </w:tc>
        <w:tc>
          <w:tcPr>
            <w:tcW w:w="4656" w:type="dxa"/>
            <w:gridSpan w:val="3"/>
          </w:tcPr>
          <w:p w:rsidR="00D12D6F" w:rsidRPr="00A34B66" w:rsidRDefault="00C303BF" w:rsidP="003F7BA2">
            <w:pPr>
              <w:jc w:val="center"/>
              <w:rPr>
                <w:b/>
                <w:bCs/>
                <w:lang w:val="es-ES"/>
              </w:rPr>
            </w:pPr>
            <w:r w:rsidRPr="00A34B66">
              <w:rPr>
                <w:b/>
                <w:bCs/>
                <w:lang w:val="es-ES"/>
              </w:rPr>
              <w:t xml:space="preserve">Informe sobre la marcha de las actividades de </w:t>
            </w:r>
            <w:r w:rsidR="00D12D6F" w:rsidRPr="00A34B66">
              <w:rPr>
                <w:b/>
                <w:bCs/>
                <w:lang w:val="es-ES"/>
              </w:rPr>
              <w:t>2017</w:t>
            </w:r>
            <w:r w:rsidR="00963E46">
              <w:rPr>
                <w:b/>
                <w:bCs/>
                <w:lang w:val="es-ES"/>
              </w:rPr>
              <w:t xml:space="preserve"> </w:t>
            </w:r>
            <w:r w:rsidR="00963E46" w:rsidRPr="00A34B66">
              <w:rPr>
                <w:b/>
                <w:bCs/>
                <w:lang w:val="es-ES"/>
              </w:rPr>
              <w:t>revisado</w:t>
            </w:r>
            <w:r w:rsidR="00D12D6F" w:rsidRPr="00A34B66">
              <w:rPr>
                <w:b/>
                <w:bCs/>
                <w:lang w:val="es-ES"/>
              </w:rPr>
              <w:t>*</w:t>
            </w:r>
            <w:r w:rsidR="00963E46">
              <w:rPr>
                <w:b/>
                <w:bCs/>
                <w:lang w:val="es-ES"/>
              </w:rPr>
              <w:t xml:space="preserve"> </w:t>
            </w:r>
          </w:p>
        </w:tc>
        <w:tc>
          <w:tcPr>
            <w:tcW w:w="1692" w:type="dxa"/>
            <w:vMerge w:val="restart"/>
          </w:tcPr>
          <w:p w:rsidR="00D12D6F" w:rsidRPr="00A34B66" w:rsidRDefault="00C303BF" w:rsidP="003F7BA2">
            <w:pPr>
              <w:jc w:val="center"/>
              <w:rPr>
                <w:b/>
                <w:bCs/>
                <w:lang w:val="es-ES"/>
              </w:rPr>
            </w:pPr>
            <w:r w:rsidRPr="00A34B66">
              <w:rPr>
                <w:b/>
                <w:bCs/>
                <w:lang w:val="es-ES"/>
              </w:rPr>
              <w:t>Gastos acumulados para las cuentas finales de</w:t>
            </w:r>
            <w:r w:rsidR="00D12D6F" w:rsidRPr="00A34B66">
              <w:rPr>
                <w:b/>
                <w:bCs/>
                <w:lang w:val="es-ES"/>
              </w:rPr>
              <w:t xml:space="preserve"> 2017 </w:t>
            </w:r>
          </w:p>
        </w:tc>
        <w:tc>
          <w:tcPr>
            <w:tcW w:w="1499" w:type="dxa"/>
            <w:vMerge w:val="restart"/>
            <w:vAlign w:val="center"/>
          </w:tcPr>
          <w:p w:rsidR="00D12D6F" w:rsidRPr="00A34B66" w:rsidRDefault="00D12D6F" w:rsidP="003F7BA2">
            <w:pPr>
              <w:jc w:val="center"/>
              <w:rPr>
                <w:b/>
                <w:bCs/>
                <w:sz w:val="16"/>
                <w:szCs w:val="16"/>
                <w:lang w:val="es-ES"/>
              </w:rPr>
            </w:pPr>
          </w:p>
          <w:p w:rsidR="00D12D6F" w:rsidRPr="00A34B66" w:rsidRDefault="00D12D6F" w:rsidP="003F7BA2">
            <w:pPr>
              <w:jc w:val="center"/>
              <w:rPr>
                <w:b/>
                <w:bCs/>
                <w:sz w:val="16"/>
                <w:szCs w:val="16"/>
                <w:lang w:val="es-ES"/>
              </w:rPr>
            </w:pPr>
          </w:p>
          <w:p w:rsidR="00D12D6F" w:rsidRPr="00A34B66" w:rsidRDefault="00D12D6F" w:rsidP="003F7BA2">
            <w:pPr>
              <w:jc w:val="center"/>
              <w:rPr>
                <w:b/>
                <w:bCs/>
                <w:lang w:val="es-ES"/>
              </w:rPr>
            </w:pPr>
            <w:r w:rsidRPr="00A34B66">
              <w:rPr>
                <w:b/>
                <w:bCs/>
                <w:lang w:val="es-ES"/>
              </w:rPr>
              <w:t>Diferenc</w:t>
            </w:r>
            <w:r w:rsidR="00C303BF" w:rsidRPr="00A34B66">
              <w:rPr>
                <w:b/>
                <w:bCs/>
                <w:lang w:val="es-ES"/>
              </w:rPr>
              <w:t>ia</w:t>
            </w:r>
            <w:r w:rsidRPr="00A34B66">
              <w:rPr>
                <w:b/>
                <w:bCs/>
                <w:lang w:val="es-ES"/>
              </w:rPr>
              <w:t>s**</w:t>
            </w:r>
          </w:p>
          <w:p w:rsidR="00D12D6F" w:rsidRPr="00A34B66" w:rsidRDefault="00D12D6F" w:rsidP="003F7BA2">
            <w:pPr>
              <w:jc w:val="center"/>
              <w:rPr>
                <w:b/>
                <w:bCs/>
                <w:lang w:val="es-ES"/>
              </w:rPr>
            </w:pPr>
          </w:p>
        </w:tc>
      </w:tr>
      <w:tr w:rsidR="00D12D6F" w:rsidRPr="00A34B66" w:rsidTr="003F7BA2">
        <w:trPr>
          <w:trHeight w:val="700"/>
          <w:tblHeader/>
          <w:jc w:val="center"/>
        </w:trPr>
        <w:tc>
          <w:tcPr>
            <w:tcW w:w="1395" w:type="dxa"/>
            <w:vMerge/>
            <w:tcBorders>
              <w:bottom w:val="single" w:sz="4" w:space="0" w:color="auto"/>
            </w:tcBorders>
          </w:tcPr>
          <w:p w:rsidR="00D12D6F" w:rsidRPr="00A34B66" w:rsidRDefault="00D12D6F" w:rsidP="003F7BA2">
            <w:pPr>
              <w:jc w:val="center"/>
              <w:rPr>
                <w:b/>
                <w:bCs/>
                <w:highlight w:val="yellow"/>
                <w:lang w:val="es-ES"/>
              </w:rPr>
            </w:pPr>
          </w:p>
        </w:tc>
        <w:tc>
          <w:tcPr>
            <w:tcW w:w="1556" w:type="dxa"/>
            <w:tcBorders>
              <w:bottom w:val="single" w:sz="4" w:space="0" w:color="auto"/>
            </w:tcBorders>
            <w:tcMar>
              <w:left w:w="14" w:type="dxa"/>
              <w:right w:w="14" w:type="dxa"/>
            </w:tcMar>
          </w:tcPr>
          <w:p w:rsidR="00D12D6F" w:rsidRPr="00A34B66" w:rsidRDefault="00C303BF" w:rsidP="003F7BA2">
            <w:pPr>
              <w:jc w:val="center"/>
              <w:rPr>
                <w:b/>
                <w:bCs/>
                <w:highlight w:val="yellow"/>
                <w:lang w:val="es-ES"/>
              </w:rPr>
            </w:pPr>
            <w:r w:rsidRPr="00A34B66">
              <w:rPr>
                <w:b/>
                <w:bCs/>
                <w:lang w:val="es-ES"/>
              </w:rPr>
              <w:t>Fondos desembolsados</w:t>
            </w:r>
            <w:r w:rsidR="00D12D6F" w:rsidRPr="00A34B66">
              <w:rPr>
                <w:b/>
                <w:bCs/>
                <w:lang w:val="es-ES"/>
              </w:rPr>
              <w:t xml:space="preserve"> </w:t>
            </w:r>
          </w:p>
        </w:tc>
        <w:tc>
          <w:tcPr>
            <w:tcW w:w="1544" w:type="dxa"/>
            <w:tcBorders>
              <w:bottom w:val="single" w:sz="4" w:space="0" w:color="auto"/>
            </w:tcBorders>
            <w:tcMar>
              <w:left w:w="14" w:type="dxa"/>
              <w:right w:w="14" w:type="dxa"/>
            </w:tcMar>
          </w:tcPr>
          <w:p w:rsidR="00D12D6F" w:rsidRPr="00A34B66" w:rsidRDefault="00C303BF" w:rsidP="003F7BA2">
            <w:pPr>
              <w:jc w:val="center"/>
              <w:rPr>
                <w:b/>
                <w:bCs/>
                <w:highlight w:val="yellow"/>
                <w:lang w:val="es-ES"/>
              </w:rPr>
            </w:pPr>
            <w:r w:rsidRPr="00A34B66">
              <w:rPr>
                <w:b/>
                <w:bCs/>
                <w:lang w:val="es-ES"/>
              </w:rPr>
              <w:t>Fondos comprometidos</w:t>
            </w:r>
            <w:r w:rsidR="00D12D6F" w:rsidRPr="00A34B66">
              <w:rPr>
                <w:b/>
                <w:bCs/>
                <w:lang w:val="es-ES"/>
              </w:rPr>
              <w:t xml:space="preserve"> </w:t>
            </w:r>
          </w:p>
        </w:tc>
        <w:tc>
          <w:tcPr>
            <w:tcW w:w="1556" w:type="dxa"/>
            <w:tcBorders>
              <w:bottom w:val="single" w:sz="4" w:space="0" w:color="auto"/>
            </w:tcBorders>
            <w:tcMar>
              <w:left w:w="14" w:type="dxa"/>
              <w:right w:w="14" w:type="dxa"/>
            </w:tcMar>
          </w:tcPr>
          <w:p w:rsidR="00D12D6F" w:rsidRPr="00A34B66" w:rsidRDefault="00D12D6F" w:rsidP="003F7BA2">
            <w:pPr>
              <w:jc w:val="center"/>
              <w:rPr>
                <w:b/>
                <w:bCs/>
                <w:highlight w:val="yellow"/>
                <w:lang w:val="es-ES"/>
              </w:rPr>
            </w:pPr>
            <w:r w:rsidRPr="00A34B66">
              <w:rPr>
                <w:b/>
                <w:bCs/>
                <w:lang w:val="es-ES"/>
              </w:rPr>
              <w:t xml:space="preserve">Total </w:t>
            </w:r>
            <w:r w:rsidR="00C303BF" w:rsidRPr="00A34B66">
              <w:rPr>
                <w:b/>
                <w:bCs/>
                <w:lang w:val="es-ES"/>
              </w:rPr>
              <w:t>acumulado</w:t>
            </w:r>
            <w:r w:rsidRPr="00A34B66">
              <w:rPr>
                <w:b/>
                <w:bCs/>
                <w:lang w:val="es-ES"/>
              </w:rPr>
              <w:t xml:space="preserve"> </w:t>
            </w:r>
          </w:p>
        </w:tc>
        <w:tc>
          <w:tcPr>
            <w:tcW w:w="1692" w:type="dxa"/>
            <w:vMerge/>
            <w:tcBorders>
              <w:bottom w:val="single" w:sz="4" w:space="0" w:color="auto"/>
            </w:tcBorders>
            <w:tcMar>
              <w:left w:w="14" w:type="dxa"/>
              <w:right w:w="14" w:type="dxa"/>
            </w:tcMar>
          </w:tcPr>
          <w:p w:rsidR="00D12D6F" w:rsidRPr="00A34B66" w:rsidRDefault="00D12D6F" w:rsidP="003F7BA2">
            <w:pPr>
              <w:jc w:val="center"/>
              <w:rPr>
                <w:b/>
                <w:bCs/>
                <w:highlight w:val="yellow"/>
                <w:lang w:val="es-ES"/>
              </w:rPr>
            </w:pPr>
          </w:p>
        </w:tc>
        <w:tc>
          <w:tcPr>
            <w:tcW w:w="1499" w:type="dxa"/>
            <w:vMerge/>
            <w:tcBorders>
              <w:bottom w:val="single" w:sz="4" w:space="0" w:color="auto"/>
            </w:tcBorders>
            <w:tcMar>
              <w:left w:w="14" w:type="dxa"/>
              <w:right w:w="14" w:type="dxa"/>
            </w:tcMar>
          </w:tcPr>
          <w:p w:rsidR="00D12D6F" w:rsidRPr="00A34B66" w:rsidRDefault="00D12D6F" w:rsidP="003F7BA2">
            <w:pPr>
              <w:jc w:val="center"/>
              <w:rPr>
                <w:b/>
                <w:bCs/>
                <w:highlight w:val="yellow"/>
                <w:lang w:val="es-ES"/>
              </w:rPr>
            </w:pPr>
          </w:p>
        </w:tc>
      </w:tr>
      <w:tr w:rsidR="00D12D6F" w:rsidRPr="00A34B66" w:rsidTr="003F7BA2">
        <w:trPr>
          <w:tblHeader/>
          <w:jc w:val="center"/>
        </w:trPr>
        <w:tc>
          <w:tcPr>
            <w:tcW w:w="1395" w:type="dxa"/>
            <w:tcBorders>
              <w:bottom w:val="single" w:sz="4" w:space="0" w:color="auto"/>
            </w:tcBorders>
          </w:tcPr>
          <w:p w:rsidR="00D12D6F" w:rsidRPr="00A34B66" w:rsidRDefault="00D12D6F" w:rsidP="003F7BA2">
            <w:pPr>
              <w:jc w:val="center"/>
              <w:rPr>
                <w:b/>
                <w:bCs/>
                <w:lang w:val="es-ES"/>
              </w:rPr>
            </w:pPr>
            <w:r w:rsidRPr="00A34B66">
              <w:rPr>
                <w:b/>
                <w:bCs/>
                <w:lang w:val="es-ES"/>
              </w:rPr>
              <w:t>(1)</w:t>
            </w:r>
          </w:p>
        </w:tc>
        <w:tc>
          <w:tcPr>
            <w:tcW w:w="1556" w:type="dxa"/>
            <w:tcBorders>
              <w:bottom w:val="single" w:sz="4" w:space="0" w:color="auto"/>
            </w:tcBorders>
          </w:tcPr>
          <w:p w:rsidR="00D12D6F" w:rsidRPr="00A34B66" w:rsidRDefault="00D12D6F" w:rsidP="003F7BA2">
            <w:pPr>
              <w:jc w:val="center"/>
              <w:rPr>
                <w:b/>
                <w:bCs/>
                <w:lang w:val="es-ES"/>
              </w:rPr>
            </w:pPr>
            <w:r w:rsidRPr="00A34B66">
              <w:rPr>
                <w:b/>
                <w:bCs/>
                <w:lang w:val="es-ES"/>
              </w:rPr>
              <w:t>(2)</w:t>
            </w:r>
          </w:p>
        </w:tc>
        <w:tc>
          <w:tcPr>
            <w:tcW w:w="1544" w:type="dxa"/>
            <w:tcBorders>
              <w:bottom w:val="single" w:sz="4" w:space="0" w:color="auto"/>
            </w:tcBorders>
          </w:tcPr>
          <w:p w:rsidR="00D12D6F" w:rsidRPr="00A34B66" w:rsidRDefault="00D12D6F" w:rsidP="003F7BA2">
            <w:pPr>
              <w:jc w:val="center"/>
              <w:rPr>
                <w:b/>
                <w:bCs/>
                <w:lang w:val="es-ES"/>
              </w:rPr>
            </w:pPr>
            <w:r w:rsidRPr="00A34B66">
              <w:rPr>
                <w:b/>
                <w:bCs/>
                <w:lang w:val="es-ES"/>
              </w:rPr>
              <w:t>(3)</w:t>
            </w:r>
          </w:p>
        </w:tc>
        <w:tc>
          <w:tcPr>
            <w:tcW w:w="1556" w:type="dxa"/>
            <w:tcBorders>
              <w:bottom w:val="single" w:sz="4" w:space="0" w:color="auto"/>
            </w:tcBorders>
          </w:tcPr>
          <w:p w:rsidR="00D12D6F" w:rsidRPr="00A34B66" w:rsidRDefault="00D12D6F" w:rsidP="003F7BA2">
            <w:pPr>
              <w:jc w:val="center"/>
              <w:rPr>
                <w:b/>
                <w:bCs/>
                <w:lang w:val="es-ES"/>
              </w:rPr>
            </w:pPr>
            <w:r w:rsidRPr="00A34B66">
              <w:rPr>
                <w:b/>
                <w:bCs/>
                <w:lang w:val="es-ES"/>
              </w:rPr>
              <w:t>(4)=(2)+(3)</w:t>
            </w:r>
          </w:p>
        </w:tc>
        <w:tc>
          <w:tcPr>
            <w:tcW w:w="1692" w:type="dxa"/>
            <w:tcBorders>
              <w:bottom w:val="single" w:sz="4" w:space="0" w:color="auto"/>
            </w:tcBorders>
          </w:tcPr>
          <w:p w:rsidR="00D12D6F" w:rsidRPr="00A34B66" w:rsidRDefault="00D12D6F" w:rsidP="003F7BA2">
            <w:pPr>
              <w:jc w:val="center"/>
              <w:rPr>
                <w:b/>
                <w:bCs/>
                <w:lang w:val="es-ES"/>
              </w:rPr>
            </w:pPr>
            <w:r w:rsidRPr="00A34B66">
              <w:rPr>
                <w:b/>
                <w:bCs/>
                <w:lang w:val="es-ES"/>
              </w:rPr>
              <w:t>(5)</w:t>
            </w:r>
          </w:p>
        </w:tc>
        <w:tc>
          <w:tcPr>
            <w:tcW w:w="1499" w:type="dxa"/>
            <w:tcBorders>
              <w:bottom w:val="single" w:sz="4" w:space="0" w:color="auto"/>
            </w:tcBorders>
          </w:tcPr>
          <w:p w:rsidR="00D12D6F" w:rsidRPr="00A34B66" w:rsidRDefault="00D12D6F" w:rsidP="003F7BA2">
            <w:pPr>
              <w:jc w:val="center"/>
              <w:rPr>
                <w:b/>
                <w:bCs/>
                <w:lang w:val="es-ES"/>
              </w:rPr>
            </w:pPr>
            <w:r w:rsidRPr="00A34B66">
              <w:rPr>
                <w:b/>
                <w:bCs/>
                <w:lang w:val="es-ES"/>
              </w:rPr>
              <w:t>(6)=(4)-(5)</w:t>
            </w:r>
          </w:p>
        </w:tc>
      </w:tr>
      <w:tr w:rsidR="00D12D6F" w:rsidRPr="00A34B66" w:rsidTr="003F7BA2">
        <w:trPr>
          <w:jc w:val="center"/>
        </w:trPr>
        <w:tc>
          <w:tcPr>
            <w:tcW w:w="1395" w:type="dxa"/>
            <w:tcBorders>
              <w:top w:val="single" w:sz="4" w:space="0" w:color="auto"/>
              <w:bottom w:val="single" w:sz="4" w:space="0" w:color="auto"/>
              <w:right w:val="single" w:sz="4" w:space="0" w:color="auto"/>
            </w:tcBorders>
            <w:vAlign w:val="center"/>
          </w:tcPr>
          <w:p w:rsidR="00D12D6F" w:rsidRPr="00A34B66" w:rsidRDefault="00281CAE" w:rsidP="003F7BA2">
            <w:pPr>
              <w:rPr>
                <w:color w:val="000000"/>
                <w:lang w:val="es-ES"/>
              </w:rPr>
            </w:pPr>
            <w:r w:rsidRPr="00A34B66">
              <w:rPr>
                <w:color w:val="000000"/>
                <w:lang w:val="es-ES"/>
              </w:rPr>
              <w:t>PNUMA</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12D6F" w:rsidRPr="00A34B66" w:rsidRDefault="00D12D6F" w:rsidP="003F7BA2">
            <w:pPr>
              <w:jc w:val="right"/>
              <w:rPr>
                <w:lang w:val="es-ES"/>
              </w:rPr>
            </w:pPr>
            <w:r w:rsidRPr="00A34B66">
              <w:rPr>
                <w:lang w:val="es-ES"/>
              </w:rPr>
              <w:t>272</w:t>
            </w:r>
            <w:r w:rsidR="00281CAE" w:rsidRPr="00A34B66">
              <w:rPr>
                <w:lang w:val="es-ES"/>
              </w:rPr>
              <w:t xml:space="preserve"> </w:t>
            </w:r>
            <w:r w:rsidRPr="00A34B66">
              <w:rPr>
                <w:lang w:val="es-ES"/>
              </w:rPr>
              <w:t>115</w:t>
            </w:r>
            <w:r w:rsidR="00281CAE" w:rsidRPr="00A34B66">
              <w:rPr>
                <w:lang w:val="es-ES"/>
              </w:rPr>
              <w:t xml:space="preserve"> </w:t>
            </w:r>
            <w:r w:rsidRPr="00A34B66">
              <w:rPr>
                <w:lang w:val="es-ES"/>
              </w:rPr>
              <w:t>767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D12D6F" w:rsidRPr="00A34B66" w:rsidRDefault="00D12D6F" w:rsidP="003F7BA2">
            <w:pPr>
              <w:jc w:val="right"/>
              <w:rPr>
                <w:lang w:val="es-ES"/>
              </w:rPr>
            </w:pPr>
            <w:r w:rsidRPr="00A34B66">
              <w:rPr>
                <w:lang w:val="es-ES"/>
              </w:rPr>
              <w:t>21</w:t>
            </w:r>
            <w:r w:rsidR="000644A2">
              <w:rPr>
                <w:lang w:val="es-ES"/>
              </w:rPr>
              <w:t xml:space="preserve"> </w:t>
            </w:r>
            <w:r w:rsidRPr="00A34B66">
              <w:rPr>
                <w:lang w:val="es-ES"/>
              </w:rPr>
              <w:t>009</w:t>
            </w:r>
            <w:r w:rsidR="000644A2">
              <w:rPr>
                <w:lang w:val="es-ES"/>
              </w:rPr>
              <w:t xml:space="preserve"> </w:t>
            </w:r>
            <w:r w:rsidRPr="00A34B66">
              <w:rPr>
                <w:lang w:val="es-ES"/>
              </w:rPr>
              <w:t>591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12D6F" w:rsidRPr="00A34B66" w:rsidRDefault="00D12D6F" w:rsidP="003F7BA2">
            <w:pPr>
              <w:jc w:val="right"/>
              <w:rPr>
                <w:lang w:val="es-ES"/>
              </w:rPr>
            </w:pPr>
            <w:r w:rsidRPr="00A34B66">
              <w:rPr>
                <w:lang w:val="es-ES"/>
              </w:rPr>
              <w:t>293</w:t>
            </w:r>
            <w:r w:rsidR="000644A2">
              <w:rPr>
                <w:lang w:val="es-ES"/>
              </w:rPr>
              <w:t xml:space="preserve"> </w:t>
            </w:r>
            <w:r w:rsidRPr="00A34B66">
              <w:rPr>
                <w:lang w:val="es-ES"/>
              </w:rPr>
              <w:t>125</w:t>
            </w:r>
            <w:r w:rsidR="000644A2">
              <w:rPr>
                <w:lang w:val="es-ES"/>
              </w:rPr>
              <w:t xml:space="preserve"> </w:t>
            </w:r>
            <w:r w:rsidRPr="00A34B66">
              <w:rPr>
                <w:lang w:val="es-ES"/>
              </w:rPr>
              <w:t>358</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D12D6F" w:rsidRPr="00A34B66" w:rsidRDefault="00D12D6F" w:rsidP="003F7BA2">
            <w:pPr>
              <w:jc w:val="right"/>
              <w:rPr>
                <w:lang w:val="es-ES"/>
              </w:rPr>
            </w:pPr>
            <w:r w:rsidRPr="00A34B66">
              <w:rPr>
                <w:lang w:val="es-ES"/>
              </w:rPr>
              <w:t>273</w:t>
            </w:r>
            <w:r w:rsidR="000644A2">
              <w:rPr>
                <w:lang w:val="es-ES"/>
              </w:rPr>
              <w:t xml:space="preserve"> </w:t>
            </w:r>
            <w:r w:rsidRPr="00A34B66">
              <w:rPr>
                <w:lang w:val="es-ES"/>
              </w:rPr>
              <w:t>252</w:t>
            </w:r>
            <w:r w:rsidR="000644A2">
              <w:rPr>
                <w:lang w:val="es-ES"/>
              </w:rPr>
              <w:t xml:space="preserve"> </w:t>
            </w:r>
            <w:r w:rsidRPr="00A34B66">
              <w:rPr>
                <w:lang w:val="es-ES"/>
              </w:rPr>
              <w:t>440</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D12D6F" w:rsidRPr="00A34B66" w:rsidRDefault="00D12D6F" w:rsidP="003F7BA2">
            <w:pPr>
              <w:jc w:val="right"/>
              <w:rPr>
                <w:lang w:val="es-ES"/>
              </w:rPr>
            </w:pPr>
            <w:r w:rsidRPr="00A34B66">
              <w:rPr>
                <w:lang w:val="es-ES"/>
              </w:rPr>
              <w:t>19</w:t>
            </w:r>
            <w:r w:rsidR="000644A2">
              <w:rPr>
                <w:lang w:val="es-ES"/>
              </w:rPr>
              <w:t xml:space="preserve"> </w:t>
            </w:r>
            <w:r w:rsidRPr="00A34B66">
              <w:rPr>
                <w:lang w:val="es-ES"/>
              </w:rPr>
              <w:t>872</w:t>
            </w:r>
            <w:r w:rsidR="000644A2">
              <w:rPr>
                <w:lang w:val="es-ES"/>
              </w:rPr>
              <w:t xml:space="preserve"> </w:t>
            </w:r>
            <w:r w:rsidRPr="00A34B66">
              <w:rPr>
                <w:lang w:val="es-ES"/>
              </w:rPr>
              <w:t>918</w:t>
            </w:r>
          </w:p>
        </w:tc>
      </w:tr>
    </w:tbl>
    <w:p w:rsidR="00D12D6F" w:rsidRPr="00A34B66" w:rsidRDefault="00D12D6F" w:rsidP="00D12D6F">
      <w:pPr>
        <w:ind w:left="142"/>
        <w:rPr>
          <w:sz w:val="20"/>
          <w:lang w:val="es-ES"/>
        </w:rPr>
      </w:pPr>
      <w:r w:rsidRPr="00A34B66">
        <w:rPr>
          <w:sz w:val="20"/>
          <w:lang w:val="es-ES"/>
        </w:rPr>
        <w:t>(*)</w:t>
      </w:r>
      <w:r w:rsidRPr="00A34B66">
        <w:rPr>
          <w:sz w:val="20"/>
          <w:szCs w:val="20"/>
          <w:lang w:val="es-ES"/>
        </w:rPr>
        <w:t xml:space="preserve"> </w:t>
      </w:r>
      <w:r w:rsidR="00281CAE" w:rsidRPr="00A34B66">
        <w:rPr>
          <w:sz w:val="20"/>
          <w:szCs w:val="20"/>
          <w:lang w:val="es-ES"/>
        </w:rPr>
        <w:t>Incluidos los gastos de apoyo al organismo</w:t>
      </w:r>
      <w:r w:rsidRPr="00A34B66">
        <w:rPr>
          <w:sz w:val="20"/>
          <w:szCs w:val="20"/>
          <w:lang w:val="es-ES"/>
        </w:rPr>
        <w:t>.</w:t>
      </w:r>
    </w:p>
    <w:bookmarkEnd w:id="6"/>
    <w:p w:rsidR="00D12D6F" w:rsidRPr="00A34B66" w:rsidRDefault="00D12D6F" w:rsidP="00D12D6F">
      <w:pPr>
        <w:ind w:left="142"/>
        <w:rPr>
          <w:sz w:val="20"/>
          <w:lang w:val="es-ES"/>
        </w:rPr>
      </w:pPr>
      <w:r w:rsidRPr="00A34B66">
        <w:rPr>
          <w:sz w:val="20"/>
          <w:lang w:val="es-ES"/>
        </w:rPr>
        <w:t xml:space="preserve">(**) </w:t>
      </w:r>
      <w:r w:rsidR="00281CAE" w:rsidRPr="00A34B66">
        <w:rPr>
          <w:sz w:val="20"/>
          <w:lang w:val="es-ES"/>
        </w:rPr>
        <w:t>Una cifra</w:t>
      </w:r>
      <w:r w:rsidRPr="00A34B66">
        <w:rPr>
          <w:sz w:val="20"/>
          <w:lang w:val="es-ES"/>
        </w:rPr>
        <w:t xml:space="preserve"> positiv</w:t>
      </w:r>
      <w:r w:rsidR="00281CAE" w:rsidRPr="00A34B66">
        <w:rPr>
          <w:sz w:val="20"/>
          <w:lang w:val="es-ES"/>
        </w:rPr>
        <w:t>a</w:t>
      </w:r>
      <w:r w:rsidRPr="00A34B66">
        <w:rPr>
          <w:sz w:val="20"/>
          <w:lang w:val="es-ES"/>
        </w:rPr>
        <w:t xml:space="preserve"> </w:t>
      </w:r>
      <w:r w:rsidR="00281CAE" w:rsidRPr="00A34B66">
        <w:rPr>
          <w:sz w:val="20"/>
          <w:lang w:val="es-ES"/>
        </w:rPr>
        <w:t>indica más ingresos</w:t>
      </w:r>
      <w:r w:rsidRPr="00A34B66">
        <w:rPr>
          <w:sz w:val="20"/>
          <w:lang w:val="es-ES"/>
        </w:rPr>
        <w:t xml:space="preserve"> </w:t>
      </w:r>
      <w:r w:rsidR="00281CAE" w:rsidRPr="00A34B66">
        <w:rPr>
          <w:sz w:val="20"/>
          <w:lang w:val="es-ES"/>
        </w:rPr>
        <w:t>y una cifra</w:t>
      </w:r>
      <w:r w:rsidRPr="00A34B66">
        <w:rPr>
          <w:sz w:val="20"/>
          <w:lang w:val="es-ES"/>
        </w:rPr>
        <w:t xml:space="preserve"> negativ</w:t>
      </w:r>
      <w:r w:rsidR="00281CAE" w:rsidRPr="00A34B66">
        <w:rPr>
          <w:sz w:val="20"/>
          <w:lang w:val="es-ES"/>
        </w:rPr>
        <w:t>a</w:t>
      </w:r>
      <w:r w:rsidRPr="00A34B66">
        <w:rPr>
          <w:sz w:val="20"/>
          <w:lang w:val="es-ES"/>
        </w:rPr>
        <w:t xml:space="preserve"> </w:t>
      </w:r>
      <w:r w:rsidR="00281CAE" w:rsidRPr="00A34B66">
        <w:rPr>
          <w:sz w:val="20"/>
          <w:lang w:val="es-ES"/>
        </w:rPr>
        <w:t>indica menos</w:t>
      </w:r>
      <w:r w:rsidRPr="00A34B66">
        <w:rPr>
          <w:sz w:val="20"/>
          <w:lang w:val="es-ES"/>
        </w:rPr>
        <w:t xml:space="preserve"> </w:t>
      </w:r>
      <w:r w:rsidR="00707A37" w:rsidRPr="00A34B66">
        <w:rPr>
          <w:sz w:val="20"/>
          <w:lang w:val="es-ES"/>
        </w:rPr>
        <w:t xml:space="preserve">ingresos consignados en el </w:t>
      </w:r>
      <w:r w:rsidR="00521AC8">
        <w:rPr>
          <w:sz w:val="20"/>
          <w:lang w:val="es-ES"/>
        </w:rPr>
        <w:t>I</w:t>
      </w:r>
      <w:r w:rsidR="00707A37" w:rsidRPr="00A34B66">
        <w:rPr>
          <w:sz w:val="20"/>
          <w:lang w:val="es-ES"/>
        </w:rPr>
        <w:t>nforme sobre la marcha de las actividades</w:t>
      </w:r>
      <w:r w:rsidRPr="00A34B66">
        <w:rPr>
          <w:sz w:val="20"/>
          <w:lang w:val="es-ES"/>
        </w:rPr>
        <w:t xml:space="preserve"> </w:t>
      </w:r>
      <w:r w:rsidR="00707A37" w:rsidRPr="00A34B66">
        <w:rPr>
          <w:sz w:val="20"/>
          <w:lang w:val="es-ES"/>
        </w:rPr>
        <w:t>que en las cuentas</w:t>
      </w:r>
      <w:r w:rsidRPr="00A34B66">
        <w:rPr>
          <w:sz w:val="20"/>
          <w:lang w:val="es-ES"/>
        </w:rPr>
        <w:t>.</w:t>
      </w:r>
    </w:p>
    <w:p w:rsidR="00D12D6F" w:rsidRPr="00A34B66" w:rsidRDefault="00D12D6F" w:rsidP="00D12D6F">
      <w:pPr>
        <w:ind w:left="142"/>
        <w:rPr>
          <w:sz w:val="20"/>
          <w:lang w:val="es-ES"/>
        </w:rPr>
      </w:pPr>
    </w:p>
    <w:p w:rsidR="00D12D6F" w:rsidRPr="00A34B66" w:rsidRDefault="00AA7BF9" w:rsidP="00D12D6F">
      <w:pPr>
        <w:pStyle w:val="Heading1"/>
        <w:numPr>
          <w:ilvl w:val="0"/>
          <w:numId w:val="21"/>
        </w:numPr>
        <w:spacing w:after="0"/>
        <w:ind w:left="142" w:firstLine="0"/>
        <w:rPr>
          <w:lang w:val="es-ES"/>
        </w:rPr>
      </w:pPr>
      <w:r w:rsidRPr="00A34B66">
        <w:rPr>
          <w:lang w:val="es-ES"/>
        </w:rPr>
        <w:t>Las explicaciones proporcionadas por el PNUMA</w:t>
      </w:r>
      <w:r w:rsidR="00521AC8">
        <w:rPr>
          <w:lang w:val="es-ES"/>
        </w:rPr>
        <w:t xml:space="preserve"> acerca de las diferencias</w:t>
      </w:r>
      <w:r w:rsidR="00D12D6F" w:rsidRPr="00A34B66">
        <w:rPr>
          <w:lang w:val="es-ES"/>
        </w:rPr>
        <w:t xml:space="preserve"> </w:t>
      </w:r>
      <w:r w:rsidRPr="00A34B66">
        <w:rPr>
          <w:lang w:val="es-ES"/>
        </w:rPr>
        <w:t>se indican en el Cuadro</w:t>
      </w:r>
      <w:r w:rsidR="00D12D6F" w:rsidRPr="00A34B66">
        <w:rPr>
          <w:lang w:val="es-ES"/>
        </w:rPr>
        <w:t> 5.</w:t>
      </w:r>
    </w:p>
    <w:p w:rsidR="00D12D6F" w:rsidRPr="00A34B66" w:rsidRDefault="00D12D6F" w:rsidP="00D12D6F">
      <w:pPr>
        <w:rPr>
          <w:lang w:val="es-ES"/>
        </w:rPr>
      </w:pPr>
    </w:p>
    <w:p w:rsidR="00D12D6F" w:rsidRPr="00A34B66" w:rsidRDefault="00AA7BF9" w:rsidP="00D12D6F">
      <w:pPr>
        <w:ind w:left="142"/>
        <w:rPr>
          <w:b/>
          <w:bCs/>
          <w:szCs w:val="24"/>
          <w:highlight w:val="yellow"/>
          <w:lang w:val="es-ES"/>
        </w:rPr>
      </w:pPr>
      <w:r w:rsidRPr="00A34B66">
        <w:rPr>
          <w:b/>
          <w:szCs w:val="24"/>
          <w:lang w:val="es-ES"/>
        </w:rPr>
        <w:t>Cuadro</w:t>
      </w:r>
      <w:r w:rsidR="00D12D6F" w:rsidRPr="00A34B66">
        <w:rPr>
          <w:b/>
          <w:szCs w:val="24"/>
          <w:lang w:val="es-ES"/>
        </w:rPr>
        <w:t xml:space="preserve"> 5. </w:t>
      </w:r>
      <w:r w:rsidRPr="00A34B66">
        <w:rPr>
          <w:b/>
          <w:szCs w:val="24"/>
          <w:lang w:val="es-ES"/>
        </w:rPr>
        <w:t xml:space="preserve">Justificación de las diferencias </w:t>
      </w:r>
      <w:r w:rsidRPr="00A34B66">
        <w:rPr>
          <w:b/>
          <w:bCs/>
          <w:szCs w:val="24"/>
          <w:lang w:val="es-ES"/>
        </w:rPr>
        <w:t>e</w:t>
      </w:r>
      <w:r w:rsidR="00D12D6F" w:rsidRPr="00A34B66">
        <w:rPr>
          <w:b/>
          <w:bCs/>
          <w:szCs w:val="24"/>
          <w:lang w:val="es-ES"/>
        </w:rPr>
        <w:t xml:space="preserve">n </w:t>
      </w:r>
      <w:r w:rsidRPr="00A34B66">
        <w:rPr>
          <w:b/>
          <w:bCs/>
          <w:szCs w:val="24"/>
          <w:lang w:val="es-ES"/>
        </w:rPr>
        <w:t>los gastos</w:t>
      </w:r>
      <w:r w:rsidR="00D12D6F" w:rsidRPr="00A34B66">
        <w:rPr>
          <w:b/>
          <w:bCs/>
          <w:szCs w:val="24"/>
          <w:lang w:val="es-ES"/>
        </w:rPr>
        <w:t xml:space="preserve"> </w:t>
      </w:r>
      <w:r w:rsidRPr="00A34B66">
        <w:rPr>
          <w:b/>
          <w:bCs/>
          <w:szCs w:val="24"/>
          <w:lang w:val="es-ES"/>
        </w:rPr>
        <w:t xml:space="preserve">entre el </w:t>
      </w:r>
      <w:r w:rsidR="00521AC8">
        <w:rPr>
          <w:b/>
          <w:bCs/>
          <w:szCs w:val="24"/>
          <w:lang w:val="es-ES"/>
        </w:rPr>
        <w:t>I</w:t>
      </w:r>
      <w:r w:rsidRPr="00A34B66">
        <w:rPr>
          <w:b/>
          <w:bCs/>
          <w:szCs w:val="24"/>
          <w:lang w:val="es-ES"/>
        </w:rPr>
        <w:t>nforme sobre la marcha de las actividades de</w:t>
      </w:r>
      <w:r w:rsidR="00D12D6F" w:rsidRPr="00A34B66">
        <w:rPr>
          <w:b/>
          <w:bCs/>
          <w:szCs w:val="24"/>
          <w:lang w:val="es-ES"/>
        </w:rPr>
        <w:t xml:space="preserve"> 2017 </w:t>
      </w:r>
      <w:r w:rsidR="00521AC8" w:rsidRPr="00A34B66">
        <w:rPr>
          <w:b/>
          <w:bCs/>
          <w:szCs w:val="24"/>
          <w:lang w:val="es-ES"/>
        </w:rPr>
        <w:t xml:space="preserve">revisado </w:t>
      </w:r>
      <w:r w:rsidRPr="00A34B66">
        <w:rPr>
          <w:b/>
          <w:bCs/>
          <w:szCs w:val="24"/>
          <w:lang w:val="es-ES"/>
        </w:rPr>
        <w:t>y las cuentas finales de</w:t>
      </w:r>
      <w:r w:rsidR="00D12D6F" w:rsidRPr="00A34B66">
        <w:rPr>
          <w:b/>
          <w:bCs/>
          <w:szCs w:val="24"/>
          <w:lang w:val="es-ES"/>
        </w:rPr>
        <w:t xml:space="preserve"> 2017 ($</w:t>
      </w:r>
      <w:r w:rsidRPr="00A34B66">
        <w:rPr>
          <w:b/>
          <w:bCs/>
          <w:szCs w:val="24"/>
          <w:lang w:val="es-ES"/>
        </w:rPr>
        <w:t>EUA</w:t>
      </w:r>
      <w:r w:rsidR="00D12D6F" w:rsidRPr="00A34B66">
        <w:rPr>
          <w:b/>
          <w:bCs/>
          <w:szCs w:val="24"/>
          <w:lang w:val="es-ES"/>
        </w:rPr>
        <w:t>)</w:t>
      </w:r>
      <w:r w:rsidR="00521AC8">
        <w:rPr>
          <w:b/>
          <w:bCs/>
          <w:szCs w:val="24"/>
          <w:lang w:val="es-ES"/>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559"/>
      </w:tblGrid>
      <w:tr w:rsidR="00D12D6F" w:rsidRPr="00A34B66" w:rsidTr="003F7BA2">
        <w:trPr>
          <w:trHeight w:val="368"/>
          <w:tblHeader/>
        </w:trPr>
        <w:tc>
          <w:tcPr>
            <w:tcW w:w="7655" w:type="dxa"/>
            <w:tcBorders>
              <w:bottom w:val="single" w:sz="4" w:space="0" w:color="auto"/>
            </w:tcBorders>
          </w:tcPr>
          <w:p w:rsidR="00D12D6F" w:rsidRPr="00A34B66" w:rsidRDefault="003B2675" w:rsidP="003F7BA2">
            <w:pPr>
              <w:rPr>
                <w:b/>
                <w:lang w:val="es-ES"/>
              </w:rPr>
            </w:pPr>
            <w:r w:rsidRPr="00A34B66">
              <w:rPr>
                <w:b/>
                <w:lang w:val="es-ES"/>
              </w:rPr>
              <w:t>Observacione</w:t>
            </w:r>
            <w:r w:rsidR="00D12D6F" w:rsidRPr="00A34B66">
              <w:rPr>
                <w:b/>
                <w:lang w:val="es-ES"/>
              </w:rPr>
              <w:t>s</w:t>
            </w:r>
          </w:p>
        </w:tc>
        <w:tc>
          <w:tcPr>
            <w:tcW w:w="1559" w:type="dxa"/>
            <w:tcBorders>
              <w:bottom w:val="single" w:sz="4" w:space="0" w:color="auto"/>
            </w:tcBorders>
            <w:tcMar>
              <w:left w:w="14" w:type="dxa"/>
              <w:right w:w="0" w:type="dxa"/>
            </w:tcMar>
          </w:tcPr>
          <w:p w:rsidR="00D12D6F" w:rsidRPr="00A34B66" w:rsidRDefault="003B2675" w:rsidP="003F7BA2">
            <w:pPr>
              <w:jc w:val="center"/>
              <w:rPr>
                <w:b/>
                <w:bCs/>
                <w:lang w:val="es-ES"/>
              </w:rPr>
            </w:pPr>
            <w:r w:rsidRPr="00A34B66">
              <w:rPr>
                <w:b/>
                <w:bCs/>
                <w:lang w:val="es-ES"/>
              </w:rPr>
              <w:t>PNUMA</w:t>
            </w:r>
          </w:p>
        </w:tc>
      </w:tr>
      <w:tr w:rsidR="00D12D6F" w:rsidRPr="00A34B66" w:rsidTr="003F7BA2">
        <w:tc>
          <w:tcPr>
            <w:tcW w:w="7655" w:type="dxa"/>
            <w:tcBorders>
              <w:bottom w:val="single" w:sz="4" w:space="0" w:color="auto"/>
            </w:tcBorders>
          </w:tcPr>
          <w:p w:rsidR="00D12D6F" w:rsidRPr="00A34B66" w:rsidRDefault="003B2675" w:rsidP="003F7BA2">
            <w:pPr>
              <w:jc w:val="left"/>
              <w:rPr>
                <w:lang w:val="es-ES"/>
              </w:rPr>
            </w:pPr>
            <w:r w:rsidRPr="00A34B66">
              <w:rPr>
                <w:lang w:val="es-ES"/>
              </w:rPr>
              <w:t xml:space="preserve">Diferencia entre el </w:t>
            </w:r>
            <w:r w:rsidR="00521AC8">
              <w:rPr>
                <w:lang w:val="es-ES"/>
              </w:rPr>
              <w:t>I</w:t>
            </w:r>
            <w:r w:rsidRPr="00A34B66">
              <w:rPr>
                <w:lang w:val="es-ES"/>
              </w:rPr>
              <w:t>nforme</w:t>
            </w:r>
            <w:r w:rsidR="00D12D6F" w:rsidRPr="00A34B66">
              <w:rPr>
                <w:lang w:val="es-ES"/>
              </w:rPr>
              <w:t xml:space="preserve"> </w:t>
            </w:r>
            <w:r w:rsidRPr="00A34B66">
              <w:rPr>
                <w:lang w:val="es-ES"/>
              </w:rPr>
              <w:t>sobre la marcha de las actividades de 2017</w:t>
            </w:r>
            <w:r w:rsidR="00521AC8">
              <w:rPr>
                <w:lang w:val="es-ES"/>
              </w:rPr>
              <w:t xml:space="preserve"> </w:t>
            </w:r>
            <w:r w:rsidR="00521AC8" w:rsidRPr="00A34B66">
              <w:rPr>
                <w:lang w:val="es-ES"/>
              </w:rPr>
              <w:t>revisado</w:t>
            </w:r>
            <w:r w:rsidRPr="00A34B66">
              <w:rPr>
                <w:lang w:val="es-ES"/>
              </w:rPr>
              <w:t xml:space="preserve"> y las cuentas finales de</w:t>
            </w:r>
            <w:r w:rsidR="00D12D6F" w:rsidRPr="00A34B66">
              <w:rPr>
                <w:lang w:val="es-ES"/>
              </w:rPr>
              <w:t xml:space="preserve"> 2017 </w:t>
            </w:r>
          </w:p>
        </w:tc>
        <w:tc>
          <w:tcPr>
            <w:tcW w:w="1559" w:type="dxa"/>
            <w:tcBorders>
              <w:bottom w:val="single" w:sz="4" w:space="0" w:color="auto"/>
            </w:tcBorders>
          </w:tcPr>
          <w:p w:rsidR="00D12D6F" w:rsidRPr="00A34B66" w:rsidRDefault="00D12D6F" w:rsidP="003F7BA2">
            <w:pPr>
              <w:jc w:val="right"/>
              <w:rPr>
                <w:lang w:val="es-ES"/>
              </w:rPr>
            </w:pPr>
            <w:r w:rsidRPr="00A34B66">
              <w:rPr>
                <w:lang w:val="es-ES"/>
              </w:rPr>
              <w:t>19</w:t>
            </w:r>
            <w:r w:rsidR="000644A2">
              <w:rPr>
                <w:lang w:val="es-ES"/>
              </w:rPr>
              <w:t xml:space="preserve"> </w:t>
            </w:r>
            <w:r w:rsidRPr="00A34B66">
              <w:rPr>
                <w:lang w:val="es-ES"/>
              </w:rPr>
              <w:t>872</w:t>
            </w:r>
            <w:r w:rsidR="000644A2">
              <w:rPr>
                <w:lang w:val="es-ES"/>
              </w:rPr>
              <w:t xml:space="preserve"> </w:t>
            </w:r>
            <w:r w:rsidRPr="00A34B66">
              <w:rPr>
                <w:lang w:val="es-ES"/>
              </w:rPr>
              <w:t>918</w:t>
            </w:r>
          </w:p>
        </w:tc>
      </w:tr>
      <w:tr w:rsidR="00D12D6F" w:rsidRPr="00A34B66" w:rsidTr="003F7BA2">
        <w:tc>
          <w:tcPr>
            <w:tcW w:w="7655" w:type="dxa"/>
            <w:tcBorders>
              <w:top w:val="single" w:sz="4" w:space="0" w:color="auto"/>
              <w:left w:val="single" w:sz="4" w:space="0" w:color="auto"/>
            </w:tcBorders>
          </w:tcPr>
          <w:p w:rsidR="00D12D6F" w:rsidRPr="00A34B66" w:rsidRDefault="00D12D6F" w:rsidP="003F7BA2">
            <w:pPr>
              <w:tabs>
                <w:tab w:val="left" w:pos="184"/>
              </w:tabs>
              <w:jc w:val="left"/>
              <w:rPr>
                <w:b/>
                <w:lang w:val="es-ES"/>
              </w:rPr>
            </w:pPr>
            <w:r w:rsidRPr="00A34B66">
              <w:rPr>
                <w:b/>
                <w:lang w:val="es-ES"/>
              </w:rPr>
              <w:t>Expl</w:t>
            </w:r>
            <w:r w:rsidR="003B2675" w:rsidRPr="00A34B66">
              <w:rPr>
                <w:b/>
                <w:lang w:val="es-ES"/>
              </w:rPr>
              <w:t>icaciones proporcionadas</w:t>
            </w:r>
          </w:p>
        </w:tc>
        <w:tc>
          <w:tcPr>
            <w:tcW w:w="1559" w:type="dxa"/>
            <w:tcBorders>
              <w:top w:val="single" w:sz="4" w:space="0" w:color="auto"/>
            </w:tcBorders>
          </w:tcPr>
          <w:p w:rsidR="00D12D6F" w:rsidRPr="00A34B66" w:rsidRDefault="00D12D6F" w:rsidP="003F7BA2">
            <w:pPr>
              <w:jc w:val="right"/>
              <w:rPr>
                <w:lang w:val="es-ES"/>
              </w:rPr>
            </w:pPr>
          </w:p>
        </w:tc>
      </w:tr>
      <w:tr w:rsidR="00D12D6F" w:rsidRPr="00A34B66" w:rsidTr="003F7BA2">
        <w:trPr>
          <w:trHeight w:val="740"/>
        </w:trPr>
        <w:tc>
          <w:tcPr>
            <w:tcW w:w="7655" w:type="dxa"/>
            <w:tcBorders>
              <w:left w:val="single" w:sz="4" w:space="0" w:color="auto"/>
            </w:tcBorders>
            <w:shd w:val="clear" w:color="auto" w:fill="auto"/>
          </w:tcPr>
          <w:p w:rsidR="00D12D6F" w:rsidRPr="00A34B66" w:rsidRDefault="003B2675" w:rsidP="003F7BA2">
            <w:pPr>
              <w:jc w:val="left"/>
              <w:rPr>
                <w:lang w:val="es-ES"/>
              </w:rPr>
            </w:pPr>
            <w:r w:rsidRPr="00A34B66">
              <w:rPr>
                <w:lang w:val="es-ES"/>
              </w:rPr>
              <w:t xml:space="preserve">Compromisos incluidos en el </w:t>
            </w:r>
            <w:r w:rsidR="00521AC8">
              <w:rPr>
                <w:lang w:val="es-ES"/>
              </w:rPr>
              <w:t>I</w:t>
            </w:r>
            <w:r w:rsidRPr="00A34B66">
              <w:rPr>
                <w:lang w:val="es-ES"/>
              </w:rPr>
              <w:t>nforme sobre la marcha de las actividades de</w:t>
            </w:r>
            <w:r w:rsidR="00D12D6F" w:rsidRPr="00A34B66">
              <w:rPr>
                <w:lang w:val="es-ES"/>
              </w:rPr>
              <w:t xml:space="preserve"> 2017</w:t>
            </w:r>
            <w:r w:rsidR="00521AC8">
              <w:rPr>
                <w:lang w:val="es-ES"/>
              </w:rPr>
              <w:t xml:space="preserve"> </w:t>
            </w:r>
            <w:r w:rsidR="00521AC8" w:rsidRPr="00A34B66">
              <w:rPr>
                <w:lang w:val="es-ES"/>
              </w:rPr>
              <w:t>revisado</w:t>
            </w:r>
            <w:r w:rsidRPr="00A34B66">
              <w:rPr>
                <w:lang w:val="es-ES"/>
              </w:rPr>
              <w:t>, pero no en el estado financiero de</w:t>
            </w:r>
            <w:r w:rsidR="00D12D6F" w:rsidRPr="00A34B66">
              <w:rPr>
                <w:lang w:val="es-ES"/>
              </w:rPr>
              <w:t xml:space="preserve"> 2017, </w:t>
            </w:r>
            <w:r w:rsidRPr="00A34B66">
              <w:rPr>
                <w:lang w:val="es-ES"/>
              </w:rPr>
              <w:t xml:space="preserve">dado que solo se incluyen los gastos en </w:t>
            </w:r>
            <w:r w:rsidR="00963E46">
              <w:rPr>
                <w:lang w:val="es-ES"/>
              </w:rPr>
              <w:t>el</w:t>
            </w:r>
            <w:r w:rsidRPr="00A34B66">
              <w:rPr>
                <w:lang w:val="es-ES"/>
              </w:rPr>
              <w:t xml:space="preserve"> estado financiero </w:t>
            </w:r>
            <w:r w:rsidR="00963E46">
              <w:rPr>
                <w:lang w:val="es-ES"/>
              </w:rPr>
              <w:t>con arreglo a</w:t>
            </w:r>
            <w:r w:rsidRPr="00A34B66">
              <w:rPr>
                <w:lang w:val="es-ES"/>
              </w:rPr>
              <w:t xml:space="preserve"> las </w:t>
            </w:r>
            <w:r w:rsidR="00D12D6F" w:rsidRPr="00A34B66">
              <w:rPr>
                <w:lang w:val="es-ES"/>
              </w:rPr>
              <w:t>IPSAS (</w:t>
            </w:r>
            <w:r w:rsidR="00C51E0F" w:rsidRPr="00A34B66">
              <w:rPr>
                <w:lang w:val="es-ES"/>
              </w:rPr>
              <w:t>no se requieren medidas</w:t>
            </w:r>
            <w:r w:rsidR="00D12D6F" w:rsidRPr="00A34B66">
              <w:rPr>
                <w:lang w:val="es-ES"/>
              </w:rPr>
              <w:t xml:space="preserve">) </w:t>
            </w:r>
          </w:p>
        </w:tc>
        <w:tc>
          <w:tcPr>
            <w:tcW w:w="1559" w:type="dxa"/>
          </w:tcPr>
          <w:p w:rsidR="00D12D6F" w:rsidRPr="00A34B66" w:rsidRDefault="00D12D6F" w:rsidP="003F7BA2">
            <w:pPr>
              <w:jc w:val="right"/>
              <w:rPr>
                <w:lang w:val="es-ES"/>
              </w:rPr>
            </w:pPr>
            <w:r w:rsidRPr="00A34B66">
              <w:rPr>
                <w:bCs/>
                <w:iCs/>
                <w:color w:val="000000"/>
                <w:lang w:val="es-ES"/>
              </w:rPr>
              <w:t>19</w:t>
            </w:r>
            <w:r w:rsidR="00963E46">
              <w:rPr>
                <w:bCs/>
                <w:iCs/>
                <w:color w:val="000000"/>
                <w:lang w:val="es-ES"/>
              </w:rPr>
              <w:t xml:space="preserve"> </w:t>
            </w:r>
            <w:r w:rsidRPr="00A34B66">
              <w:rPr>
                <w:bCs/>
                <w:iCs/>
                <w:color w:val="000000"/>
                <w:lang w:val="es-ES"/>
              </w:rPr>
              <w:t>555</w:t>
            </w:r>
            <w:r w:rsidR="00963E46">
              <w:rPr>
                <w:bCs/>
                <w:iCs/>
                <w:color w:val="000000"/>
                <w:lang w:val="es-ES"/>
              </w:rPr>
              <w:t xml:space="preserve"> </w:t>
            </w:r>
            <w:r w:rsidRPr="00A34B66">
              <w:rPr>
                <w:bCs/>
                <w:iCs/>
                <w:color w:val="000000"/>
                <w:lang w:val="es-ES"/>
              </w:rPr>
              <w:t>480</w:t>
            </w:r>
          </w:p>
        </w:tc>
      </w:tr>
      <w:tr w:rsidR="00D12D6F" w:rsidRPr="00A34B66" w:rsidTr="003F7BA2">
        <w:tc>
          <w:tcPr>
            <w:tcW w:w="7655" w:type="dxa"/>
            <w:tcBorders>
              <w:left w:val="single" w:sz="4" w:space="0" w:color="auto"/>
              <w:bottom w:val="single" w:sz="4" w:space="0" w:color="auto"/>
            </w:tcBorders>
            <w:shd w:val="clear" w:color="auto" w:fill="auto"/>
          </w:tcPr>
          <w:p w:rsidR="00D12D6F" w:rsidRPr="00A34B66" w:rsidRDefault="00065EB7" w:rsidP="003F7BA2">
            <w:pPr>
              <w:rPr>
                <w:b/>
                <w:bCs/>
                <w:lang w:val="es-ES"/>
              </w:rPr>
            </w:pPr>
            <w:bookmarkStart w:id="7" w:name="_Hlk6922339"/>
            <w:r w:rsidRPr="00A34B66">
              <w:rPr>
                <w:lang w:val="es-ES"/>
              </w:rPr>
              <w:lastRenderedPageBreak/>
              <w:t>Diferencia entre los gastos de apoyo al organismo</w:t>
            </w:r>
            <w:r w:rsidR="00D12D6F" w:rsidRPr="00A34B66">
              <w:rPr>
                <w:lang w:val="es-ES"/>
              </w:rPr>
              <w:t xml:space="preserve"> </w:t>
            </w:r>
            <w:r w:rsidR="003A36D0" w:rsidRPr="00A34B66">
              <w:rPr>
                <w:lang w:val="es-ES"/>
              </w:rPr>
              <w:t xml:space="preserve">previstos </w:t>
            </w:r>
            <w:r w:rsidRPr="00A34B66">
              <w:rPr>
                <w:lang w:val="es-ES"/>
              </w:rPr>
              <w:t xml:space="preserve">en el </w:t>
            </w:r>
            <w:r w:rsidR="00521AC8">
              <w:rPr>
                <w:lang w:val="es-ES"/>
              </w:rPr>
              <w:t>I</w:t>
            </w:r>
            <w:r w:rsidRPr="00A34B66">
              <w:rPr>
                <w:lang w:val="es-ES"/>
              </w:rPr>
              <w:t>nforme sobre la marcha de las actividades de</w:t>
            </w:r>
            <w:r w:rsidR="00D12D6F" w:rsidRPr="00A34B66">
              <w:rPr>
                <w:lang w:val="es-ES"/>
              </w:rPr>
              <w:t xml:space="preserve"> 2017</w:t>
            </w:r>
            <w:r w:rsidR="00521AC8">
              <w:rPr>
                <w:lang w:val="es-ES"/>
              </w:rPr>
              <w:t xml:space="preserve"> </w:t>
            </w:r>
            <w:r w:rsidR="00521AC8" w:rsidRPr="00A34B66">
              <w:rPr>
                <w:lang w:val="es-ES"/>
              </w:rPr>
              <w:t>revisado</w:t>
            </w:r>
            <w:r w:rsidR="00D12D6F" w:rsidRPr="00A34B66">
              <w:rPr>
                <w:lang w:val="es-ES"/>
              </w:rPr>
              <w:t xml:space="preserve"> </w:t>
            </w:r>
            <w:r w:rsidRPr="00A34B66">
              <w:rPr>
                <w:lang w:val="es-ES"/>
              </w:rPr>
              <w:t>y</w:t>
            </w:r>
            <w:r w:rsidR="00814E70" w:rsidRPr="00A34B66">
              <w:rPr>
                <w:lang w:val="es-ES"/>
              </w:rPr>
              <w:t xml:space="preserve"> los gastos de apoyo al organismo </w:t>
            </w:r>
            <w:r w:rsidR="002649E0">
              <w:rPr>
                <w:lang w:val="es-ES"/>
              </w:rPr>
              <w:t>reales</w:t>
            </w:r>
            <w:r w:rsidR="00D12D6F" w:rsidRPr="00A34B66">
              <w:rPr>
                <w:lang w:val="es-ES"/>
              </w:rPr>
              <w:t xml:space="preserve"> </w:t>
            </w:r>
            <w:r w:rsidR="00814E70" w:rsidRPr="00A34B66">
              <w:rPr>
                <w:lang w:val="es-ES"/>
              </w:rPr>
              <w:t>calculados en el Sistema de Información de la Gestión del PNUMA</w:t>
            </w:r>
            <w:r w:rsidR="00DF39EF" w:rsidRPr="00A34B66">
              <w:rPr>
                <w:lang w:val="es-ES"/>
              </w:rPr>
              <w:t>,</w:t>
            </w:r>
            <w:r w:rsidR="00D12D6F" w:rsidRPr="00A34B66">
              <w:rPr>
                <w:lang w:val="es-ES"/>
              </w:rPr>
              <w:t xml:space="preserve"> </w:t>
            </w:r>
            <w:r w:rsidR="00DF39EF" w:rsidRPr="00A34B66">
              <w:rPr>
                <w:lang w:val="es-ES"/>
              </w:rPr>
              <w:t>principalmente debido a</w:t>
            </w:r>
            <w:r w:rsidR="004902F0" w:rsidRPr="00A34B66">
              <w:rPr>
                <w:lang w:val="es-ES"/>
              </w:rPr>
              <w:t xml:space="preserve"> una diferencia de </w:t>
            </w:r>
            <w:r w:rsidR="008E7801" w:rsidRPr="00A34B66">
              <w:rPr>
                <w:lang w:val="es-ES"/>
              </w:rPr>
              <w:t>plazos</w:t>
            </w:r>
            <w:r w:rsidR="00D12D6F" w:rsidRPr="00A34B66">
              <w:rPr>
                <w:lang w:val="es-ES"/>
              </w:rPr>
              <w:t xml:space="preserve"> (</w:t>
            </w:r>
            <w:r w:rsidR="00DF39EF" w:rsidRPr="00A34B66">
              <w:rPr>
                <w:lang w:val="es-ES"/>
              </w:rPr>
              <w:t>el PNUMA lo ajustará en sus cuentas de 2019</w:t>
            </w:r>
            <w:r w:rsidR="00D12D6F" w:rsidRPr="00A34B66">
              <w:rPr>
                <w:lang w:val="es-ES"/>
              </w:rPr>
              <w:t xml:space="preserve">) </w:t>
            </w:r>
            <w:r w:rsidR="00521AC8">
              <w:rPr>
                <w:lang w:val="es-ES"/>
              </w:rPr>
              <w:t xml:space="preserve"> </w:t>
            </w:r>
          </w:p>
        </w:tc>
        <w:tc>
          <w:tcPr>
            <w:tcW w:w="1559" w:type="dxa"/>
            <w:tcBorders>
              <w:bottom w:val="single" w:sz="4" w:space="0" w:color="auto"/>
            </w:tcBorders>
            <w:shd w:val="clear" w:color="auto" w:fill="auto"/>
          </w:tcPr>
          <w:p w:rsidR="00D12D6F" w:rsidRPr="00A34B66" w:rsidRDefault="00D12D6F" w:rsidP="003F7BA2">
            <w:pPr>
              <w:jc w:val="right"/>
              <w:rPr>
                <w:b/>
                <w:lang w:val="es-ES"/>
              </w:rPr>
            </w:pPr>
            <w:r w:rsidRPr="00A34B66">
              <w:rPr>
                <w:lang w:val="es-ES"/>
              </w:rPr>
              <w:t>317</w:t>
            </w:r>
            <w:r w:rsidR="00814E70" w:rsidRPr="00A34B66">
              <w:rPr>
                <w:lang w:val="es-ES"/>
              </w:rPr>
              <w:t xml:space="preserve"> </w:t>
            </w:r>
            <w:r w:rsidRPr="00A34B66">
              <w:rPr>
                <w:lang w:val="es-ES"/>
              </w:rPr>
              <w:t>438</w:t>
            </w:r>
          </w:p>
        </w:tc>
      </w:tr>
      <w:tr w:rsidR="00D12D6F" w:rsidRPr="00A34B66" w:rsidTr="003F7BA2">
        <w:tc>
          <w:tcPr>
            <w:tcW w:w="7655" w:type="dxa"/>
            <w:tcBorders>
              <w:left w:val="single" w:sz="4" w:space="0" w:color="auto"/>
              <w:bottom w:val="single" w:sz="4" w:space="0" w:color="auto"/>
            </w:tcBorders>
            <w:shd w:val="clear" w:color="auto" w:fill="auto"/>
          </w:tcPr>
          <w:p w:rsidR="00D12D6F" w:rsidRPr="00A34B66" w:rsidRDefault="00D12D6F" w:rsidP="003F7BA2">
            <w:pPr>
              <w:rPr>
                <w:lang w:val="es-ES"/>
              </w:rPr>
            </w:pPr>
            <w:r w:rsidRPr="00A34B66">
              <w:rPr>
                <w:lang w:val="es-ES"/>
              </w:rPr>
              <w:t>Total (</w:t>
            </w:r>
            <w:r w:rsidR="00814E70" w:rsidRPr="00A34B66">
              <w:rPr>
                <w:lang w:val="es-ES"/>
              </w:rPr>
              <w:t>filas</w:t>
            </w:r>
            <w:r w:rsidRPr="00A34B66">
              <w:rPr>
                <w:lang w:val="es-ES"/>
              </w:rPr>
              <w:t xml:space="preserve"> 2 </w:t>
            </w:r>
            <w:r w:rsidR="00814E70" w:rsidRPr="00A34B66">
              <w:rPr>
                <w:lang w:val="es-ES"/>
              </w:rPr>
              <w:t>a</w:t>
            </w:r>
            <w:r w:rsidRPr="00A34B66">
              <w:rPr>
                <w:lang w:val="es-ES"/>
              </w:rPr>
              <w:t xml:space="preserve"> 3)</w:t>
            </w:r>
          </w:p>
        </w:tc>
        <w:tc>
          <w:tcPr>
            <w:tcW w:w="1559" w:type="dxa"/>
            <w:tcBorders>
              <w:bottom w:val="single" w:sz="4" w:space="0" w:color="auto"/>
            </w:tcBorders>
            <w:shd w:val="clear" w:color="auto" w:fill="auto"/>
          </w:tcPr>
          <w:p w:rsidR="00D12D6F" w:rsidRPr="00A34B66" w:rsidRDefault="00D12D6F" w:rsidP="003F7BA2">
            <w:pPr>
              <w:jc w:val="right"/>
              <w:rPr>
                <w:lang w:val="es-ES"/>
              </w:rPr>
            </w:pPr>
            <w:r w:rsidRPr="00A34B66">
              <w:rPr>
                <w:lang w:val="es-ES"/>
              </w:rPr>
              <w:t>19</w:t>
            </w:r>
            <w:r w:rsidR="00814E70" w:rsidRPr="00A34B66">
              <w:rPr>
                <w:lang w:val="es-ES"/>
              </w:rPr>
              <w:t xml:space="preserve"> </w:t>
            </w:r>
            <w:r w:rsidRPr="00A34B66">
              <w:rPr>
                <w:lang w:val="es-ES"/>
              </w:rPr>
              <w:t>872</w:t>
            </w:r>
            <w:r w:rsidR="00814E70" w:rsidRPr="00A34B66">
              <w:rPr>
                <w:lang w:val="es-ES"/>
              </w:rPr>
              <w:t xml:space="preserve"> </w:t>
            </w:r>
            <w:r w:rsidRPr="00A34B66">
              <w:rPr>
                <w:lang w:val="es-ES"/>
              </w:rPr>
              <w:t>918</w:t>
            </w:r>
          </w:p>
        </w:tc>
      </w:tr>
      <w:tr w:rsidR="00D12D6F" w:rsidRPr="00A34B66" w:rsidTr="003F7BA2">
        <w:tc>
          <w:tcPr>
            <w:tcW w:w="7655" w:type="dxa"/>
            <w:tcBorders>
              <w:left w:val="single" w:sz="4" w:space="0" w:color="auto"/>
              <w:bottom w:val="single" w:sz="4" w:space="0" w:color="auto"/>
            </w:tcBorders>
            <w:shd w:val="clear" w:color="auto" w:fill="auto"/>
          </w:tcPr>
          <w:p w:rsidR="00D12D6F" w:rsidRPr="00A34B66" w:rsidRDefault="00D12D6F" w:rsidP="003F7BA2">
            <w:pPr>
              <w:rPr>
                <w:b/>
                <w:bCs/>
                <w:lang w:val="es-ES"/>
              </w:rPr>
            </w:pPr>
            <w:r w:rsidRPr="00A34B66">
              <w:rPr>
                <w:b/>
                <w:bCs/>
                <w:lang w:val="es-ES"/>
              </w:rPr>
              <w:t>Di</w:t>
            </w:r>
            <w:r w:rsidR="00814E70" w:rsidRPr="00A34B66">
              <w:rPr>
                <w:b/>
                <w:bCs/>
                <w:lang w:val="es-ES"/>
              </w:rPr>
              <w:t>ferencia</w:t>
            </w:r>
          </w:p>
        </w:tc>
        <w:tc>
          <w:tcPr>
            <w:tcW w:w="1559" w:type="dxa"/>
            <w:tcBorders>
              <w:bottom w:val="single" w:sz="4" w:space="0" w:color="auto"/>
            </w:tcBorders>
            <w:shd w:val="clear" w:color="auto" w:fill="auto"/>
          </w:tcPr>
          <w:p w:rsidR="00D12D6F" w:rsidRPr="00A34B66" w:rsidRDefault="00D12D6F" w:rsidP="003F7BA2">
            <w:pPr>
              <w:jc w:val="right"/>
              <w:rPr>
                <w:b/>
                <w:lang w:val="es-ES"/>
              </w:rPr>
            </w:pPr>
            <w:r w:rsidRPr="00A34B66">
              <w:rPr>
                <w:b/>
                <w:lang w:val="es-ES"/>
              </w:rPr>
              <w:t>0</w:t>
            </w:r>
          </w:p>
        </w:tc>
      </w:tr>
      <w:bookmarkEnd w:id="7"/>
    </w:tbl>
    <w:p w:rsidR="00D12D6F" w:rsidRPr="00A34B66" w:rsidRDefault="00D12D6F" w:rsidP="00D12D6F">
      <w:pPr>
        <w:tabs>
          <w:tab w:val="left" w:pos="6315"/>
        </w:tabs>
        <w:outlineLvl w:val="0"/>
        <w:rPr>
          <w:u w:val="single"/>
          <w:lang w:val="es-ES"/>
        </w:rPr>
      </w:pPr>
    </w:p>
    <w:p w:rsidR="00D12D6F" w:rsidRPr="00A34B66" w:rsidRDefault="00B70EA7" w:rsidP="00D12D6F">
      <w:pPr>
        <w:pStyle w:val="Heading1"/>
        <w:numPr>
          <w:ilvl w:val="0"/>
          <w:numId w:val="21"/>
        </w:numPr>
        <w:spacing w:after="0"/>
        <w:ind w:left="142" w:firstLine="0"/>
        <w:rPr>
          <w:lang w:val="es-ES"/>
        </w:rPr>
      </w:pPr>
      <w:r w:rsidRPr="00A34B66">
        <w:rPr>
          <w:lang w:val="es-ES"/>
        </w:rPr>
        <w:t>Sobre la base de las explicaciones proporcionadas, no hay partidas compensatorias pendientes que deberían explicarse</w:t>
      </w:r>
      <w:r w:rsidR="00D12D6F" w:rsidRPr="00A34B66">
        <w:rPr>
          <w:lang w:val="es-ES"/>
        </w:rPr>
        <w:t>.</w:t>
      </w:r>
      <w:r w:rsidRPr="00A34B66">
        <w:rPr>
          <w:lang w:val="es-ES"/>
        </w:rPr>
        <w:t xml:space="preserve"> </w:t>
      </w:r>
    </w:p>
    <w:p w:rsidR="00D12D6F" w:rsidRPr="00A34B66" w:rsidRDefault="00D12D6F" w:rsidP="00D12D6F">
      <w:pPr>
        <w:rPr>
          <w:lang w:val="es-ES"/>
        </w:rPr>
      </w:pPr>
    </w:p>
    <w:p w:rsidR="00D12D6F" w:rsidRPr="00A34B66" w:rsidRDefault="00F20F21" w:rsidP="00D12D6F">
      <w:pPr>
        <w:pStyle w:val="Heading1"/>
        <w:numPr>
          <w:ilvl w:val="0"/>
          <w:numId w:val="0"/>
        </w:numPr>
        <w:spacing w:after="0"/>
        <w:ind w:left="142"/>
        <w:rPr>
          <w:b/>
          <w:lang w:val="es-ES"/>
        </w:rPr>
      </w:pPr>
      <w:r w:rsidRPr="00A34B66">
        <w:rPr>
          <w:b/>
          <w:lang w:val="es-ES"/>
        </w:rPr>
        <w:t>Recomendación</w:t>
      </w:r>
    </w:p>
    <w:p w:rsidR="00D12D6F" w:rsidRPr="00A34B66" w:rsidRDefault="00D12D6F" w:rsidP="00D12D6F">
      <w:pPr>
        <w:rPr>
          <w:lang w:val="es-ES"/>
        </w:rPr>
      </w:pPr>
    </w:p>
    <w:p w:rsidR="00D12D6F" w:rsidRPr="008802F8" w:rsidRDefault="00F20F21" w:rsidP="008802F8">
      <w:pPr>
        <w:pStyle w:val="Heading1"/>
        <w:numPr>
          <w:ilvl w:val="0"/>
          <w:numId w:val="21"/>
        </w:numPr>
        <w:spacing w:after="0"/>
        <w:ind w:left="142" w:firstLine="0"/>
        <w:rPr>
          <w:lang w:val="es-ES"/>
        </w:rPr>
      </w:pPr>
      <w:r w:rsidRPr="008802F8">
        <w:rPr>
          <w:lang w:val="es-ES"/>
        </w:rPr>
        <w:t xml:space="preserve">El Comité Ejecutivo </w:t>
      </w:r>
      <w:r w:rsidR="008802F8" w:rsidRPr="008802F8">
        <w:rPr>
          <w:lang w:val="es-ES"/>
        </w:rPr>
        <w:t xml:space="preserve">puede </w:t>
      </w:r>
      <w:r w:rsidR="008802F8">
        <w:rPr>
          <w:lang w:val="es-ES"/>
        </w:rPr>
        <w:t>considera</w:t>
      </w:r>
      <w:r w:rsidR="008802F8" w:rsidRPr="008802F8">
        <w:rPr>
          <w:lang w:val="es-ES"/>
        </w:rPr>
        <w:t>r</w:t>
      </w:r>
      <w:r w:rsidR="008802F8">
        <w:rPr>
          <w:lang w:val="es-ES"/>
        </w:rPr>
        <w:t xml:space="preserve"> oportuno</w:t>
      </w:r>
      <w:r w:rsidR="00D12D6F" w:rsidRPr="008802F8">
        <w:rPr>
          <w:lang w:val="es-ES"/>
        </w:rPr>
        <w:t>:</w:t>
      </w:r>
      <w:r w:rsidR="004530E6" w:rsidRPr="008802F8">
        <w:rPr>
          <w:lang w:val="es-ES"/>
        </w:rPr>
        <w:t xml:space="preserve"> </w:t>
      </w:r>
    </w:p>
    <w:p w:rsidR="00EA1084" w:rsidRPr="008802F8" w:rsidRDefault="00EA1084" w:rsidP="00EA1084">
      <w:pPr>
        <w:rPr>
          <w:lang w:val="es-ES"/>
        </w:rPr>
      </w:pPr>
    </w:p>
    <w:p w:rsidR="00D12D6F" w:rsidRPr="004530E6" w:rsidRDefault="00F20F21" w:rsidP="00D12D6F">
      <w:pPr>
        <w:pStyle w:val="Heading2"/>
        <w:rPr>
          <w:lang w:val="es-ES"/>
        </w:rPr>
      </w:pPr>
      <w:r w:rsidRPr="00A34B66">
        <w:rPr>
          <w:lang w:val="es-ES"/>
        </w:rPr>
        <w:t>Tomar nota de</w:t>
      </w:r>
      <w:r w:rsidR="00D12D6F" w:rsidRPr="00A34B66">
        <w:rPr>
          <w:lang w:val="es-ES"/>
        </w:rPr>
        <w:t>:</w:t>
      </w:r>
    </w:p>
    <w:p w:rsidR="00D12D6F" w:rsidRPr="00A34B66" w:rsidRDefault="00D453A6" w:rsidP="00D12D6F">
      <w:pPr>
        <w:pStyle w:val="Heading3"/>
        <w:spacing w:after="0"/>
        <w:rPr>
          <w:lang w:val="es-ES"/>
        </w:rPr>
      </w:pPr>
      <w:r w:rsidRPr="00A34B66">
        <w:rPr>
          <w:lang w:val="es-ES"/>
        </w:rPr>
        <w:t>L</w:t>
      </w:r>
      <w:r w:rsidR="00F20F21" w:rsidRPr="00A34B66">
        <w:rPr>
          <w:lang w:val="es-ES"/>
        </w:rPr>
        <w:t>a conciliación</w:t>
      </w:r>
      <w:r w:rsidR="00D12D6F" w:rsidRPr="00A34B66">
        <w:rPr>
          <w:lang w:val="es-ES"/>
        </w:rPr>
        <w:t xml:space="preserve"> </w:t>
      </w:r>
      <w:r w:rsidR="00F20F21" w:rsidRPr="00A34B66">
        <w:rPr>
          <w:lang w:val="es-ES"/>
        </w:rPr>
        <w:t>de las cuentas de</w:t>
      </w:r>
      <w:r w:rsidR="00D12D6F" w:rsidRPr="00A34B66">
        <w:rPr>
          <w:lang w:val="es-ES"/>
        </w:rPr>
        <w:t xml:space="preserve"> 2017 </w:t>
      </w:r>
      <w:r w:rsidR="00F20F21" w:rsidRPr="00A34B66">
        <w:rPr>
          <w:lang w:val="es-ES"/>
        </w:rPr>
        <w:t xml:space="preserve">que figuran en el </w:t>
      </w:r>
      <w:r w:rsidR="00D12D6F" w:rsidRPr="00A34B66">
        <w:rPr>
          <w:lang w:val="es-ES"/>
        </w:rPr>
        <w:t>document</w:t>
      </w:r>
      <w:r w:rsidR="00F20F21" w:rsidRPr="00A34B66">
        <w:rPr>
          <w:lang w:val="es-ES"/>
        </w:rPr>
        <w:t>o</w:t>
      </w:r>
      <w:r w:rsidR="00D12D6F" w:rsidRPr="00A34B66">
        <w:rPr>
          <w:lang w:val="es-ES"/>
        </w:rPr>
        <w:t xml:space="preserve"> UNEP/</w:t>
      </w:r>
      <w:proofErr w:type="spellStart"/>
      <w:r w:rsidR="00D12D6F" w:rsidRPr="00A34B66">
        <w:rPr>
          <w:lang w:val="es-ES"/>
        </w:rPr>
        <w:t>OzL.Pro</w:t>
      </w:r>
      <w:proofErr w:type="spellEnd"/>
      <w:r w:rsidR="00D12D6F" w:rsidRPr="00A34B66">
        <w:rPr>
          <w:lang w:val="es-ES"/>
        </w:rPr>
        <w:t>/</w:t>
      </w:r>
      <w:proofErr w:type="spellStart"/>
      <w:r w:rsidR="00D12D6F" w:rsidRPr="00A34B66">
        <w:rPr>
          <w:lang w:val="es-ES"/>
        </w:rPr>
        <w:t>ExCom</w:t>
      </w:r>
      <w:proofErr w:type="spellEnd"/>
      <w:r w:rsidR="00D12D6F" w:rsidRPr="00A34B66">
        <w:rPr>
          <w:lang w:val="es-ES"/>
        </w:rPr>
        <w:t>/82/7;</w:t>
      </w:r>
    </w:p>
    <w:p w:rsidR="00D12D6F" w:rsidRPr="00A34B66" w:rsidRDefault="00D12D6F" w:rsidP="00D12D6F">
      <w:pPr>
        <w:rPr>
          <w:lang w:val="es-ES"/>
        </w:rPr>
      </w:pPr>
    </w:p>
    <w:p w:rsidR="00D12D6F" w:rsidRPr="00A34B66" w:rsidRDefault="00D453A6" w:rsidP="00D12D6F">
      <w:pPr>
        <w:pStyle w:val="Heading3"/>
        <w:spacing w:after="0"/>
        <w:rPr>
          <w:lang w:val="es-ES"/>
        </w:rPr>
      </w:pPr>
      <w:r w:rsidRPr="00A34B66">
        <w:rPr>
          <w:lang w:val="es-ES"/>
        </w:rPr>
        <w:t>L</w:t>
      </w:r>
      <w:r w:rsidR="00E1485C" w:rsidRPr="00A34B66">
        <w:rPr>
          <w:lang w:val="es-ES"/>
        </w:rPr>
        <w:t xml:space="preserve">a presentación por parte del PNUMA de un Informe sobre la marcha de las actividades </w:t>
      </w:r>
      <w:r w:rsidR="00521AC8">
        <w:rPr>
          <w:lang w:val="es-ES"/>
        </w:rPr>
        <w:t>revisado,</w:t>
      </w:r>
      <w:r w:rsidR="00D12D6F" w:rsidRPr="00A34B66">
        <w:rPr>
          <w:lang w:val="es-ES"/>
        </w:rPr>
        <w:t xml:space="preserve"> </w:t>
      </w:r>
      <w:r w:rsidR="00E1485C" w:rsidRPr="00A34B66">
        <w:rPr>
          <w:lang w:val="es-ES"/>
        </w:rPr>
        <w:t xml:space="preserve">al </w:t>
      </w:r>
      <w:r w:rsidR="00D12D6F" w:rsidRPr="00A34B66">
        <w:rPr>
          <w:lang w:val="es-ES"/>
        </w:rPr>
        <w:t xml:space="preserve">31 </w:t>
      </w:r>
      <w:r w:rsidR="00E1485C" w:rsidRPr="00A34B66">
        <w:rPr>
          <w:lang w:val="es-ES"/>
        </w:rPr>
        <w:t>de diciembre de</w:t>
      </w:r>
      <w:r w:rsidR="00D12D6F" w:rsidRPr="00A34B66">
        <w:rPr>
          <w:lang w:val="es-ES"/>
        </w:rPr>
        <w:t xml:space="preserve"> 2017;</w:t>
      </w:r>
    </w:p>
    <w:p w:rsidR="00D12D6F" w:rsidRPr="00A34B66" w:rsidRDefault="00D12D6F" w:rsidP="00D12D6F">
      <w:pPr>
        <w:rPr>
          <w:lang w:val="es-ES"/>
        </w:rPr>
      </w:pPr>
    </w:p>
    <w:p w:rsidR="00D12D6F" w:rsidRPr="00A34B66" w:rsidRDefault="00D453A6" w:rsidP="00D12D6F">
      <w:pPr>
        <w:pStyle w:val="Heading2"/>
        <w:spacing w:after="0"/>
        <w:rPr>
          <w:lang w:val="es-ES"/>
        </w:rPr>
      </w:pPr>
      <w:r w:rsidRPr="00A34B66">
        <w:rPr>
          <w:lang w:val="es-ES"/>
        </w:rPr>
        <w:t>Pedir al PNUMA</w:t>
      </w:r>
      <w:r w:rsidR="00D12D6F" w:rsidRPr="00A34B66">
        <w:rPr>
          <w:lang w:val="es-ES"/>
        </w:rPr>
        <w:t xml:space="preserve"> </w:t>
      </w:r>
      <w:r w:rsidRPr="00A34B66">
        <w:rPr>
          <w:lang w:val="es-ES"/>
        </w:rPr>
        <w:t>que consigne en sus cuentas de</w:t>
      </w:r>
      <w:r w:rsidR="00D12D6F" w:rsidRPr="00A34B66">
        <w:rPr>
          <w:lang w:val="es-ES"/>
        </w:rPr>
        <w:t xml:space="preserve"> 2019:</w:t>
      </w:r>
    </w:p>
    <w:p w:rsidR="00D12D6F" w:rsidRPr="00A34B66" w:rsidRDefault="00D12D6F" w:rsidP="00D12D6F">
      <w:pPr>
        <w:rPr>
          <w:lang w:val="es-ES"/>
        </w:rPr>
      </w:pPr>
    </w:p>
    <w:p w:rsidR="00D12D6F" w:rsidRPr="00A34B66" w:rsidRDefault="006E0A1C" w:rsidP="0090627E">
      <w:pPr>
        <w:pStyle w:val="ListParagraph"/>
        <w:numPr>
          <w:ilvl w:val="2"/>
          <w:numId w:val="1"/>
        </w:numPr>
        <w:ind w:hanging="862"/>
        <w:rPr>
          <w:lang w:val="es-ES"/>
        </w:rPr>
      </w:pPr>
      <w:r w:rsidRPr="00A34B66">
        <w:rPr>
          <w:lang w:val="es-ES"/>
        </w:rPr>
        <w:t xml:space="preserve">Un monto de </w:t>
      </w:r>
      <w:r w:rsidR="00D12D6F" w:rsidRPr="00A34B66">
        <w:rPr>
          <w:lang w:val="es-ES"/>
        </w:rPr>
        <w:t>7</w:t>
      </w:r>
      <w:r w:rsidRPr="00A34B66">
        <w:rPr>
          <w:lang w:val="es-ES"/>
        </w:rPr>
        <w:t xml:space="preserve"> </w:t>
      </w:r>
      <w:r w:rsidR="00D12D6F" w:rsidRPr="00A34B66">
        <w:rPr>
          <w:lang w:val="es-ES"/>
        </w:rPr>
        <w:t>357</w:t>
      </w:r>
      <w:r w:rsidRPr="00A34B66">
        <w:rPr>
          <w:lang w:val="es-ES"/>
        </w:rPr>
        <w:t xml:space="preserve"> $EUA</w:t>
      </w:r>
      <w:r w:rsidR="00D12D6F" w:rsidRPr="00A34B66">
        <w:rPr>
          <w:lang w:val="es-ES"/>
        </w:rPr>
        <w:t xml:space="preserve"> </w:t>
      </w:r>
      <w:r w:rsidRPr="00A34B66">
        <w:rPr>
          <w:lang w:val="es-ES"/>
        </w:rPr>
        <w:t>en ingresos</w:t>
      </w:r>
      <w:r w:rsidR="00D12D6F" w:rsidRPr="00A34B66">
        <w:rPr>
          <w:lang w:val="es-ES"/>
        </w:rPr>
        <w:t xml:space="preserve"> </w:t>
      </w:r>
      <w:r w:rsidR="00A36539" w:rsidRPr="00A34B66">
        <w:rPr>
          <w:lang w:val="es-ES"/>
        </w:rPr>
        <w:t>que representan ganancias</w:t>
      </w:r>
      <w:r w:rsidR="00D12D6F" w:rsidRPr="00A34B66">
        <w:rPr>
          <w:lang w:val="es-ES"/>
        </w:rPr>
        <w:t xml:space="preserve"> </w:t>
      </w:r>
      <w:r w:rsidRPr="00A34B66">
        <w:rPr>
          <w:lang w:val="es-ES"/>
        </w:rPr>
        <w:t>en años anteriores</w:t>
      </w:r>
      <w:r w:rsidR="00A36539" w:rsidRPr="00A34B66">
        <w:rPr>
          <w:lang w:val="es-ES"/>
        </w:rPr>
        <w:t>,</w:t>
      </w:r>
      <w:r w:rsidR="00D12D6F" w:rsidRPr="00A34B66">
        <w:rPr>
          <w:lang w:val="es-ES"/>
        </w:rPr>
        <w:t xml:space="preserve"> </w:t>
      </w:r>
      <w:r w:rsidRPr="00A34B66">
        <w:rPr>
          <w:lang w:val="es-ES"/>
        </w:rPr>
        <w:t xml:space="preserve">que no se consignaron en </w:t>
      </w:r>
      <w:r w:rsidR="00C44982">
        <w:rPr>
          <w:lang w:val="es-ES"/>
        </w:rPr>
        <w:t>sus</w:t>
      </w:r>
      <w:r w:rsidRPr="00A34B66">
        <w:rPr>
          <w:lang w:val="es-ES"/>
        </w:rPr>
        <w:t xml:space="preserve"> cuentas finales de</w:t>
      </w:r>
      <w:r w:rsidR="00D12D6F" w:rsidRPr="00A34B66">
        <w:rPr>
          <w:lang w:val="es-ES"/>
        </w:rPr>
        <w:t xml:space="preserve"> 2017; </w:t>
      </w:r>
      <w:r w:rsidRPr="00A34B66">
        <w:rPr>
          <w:lang w:val="es-ES"/>
        </w:rPr>
        <w:t>y</w:t>
      </w:r>
    </w:p>
    <w:p w:rsidR="00D12D6F" w:rsidRPr="00A34B66" w:rsidRDefault="00D12D6F" w:rsidP="00D12D6F">
      <w:pPr>
        <w:pStyle w:val="ListParagraph"/>
        <w:ind w:left="2160"/>
        <w:rPr>
          <w:lang w:val="es-ES"/>
        </w:rPr>
      </w:pPr>
    </w:p>
    <w:p w:rsidR="00A51297" w:rsidRPr="00A34B66" w:rsidRDefault="00A36539" w:rsidP="00A51297">
      <w:pPr>
        <w:pStyle w:val="Heading3"/>
        <w:rPr>
          <w:b/>
          <w:bCs/>
          <w:lang w:val="es-ES"/>
        </w:rPr>
      </w:pPr>
      <w:r w:rsidRPr="00A34B66">
        <w:rPr>
          <w:lang w:val="es-ES"/>
        </w:rPr>
        <w:t xml:space="preserve">Un monto de </w:t>
      </w:r>
      <w:r w:rsidR="00D12D6F" w:rsidRPr="00A34B66">
        <w:rPr>
          <w:lang w:val="es-ES"/>
        </w:rPr>
        <w:t>317</w:t>
      </w:r>
      <w:r w:rsidRPr="00A34B66">
        <w:rPr>
          <w:lang w:val="es-ES"/>
        </w:rPr>
        <w:t xml:space="preserve"> </w:t>
      </w:r>
      <w:r w:rsidR="00D12D6F" w:rsidRPr="00A34B66">
        <w:rPr>
          <w:lang w:val="es-ES"/>
        </w:rPr>
        <w:t>438</w:t>
      </w:r>
      <w:r w:rsidR="00C44982">
        <w:rPr>
          <w:lang w:val="es-ES"/>
        </w:rPr>
        <w:t xml:space="preserve"> </w:t>
      </w:r>
      <w:r w:rsidR="00C44982" w:rsidRPr="00A34B66">
        <w:rPr>
          <w:lang w:val="es-ES"/>
        </w:rPr>
        <w:t>$EUA</w:t>
      </w:r>
      <w:r w:rsidR="00D12D6F" w:rsidRPr="00A34B66">
        <w:rPr>
          <w:lang w:val="es-ES"/>
        </w:rPr>
        <w:t xml:space="preserve"> </w:t>
      </w:r>
      <w:r w:rsidRPr="00A34B66">
        <w:rPr>
          <w:lang w:val="es-ES"/>
        </w:rPr>
        <w:t>e</w:t>
      </w:r>
      <w:r w:rsidR="00D12D6F" w:rsidRPr="00A34B66">
        <w:rPr>
          <w:lang w:val="es-ES"/>
        </w:rPr>
        <w:t xml:space="preserve">n </w:t>
      </w:r>
      <w:r w:rsidRPr="00A34B66">
        <w:rPr>
          <w:lang w:val="es-ES"/>
        </w:rPr>
        <w:t>gastos que representan</w:t>
      </w:r>
      <w:r w:rsidR="00D12D6F" w:rsidRPr="00A34B66">
        <w:rPr>
          <w:lang w:val="es-ES"/>
        </w:rPr>
        <w:t xml:space="preserve"> </w:t>
      </w:r>
      <w:r w:rsidRPr="00A34B66">
        <w:rPr>
          <w:lang w:val="es-ES"/>
        </w:rPr>
        <w:t>diferencias entre</w:t>
      </w:r>
      <w:r w:rsidR="00D12D6F" w:rsidRPr="00A34B66">
        <w:rPr>
          <w:lang w:val="es-ES"/>
        </w:rPr>
        <w:t xml:space="preserve"> </w:t>
      </w:r>
      <w:r w:rsidRPr="00A34B66">
        <w:rPr>
          <w:lang w:val="es-ES"/>
        </w:rPr>
        <w:t>los gastos de apoyo al organismo</w:t>
      </w:r>
      <w:r w:rsidR="00D12D6F" w:rsidRPr="00A34B66">
        <w:rPr>
          <w:lang w:val="es-ES"/>
        </w:rPr>
        <w:t xml:space="preserve"> </w:t>
      </w:r>
      <w:r w:rsidRPr="00202B15">
        <w:rPr>
          <w:lang w:val="es-ES"/>
        </w:rPr>
        <w:t>previstos</w:t>
      </w:r>
      <w:r w:rsidRPr="00A34B66">
        <w:rPr>
          <w:lang w:val="es-ES"/>
        </w:rPr>
        <w:t xml:space="preserve"> y reales</w:t>
      </w:r>
      <w:r w:rsidR="00D12D6F" w:rsidRPr="00A34B66">
        <w:rPr>
          <w:lang w:val="es-ES"/>
        </w:rPr>
        <w:t xml:space="preserve"> </w:t>
      </w:r>
      <w:r w:rsidRPr="00A34B66">
        <w:rPr>
          <w:lang w:val="es-ES"/>
        </w:rPr>
        <w:t>que no se consignaron en sus cuentas finales de</w:t>
      </w:r>
      <w:r w:rsidR="00D12D6F" w:rsidRPr="00A34B66">
        <w:rPr>
          <w:lang w:val="es-ES"/>
        </w:rPr>
        <w:t xml:space="preserve"> 2017.</w:t>
      </w:r>
      <w:r w:rsidR="00C44982">
        <w:rPr>
          <w:lang w:val="es-ES"/>
        </w:rPr>
        <w:t xml:space="preserve"> </w:t>
      </w:r>
    </w:p>
    <w:p w:rsidR="0087455A" w:rsidRPr="00A34B66" w:rsidRDefault="00A51297" w:rsidP="00A51297">
      <w:pPr>
        <w:pStyle w:val="Heading3"/>
        <w:numPr>
          <w:ilvl w:val="0"/>
          <w:numId w:val="0"/>
        </w:numPr>
        <w:ind w:left="2160" w:hanging="720"/>
        <w:jc w:val="center"/>
        <w:rPr>
          <w:b/>
          <w:bCs/>
          <w:lang w:val="es-ES"/>
        </w:rPr>
      </w:pPr>
      <w:bookmarkStart w:id="8" w:name="_GoBack"/>
      <w:bookmarkEnd w:id="8"/>
      <w:r w:rsidRPr="00A34B66">
        <w:rPr>
          <w:b/>
          <w:bCs/>
          <w:lang w:val="es-ES"/>
        </w:rPr>
        <w:t>__________</w:t>
      </w:r>
    </w:p>
    <w:sectPr w:rsidR="0087455A" w:rsidRPr="00A34B66" w:rsidSect="00A51297">
      <w:headerReference w:type="even" r:id="rId10"/>
      <w:headerReference w:type="default" r:id="rId11"/>
      <w:headerReference w:type="firs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6F6" w:rsidRDefault="00F416F6">
      <w:r>
        <w:separator/>
      </w:r>
    </w:p>
  </w:endnote>
  <w:endnote w:type="continuationSeparator" w:id="0">
    <w:p w:rsidR="00F416F6" w:rsidRDefault="00F4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Times New Roman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3F7BA2" w:rsidRPr="001E3BB7" w:rsidRDefault="003F7BA2">
        <w:pPr>
          <w:pStyle w:val="Footer"/>
          <w:jc w:val="center"/>
          <w:rPr>
            <w:lang w:val="es-ES"/>
          </w:rPr>
        </w:pPr>
        <w:r>
          <w:fldChar w:fldCharType="begin"/>
        </w:r>
        <w:r w:rsidRPr="001E3BB7">
          <w:rPr>
            <w:lang w:val="es-ES"/>
          </w:rPr>
          <w:instrText xml:space="preserve"> PAGE   \* MERGEFORMAT </w:instrText>
        </w:r>
        <w:r>
          <w:fldChar w:fldCharType="separate"/>
        </w:r>
        <w:r w:rsidR="00E348A2">
          <w:rPr>
            <w:noProof/>
            <w:lang w:val="es-ES"/>
          </w:rPr>
          <w:t>1</w:t>
        </w:r>
        <w:r>
          <w:rPr>
            <w:noProof/>
          </w:rPr>
          <w:fldChar w:fldCharType="end"/>
        </w:r>
      </w:p>
    </w:sdtContent>
  </w:sdt>
  <w:p w:rsidR="001E3BB7" w:rsidRDefault="001E3BB7" w:rsidP="001E3BB7">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rsidR="003F7BA2" w:rsidRPr="001E3BB7" w:rsidRDefault="003F7BA2">
    <w:pPr>
      <w:pStyle w:val="Foo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6F6" w:rsidRDefault="00F416F6">
      <w:r>
        <w:separator/>
      </w:r>
    </w:p>
  </w:footnote>
  <w:footnote w:type="continuationSeparator" w:id="0">
    <w:p w:rsidR="00F416F6" w:rsidRDefault="00F416F6">
      <w:r>
        <w:continuationSeparator/>
      </w:r>
    </w:p>
  </w:footnote>
  <w:footnote w:id="1">
    <w:p w:rsidR="003F7BA2" w:rsidRPr="004530E6" w:rsidRDefault="003F7BA2" w:rsidP="00D12D6F">
      <w:pPr>
        <w:pStyle w:val="FootnoteText"/>
        <w:rPr>
          <w:lang w:val="es-ES"/>
        </w:rPr>
      </w:pPr>
      <w:r>
        <w:rPr>
          <w:rStyle w:val="FootnoteReference"/>
        </w:rPr>
        <w:footnoteRef/>
      </w:r>
      <w:r w:rsidRPr="004530E6">
        <w:rPr>
          <w:lang w:val="es-ES"/>
        </w:rPr>
        <w:t xml:space="preserve"> UNEP/OzL.Pro/ExCom/82/7.</w:t>
      </w:r>
    </w:p>
  </w:footnote>
  <w:footnote w:id="2">
    <w:p w:rsidR="003F7BA2" w:rsidRPr="005309B5" w:rsidRDefault="003F7BA2" w:rsidP="00D12D6F">
      <w:pPr>
        <w:pStyle w:val="FootnoteText"/>
        <w:rPr>
          <w:lang w:val="es-ES"/>
        </w:rPr>
      </w:pPr>
      <w:r>
        <w:rPr>
          <w:rStyle w:val="FootnoteReference"/>
        </w:rPr>
        <w:footnoteRef/>
      </w:r>
      <w:r w:rsidRPr="005309B5">
        <w:rPr>
          <w:lang w:val="es-ES"/>
        </w:rPr>
        <w:t xml:space="preserve"> París, 17 a 20 de febrero de 2019</w:t>
      </w:r>
      <w:r>
        <w:rPr>
          <w:lang w:val="es-ES"/>
        </w:rPr>
        <w:t>.</w:t>
      </w:r>
    </w:p>
  </w:footnote>
  <w:footnote w:id="3">
    <w:p w:rsidR="003F7BA2" w:rsidRPr="004530E6" w:rsidRDefault="003F7BA2" w:rsidP="00D12D6F">
      <w:pPr>
        <w:pStyle w:val="FootnoteText"/>
        <w:rPr>
          <w:lang w:val="es-ES"/>
        </w:rPr>
      </w:pPr>
      <w:r>
        <w:rPr>
          <w:rStyle w:val="FootnoteReference"/>
        </w:rPr>
        <w:footnoteRef/>
      </w:r>
      <w:r w:rsidRPr="004530E6">
        <w:rPr>
          <w:lang w:val="es-ES"/>
        </w:rPr>
        <w:t xml:space="preserve"> Montreal, 5 a 7 de </w:t>
      </w:r>
      <w:r w:rsidRPr="00F83678">
        <w:rPr>
          <w:lang w:val="es-ES"/>
        </w:rPr>
        <w:t>marzo</w:t>
      </w:r>
      <w:r w:rsidRPr="004530E6">
        <w:rPr>
          <w:lang w:val="es-ES"/>
        </w:rPr>
        <w:t xml:space="preserve"> de 2019.</w:t>
      </w:r>
    </w:p>
    <w:p w:rsidR="003F7BA2" w:rsidRPr="004530E6" w:rsidRDefault="003F7BA2" w:rsidP="00D12D6F">
      <w:pPr>
        <w:pStyle w:val="FootnoteText"/>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63" w:rsidRDefault="001E4D63" w:rsidP="001E4D63">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/83/6</w:t>
    </w:r>
    <w:r>
      <w:fldChar w:fldCharType="end"/>
    </w:r>
  </w:p>
  <w:p w:rsidR="001E4D63" w:rsidRDefault="001E4D63" w:rsidP="001E4D63">
    <w:pPr>
      <w:pStyle w:val="Header"/>
    </w:pPr>
  </w:p>
  <w:p w:rsidR="001E4D63" w:rsidRPr="001E4D63" w:rsidRDefault="001E4D63" w:rsidP="001E4D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63" w:rsidRDefault="001E4D63" w:rsidP="001E4D63">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/83/6</w:t>
    </w:r>
    <w:r>
      <w:fldChar w:fldCharType="end"/>
    </w:r>
  </w:p>
  <w:p w:rsidR="001E4D63" w:rsidRDefault="001E4D63">
    <w:pPr>
      <w:pStyle w:val="Header"/>
    </w:pPr>
  </w:p>
  <w:p w:rsidR="001E4D63" w:rsidRDefault="001E4D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A2" w:rsidRDefault="003F7BA2"/>
  <w:p w:rsidR="003F7BA2" w:rsidRDefault="003F7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9467DCA"/>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lang w:val="en-CA"/>
      </w:rPr>
    </w:lvl>
    <w:lvl w:ilvl="2">
      <w:start w:val="1"/>
      <w:numFmt w:val="lowerRoman"/>
      <w:pStyle w:val="Heading3"/>
      <w:lvlText w:val="%3)"/>
      <w:lvlJc w:val="left"/>
      <w:pPr>
        <w:tabs>
          <w:tab w:val="num" w:pos="120"/>
        </w:tabs>
        <w:ind w:left="2280" w:hanging="720"/>
      </w:pPr>
      <w:rPr>
        <w:rFonts w:hint="default"/>
        <w:b w:val="0"/>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B5D2C2D"/>
    <w:multiLevelType w:val="hybridMultilevel"/>
    <w:tmpl w:val="1CD6AF0C"/>
    <w:lvl w:ilvl="0" w:tplc="0E9E234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F6"/>
    <w:rsid w:val="000178EB"/>
    <w:rsid w:val="00020C41"/>
    <w:rsid w:val="000644A2"/>
    <w:rsid w:val="00065EB7"/>
    <w:rsid w:val="00106F6E"/>
    <w:rsid w:val="00114CAA"/>
    <w:rsid w:val="00137714"/>
    <w:rsid w:val="0015545D"/>
    <w:rsid w:val="0015704B"/>
    <w:rsid w:val="00166499"/>
    <w:rsid w:val="001C2496"/>
    <w:rsid w:val="001C2D22"/>
    <w:rsid w:val="001E3BB7"/>
    <w:rsid w:val="001E4D63"/>
    <w:rsid w:val="00202B15"/>
    <w:rsid w:val="00235D4C"/>
    <w:rsid w:val="0024162E"/>
    <w:rsid w:val="002649E0"/>
    <w:rsid w:val="00266942"/>
    <w:rsid w:val="00281CAE"/>
    <w:rsid w:val="002B2584"/>
    <w:rsid w:val="002D34C3"/>
    <w:rsid w:val="00305E99"/>
    <w:rsid w:val="003220C9"/>
    <w:rsid w:val="003667B9"/>
    <w:rsid w:val="00370F90"/>
    <w:rsid w:val="003A36D0"/>
    <w:rsid w:val="003B2675"/>
    <w:rsid w:val="003B7115"/>
    <w:rsid w:val="003F7BA2"/>
    <w:rsid w:val="00431997"/>
    <w:rsid w:val="004530E6"/>
    <w:rsid w:val="00455352"/>
    <w:rsid w:val="0046309B"/>
    <w:rsid w:val="00476B9D"/>
    <w:rsid w:val="00484D47"/>
    <w:rsid w:val="004902F0"/>
    <w:rsid w:val="00490460"/>
    <w:rsid w:val="004F7E39"/>
    <w:rsid w:val="00513808"/>
    <w:rsid w:val="00517E3C"/>
    <w:rsid w:val="00521AC8"/>
    <w:rsid w:val="005265DB"/>
    <w:rsid w:val="005309B5"/>
    <w:rsid w:val="0057272A"/>
    <w:rsid w:val="005B1C2B"/>
    <w:rsid w:val="005C0325"/>
    <w:rsid w:val="005F0A8C"/>
    <w:rsid w:val="00607C63"/>
    <w:rsid w:val="0061481C"/>
    <w:rsid w:val="00646086"/>
    <w:rsid w:val="00653069"/>
    <w:rsid w:val="006E0A1C"/>
    <w:rsid w:val="00707A37"/>
    <w:rsid w:val="00707EC3"/>
    <w:rsid w:val="007502DE"/>
    <w:rsid w:val="00774F25"/>
    <w:rsid w:val="00790F5E"/>
    <w:rsid w:val="00797850"/>
    <w:rsid w:val="007A0542"/>
    <w:rsid w:val="007A6CA3"/>
    <w:rsid w:val="007C2B35"/>
    <w:rsid w:val="00814E70"/>
    <w:rsid w:val="00857EE4"/>
    <w:rsid w:val="0087455A"/>
    <w:rsid w:val="008802F8"/>
    <w:rsid w:val="00887D0F"/>
    <w:rsid w:val="008957EB"/>
    <w:rsid w:val="008B032E"/>
    <w:rsid w:val="008E5370"/>
    <w:rsid w:val="008E706C"/>
    <w:rsid w:val="008E7801"/>
    <w:rsid w:val="0090627E"/>
    <w:rsid w:val="0092545A"/>
    <w:rsid w:val="00930E89"/>
    <w:rsid w:val="00950319"/>
    <w:rsid w:val="00963E46"/>
    <w:rsid w:val="00966E81"/>
    <w:rsid w:val="00995445"/>
    <w:rsid w:val="009D1DC8"/>
    <w:rsid w:val="00A34B66"/>
    <w:rsid w:val="00A36539"/>
    <w:rsid w:val="00A51297"/>
    <w:rsid w:val="00A53964"/>
    <w:rsid w:val="00A6345C"/>
    <w:rsid w:val="00A8033E"/>
    <w:rsid w:val="00A80CFB"/>
    <w:rsid w:val="00A815B4"/>
    <w:rsid w:val="00AA5D68"/>
    <w:rsid w:val="00AA7BF9"/>
    <w:rsid w:val="00AB56E5"/>
    <w:rsid w:val="00B56CF6"/>
    <w:rsid w:val="00B70EA7"/>
    <w:rsid w:val="00BD20C7"/>
    <w:rsid w:val="00BD3EC3"/>
    <w:rsid w:val="00C14E67"/>
    <w:rsid w:val="00C25EFA"/>
    <w:rsid w:val="00C303BF"/>
    <w:rsid w:val="00C44982"/>
    <w:rsid w:val="00C51E0F"/>
    <w:rsid w:val="00C64BF9"/>
    <w:rsid w:val="00CB3D1F"/>
    <w:rsid w:val="00CD354F"/>
    <w:rsid w:val="00CD58B9"/>
    <w:rsid w:val="00D12D6F"/>
    <w:rsid w:val="00D2702A"/>
    <w:rsid w:val="00D27E66"/>
    <w:rsid w:val="00D448BA"/>
    <w:rsid w:val="00D453A6"/>
    <w:rsid w:val="00D83E66"/>
    <w:rsid w:val="00DB04F1"/>
    <w:rsid w:val="00DB795B"/>
    <w:rsid w:val="00DC63B2"/>
    <w:rsid w:val="00DE50D6"/>
    <w:rsid w:val="00DF39EF"/>
    <w:rsid w:val="00DF3CC8"/>
    <w:rsid w:val="00E13FC7"/>
    <w:rsid w:val="00E1485C"/>
    <w:rsid w:val="00E17F97"/>
    <w:rsid w:val="00E348A2"/>
    <w:rsid w:val="00E44B40"/>
    <w:rsid w:val="00E71F27"/>
    <w:rsid w:val="00EA1084"/>
    <w:rsid w:val="00EC14F6"/>
    <w:rsid w:val="00EC3AA0"/>
    <w:rsid w:val="00ED5288"/>
    <w:rsid w:val="00F20F21"/>
    <w:rsid w:val="00F25F7C"/>
    <w:rsid w:val="00F3168B"/>
    <w:rsid w:val="00F416F6"/>
    <w:rsid w:val="00F70361"/>
    <w:rsid w:val="00F82835"/>
    <w:rsid w:val="00F83678"/>
    <w:rsid w:val="00FA3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F29686C-37E4-FB49-B00E-83C19EF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1"/>
      </w:numPr>
      <w:spacing w:after="240"/>
      <w:outlineLvl w:val="1"/>
    </w:pPr>
  </w:style>
  <w:style w:type="paragraph" w:styleId="Heading3">
    <w:name w:val="heading 3"/>
    <w:aliases w:val="Char"/>
    <w:basedOn w:val="Normal"/>
    <w:next w:val="Normal"/>
    <w:qFormat/>
    <w:pPr>
      <w:widowControl w:val="0"/>
      <w:numPr>
        <w:ilvl w:val="2"/>
        <w:numId w:val="1"/>
      </w:numPr>
      <w:tabs>
        <w:tab w:val="clear" w:pos="120"/>
        <w:tab w:val="num" w:pos="0"/>
      </w:tabs>
      <w:spacing w:after="240"/>
      <w:ind w:left="2160"/>
      <w:outlineLvl w:val="2"/>
    </w:pPr>
  </w:style>
  <w:style w:type="paragraph" w:styleId="Heading4">
    <w:name w:val="heading 4"/>
    <w:aliases w:val="Heading 11,para 4"/>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semiHidden/>
    <w:unhideWhenUsed/>
    <w:rsid w:val="00D12D6F"/>
    <w:rPr>
      <w:sz w:val="20"/>
      <w:szCs w:val="20"/>
    </w:rPr>
  </w:style>
  <w:style w:type="character" w:customStyle="1" w:styleId="FootnoteTextChar">
    <w:name w:val="Footnote Text Char"/>
    <w:basedOn w:val="DefaultParagraphFont"/>
    <w:link w:val="FootnoteText"/>
    <w:uiPriority w:val="99"/>
    <w:semiHidden/>
    <w:rsid w:val="00D12D6F"/>
    <w:rPr>
      <w:lang w:val="en-GB"/>
    </w:rPr>
  </w:style>
  <w:style w:type="character" w:styleId="FootnoteReference">
    <w:name w:val="footnote reference"/>
    <w:basedOn w:val="DefaultParagraphFont"/>
    <w:uiPriority w:val="99"/>
    <w:semiHidden/>
    <w:unhideWhenUsed/>
    <w:rsid w:val="00D12D6F"/>
    <w:rPr>
      <w:vertAlign w:val="superscript"/>
    </w:rPr>
  </w:style>
  <w:style w:type="paragraph" w:styleId="ListParagraph">
    <w:name w:val="List Paragraph"/>
    <w:basedOn w:val="Normal"/>
    <w:uiPriority w:val="34"/>
    <w:qFormat/>
    <w:rsid w:val="00D12D6F"/>
    <w:pPr>
      <w:ind w:left="720"/>
      <w:contextualSpacing/>
    </w:pPr>
  </w:style>
  <w:style w:type="paragraph" w:styleId="NormalWeb">
    <w:name w:val="Normal (Web)"/>
    <w:basedOn w:val="Normal"/>
    <w:uiPriority w:val="99"/>
    <w:unhideWhenUsed/>
    <w:rsid w:val="00020C41"/>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8666">
      <w:bodyDiv w:val="1"/>
      <w:marLeft w:val="0"/>
      <w:marRight w:val="0"/>
      <w:marTop w:val="0"/>
      <w:marBottom w:val="0"/>
      <w:divBdr>
        <w:top w:val="none" w:sz="0" w:space="0" w:color="auto"/>
        <w:left w:val="none" w:sz="0" w:space="0" w:color="auto"/>
        <w:bottom w:val="none" w:sz="0" w:space="0" w:color="auto"/>
        <w:right w:val="none" w:sz="0" w:space="0" w:color="auto"/>
      </w:divBdr>
      <w:divsChild>
        <w:div w:id="1267926688">
          <w:marLeft w:val="0"/>
          <w:marRight w:val="0"/>
          <w:marTop w:val="0"/>
          <w:marBottom w:val="0"/>
          <w:divBdr>
            <w:top w:val="none" w:sz="0" w:space="0" w:color="auto"/>
            <w:left w:val="none" w:sz="0" w:space="0" w:color="auto"/>
            <w:bottom w:val="none" w:sz="0" w:space="0" w:color="auto"/>
            <w:right w:val="none" w:sz="0" w:space="0" w:color="auto"/>
          </w:divBdr>
          <w:divsChild>
            <w:div w:id="1790195955">
              <w:marLeft w:val="0"/>
              <w:marRight w:val="0"/>
              <w:marTop w:val="0"/>
              <w:marBottom w:val="0"/>
              <w:divBdr>
                <w:top w:val="none" w:sz="0" w:space="0" w:color="auto"/>
                <w:left w:val="none" w:sz="0" w:space="0" w:color="auto"/>
                <w:bottom w:val="none" w:sz="0" w:space="0" w:color="auto"/>
                <w:right w:val="none" w:sz="0" w:space="0" w:color="auto"/>
              </w:divBdr>
              <w:divsChild>
                <w:div w:id="9244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8831">
      <w:bodyDiv w:val="1"/>
      <w:marLeft w:val="0"/>
      <w:marRight w:val="0"/>
      <w:marTop w:val="0"/>
      <w:marBottom w:val="0"/>
      <w:divBdr>
        <w:top w:val="none" w:sz="0" w:space="0" w:color="auto"/>
        <w:left w:val="none" w:sz="0" w:space="0" w:color="auto"/>
        <w:bottom w:val="none" w:sz="0" w:space="0" w:color="auto"/>
        <w:right w:val="none" w:sz="0" w:space="0" w:color="auto"/>
      </w:divBdr>
      <w:divsChild>
        <w:div w:id="1877311001">
          <w:marLeft w:val="0"/>
          <w:marRight w:val="0"/>
          <w:marTop w:val="0"/>
          <w:marBottom w:val="0"/>
          <w:divBdr>
            <w:top w:val="none" w:sz="0" w:space="0" w:color="auto"/>
            <w:left w:val="none" w:sz="0" w:space="0" w:color="auto"/>
            <w:bottom w:val="none" w:sz="0" w:space="0" w:color="auto"/>
            <w:right w:val="none" w:sz="0" w:space="0" w:color="auto"/>
          </w:divBdr>
          <w:divsChild>
            <w:div w:id="590896925">
              <w:marLeft w:val="0"/>
              <w:marRight w:val="0"/>
              <w:marTop w:val="0"/>
              <w:marBottom w:val="0"/>
              <w:divBdr>
                <w:top w:val="none" w:sz="0" w:space="0" w:color="auto"/>
                <w:left w:val="none" w:sz="0" w:space="0" w:color="auto"/>
                <w:bottom w:val="none" w:sz="0" w:space="0" w:color="auto"/>
                <w:right w:val="none" w:sz="0" w:space="0" w:color="auto"/>
              </w:divBdr>
              <w:divsChild>
                <w:div w:id="328219793">
                  <w:marLeft w:val="0"/>
                  <w:marRight w:val="0"/>
                  <w:marTop w:val="0"/>
                  <w:marBottom w:val="0"/>
                  <w:divBdr>
                    <w:top w:val="none" w:sz="0" w:space="0" w:color="auto"/>
                    <w:left w:val="none" w:sz="0" w:space="0" w:color="auto"/>
                    <w:bottom w:val="none" w:sz="0" w:space="0" w:color="auto"/>
                    <w:right w:val="none" w:sz="0" w:space="0" w:color="auto"/>
                  </w:divBdr>
                  <w:divsChild>
                    <w:div w:id="4941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4970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86487C9FB6F4EBDAE4F9BF2BADC67" ma:contentTypeVersion="1" ma:contentTypeDescription="Create a new document." ma:contentTypeScope="" ma:versionID="dde0cf08f0de2d5ded6bad66deab1706">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UNEP/OzL.Pro/ExCom/83/6</Document_x0020_Number>
  </documentManagement>
</p:properties>
</file>

<file path=customXml/itemProps1.xml><?xml version="1.0" encoding="utf-8"?>
<ds:datastoreItem xmlns:ds="http://schemas.openxmlformats.org/officeDocument/2006/customXml" ds:itemID="{3FE6D3B9-3CA6-4DCB-B625-283E49EFF528}"/>
</file>

<file path=customXml/itemProps2.xml><?xml version="1.0" encoding="utf-8"?>
<ds:datastoreItem xmlns:ds="http://schemas.openxmlformats.org/officeDocument/2006/customXml" ds:itemID="{4BF34638-4260-44E4-99F1-7E7318C6CDB8}"/>
</file>

<file path=customXml/itemProps3.xml><?xml version="1.0" encoding="utf-8"?>
<ds:datastoreItem xmlns:ds="http://schemas.openxmlformats.org/officeDocument/2006/customXml" ds:itemID="{72BC81F1-37F6-409B-BEFE-D7836E817599}"/>
</file>

<file path=customXml/itemProps4.xml><?xml version="1.0" encoding="utf-8"?>
<ds:datastoreItem xmlns:ds="http://schemas.openxmlformats.org/officeDocument/2006/customXml" ds:itemID="{081ECDB9-3B8C-4C36-9FB0-10CEF0365477}"/>
</file>

<file path=docProps/app.xml><?xml version="1.0" encoding="utf-8"?>
<Properties xmlns="http://schemas.openxmlformats.org/officeDocument/2006/extended-properties" xmlns:vt="http://schemas.openxmlformats.org/officeDocument/2006/docPropsVTypes">
  <Template>normal</Template>
  <TotalTime>860</TotalTime>
  <Pages>4</Pages>
  <Words>1338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Conciliación de las cuentas de 2017</vt:lpstr>
    </vt:vector>
  </TitlesOfParts>
  <Company>UNMFS</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Conciliación de las cuentas de 2017</dc:title>
  <dc:creator>C R</dc:creator>
  <cp:lastModifiedBy>HBE</cp:lastModifiedBy>
  <cp:revision>108</cp:revision>
  <cp:lastPrinted>2019-05-02T12:07:00Z</cp:lastPrinted>
  <dcterms:created xsi:type="dcterms:W3CDTF">2019-05-01T14:38:00Z</dcterms:created>
  <dcterms:modified xsi:type="dcterms:W3CDTF">2019-05-09T15:42:00Z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UNEP/OzL.Pro/ExCom/83/6</vt:lpwstr>
  </property>
  <property fmtid="{D5CDD505-2E9C-101B-9397-08002B2CF9AE}" pid="3" name="Revision date">
    <vt:lpwstr>4/30/2019</vt:lpwstr>
  </property>
  <property fmtid="{D5CDD505-2E9C-101B-9397-08002B2CF9AE}" pid="4" name="ContentTypeId">
    <vt:lpwstr>0x010100AA786487C9FB6F4EBDAE4F9BF2BADC67</vt:lpwstr>
  </property>
</Properties>
</file>