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424"/>
        <w:gridCol w:w="4590"/>
      </w:tblGrid>
      <w:tr w:rsidR="00EA76D3" w:rsidTr="000B58C3">
        <w:trPr>
          <w:trHeight w:val="720"/>
        </w:trPr>
        <w:tc>
          <w:tcPr>
            <w:tcW w:w="6494" w:type="dxa"/>
            <w:gridSpan w:val="2"/>
            <w:tcBorders>
              <w:bottom w:val="single" w:sz="18" w:space="0" w:color="auto"/>
            </w:tcBorders>
          </w:tcPr>
          <w:p w:rsidR="00EA76D3" w:rsidRDefault="00EA76D3" w:rsidP="000B58C3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NACIONES</w:t>
            </w:r>
          </w:p>
          <w:p w:rsidR="00EA76D3" w:rsidRDefault="00EA76D3" w:rsidP="000B58C3">
            <w:pPr>
              <w:rPr>
                <w:rFonts w:ascii="Univers" w:hAnsi="Univers"/>
                <w:b/>
                <w:sz w:val="28"/>
                <w:szCs w:val="28"/>
                <w:lang w:val="es-MX"/>
              </w:rPr>
            </w:pPr>
            <w:r>
              <w:rPr>
                <w:rFonts w:ascii="Univers" w:hAnsi="Univers"/>
                <w:b/>
                <w:sz w:val="28"/>
                <w:szCs w:val="28"/>
                <w:lang w:val="es-MX"/>
              </w:rPr>
              <w:t>UNIDAS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:rsidR="00EA76D3" w:rsidRDefault="00EA76D3" w:rsidP="000B58C3">
            <w:pPr>
              <w:jc w:val="right"/>
              <w:rPr>
                <w:rFonts w:asciiTheme="minorBidi" w:hAnsiTheme="minorBidi" w:cstheme="minorBidi"/>
                <w:sz w:val="52"/>
                <w:szCs w:val="52"/>
              </w:rPr>
            </w:pPr>
            <w:r>
              <w:rPr>
                <w:rFonts w:asciiTheme="minorBidi" w:hAnsiTheme="minorBidi" w:cstheme="minorBidi"/>
                <w:b/>
                <w:sz w:val="72"/>
              </w:rPr>
              <w:t>EP</w:t>
            </w:r>
          </w:p>
        </w:tc>
      </w:tr>
      <w:tr w:rsidR="00EA76D3" w:rsidRPr="00EA76D3" w:rsidTr="000B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A76D3" w:rsidRDefault="00EA76D3" w:rsidP="000B58C3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092C056D" wp14:editId="78D8DCF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868680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0" allowOverlap="1" wp14:anchorId="32A2F788" wp14:editId="30FEEE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A76D3" w:rsidRDefault="00EA76D3" w:rsidP="000B58C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</w:p>
          <w:p w:rsidR="00EA76D3" w:rsidRDefault="00EA76D3" w:rsidP="000B58C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Programa de las</w:t>
            </w:r>
          </w:p>
          <w:p w:rsidR="00EA76D3" w:rsidRDefault="00EA76D3" w:rsidP="000B58C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Naciones Unidas</w:t>
            </w:r>
          </w:p>
          <w:p w:rsidR="00EA76D3" w:rsidRDefault="00EA76D3" w:rsidP="000B58C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MX"/>
              </w:rPr>
            </w:pPr>
            <w:r>
              <w:rPr>
                <w:rFonts w:ascii="Univers" w:hAnsi="Univers"/>
                <w:b/>
                <w:sz w:val="32"/>
                <w:lang w:val="es-MX"/>
              </w:rPr>
              <w:t>para el Medio Ambiente</w:t>
            </w:r>
          </w:p>
          <w:p w:rsidR="00EA76D3" w:rsidRDefault="00EA76D3" w:rsidP="000B58C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 Bold" w:hAnsi="Univers Bold"/>
                <w:b/>
                <w:sz w:val="32"/>
                <w:lang w:val="es-MX"/>
              </w:rPr>
            </w:pPr>
          </w:p>
          <w:p w:rsidR="00EA76D3" w:rsidRDefault="00EA76D3" w:rsidP="000B58C3">
            <w:pPr>
              <w:spacing w:before="720"/>
              <w:ind w:left="158"/>
              <w:rPr>
                <w:lang w:val="es-E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A76D3" w:rsidRDefault="00EA76D3" w:rsidP="000B58C3">
            <w:pPr>
              <w:rPr>
                <w:lang w:val="es-ES"/>
              </w:rPr>
            </w:pPr>
          </w:p>
          <w:p w:rsidR="00EA76D3" w:rsidRDefault="00EA76D3" w:rsidP="000B58C3">
            <w:pPr>
              <w:rPr>
                <w:lang w:val="es-ES"/>
              </w:rPr>
            </w:pPr>
            <w:r>
              <w:rPr>
                <w:lang w:val="es-ES"/>
              </w:rPr>
              <w:t>Distr.</w:t>
            </w:r>
          </w:p>
          <w:p w:rsidR="00EA76D3" w:rsidRDefault="00EA76D3" w:rsidP="000B58C3">
            <w:pPr>
              <w:rPr>
                <w:lang w:val="es-ES"/>
              </w:rPr>
            </w:pPr>
            <w:r>
              <w:rPr>
                <w:lang w:val="es-ES"/>
              </w:rPr>
              <w:t>GENERAL</w:t>
            </w:r>
          </w:p>
          <w:p w:rsidR="00EA76D3" w:rsidRDefault="00EA76D3" w:rsidP="000B58C3">
            <w:pPr>
              <w:rPr>
                <w:lang w:val="es-ES"/>
              </w:rPr>
            </w:pPr>
          </w:p>
          <w:p w:rsidR="00EA76D3" w:rsidRDefault="00EA76D3" w:rsidP="000B58C3">
            <w:pPr>
              <w:rPr>
                <w:lang w:val="es-ES"/>
              </w:rPr>
            </w:pPr>
            <w:r>
              <w:fldChar w:fldCharType="begin"/>
            </w:r>
            <w:r>
              <w:rPr>
                <w:lang w:val="es-ES"/>
              </w:rPr>
              <w:instrText xml:space="preserve"> DOCPROPERTY "Document number"  \* MERGEFORMAT </w:instrText>
            </w:r>
            <w:r>
              <w:fldChar w:fldCharType="separate"/>
            </w:r>
            <w:r w:rsidR="00A30732">
              <w:rPr>
                <w:lang w:val="es-ES"/>
              </w:rPr>
              <w:t>UNEP/OzL.Pro/ExCom/83/30</w:t>
            </w:r>
            <w:r>
              <w:fldChar w:fldCharType="end"/>
            </w:r>
          </w:p>
          <w:p w:rsidR="00EA76D3" w:rsidRDefault="00EA76D3" w:rsidP="000B58C3">
            <w:pPr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29 </w:t>
            </w:r>
            <w:r>
              <w:rPr>
                <w:lang w:val="es-ES"/>
              </w:rPr>
              <w:t xml:space="preserve">de abril de </w:t>
            </w:r>
            <w:r>
              <w:rPr>
                <w:caps/>
                <w:lang w:val="es-ES"/>
              </w:rPr>
              <w:t>2019</w:t>
            </w:r>
          </w:p>
          <w:p w:rsidR="00EA76D3" w:rsidRDefault="00EA76D3" w:rsidP="000B58C3">
            <w:pPr>
              <w:rPr>
                <w:caps/>
                <w:lang w:val="es-ES"/>
              </w:rPr>
            </w:pPr>
          </w:p>
          <w:p w:rsidR="00EA76D3" w:rsidRDefault="00EA76D3" w:rsidP="000B58C3">
            <w:pPr>
              <w:rPr>
                <w:lang w:val="es-MX"/>
              </w:rPr>
            </w:pPr>
            <w:r>
              <w:rPr>
                <w:lang w:val="es-MX"/>
              </w:rPr>
              <w:t xml:space="preserve">ESPAÑOL </w:t>
            </w:r>
          </w:p>
          <w:p w:rsidR="00EA76D3" w:rsidRDefault="00EA76D3" w:rsidP="000B58C3">
            <w:pPr>
              <w:rPr>
                <w:lang w:val="es-ES"/>
              </w:rPr>
            </w:pPr>
            <w:r>
              <w:rPr>
                <w:lang w:val="es-ES"/>
              </w:rPr>
              <w:t xml:space="preserve">ORIGINAL: </w:t>
            </w:r>
            <w:r>
              <w:rPr>
                <w:lang w:val="es-MX"/>
              </w:rPr>
              <w:t>INGLÉS</w:t>
            </w:r>
          </w:p>
        </w:tc>
      </w:tr>
    </w:tbl>
    <w:p w:rsidR="00EA76D3" w:rsidRDefault="00EA76D3" w:rsidP="00EA76D3">
      <w:pPr>
        <w:jc w:val="left"/>
        <w:rPr>
          <w:lang w:val="es-MX"/>
        </w:rPr>
      </w:pPr>
      <w:r>
        <w:rPr>
          <w:lang w:val="es-MX"/>
        </w:rPr>
        <w:t>COMITÉ EJECUTIVO DEL FONDO MULTILATERAL</w:t>
      </w:r>
      <w:r>
        <w:rPr>
          <w:lang w:val="es-MX"/>
        </w:rPr>
        <w:br/>
        <w:t xml:space="preserve">  PARA LA APLICACIÓN DEL</w:t>
      </w:r>
      <w:r>
        <w:rPr>
          <w:lang w:val="es-MX"/>
        </w:rPr>
        <w:br/>
        <w:t xml:space="preserve">  PROTOCOLO DE MONTREAL</w:t>
      </w:r>
    </w:p>
    <w:p w:rsidR="00EA76D3" w:rsidRDefault="00EA76D3" w:rsidP="00EA76D3">
      <w:pPr>
        <w:jc w:val="left"/>
        <w:rPr>
          <w:lang w:val="es-ES"/>
        </w:rPr>
      </w:pPr>
      <w:r>
        <w:rPr>
          <w:lang w:val="es-ES"/>
        </w:rPr>
        <w:t>Octogésima tercera Reunión</w:t>
      </w:r>
      <w:r>
        <w:rPr>
          <w:lang w:val="es-ES"/>
        </w:rPr>
        <w:br/>
        <w:t>Montreal, 27 – 31 de mayo de 2019</w:t>
      </w:r>
    </w:p>
    <w:p w:rsidR="00EA76D3" w:rsidRDefault="00EA76D3" w:rsidP="00EA76D3">
      <w:pPr>
        <w:jc w:val="left"/>
        <w:rPr>
          <w:lang w:val="es-ES"/>
        </w:rPr>
      </w:pPr>
    </w:p>
    <w:p w:rsidR="00C15867" w:rsidRPr="00976669" w:rsidRDefault="00C15867" w:rsidP="009960E5">
      <w:pPr>
        <w:jc w:val="left"/>
        <w:rPr>
          <w:lang w:val="es-ES_tradnl"/>
        </w:rPr>
      </w:pPr>
    </w:p>
    <w:p w:rsidR="00FE3307" w:rsidRPr="00976669" w:rsidRDefault="00FE3307" w:rsidP="000858D0">
      <w:pPr>
        <w:rPr>
          <w:lang w:val="es-ES_tradnl"/>
        </w:rPr>
      </w:pPr>
    </w:p>
    <w:p w:rsidR="00FE3307" w:rsidRPr="00976669" w:rsidRDefault="00FE3307" w:rsidP="000858D0">
      <w:pPr>
        <w:jc w:val="center"/>
        <w:rPr>
          <w:b/>
          <w:lang w:val="es-ES_tradnl"/>
        </w:rPr>
      </w:pPr>
      <w:r w:rsidRPr="00976669">
        <w:rPr>
          <w:b/>
          <w:lang w:val="es-ES_tradnl"/>
        </w:rPr>
        <w:t>PR</w:t>
      </w:r>
      <w:r w:rsidR="006E4307" w:rsidRPr="00976669">
        <w:rPr>
          <w:b/>
          <w:lang w:val="es-ES_tradnl"/>
        </w:rPr>
        <w:t>OPUESTA DE PROYECTO</w:t>
      </w:r>
      <w:r w:rsidRPr="00976669">
        <w:rPr>
          <w:b/>
          <w:lang w:val="es-ES_tradnl"/>
        </w:rPr>
        <w:t xml:space="preserve">:  </w:t>
      </w:r>
      <w:r w:rsidR="00F665A9" w:rsidRPr="00976669">
        <w:rPr>
          <w:b/>
          <w:lang w:val="es-ES_tradnl"/>
        </w:rPr>
        <w:t>MALI</w:t>
      </w:r>
    </w:p>
    <w:p w:rsidR="00FE3307" w:rsidRPr="00976669" w:rsidRDefault="00FE3307" w:rsidP="000858D0">
      <w:pPr>
        <w:rPr>
          <w:lang w:val="es-ES_tradnl"/>
        </w:rPr>
      </w:pPr>
    </w:p>
    <w:p w:rsidR="00FE3307" w:rsidRPr="00976669" w:rsidRDefault="00FE3307" w:rsidP="000858D0">
      <w:pPr>
        <w:rPr>
          <w:lang w:val="es-ES_tradnl"/>
        </w:rPr>
      </w:pPr>
    </w:p>
    <w:p w:rsidR="00FE3307" w:rsidRPr="006E4307" w:rsidRDefault="006E4307" w:rsidP="000858D0">
      <w:pPr>
        <w:ind w:firstLine="720"/>
        <w:rPr>
          <w:lang w:val="es-ES"/>
        </w:rPr>
      </w:pPr>
      <w:r w:rsidRPr="006E4307">
        <w:rPr>
          <w:lang w:val="es-ES"/>
        </w:rPr>
        <w:t xml:space="preserve">El presente </w:t>
      </w:r>
      <w:r w:rsidR="00EE38B6" w:rsidRPr="006E4307">
        <w:rPr>
          <w:lang w:val="es-ES"/>
        </w:rPr>
        <w:t>documento</w:t>
      </w:r>
      <w:r w:rsidRPr="006E4307">
        <w:rPr>
          <w:lang w:val="es-ES"/>
        </w:rPr>
        <w:t xml:space="preserve"> consta de las observaciones y la recomendación de la Secretaría sobre la propuesta de proyecto siguiente</w:t>
      </w:r>
      <w:r w:rsidR="00FE3307" w:rsidRPr="006E4307">
        <w:rPr>
          <w:lang w:val="es-ES"/>
        </w:rPr>
        <w:t xml:space="preserve">: </w:t>
      </w:r>
    </w:p>
    <w:p w:rsidR="00FE3307" w:rsidRPr="006E4307" w:rsidRDefault="00FE3307" w:rsidP="000858D0">
      <w:pPr>
        <w:rPr>
          <w:lang w:val="es-ES"/>
        </w:rPr>
      </w:pPr>
    </w:p>
    <w:p w:rsidR="00FE3307" w:rsidRPr="00DC4384" w:rsidRDefault="006E4307" w:rsidP="000858D0">
      <w:pPr>
        <w:rPr>
          <w:u w:val="single"/>
          <w:lang w:val="en-CA"/>
        </w:rPr>
      </w:pPr>
      <w:r>
        <w:rPr>
          <w:u w:val="single"/>
          <w:lang w:val="en-CA"/>
        </w:rPr>
        <w:t>Eliminación</w:t>
      </w:r>
    </w:p>
    <w:p w:rsidR="00FE3307" w:rsidRPr="00DC4384" w:rsidRDefault="00FE3307" w:rsidP="000858D0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E3307" w:rsidRPr="00DC4384" w:rsidTr="000B2B04">
        <w:tc>
          <w:tcPr>
            <w:tcW w:w="6941" w:type="dxa"/>
          </w:tcPr>
          <w:p w:rsidR="00FE3307" w:rsidRPr="00FC70C1" w:rsidRDefault="00FC70C1" w:rsidP="00FC70C1">
            <w:pPr>
              <w:pStyle w:val="ListParagraph"/>
              <w:numPr>
                <w:ilvl w:val="0"/>
                <w:numId w:val="21"/>
              </w:numPr>
              <w:ind w:hanging="830"/>
              <w:rPr>
                <w:lang w:val="es-ES"/>
              </w:rPr>
            </w:pPr>
            <w:r w:rsidRPr="00FC70C1">
              <w:rPr>
                <w:lang w:val="es-ES"/>
              </w:rPr>
              <w:t>Plan de gestión de eliminaci</w:t>
            </w:r>
            <w:r>
              <w:rPr>
                <w:lang w:val="es-ES"/>
              </w:rPr>
              <w:t xml:space="preserve">ón de los </w:t>
            </w:r>
            <w:r w:rsidR="00FE3307" w:rsidRPr="00FC70C1">
              <w:rPr>
                <w:lang w:val="es-ES"/>
              </w:rPr>
              <w:t>HCFC (</w:t>
            </w:r>
            <w:r w:rsidR="006E4307" w:rsidRPr="00FC70C1">
              <w:rPr>
                <w:lang w:val="es-ES"/>
              </w:rPr>
              <w:t>etapa</w:t>
            </w:r>
            <w:r w:rsidR="00FE3307" w:rsidRPr="00FC70C1">
              <w:rPr>
                <w:lang w:val="es-ES"/>
              </w:rPr>
              <w:t xml:space="preserve"> I, </w:t>
            </w:r>
            <w:r w:rsidR="006E4307" w:rsidRPr="00FC70C1">
              <w:rPr>
                <w:lang w:val="es-ES"/>
              </w:rPr>
              <w:t>cuarto tramo</w:t>
            </w:r>
            <w:r w:rsidR="00FE3307" w:rsidRPr="00FC70C1">
              <w:rPr>
                <w:lang w:val="es-ES"/>
              </w:rPr>
              <w:t>)</w:t>
            </w:r>
          </w:p>
        </w:tc>
        <w:tc>
          <w:tcPr>
            <w:tcW w:w="2409" w:type="dxa"/>
          </w:tcPr>
          <w:p w:rsidR="00FE3307" w:rsidRPr="00DC4384" w:rsidRDefault="006E4307" w:rsidP="00FC70C1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PNUMA</w:t>
            </w:r>
            <w:r w:rsidR="00FC70C1">
              <w:rPr>
                <w:lang w:val="en-CA"/>
              </w:rPr>
              <w:t xml:space="preserve"> y PNUD</w:t>
            </w:r>
          </w:p>
        </w:tc>
      </w:tr>
    </w:tbl>
    <w:p w:rsidR="00FE3307" w:rsidRPr="00DC4384" w:rsidRDefault="00FE3307" w:rsidP="000858D0">
      <w:pPr>
        <w:rPr>
          <w:lang w:val="en-CA"/>
        </w:rPr>
      </w:pPr>
    </w:p>
    <w:p w:rsidR="00FE3307" w:rsidRPr="00DC4384" w:rsidRDefault="00FE3307" w:rsidP="000858D0">
      <w:pPr>
        <w:rPr>
          <w:lang w:val="en-CA"/>
        </w:rPr>
      </w:pPr>
    </w:p>
    <w:p w:rsidR="00FE3307" w:rsidRPr="00DC4384" w:rsidRDefault="00FE3307" w:rsidP="000858D0">
      <w:pPr>
        <w:rPr>
          <w:lang w:val="en-CA"/>
        </w:rPr>
      </w:pPr>
    </w:p>
    <w:p w:rsidR="00FE3307" w:rsidRPr="00DC4384" w:rsidRDefault="00FE3307" w:rsidP="000858D0">
      <w:pPr>
        <w:rPr>
          <w:lang w:val="en-CA"/>
        </w:rPr>
      </w:pPr>
      <w:r w:rsidRPr="00DC4384">
        <w:rPr>
          <w:lang w:val="en-CA"/>
        </w:rPr>
        <w:br w:type="page"/>
      </w:r>
    </w:p>
    <w:p w:rsidR="00FE3307" w:rsidRPr="00FC70C1" w:rsidRDefault="00FC70C1" w:rsidP="000858D0">
      <w:pPr>
        <w:jc w:val="center"/>
        <w:rPr>
          <w:b/>
          <w:lang w:val="es-ES"/>
        </w:rPr>
      </w:pPr>
      <w:r w:rsidRPr="00FC70C1">
        <w:rPr>
          <w:b/>
          <w:lang w:val="es-ES"/>
        </w:rPr>
        <w:lastRenderedPageBreak/>
        <w:t xml:space="preserve">HOJA DE </w:t>
      </w:r>
      <w:r w:rsidR="00FE3307" w:rsidRPr="00FC70C1">
        <w:rPr>
          <w:b/>
          <w:lang w:val="es-ES"/>
        </w:rPr>
        <w:t>EVALUA</w:t>
      </w:r>
      <w:r w:rsidRPr="00FC70C1">
        <w:rPr>
          <w:b/>
          <w:lang w:val="es-ES"/>
        </w:rPr>
        <w:t>C</w:t>
      </w:r>
      <w:r w:rsidR="00FE3307" w:rsidRPr="00FC70C1">
        <w:rPr>
          <w:b/>
          <w:lang w:val="es-ES"/>
        </w:rPr>
        <w:t>I</w:t>
      </w:r>
      <w:r w:rsidRPr="00FC70C1">
        <w:rPr>
          <w:b/>
          <w:lang w:val="es-ES"/>
        </w:rPr>
        <w:t>Ó</w:t>
      </w:r>
      <w:r w:rsidR="00FE3307" w:rsidRPr="00FC70C1">
        <w:rPr>
          <w:b/>
          <w:lang w:val="es-ES"/>
        </w:rPr>
        <w:t xml:space="preserve">N </w:t>
      </w:r>
      <w:r>
        <w:rPr>
          <w:b/>
          <w:lang w:val="es-ES"/>
        </w:rPr>
        <w:t>DE PROYECTOS</w:t>
      </w:r>
      <w:r w:rsidR="00FE3307" w:rsidRPr="00FC70C1">
        <w:rPr>
          <w:b/>
          <w:lang w:val="es-ES"/>
        </w:rPr>
        <w:t xml:space="preserve"> – </w:t>
      </w:r>
      <w:r w:rsidRPr="00FC70C1">
        <w:rPr>
          <w:b/>
          <w:lang w:val="es-ES"/>
        </w:rPr>
        <w:t>PROYECTOS PLURIANUALES</w:t>
      </w:r>
    </w:p>
    <w:p w:rsidR="00FE3307" w:rsidRPr="00FC70C1" w:rsidRDefault="00FE3307" w:rsidP="000858D0">
      <w:pPr>
        <w:jc w:val="center"/>
        <w:rPr>
          <w:lang w:val="es-ES"/>
        </w:rPr>
      </w:pPr>
    </w:p>
    <w:p w:rsidR="00FE3307" w:rsidRPr="00DC4384" w:rsidRDefault="00F665A9" w:rsidP="000858D0">
      <w:pPr>
        <w:jc w:val="center"/>
        <w:rPr>
          <w:b/>
          <w:lang w:val="en-CA"/>
        </w:rPr>
      </w:pPr>
      <w:r w:rsidRPr="00DC4384">
        <w:rPr>
          <w:b/>
          <w:lang w:val="en-CA"/>
        </w:rPr>
        <w:t>Mali</w:t>
      </w:r>
    </w:p>
    <w:p w:rsidR="00FE3307" w:rsidRPr="00DC4384" w:rsidRDefault="00FE3307" w:rsidP="000858D0">
      <w:pPr>
        <w:jc w:val="center"/>
        <w:rPr>
          <w:lang w:val="en-CA"/>
        </w:rPr>
      </w:pPr>
    </w:p>
    <w:tbl>
      <w:tblPr>
        <w:tblStyle w:val="TableGrid"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2499"/>
        <w:gridCol w:w="2499"/>
        <w:gridCol w:w="2501"/>
        <w:gridCol w:w="2501"/>
      </w:tblGrid>
      <w:tr w:rsidR="00F665A9" w:rsidRPr="00DC4384" w:rsidTr="009B37E9">
        <w:trPr>
          <w:trHeight w:hRule="exact" w:val="227"/>
        </w:trPr>
        <w:tc>
          <w:tcPr>
            <w:tcW w:w="2499" w:type="dxa"/>
            <w:shd w:val="clear" w:color="auto" w:fill="auto"/>
          </w:tcPr>
          <w:p w:rsidR="00F665A9" w:rsidRPr="00DC4384" w:rsidRDefault="00EA76D3" w:rsidP="000858D0">
            <w:pPr>
              <w:spacing w:after="80"/>
              <w:jc w:val="lef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I) TÍTULO DEL PROYECTO</w:t>
            </w:r>
          </w:p>
        </w:tc>
        <w:tc>
          <w:tcPr>
            <w:tcW w:w="2499" w:type="dxa"/>
            <w:shd w:val="clear" w:color="auto" w:fill="auto"/>
          </w:tcPr>
          <w:p w:rsidR="00F665A9" w:rsidRPr="00DC4384" w:rsidRDefault="00EA76D3" w:rsidP="00EA76D3">
            <w:pPr>
              <w:spacing w:after="8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ORGANISMO</w:t>
            </w:r>
          </w:p>
        </w:tc>
        <w:tc>
          <w:tcPr>
            <w:tcW w:w="2501" w:type="dxa"/>
            <w:shd w:val="clear" w:color="auto" w:fill="auto"/>
          </w:tcPr>
          <w:p w:rsidR="00F665A9" w:rsidRPr="00EA76D3" w:rsidRDefault="00EA76D3" w:rsidP="00EA76D3">
            <w:pPr>
              <w:spacing w:after="80"/>
              <w:jc w:val="center"/>
              <w:rPr>
                <w:b/>
                <w:sz w:val="16"/>
                <w:szCs w:val="16"/>
                <w:lang w:val="es-ES"/>
              </w:rPr>
            </w:pPr>
            <w:r w:rsidRPr="00EA76D3">
              <w:rPr>
                <w:b/>
                <w:sz w:val="16"/>
                <w:szCs w:val="16"/>
                <w:lang w:val="es-ES"/>
              </w:rPr>
              <w:t>REUNIÓN EN QUE SE APROGÓ</w:t>
            </w:r>
          </w:p>
        </w:tc>
        <w:tc>
          <w:tcPr>
            <w:tcW w:w="2501" w:type="dxa"/>
            <w:shd w:val="clear" w:color="auto" w:fill="auto"/>
          </w:tcPr>
          <w:p w:rsidR="00F665A9" w:rsidRPr="00DC4384" w:rsidRDefault="00EA76D3" w:rsidP="000858D0">
            <w:pPr>
              <w:spacing w:after="80"/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MEDIDA DE CONTROL</w:t>
            </w:r>
          </w:p>
        </w:tc>
      </w:tr>
      <w:tr w:rsidR="00F665A9" w:rsidRPr="00DC4384" w:rsidTr="009B37E9">
        <w:trPr>
          <w:trHeight w:hRule="exact" w:val="227"/>
        </w:trPr>
        <w:tc>
          <w:tcPr>
            <w:tcW w:w="2499" w:type="dxa"/>
            <w:shd w:val="clear" w:color="auto" w:fill="auto"/>
          </w:tcPr>
          <w:p w:rsidR="00F665A9" w:rsidRPr="00EA76D3" w:rsidRDefault="00EA76D3" w:rsidP="00EA76D3">
            <w:pPr>
              <w:spacing w:after="80"/>
              <w:jc w:val="center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 xml:space="preserve">Plan de eliminación de </w:t>
            </w:r>
            <w:r w:rsidR="00F665A9" w:rsidRPr="00EA76D3">
              <w:rPr>
                <w:sz w:val="18"/>
                <w:lang w:val="es-ES"/>
              </w:rPr>
              <w:t>HCFC (</w:t>
            </w:r>
            <w:r w:rsidRPr="00EA76D3">
              <w:rPr>
                <w:sz w:val="18"/>
                <w:lang w:val="es-ES"/>
              </w:rPr>
              <w:t>Etapa</w:t>
            </w:r>
            <w:r w:rsidR="00F665A9" w:rsidRPr="00EA76D3">
              <w:rPr>
                <w:sz w:val="18"/>
                <w:lang w:val="es-ES"/>
              </w:rPr>
              <w:t xml:space="preserve"> I)</w:t>
            </w:r>
          </w:p>
        </w:tc>
        <w:tc>
          <w:tcPr>
            <w:tcW w:w="2499" w:type="dxa"/>
            <w:shd w:val="clear" w:color="auto" w:fill="auto"/>
          </w:tcPr>
          <w:p w:rsidR="00F665A9" w:rsidRPr="00DC4384" w:rsidRDefault="00EA76D3" w:rsidP="00EA76D3">
            <w:pPr>
              <w:spacing w:after="8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PNUD, PNUMA (principal</w:t>
            </w:r>
            <w:r w:rsidR="00F665A9" w:rsidRPr="00DC4384">
              <w:rPr>
                <w:sz w:val="18"/>
                <w:lang w:val="en-CA"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F665A9" w:rsidRPr="00DC4384" w:rsidRDefault="00F665A9" w:rsidP="00EA76D3">
            <w:pPr>
              <w:spacing w:after="8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63</w:t>
            </w:r>
            <w:r w:rsidR="00EA76D3">
              <w:rPr>
                <w:sz w:val="18"/>
                <w:vertAlign w:val="superscript"/>
                <w:lang w:val="en-CA"/>
              </w:rPr>
              <w:t>ª</w:t>
            </w:r>
          </w:p>
        </w:tc>
        <w:tc>
          <w:tcPr>
            <w:tcW w:w="2501" w:type="dxa"/>
            <w:shd w:val="clear" w:color="auto" w:fill="auto"/>
          </w:tcPr>
          <w:p w:rsidR="00F665A9" w:rsidRPr="00DC4384" w:rsidRDefault="00285234" w:rsidP="000858D0">
            <w:pPr>
              <w:spacing w:after="8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35%</w:t>
            </w:r>
            <w:r w:rsidR="00EA76D3">
              <w:rPr>
                <w:sz w:val="18"/>
                <w:lang w:val="en-CA"/>
              </w:rPr>
              <w:t xml:space="preserve"> para</w:t>
            </w:r>
            <w:r w:rsidR="00F665A9" w:rsidRPr="00DC4384">
              <w:rPr>
                <w:sz w:val="18"/>
                <w:lang w:val="en-CA"/>
              </w:rPr>
              <w:t xml:space="preserve"> 2020</w:t>
            </w:r>
          </w:p>
        </w:tc>
      </w:tr>
    </w:tbl>
    <w:p w:rsidR="00F665A9" w:rsidRPr="00A07E4C" w:rsidRDefault="00F665A9" w:rsidP="000858D0">
      <w:pPr>
        <w:spacing w:after="60"/>
        <w:jc w:val="center"/>
        <w:rPr>
          <w:sz w:val="12"/>
          <w:szCs w:val="12"/>
          <w:lang w:val="en-CA"/>
        </w:rPr>
      </w:pPr>
    </w:p>
    <w:tbl>
      <w:tblPr>
        <w:tblStyle w:val="TableGrid"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5200"/>
        <w:gridCol w:w="2400"/>
        <w:gridCol w:w="2400"/>
      </w:tblGrid>
      <w:tr w:rsidR="00F665A9" w:rsidRPr="00DC4384" w:rsidTr="009B37E9">
        <w:trPr>
          <w:trHeight w:hRule="exact" w:val="238"/>
        </w:trPr>
        <w:tc>
          <w:tcPr>
            <w:tcW w:w="5200" w:type="dxa"/>
            <w:shd w:val="clear" w:color="auto" w:fill="auto"/>
          </w:tcPr>
          <w:p w:rsidR="00F665A9" w:rsidRPr="00EA76D3" w:rsidRDefault="00EE38B6" w:rsidP="00EA76D3">
            <w:pPr>
              <w:spacing w:after="60"/>
              <w:jc w:val="left"/>
              <w:rPr>
                <w:b/>
                <w:sz w:val="18"/>
                <w:lang w:val="es-ES"/>
              </w:rPr>
            </w:pPr>
            <w:r w:rsidRPr="00EA76D3">
              <w:rPr>
                <w:b/>
                <w:sz w:val="18"/>
                <w:lang w:val="es-ES"/>
              </w:rPr>
              <w:t>II) DATOS MÁS RECIENTES CON ARREGLO AL ARTÍCULO 7</w:t>
            </w:r>
            <w:r>
              <w:rPr>
                <w:b/>
                <w:sz w:val="18"/>
                <w:lang w:val="es-ES"/>
              </w:rPr>
              <w:t xml:space="preserve"> (grupo I del anexo</w:t>
            </w:r>
            <w:r w:rsidRPr="00EA76D3">
              <w:rPr>
                <w:b/>
                <w:sz w:val="18"/>
                <w:lang w:val="es-ES"/>
              </w:rPr>
              <w:t xml:space="preserve"> C)</w:t>
            </w:r>
          </w:p>
        </w:tc>
        <w:tc>
          <w:tcPr>
            <w:tcW w:w="2400" w:type="dxa"/>
            <w:shd w:val="clear" w:color="auto" w:fill="auto"/>
          </w:tcPr>
          <w:p w:rsidR="00F665A9" w:rsidRPr="00DC4384" w:rsidRDefault="00EA76D3" w:rsidP="00EA76D3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Año</w:t>
            </w:r>
            <w:r w:rsidR="00F665A9" w:rsidRPr="00DC4384">
              <w:rPr>
                <w:sz w:val="18"/>
                <w:lang w:val="en-CA"/>
              </w:rPr>
              <w:t>: 201</w:t>
            </w:r>
            <w:r w:rsidR="007509DA" w:rsidRPr="00DC4384">
              <w:rPr>
                <w:sz w:val="18"/>
                <w:lang w:val="en-CA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F665A9" w:rsidRPr="00DC4384" w:rsidRDefault="00F665A9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</w:t>
            </w:r>
            <w:r w:rsidR="00EA76D3">
              <w:rPr>
                <w:sz w:val="18"/>
                <w:lang w:val="en-CA"/>
              </w:rPr>
              <w:t>,</w:t>
            </w:r>
            <w:r w:rsidR="000B2B04" w:rsidRPr="00DC4384">
              <w:rPr>
                <w:sz w:val="18"/>
                <w:lang w:val="en-CA"/>
              </w:rPr>
              <w:t>08</w:t>
            </w:r>
            <w:r w:rsidRPr="00DC4384">
              <w:rPr>
                <w:sz w:val="18"/>
                <w:lang w:val="en-CA"/>
              </w:rPr>
              <w:t xml:space="preserve"> (</w:t>
            </w:r>
            <w:r w:rsidR="00EA76D3">
              <w:rPr>
                <w:sz w:val="18"/>
                <w:lang w:val="en-CA"/>
              </w:rPr>
              <w:t>toneladas PAO</w:t>
            </w:r>
            <w:r w:rsidRPr="00DC4384">
              <w:rPr>
                <w:sz w:val="18"/>
                <w:lang w:val="en-CA"/>
              </w:rPr>
              <w:t>)</w:t>
            </w:r>
          </w:p>
        </w:tc>
      </w:tr>
    </w:tbl>
    <w:p w:rsidR="00F665A9" w:rsidRPr="00A07E4C" w:rsidRDefault="00F665A9" w:rsidP="000858D0">
      <w:pPr>
        <w:spacing w:after="60"/>
        <w:jc w:val="center"/>
        <w:rPr>
          <w:sz w:val="12"/>
          <w:szCs w:val="12"/>
          <w:lang w:val="en-CA"/>
        </w:rPr>
      </w:pPr>
    </w:p>
    <w:tbl>
      <w:tblPr>
        <w:tblStyle w:val="TableGrid"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1199"/>
        <w:gridCol w:w="786"/>
        <w:gridCol w:w="866"/>
        <w:gridCol w:w="1047"/>
        <w:gridCol w:w="1066"/>
        <w:gridCol w:w="1316"/>
        <w:gridCol w:w="1066"/>
        <w:gridCol w:w="957"/>
        <w:gridCol w:w="582"/>
        <w:gridCol w:w="1115"/>
      </w:tblGrid>
      <w:tr w:rsidR="00EA76D3" w:rsidRPr="00DC4384" w:rsidTr="009B37E9">
        <w:trPr>
          <w:trHeight w:hRule="exact" w:val="227"/>
        </w:trPr>
        <w:tc>
          <w:tcPr>
            <w:tcW w:w="0" w:type="auto"/>
            <w:gridSpan w:val="8"/>
            <w:shd w:val="clear" w:color="auto" w:fill="auto"/>
          </w:tcPr>
          <w:p w:rsidR="00F665A9" w:rsidRPr="00EA76D3" w:rsidRDefault="00F665A9" w:rsidP="00EA76D3">
            <w:pPr>
              <w:spacing w:after="60"/>
              <w:jc w:val="left"/>
              <w:rPr>
                <w:b/>
                <w:sz w:val="18"/>
                <w:lang w:val="es-ES"/>
              </w:rPr>
            </w:pPr>
            <w:r w:rsidRPr="00EA76D3">
              <w:rPr>
                <w:b/>
                <w:sz w:val="18"/>
                <w:lang w:val="es-ES"/>
              </w:rPr>
              <w:t xml:space="preserve">III) </w:t>
            </w:r>
            <w:r w:rsidR="00EA76D3" w:rsidRPr="00EA76D3">
              <w:rPr>
                <w:b/>
                <w:sz w:val="18"/>
                <w:lang w:val="es-ES"/>
              </w:rPr>
              <w:t>DATOS SECTORIALES MÁS RECIENTES DEL PROGRAMA DE PA</w:t>
            </w:r>
            <w:r w:rsidR="00EA76D3">
              <w:rPr>
                <w:b/>
                <w:sz w:val="18"/>
                <w:lang w:val="es-ES"/>
              </w:rPr>
              <w:t>ÍS</w:t>
            </w:r>
            <w:r w:rsidRPr="00EA76D3">
              <w:rPr>
                <w:b/>
                <w:sz w:val="18"/>
                <w:lang w:val="es-ES"/>
              </w:rPr>
              <w:t xml:space="preserve"> (</w:t>
            </w:r>
            <w:r w:rsidR="00EA76D3" w:rsidRPr="00EA76D3">
              <w:rPr>
                <w:b/>
                <w:sz w:val="18"/>
                <w:lang w:val="es-ES"/>
              </w:rPr>
              <w:t>toneladas PAO</w:t>
            </w:r>
            <w:r w:rsidRPr="00EA76D3">
              <w:rPr>
                <w:b/>
                <w:sz w:val="18"/>
                <w:lang w:val="es-ES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65A9" w:rsidRPr="00DC4384" w:rsidRDefault="00EA76D3" w:rsidP="000858D0">
            <w:pPr>
              <w:spacing w:after="60"/>
              <w:jc w:val="righ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Año</w:t>
            </w:r>
            <w:r w:rsidR="00F665A9" w:rsidRPr="00DC4384">
              <w:rPr>
                <w:b/>
                <w:sz w:val="18"/>
                <w:lang w:val="en-CA"/>
              </w:rPr>
              <w:t>: 201</w:t>
            </w:r>
            <w:r w:rsidR="007509DA" w:rsidRPr="00DC4384">
              <w:rPr>
                <w:b/>
                <w:sz w:val="18"/>
                <w:lang w:val="en-CA"/>
              </w:rPr>
              <w:t>8</w:t>
            </w:r>
          </w:p>
        </w:tc>
      </w:tr>
      <w:tr w:rsidR="00EA76D3" w:rsidRPr="00A30732" w:rsidTr="009B37E9">
        <w:trPr>
          <w:trHeight w:hRule="exact" w:val="454"/>
        </w:trPr>
        <w:tc>
          <w:tcPr>
            <w:tcW w:w="0" w:type="auto"/>
            <w:shd w:val="clear" w:color="auto" w:fill="auto"/>
          </w:tcPr>
          <w:p w:rsidR="00F665A9" w:rsidRPr="00DC4384" w:rsidRDefault="00EA76D3" w:rsidP="00EA76D3">
            <w:pPr>
              <w:spacing w:after="60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Sustancia química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Aerosol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EA76D3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Espumas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Lucha contra incendios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65A9" w:rsidRPr="00DC4384" w:rsidRDefault="00F665A9" w:rsidP="00EA76D3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Refrigera</w:t>
            </w:r>
            <w:r w:rsidR="00EA76D3">
              <w:rPr>
                <w:sz w:val="18"/>
                <w:lang w:val="en-CA"/>
              </w:rPr>
              <w:t>ción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EA76D3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Disolventes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Agente de procesos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Uso en lab.</w:t>
            </w:r>
          </w:p>
        </w:tc>
        <w:tc>
          <w:tcPr>
            <w:tcW w:w="0" w:type="auto"/>
            <w:shd w:val="clear" w:color="auto" w:fill="auto"/>
          </w:tcPr>
          <w:p w:rsidR="00F665A9" w:rsidRPr="00EA76D3" w:rsidRDefault="00EA76D3" w:rsidP="000858D0">
            <w:pPr>
              <w:spacing w:after="60"/>
              <w:jc w:val="center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Consumo total de los sectores</w:t>
            </w:r>
          </w:p>
        </w:tc>
      </w:tr>
      <w:tr w:rsidR="00EA76D3" w:rsidRPr="00DC4384" w:rsidTr="009B37E9">
        <w:trPr>
          <w:trHeight w:hRule="exact" w:val="227"/>
        </w:trPr>
        <w:tc>
          <w:tcPr>
            <w:tcW w:w="0" w:type="auto"/>
            <w:gridSpan w:val="4"/>
            <w:shd w:val="clear" w:color="auto" w:fill="auto"/>
          </w:tcPr>
          <w:p w:rsidR="00F665A9" w:rsidRPr="00EA76D3" w:rsidRDefault="00F665A9" w:rsidP="000858D0">
            <w:pPr>
              <w:spacing w:after="60"/>
              <w:jc w:val="center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Fabricación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Mantenimiento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665A9" w:rsidRPr="00DC4384" w:rsidRDefault="00F665A9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</w:tr>
      <w:tr w:rsidR="00EA76D3" w:rsidRPr="00DC4384" w:rsidTr="009B37E9">
        <w:trPr>
          <w:trHeight w:hRule="exact" w:val="227"/>
        </w:trPr>
        <w:tc>
          <w:tcPr>
            <w:tcW w:w="1200" w:type="dxa"/>
            <w:shd w:val="clear" w:color="auto" w:fill="auto"/>
          </w:tcPr>
          <w:p w:rsidR="00F665A9" w:rsidRPr="00DC4384" w:rsidRDefault="00F665A9" w:rsidP="000858D0">
            <w:pPr>
              <w:spacing w:after="60"/>
              <w:jc w:val="lef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HCFC-22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</w:t>
            </w:r>
            <w:r w:rsidR="00EA76D3">
              <w:rPr>
                <w:sz w:val="18"/>
                <w:lang w:val="en-CA"/>
              </w:rPr>
              <w:t>,</w:t>
            </w:r>
            <w:r w:rsidR="003D4B7B" w:rsidRPr="00DC4384">
              <w:rPr>
                <w:sz w:val="18"/>
                <w:lang w:val="en-CA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</w:t>
            </w:r>
            <w:r w:rsidR="00EA76D3">
              <w:rPr>
                <w:sz w:val="18"/>
                <w:lang w:val="en-CA"/>
              </w:rPr>
              <w:t>,</w:t>
            </w:r>
            <w:r w:rsidR="003D4B7B" w:rsidRPr="00DC4384">
              <w:rPr>
                <w:sz w:val="18"/>
                <w:lang w:val="en-CA"/>
              </w:rPr>
              <w:t>08</w:t>
            </w:r>
          </w:p>
        </w:tc>
      </w:tr>
    </w:tbl>
    <w:p w:rsidR="00F665A9" w:rsidRPr="00DC4384" w:rsidRDefault="00F665A9" w:rsidP="000858D0">
      <w:pPr>
        <w:spacing w:after="60"/>
        <w:jc w:val="center"/>
        <w:rPr>
          <w:lang w:val="en-CA"/>
        </w:rPr>
      </w:pPr>
    </w:p>
    <w:tbl>
      <w:tblPr>
        <w:tblStyle w:val="TableGrid"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012"/>
        <w:gridCol w:w="757"/>
        <w:gridCol w:w="5474"/>
        <w:gridCol w:w="757"/>
      </w:tblGrid>
      <w:tr w:rsidR="00F665A9" w:rsidRPr="00A30732" w:rsidTr="009B37E9">
        <w:trPr>
          <w:trHeight w:hRule="exact" w:val="227"/>
        </w:trPr>
        <w:tc>
          <w:tcPr>
            <w:tcW w:w="0" w:type="auto"/>
            <w:gridSpan w:val="4"/>
            <w:shd w:val="clear" w:color="auto" w:fill="auto"/>
          </w:tcPr>
          <w:p w:rsidR="00F665A9" w:rsidRPr="00EA76D3" w:rsidRDefault="00F665A9" w:rsidP="00EA76D3">
            <w:pPr>
              <w:spacing w:after="60"/>
              <w:jc w:val="left"/>
              <w:rPr>
                <w:b/>
                <w:sz w:val="18"/>
                <w:lang w:val="es-ES"/>
              </w:rPr>
            </w:pPr>
            <w:r w:rsidRPr="00EA76D3">
              <w:rPr>
                <w:b/>
                <w:sz w:val="18"/>
                <w:lang w:val="es-ES"/>
              </w:rPr>
              <w:t xml:space="preserve">IV) </w:t>
            </w:r>
            <w:r w:rsidR="00EA76D3" w:rsidRPr="00EA76D3">
              <w:rPr>
                <w:b/>
                <w:sz w:val="18"/>
                <w:lang w:val="es-ES"/>
              </w:rPr>
              <w:t>DATOS SOBRE EL CONSUMO</w:t>
            </w:r>
            <w:r w:rsidRPr="00EA76D3">
              <w:rPr>
                <w:b/>
                <w:sz w:val="18"/>
                <w:lang w:val="es-ES"/>
              </w:rPr>
              <w:t xml:space="preserve"> (</w:t>
            </w:r>
            <w:r w:rsidR="00EA76D3">
              <w:rPr>
                <w:b/>
                <w:sz w:val="18"/>
                <w:lang w:val="es-ES"/>
              </w:rPr>
              <w:t>toneladas PAO</w:t>
            </w:r>
            <w:r w:rsidRPr="00EA76D3">
              <w:rPr>
                <w:b/>
                <w:sz w:val="18"/>
                <w:lang w:val="es-ES"/>
              </w:rPr>
              <w:t>)</w:t>
            </w:r>
          </w:p>
        </w:tc>
      </w:tr>
      <w:tr w:rsidR="00345780" w:rsidRPr="00DC4384" w:rsidTr="009B37E9">
        <w:trPr>
          <w:trHeight w:hRule="exact" w:val="227"/>
        </w:trPr>
        <w:tc>
          <w:tcPr>
            <w:tcW w:w="0" w:type="auto"/>
            <w:shd w:val="clear" w:color="auto" w:fill="auto"/>
          </w:tcPr>
          <w:p w:rsidR="00F665A9" w:rsidRPr="00DC4384" w:rsidRDefault="00345780" w:rsidP="0034578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Nivel de referencia 2009-</w:t>
            </w:r>
            <w:r w:rsidR="00F665A9" w:rsidRPr="00DC4384">
              <w:rPr>
                <w:sz w:val="18"/>
                <w:lang w:val="en-CA"/>
              </w:rPr>
              <w:t>2010: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15</w:t>
            </w:r>
            <w:r w:rsidR="00EA76D3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0</w:t>
            </w:r>
            <w:r w:rsidR="00F72037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65A9" w:rsidRPr="00EA76D3" w:rsidRDefault="00EA76D3" w:rsidP="00EA76D3">
            <w:pPr>
              <w:spacing w:after="60"/>
              <w:jc w:val="center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Punto de partida de las reducciones acumuladas sostenidas</w:t>
            </w:r>
            <w:r w:rsidR="00F665A9" w:rsidRPr="00EA76D3">
              <w:rPr>
                <w:sz w:val="18"/>
                <w:lang w:val="es-ES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15</w:t>
            </w:r>
            <w:r w:rsidR="00EA76D3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0</w:t>
            </w:r>
            <w:r w:rsidR="00F72037" w:rsidRPr="00DC4384">
              <w:rPr>
                <w:sz w:val="18"/>
                <w:lang w:val="en-CA"/>
              </w:rPr>
              <w:t>0</w:t>
            </w:r>
          </w:p>
        </w:tc>
      </w:tr>
      <w:tr w:rsidR="00F665A9" w:rsidRPr="00A30732" w:rsidTr="009B37E9">
        <w:trPr>
          <w:trHeight w:hRule="exact" w:val="227"/>
        </w:trPr>
        <w:tc>
          <w:tcPr>
            <w:tcW w:w="0" w:type="auto"/>
            <w:gridSpan w:val="4"/>
            <w:shd w:val="clear" w:color="auto" w:fill="auto"/>
          </w:tcPr>
          <w:p w:rsidR="00F665A9" w:rsidRPr="00EA76D3" w:rsidRDefault="00EA76D3" w:rsidP="00EA76D3">
            <w:pPr>
              <w:spacing w:after="60"/>
              <w:jc w:val="center"/>
              <w:rPr>
                <w:b/>
                <w:sz w:val="18"/>
                <w:lang w:val="es-ES"/>
              </w:rPr>
            </w:pPr>
            <w:r w:rsidRPr="00EA76D3">
              <w:rPr>
                <w:b/>
                <w:sz w:val="18"/>
                <w:lang w:val="es-ES"/>
              </w:rPr>
              <w:t>CONSUMO ADMISIBLE PARA LA FINANCIACI</w:t>
            </w:r>
            <w:r>
              <w:rPr>
                <w:b/>
                <w:sz w:val="18"/>
                <w:lang w:val="es-ES"/>
              </w:rPr>
              <w:t>ÓN</w:t>
            </w:r>
            <w:r w:rsidR="00F665A9" w:rsidRPr="00EA76D3">
              <w:rPr>
                <w:b/>
                <w:sz w:val="18"/>
                <w:lang w:val="es-ES"/>
              </w:rPr>
              <w:t xml:space="preserve"> (</w:t>
            </w:r>
            <w:r>
              <w:rPr>
                <w:b/>
                <w:sz w:val="18"/>
                <w:lang w:val="es-ES"/>
              </w:rPr>
              <w:t>toneladas PAO</w:t>
            </w:r>
            <w:r w:rsidR="00F665A9" w:rsidRPr="00EA76D3">
              <w:rPr>
                <w:b/>
                <w:sz w:val="18"/>
                <w:lang w:val="es-ES"/>
              </w:rPr>
              <w:t>)</w:t>
            </w:r>
          </w:p>
        </w:tc>
      </w:tr>
      <w:tr w:rsidR="00345780" w:rsidRPr="00DC4384" w:rsidTr="009B37E9">
        <w:trPr>
          <w:trHeight w:hRule="exact" w:val="227"/>
        </w:trPr>
        <w:tc>
          <w:tcPr>
            <w:tcW w:w="0" w:type="auto"/>
            <w:shd w:val="clear" w:color="auto" w:fill="auto"/>
          </w:tcPr>
          <w:p w:rsidR="00F665A9" w:rsidRPr="00DC4384" w:rsidRDefault="00EA76D3" w:rsidP="00EA76D3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Ya</w:t>
            </w:r>
            <w:r w:rsidR="00F665A9" w:rsidRPr="00DC4384">
              <w:rPr>
                <w:sz w:val="18"/>
                <w:lang w:val="en-CA"/>
              </w:rPr>
              <w:t xml:space="preserve"> </w:t>
            </w:r>
            <w:r w:rsidR="003032C1">
              <w:rPr>
                <w:sz w:val="18"/>
                <w:lang w:val="en-CA"/>
              </w:rPr>
              <w:t>aprobado</w:t>
            </w:r>
            <w:r w:rsidR="00F665A9" w:rsidRPr="00DC4384">
              <w:rPr>
                <w:sz w:val="18"/>
                <w:lang w:val="en-CA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0B2B04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5</w:t>
            </w:r>
            <w:r w:rsidR="00EA76D3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2</w:t>
            </w:r>
            <w:r w:rsidR="00F72037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F665A9" w:rsidP="00EA76D3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Re</w:t>
            </w:r>
            <w:r w:rsidR="00EA76D3">
              <w:rPr>
                <w:sz w:val="18"/>
                <w:lang w:val="en-CA"/>
              </w:rPr>
              <w:t>stante</w:t>
            </w:r>
            <w:r w:rsidRPr="00DC4384">
              <w:rPr>
                <w:sz w:val="18"/>
                <w:lang w:val="en-CA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F665A9" w:rsidRPr="00DC4384" w:rsidRDefault="000B2B04" w:rsidP="00EA76D3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</w:t>
            </w:r>
            <w:r w:rsidR="00EA76D3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8</w:t>
            </w:r>
            <w:r w:rsidR="00F72037" w:rsidRPr="00DC4384">
              <w:rPr>
                <w:sz w:val="18"/>
                <w:lang w:val="en-CA"/>
              </w:rPr>
              <w:t>0</w:t>
            </w:r>
          </w:p>
        </w:tc>
      </w:tr>
    </w:tbl>
    <w:p w:rsidR="00F665A9" w:rsidRPr="00DC4384" w:rsidRDefault="00F665A9" w:rsidP="000858D0">
      <w:pPr>
        <w:spacing w:after="60"/>
        <w:jc w:val="center"/>
        <w:rPr>
          <w:lang w:val="en-CA"/>
        </w:rPr>
      </w:pPr>
    </w:p>
    <w:tbl>
      <w:tblPr>
        <w:tblStyle w:val="TableGrid"/>
        <w:tblW w:w="1001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1335"/>
        <w:gridCol w:w="4569"/>
        <w:gridCol w:w="1369"/>
        <w:gridCol w:w="1369"/>
        <w:gridCol w:w="1369"/>
      </w:tblGrid>
      <w:tr w:rsidR="00F72037" w:rsidRPr="00DC4384" w:rsidTr="009B37E9">
        <w:trPr>
          <w:trHeight w:hRule="exact" w:val="227"/>
        </w:trPr>
        <w:tc>
          <w:tcPr>
            <w:tcW w:w="0" w:type="auto"/>
            <w:gridSpan w:val="2"/>
            <w:shd w:val="clear" w:color="auto" w:fill="auto"/>
          </w:tcPr>
          <w:p w:rsidR="00F72037" w:rsidRPr="00DC4384" w:rsidRDefault="00EA76D3" w:rsidP="000858D0">
            <w:pPr>
              <w:spacing w:after="60"/>
              <w:jc w:val="lef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 xml:space="preserve">V) </w:t>
            </w:r>
            <w:r w:rsidR="00F72037" w:rsidRPr="00DC4384">
              <w:rPr>
                <w:b/>
                <w:sz w:val="18"/>
                <w:lang w:val="en-CA"/>
              </w:rPr>
              <w:t>PLAN</w:t>
            </w:r>
            <w:r>
              <w:rPr>
                <w:b/>
                <w:sz w:val="18"/>
                <w:lang w:val="en-CA"/>
              </w:rPr>
              <w:t xml:space="preserve"> DE ACTIVIDADES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2019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2020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Total</w:t>
            </w:r>
          </w:p>
        </w:tc>
      </w:tr>
      <w:tr w:rsidR="00EA76D3" w:rsidRPr="00DC4384" w:rsidTr="009B37E9">
        <w:trPr>
          <w:trHeight w:hRule="exact" w:val="227"/>
        </w:trPr>
        <w:tc>
          <w:tcPr>
            <w:tcW w:w="0" w:type="auto"/>
            <w:vMerge w:val="restart"/>
            <w:shd w:val="clear" w:color="auto" w:fill="auto"/>
          </w:tcPr>
          <w:p w:rsidR="00F72037" w:rsidRPr="00DC4384" w:rsidRDefault="00EA76D3" w:rsidP="00EA76D3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PNUD</w:t>
            </w:r>
          </w:p>
        </w:tc>
        <w:tc>
          <w:tcPr>
            <w:tcW w:w="0" w:type="auto"/>
            <w:shd w:val="clear" w:color="auto" w:fill="auto"/>
          </w:tcPr>
          <w:p w:rsidR="00F72037" w:rsidRPr="00EA76D3" w:rsidRDefault="00EA76D3" w:rsidP="00EA76D3">
            <w:pPr>
              <w:spacing w:after="60"/>
              <w:jc w:val="left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Eliminación de SAO</w:t>
            </w:r>
            <w:r w:rsidR="00F72037" w:rsidRPr="00EA76D3">
              <w:rPr>
                <w:sz w:val="18"/>
                <w:lang w:val="es-ES"/>
              </w:rPr>
              <w:t xml:space="preserve"> (</w:t>
            </w:r>
            <w:r w:rsidRPr="00EA76D3">
              <w:rPr>
                <w:sz w:val="18"/>
                <w:lang w:val="es-ES"/>
              </w:rPr>
              <w:t>toneladas PAO</w:t>
            </w:r>
            <w:r w:rsidR="00F72037" w:rsidRPr="00EA76D3">
              <w:rPr>
                <w:sz w:val="18"/>
                <w:lang w:val="es-ES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26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26</w:t>
            </w:r>
          </w:p>
        </w:tc>
      </w:tr>
      <w:tr w:rsidR="00EA76D3" w:rsidRPr="00DC4384" w:rsidTr="009B37E9">
        <w:trPr>
          <w:trHeight w:hRule="exact" w:val="227"/>
        </w:trPr>
        <w:tc>
          <w:tcPr>
            <w:tcW w:w="0" w:type="auto"/>
            <w:vMerge/>
            <w:shd w:val="clear" w:color="auto" w:fill="auto"/>
          </w:tcPr>
          <w:p w:rsidR="00F72037" w:rsidRPr="00DC4384" w:rsidRDefault="00F72037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72037" w:rsidRPr="00DC4384" w:rsidRDefault="00F72037" w:rsidP="00EA76D3">
            <w:pPr>
              <w:spacing w:after="60"/>
              <w:jc w:val="lef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F</w:t>
            </w:r>
            <w:r w:rsidR="00EA76D3">
              <w:rPr>
                <w:sz w:val="18"/>
                <w:lang w:val="en-CA"/>
              </w:rPr>
              <w:t>inanciación</w:t>
            </w:r>
            <w:r w:rsidRPr="00DC4384">
              <w:rPr>
                <w:sz w:val="18"/>
                <w:lang w:val="en-CA"/>
              </w:rPr>
              <w:t xml:space="preserve"> ($</w:t>
            </w:r>
            <w:r w:rsidR="00EA76D3">
              <w:rPr>
                <w:sz w:val="18"/>
                <w:lang w:val="en-CA"/>
              </w:rPr>
              <w:t xml:space="preserve"> EUA</w:t>
            </w:r>
            <w:r w:rsidRPr="00DC4384">
              <w:rPr>
                <w:sz w:val="18"/>
                <w:lang w:val="en-CA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30</w:t>
            </w:r>
            <w:r w:rsidR="00345780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100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30</w:t>
            </w:r>
            <w:r w:rsidR="00345780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100</w:t>
            </w:r>
          </w:p>
        </w:tc>
      </w:tr>
      <w:tr w:rsidR="00EA76D3" w:rsidRPr="00DC4384" w:rsidTr="009B37E9">
        <w:trPr>
          <w:trHeight w:hRule="exact" w:val="227"/>
        </w:trPr>
        <w:tc>
          <w:tcPr>
            <w:tcW w:w="0" w:type="auto"/>
            <w:vMerge w:val="restart"/>
            <w:shd w:val="clear" w:color="auto" w:fill="auto"/>
          </w:tcPr>
          <w:p w:rsidR="00F72037" w:rsidRPr="00DC4384" w:rsidRDefault="00EA76D3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PNUMA</w:t>
            </w:r>
          </w:p>
        </w:tc>
        <w:tc>
          <w:tcPr>
            <w:tcW w:w="0" w:type="auto"/>
            <w:shd w:val="clear" w:color="auto" w:fill="auto"/>
          </w:tcPr>
          <w:p w:rsidR="00F72037" w:rsidRPr="00EA76D3" w:rsidRDefault="00EA76D3" w:rsidP="00EA76D3">
            <w:pPr>
              <w:spacing w:after="60"/>
              <w:jc w:val="left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Eliminación de SAO</w:t>
            </w:r>
            <w:r w:rsidR="00F72037" w:rsidRPr="00EA76D3">
              <w:rPr>
                <w:sz w:val="18"/>
                <w:lang w:val="es-ES"/>
              </w:rPr>
              <w:t xml:space="preserve"> (</w:t>
            </w:r>
            <w:r w:rsidRPr="00EA76D3">
              <w:rPr>
                <w:sz w:val="18"/>
                <w:lang w:val="es-ES"/>
              </w:rPr>
              <w:t>toneladas PAO</w:t>
            </w:r>
            <w:r w:rsidR="00F72037" w:rsidRPr="00EA76D3">
              <w:rPr>
                <w:sz w:val="18"/>
                <w:lang w:val="es-ES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48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26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74</w:t>
            </w:r>
          </w:p>
        </w:tc>
      </w:tr>
      <w:tr w:rsidR="00EA76D3" w:rsidRPr="00DC4384" w:rsidTr="009B37E9">
        <w:trPr>
          <w:trHeight w:hRule="exact" w:val="227"/>
        </w:trPr>
        <w:tc>
          <w:tcPr>
            <w:tcW w:w="0" w:type="auto"/>
            <w:vMerge/>
            <w:shd w:val="clear" w:color="auto" w:fill="auto"/>
          </w:tcPr>
          <w:p w:rsidR="00F72037" w:rsidRPr="00DC4384" w:rsidRDefault="00F72037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F72037" w:rsidRPr="00DC4384" w:rsidRDefault="00F72037" w:rsidP="00EA76D3">
            <w:pPr>
              <w:spacing w:after="60"/>
              <w:jc w:val="lef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F</w:t>
            </w:r>
            <w:r w:rsidR="00EA76D3">
              <w:rPr>
                <w:sz w:val="18"/>
                <w:lang w:val="en-CA"/>
              </w:rPr>
              <w:t>inanciación</w:t>
            </w:r>
            <w:r w:rsidRPr="00DC4384">
              <w:rPr>
                <w:sz w:val="18"/>
                <w:lang w:val="en-CA"/>
              </w:rPr>
              <w:t xml:space="preserve"> ($</w:t>
            </w:r>
            <w:r w:rsidR="00EA76D3">
              <w:rPr>
                <w:sz w:val="18"/>
                <w:lang w:val="en-CA"/>
              </w:rPr>
              <w:t xml:space="preserve"> EUA</w:t>
            </w:r>
            <w:r w:rsidRPr="00DC4384">
              <w:rPr>
                <w:sz w:val="18"/>
                <w:lang w:val="en-CA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58</w:t>
            </w:r>
            <w:r w:rsidR="00345780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760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31</w:t>
            </w:r>
            <w:r w:rsidR="00345780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640</w:t>
            </w:r>
          </w:p>
        </w:tc>
        <w:tc>
          <w:tcPr>
            <w:tcW w:w="1369" w:type="dxa"/>
            <w:shd w:val="clear" w:color="auto" w:fill="auto"/>
          </w:tcPr>
          <w:p w:rsidR="00F72037" w:rsidRPr="00DC4384" w:rsidRDefault="00F72037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90</w:t>
            </w:r>
            <w:r w:rsidR="00345780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400</w:t>
            </w:r>
          </w:p>
        </w:tc>
      </w:tr>
    </w:tbl>
    <w:p w:rsidR="00F665A9" w:rsidRPr="00EA76D3" w:rsidRDefault="00F665A9" w:rsidP="000858D0">
      <w:pPr>
        <w:spacing w:after="60"/>
        <w:jc w:val="center"/>
        <w:rPr>
          <w:sz w:val="12"/>
          <w:szCs w:val="12"/>
          <w:lang w:val="en-CA"/>
        </w:rPr>
      </w:pPr>
    </w:p>
    <w:tbl>
      <w:tblPr>
        <w:tblStyle w:val="TableGrid"/>
        <w:tblW w:w="1001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1146"/>
        <w:gridCol w:w="867"/>
        <w:gridCol w:w="776"/>
        <w:gridCol w:w="801"/>
        <w:gridCol w:w="576"/>
        <w:gridCol w:w="711"/>
        <w:gridCol w:w="576"/>
        <w:gridCol w:w="576"/>
        <w:gridCol w:w="801"/>
        <w:gridCol w:w="576"/>
        <w:gridCol w:w="711"/>
        <w:gridCol w:w="801"/>
        <w:gridCol w:w="711"/>
        <w:gridCol w:w="801"/>
      </w:tblGrid>
      <w:tr w:rsidR="00B91D4E" w:rsidRPr="00DC4384" w:rsidTr="00B91D4E">
        <w:trPr>
          <w:trHeight w:val="260"/>
        </w:trPr>
        <w:tc>
          <w:tcPr>
            <w:tcW w:w="0" w:type="auto"/>
            <w:gridSpan w:val="3"/>
            <w:shd w:val="clear" w:color="auto" w:fill="auto"/>
          </w:tcPr>
          <w:p w:rsidR="00B91D4E" w:rsidRPr="00DC4384" w:rsidRDefault="00B91D4E" w:rsidP="00EA76D3">
            <w:pPr>
              <w:spacing w:after="60"/>
              <w:jc w:val="left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 xml:space="preserve">VI) </w:t>
            </w:r>
            <w:r w:rsidR="00EA76D3">
              <w:rPr>
                <w:b/>
                <w:sz w:val="18"/>
                <w:lang w:val="en-CA"/>
              </w:rPr>
              <w:t>DATOS DEL PROYECTO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2011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2018</w:t>
            </w:r>
            <w:r w:rsidR="009B37E9" w:rsidRPr="00DC4384">
              <w:rPr>
                <w:b/>
                <w:sz w:val="18"/>
                <w:lang w:val="en-CA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b/>
                <w:sz w:val="18"/>
                <w:lang w:val="en-CA"/>
              </w:rPr>
            </w:pPr>
            <w:r w:rsidRPr="00DC4384">
              <w:rPr>
                <w:b/>
                <w:sz w:val="18"/>
                <w:lang w:val="en-CA"/>
              </w:rPr>
              <w:t>Total</w:t>
            </w:r>
          </w:p>
        </w:tc>
      </w:tr>
      <w:tr w:rsidR="00B91D4E" w:rsidRPr="00DC4384" w:rsidTr="009B37E9">
        <w:trPr>
          <w:trHeight w:hRule="exact" w:val="454"/>
        </w:trPr>
        <w:tc>
          <w:tcPr>
            <w:tcW w:w="0" w:type="auto"/>
            <w:gridSpan w:val="3"/>
            <w:shd w:val="clear" w:color="auto" w:fill="auto"/>
          </w:tcPr>
          <w:p w:rsidR="00B91D4E" w:rsidRPr="00EA76D3" w:rsidRDefault="00EA76D3" w:rsidP="00EA76D3">
            <w:pPr>
              <w:spacing w:after="60"/>
              <w:jc w:val="left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Límites de consumo establecidos en el Protocolo de  Montreal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15,</w:t>
            </w:r>
            <w:r w:rsidR="00B91D4E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15,</w:t>
            </w:r>
            <w:r w:rsidR="00B91D4E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34578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</w:t>
            </w:r>
            <w:r w:rsidR="00345780">
              <w:rPr>
                <w:sz w:val="18"/>
                <w:lang w:val="en-CA"/>
              </w:rPr>
              <w:t>,</w:t>
            </w:r>
            <w:r w:rsidRPr="00DC4384">
              <w:rPr>
                <w:sz w:val="18"/>
                <w:lang w:val="en-C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</w:tr>
      <w:tr w:rsidR="00B91D4E" w:rsidRPr="00DC4384" w:rsidTr="009B37E9">
        <w:trPr>
          <w:trHeight w:hRule="exact" w:val="454"/>
        </w:trPr>
        <w:tc>
          <w:tcPr>
            <w:tcW w:w="0" w:type="auto"/>
            <w:gridSpan w:val="3"/>
            <w:shd w:val="clear" w:color="auto" w:fill="auto"/>
          </w:tcPr>
          <w:p w:rsidR="00B91D4E" w:rsidRPr="00EA76D3" w:rsidRDefault="00EA76D3" w:rsidP="00EA76D3">
            <w:pPr>
              <w:spacing w:after="60"/>
              <w:jc w:val="left"/>
              <w:rPr>
                <w:sz w:val="18"/>
                <w:lang w:val="es-ES"/>
              </w:rPr>
            </w:pPr>
            <w:r w:rsidRPr="00EA76D3">
              <w:rPr>
                <w:sz w:val="18"/>
                <w:lang w:val="es-ES"/>
              </w:rPr>
              <w:t>Consumo máximo permitido</w:t>
            </w:r>
            <w:r w:rsidR="00B91D4E" w:rsidRPr="00EA76D3">
              <w:rPr>
                <w:sz w:val="18"/>
                <w:lang w:val="es-ES"/>
              </w:rPr>
              <w:t xml:space="preserve"> (</w:t>
            </w:r>
            <w:r>
              <w:rPr>
                <w:sz w:val="18"/>
                <w:lang w:val="es-ES"/>
              </w:rPr>
              <w:t>toneladas PAO</w:t>
            </w:r>
            <w:r w:rsidR="00B91D4E" w:rsidRPr="00EA76D3">
              <w:rPr>
                <w:sz w:val="18"/>
                <w:lang w:val="es-ES"/>
              </w:rPr>
              <w:t>)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15,</w:t>
            </w:r>
            <w:r w:rsidR="00B91D4E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15,</w:t>
            </w:r>
            <w:r w:rsidR="00B91D4E"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9,</w:t>
            </w:r>
            <w:r w:rsidR="00B91D4E" w:rsidRPr="00DC4384">
              <w:rPr>
                <w:sz w:val="18"/>
                <w:lang w:val="en-C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n/a</w:t>
            </w:r>
          </w:p>
        </w:tc>
      </w:tr>
      <w:tr w:rsidR="00B91D4E" w:rsidRPr="00DC4384" w:rsidTr="00976669">
        <w:trPr>
          <w:trHeight w:hRule="exact" w:val="616"/>
        </w:trPr>
        <w:tc>
          <w:tcPr>
            <w:tcW w:w="959" w:type="dxa"/>
            <w:vMerge w:val="restart"/>
            <w:shd w:val="clear" w:color="auto" w:fill="auto"/>
          </w:tcPr>
          <w:p w:rsidR="00B91D4E" w:rsidRPr="00DC4384" w:rsidRDefault="00345780" w:rsidP="00345780">
            <w:pPr>
              <w:spacing w:after="60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Financiación acordada ($EUA)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B91D4E" w:rsidRPr="00DC4384" w:rsidRDefault="00345780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PNUD</w:t>
            </w: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Costo del proyecto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160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92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28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83100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280</w:t>
            </w:r>
            <w:r w:rsidR="00345780">
              <w:rPr>
                <w:sz w:val="18"/>
                <w:lang w:val="en-CA"/>
              </w:rPr>
              <w:t>.000</w:t>
            </w:r>
          </w:p>
        </w:tc>
      </w:tr>
      <w:tr w:rsidR="00B91D4E" w:rsidRPr="00DC4384" w:rsidTr="00976669">
        <w:trPr>
          <w:trHeight w:hRule="exact" w:val="625"/>
        </w:trPr>
        <w:tc>
          <w:tcPr>
            <w:tcW w:w="959" w:type="dxa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Gastos del proyecto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7"/>
                <w:szCs w:val="17"/>
              </w:rPr>
              <w:t>12</w:t>
            </w:r>
            <w:r w:rsidR="00345780">
              <w:rPr>
                <w:sz w:val="17"/>
                <w:szCs w:val="17"/>
              </w:rPr>
              <w:t>.000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6.</w:t>
            </w:r>
            <w:r w:rsidR="00B91D4E" w:rsidRPr="00DC4384">
              <w:rPr>
                <w:sz w:val="18"/>
                <w:lang w:val="en-CA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2,100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83100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21</w:t>
            </w:r>
            <w:r w:rsidR="00345780">
              <w:rPr>
                <w:sz w:val="18"/>
                <w:lang w:val="en-CA"/>
              </w:rPr>
              <w:t>.000</w:t>
            </w:r>
          </w:p>
        </w:tc>
      </w:tr>
      <w:tr w:rsidR="00B91D4E" w:rsidRPr="00DC4384" w:rsidTr="00976669">
        <w:trPr>
          <w:trHeight w:hRule="exact" w:val="544"/>
        </w:trPr>
        <w:tc>
          <w:tcPr>
            <w:tcW w:w="959" w:type="dxa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B91D4E" w:rsidRPr="00DC4384" w:rsidRDefault="00345780" w:rsidP="000858D0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PNUMA</w:t>
            </w: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Costo del proyecto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7"/>
                <w:szCs w:val="17"/>
              </w:rPr>
              <w:t>65</w:t>
            </w:r>
            <w:r w:rsidR="00345780">
              <w:rPr>
                <w:sz w:val="17"/>
                <w:szCs w:val="17"/>
              </w:rPr>
              <w:t>.000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55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80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52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28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83100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280</w:t>
            </w:r>
            <w:r w:rsidR="00345780">
              <w:rPr>
                <w:sz w:val="18"/>
                <w:lang w:val="en-CA"/>
              </w:rPr>
              <w:t>.000</w:t>
            </w:r>
          </w:p>
        </w:tc>
      </w:tr>
      <w:tr w:rsidR="00B91D4E" w:rsidRPr="00DC4384" w:rsidTr="00976669">
        <w:trPr>
          <w:trHeight w:hRule="exact" w:val="625"/>
        </w:trPr>
        <w:tc>
          <w:tcPr>
            <w:tcW w:w="959" w:type="dxa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Gastos del proyecto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7"/>
                <w:szCs w:val="17"/>
              </w:rPr>
              <w:t>8.</w:t>
            </w:r>
            <w:r w:rsidR="00B91D4E" w:rsidRPr="00DC4384">
              <w:rPr>
                <w:sz w:val="17"/>
                <w:szCs w:val="17"/>
              </w:rPr>
              <w:t>450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7.</w:t>
            </w:r>
            <w:r w:rsidR="00B91D4E" w:rsidRPr="00DC4384">
              <w:rPr>
                <w:sz w:val="18"/>
                <w:lang w:val="en-CA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10.</w:t>
            </w:r>
            <w:r w:rsidR="00B91D4E" w:rsidRPr="00DC4384">
              <w:rPr>
                <w:sz w:val="18"/>
                <w:lang w:val="en-C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A07E4C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6.</w:t>
            </w:r>
            <w:r w:rsidR="00B91D4E" w:rsidRPr="00DC4384">
              <w:rPr>
                <w:sz w:val="18"/>
                <w:lang w:val="en-CA"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A07E4C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</w:t>
            </w:r>
            <w:r w:rsidR="00A07E4C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640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83100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36</w:t>
            </w:r>
            <w:r w:rsidR="00A07E4C">
              <w:rPr>
                <w:sz w:val="18"/>
                <w:lang w:val="en-CA"/>
              </w:rPr>
              <w:t>.</w:t>
            </w:r>
            <w:r w:rsidRPr="00DC4384">
              <w:rPr>
                <w:sz w:val="18"/>
                <w:lang w:val="en-CA"/>
              </w:rPr>
              <w:t>400</w:t>
            </w:r>
          </w:p>
        </w:tc>
      </w:tr>
      <w:tr w:rsidR="00B91D4E" w:rsidRPr="00DC4384" w:rsidTr="00976669">
        <w:trPr>
          <w:trHeight w:hRule="exact" w:val="634"/>
        </w:trPr>
        <w:tc>
          <w:tcPr>
            <w:tcW w:w="1832" w:type="dxa"/>
            <w:gridSpan w:val="2"/>
            <w:vMerge w:val="restart"/>
            <w:shd w:val="clear" w:color="auto" w:fill="auto"/>
          </w:tcPr>
          <w:p w:rsidR="00B91D4E" w:rsidRPr="00345780" w:rsidRDefault="00345780" w:rsidP="00345780">
            <w:pPr>
              <w:spacing w:after="60"/>
              <w:jc w:val="left"/>
              <w:rPr>
                <w:sz w:val="18"/>
                <w:lang w:val="es-ES"/>
              </w:rPr>
            </w:pPr>
            <w:r w:rsidRPr="00345780">
              <w:rPr>
                <w:sz w:val="18"/>
                <w:lang w:val="es-ES"/>
              </w:rPr>
              <w:t>Fo</w:t>
            </w:r>
            <w:r w:rsidR="00B91D4E" w:rsidRPr="00345780">
              <w:rPr>
                <w:sz w:val="18"/>
                <w:lang w:val="es-ES"/>
              </w:rPr>
              <w:t>nd</w:t>
            </w:r>
            <w:r w:rsidRPr="00345780">
              <w:rPr>
                <w:sz w:val="18"/>
                <w:lang w:val="es-ES"/>
              </w:rPr>
              <w:t>o</w:t>
            </w:r>
            <w:r w:rsidR="00B91D4E" w:rsidRPr="00345780">
              <w:rPr>
                <w:sz w:val="18"/>
                <w:lang w:val="es-ES"/>
              </w:rPr>
              <w:t xml:space="preserve">s </w:t>
            </w:r>
            <w:r w:rsidR="003032C1" w:rsidRPr="00345780">
              <w:rPr>
                <w:sz w:val="18"/>
                <w:lang w:val="es-ES"/>
              </w:rPr>
              <w:t>aprobado</w:t>
            </w:r>
            <w:r w:rsidRPr="00345780">
              <w:rPr>
                <w:sz w:val="18"/>
                <w:lang w:val="es-ES"/>
              </w:rPr>
              <w:t>s por el Comité Ejecutivo</w:t>
            </w:r>
            <w:r w:rsidR="00B91D4E" w:rsidRPr="00345780">
              <w:rPr>
                <w:sz w:val="18"/>
                <w:lang w:val="es-ES"/>
              </w:rPr>
              <w:t xml:space="preserve"> ($</w:t>
            </w:r>
            <w:r>
              <w:rPr>
                <w:sz w:val="18"/>
                <w:lang w:val="es-ES"/>
              </w:rPr>
              <w:t>EUA</w:t>
            </w:r>
            <w:r w:rsidR="00B91D4E" w:rsidRPr="00345780">
              <w:rPr>
                <w:sz w:val="18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Costo del proyecto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7"/>
                <w:szCs w:val="17"/>
              </w:rPr>
              <w:t>225</w:t>
            </w:r>
            <w:r w:rsidR="00345780">
              <w:rPr>
                <w:sz w:val="17"/>
                <w:szCs w:val="17"/>
              </w:rPr>
              <w:t>.000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55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172</w:t>
            </w:r>
            <w:r w:rsidR="00345780">
              <w:rPr>
                <w:sz w:val="18"/>
                <w:lang w:val="en-CA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745FC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184B48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452</w:t>
            </w:r>
            <w:r w:rsidR="00345780">
              <w:rPr>
                <w:sz w:val="18"/>
                <w:lang w:val="en-CA"/>
              </w:rPr>
              <w:t>.000</w:t>
            </w:r>
          </w:p>
        </w:tc>
      </w:tr>
      <w:tr w:rsidR="00B91D4E" w:rsidRPr="00A07E4C" w:rsidTr="00976669">
        <w:trPr>
          <w:trHeight w:hRule="exact" w:val="634"/>
        </w:trPr>
        <w:tc>
          <w:tcPr>
            <w:tcW w:w="1832" w:type="dxa"/>
            <w:gridSpan w:val="2"/>
            <w:vMerge/>
            <w:shd w:val="clear" w:color="auto" w:fill="auto"/>
          </w:tcPr>
          <w:p w:rsidR="00B91D4E" w:rsidRPr="00DC4384" w:rsidRDefault="00B91D4E" w:rsidP="000858D0">
            <w:pPr>
              <w:spacing w:after="60"/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Gastos del proyecto</w:t>
            </w:r>
          </w:p>
        </w:tc>
        <w:tc>
          <w:tcPr>
            <w:tcW w:w="0" w:type="auto"/>
          </w:tcPr>
          <w:p w:rsidR="00B91D4E" w:rsidRPr="00DC4384" w:rsidRDefault="00345780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7"/>
                <w:szCs w:val="17"/>
              </w:rPr>
              <w:t>20.</w:t>
            </w:r>
            <w:r w:rsidR="00B91D4E" w:rsidRPr="00DC4384">
              <w:rPr>
                <w:sz w:val="17"/>
                <w:szCs w:val="17"/>
              </w:rPr>
              <w:t>450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A07E4C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7.</w:t>
            </w:r>
            <w:r w:rsidR="00B91D4E" w:rsidRPr="00DC4384">
              <w:rPr>
                <w:sz w:val="18"/>
                <w:lang w:val="en-CA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A07E4C" w:rsidP="000858D0">
            <w:pPr>
              <w:spacing w:after="60"/>
              <w:jc w:val="righ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17.</w:t>
            </w:r>
            <w:r w:rsidR="00B91D4E" w:rsidRPr="00DC4384">
              <w:rPr>
                <w:sz w:val="18"/>
                <w:lang w:val="en-CA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0745FC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107825" w:rsidP="00A07E4C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44</w:t>
            </w:r>
            <w:r w:rsidR="00A07E4C" w:rsidRPr="00A07E4C">
              <w:rPr>
                <w:sz w:val="18"/>
                <w:lang w:val="es-ES"/>
              </w:rPr>
              <w:t>.</w:t>
            </w:r>
            <w:r w:rsidRPr="00A07E4C">
              <w:rPr>
                <w:sz w:val="18"/>
                <w:lang w:val="es-ES"/>
              </w:rPr>
              <w:t>900</w:t>
            </w:r>
          </w:p>
        </w:tc>
      </w:tr>
      <w:tr w:rsidR="00B91D4E" w:rsidRPr="00A07E4C" w:rsidTr="00976669">
        <w:trPr>
          <w:trHeight w:hRule="exact" w:val="625"/>
        </w:trPr>
        <w:tc>
          <w:tcPr>
            <w:tcW w:w="1832" w:type="dxa"/>
            <w:gridSpan w:val="2"/>
            <w:vMerge w:val="restart"/>
            <w:shd w:val="clear" w:color="auto" w:fill="auto"/>
          </w:tcPr>
          <w:p w:rsidR="00B91D4E" w:rsidRPr="00345780" w:rsidRDefault="00B91D4E" w:rsidP="00345780">
            <w:pPr>
              <w:spacing w:after="60"/>
              <w:jc w:val="left"/>
              <w:rPr>
                <w:sz w:val="18"/>
                <w:lang w:val="es-ES"/>
              </w:rPr>
            </w:pPr>
            <w:r w:rsidRPr="00345780">
              <w:rPr>
                <w:sz w:val="18"/>
                <w:lang w:val="es-ES"/>
              </w:rPr>
              <w:t>Total</w:t>
            </w:r>
            <w:r w:rsidR="00345780" w:rsidRPr="00345780">
              <w:rPr>
                <w:sz w:val="18"/>
                <w:lang w:val="es-ES"/>
              </w:rPr>
              <w:t xml:space="preserve"> de fondos solicitados para su aprobación en la reuni</w:t>
            </w:r>
            <w:r w:rsidR="00345780">
              <w:rPr>
                <w:sz w:val="18"/>
                <w:lang w:val="es-ES"/>
              </w:rPr>
              <w:t>ón en curso</w:t>
            </w:r>
            <w:r w:rsidRPr="00345780">
              <w:rPr>
                <w:sz w:val="18"/>
                <w:lang w:val="es-ES"/>
              </w:rPr>
              <w:t xml:space="preserve"> ($</w:t>
            </w:r>
            <w:r w:rsidR="00345780">
              <w:rPr>
                <w:sz w:val="18"/>
                <w:lang w:val="es-ES"/>
              </w:rPr>
              <w:t xml:space="preserve"> EUA</w:t>
            </w:r>
            <w:r w:rsidRPr="00345780">
              <w:rPr>
                <w:sz w:val="18"/>
                <w:lang w:val="es-E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D4E" w:rsidRPr="00A07E4C" w:rsidRDefault="00345780" w:rsidP="00345780">
            <w:pPr>
              <w:jc w:val="left"/>
              <w:rPr>
                <w:sz w:val="16"/>
                <w:szCs w:val="16"/>
                <w:lang w:val="es-ES"/>
              </w:rPr>
            </w:pPr>
            <w:r w:rsidRPr="00A07E4C">
              <w:rPr>
                <w:sz w:val="16"/>
                <w:szCs w:val="16"/>
                <w:lang w:val="es-ES"/>
              </w:rPr>
              <w:t>Costo del proyecto</w:t>
            </w:r>
          </w:p>
        </w:tc>
        <w:tc>
          <w:tcPr>
            <w:tcW w:w="0" w:type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b/>
                <w:sz w:val="18"/>
                <w:lang w:val="es-ES"/>
              </w:rPr>
            </w:pPr>
            <w:r w:rsidRPr="00A07E4C">
              <w:rPr>
                <w:b/>
                <w:sz w:val="18"/>
                <w:lang w:val="es-ES"/>
              </w:rPr>
              <w:t>52</w:t>
            </w:r>
            <w:r w:rsidR="00345780" w:rsidRPr="00A07E4C">
              <w:rPr>
                <w:b/>
                <w:sz w:val="18"/>
                <w:lang w:val="es-ES"/>
              </w:rPr>
              <w:t>.000</w:t>
            </w:r>
            <w:r w:rsidR="009B37E9" w:rsidRPr="00A07E4C">
              <w:rPr>
                <w:b/>
                <w:sz w:val="18"/>
                <w:lang w:val="es-E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A07E4C" w:rsidRDefault="00B91D4E" w:rsidP="000858D0">
            <w:pPr>
              <w:spacing w:after="60"/>
              <w:jc w:val="right"/>
              <w:rPr>
                <w:sz w:val="18"/>
                <w:lang w:val="es-ES"/>
              </w:rPr>
            </w:pPr>
            <w:r w:rsidRPr="00A07E4C">
              <w:rPr>
                <w:sz w:val="18"/>
                <w:lang w:val="es-ES"/>
              </w:rPr>
              <w:t>0</w:t>
            </w:r>
          </w:p>
        </w:tc>
      </w:tr>
      <w:tr w:rsidR="00B91D4E" w:rsidRPr="00DC4384" w:rsidTr="00976669">
        <w:trPr>
          <w:trHeight w:hRule="exact" w:val="625"/>
        </w:trPr>
        <w:tc>
          <w:tcPr>
            <w:tcW w:w="1832" w:type="dxa"/>
            <w:gridSpan w:val="2"/>
            <w:vMerge/>
            <w:shd w:val="clear" w:color="auto" w:fill="auto"/>
          </w:tcPr>
          <w:p w:rsidR="00B91D4E" w:rsidRPr="00A07E4C" w:rsidRDefault="00B91D4E" w:rsidP="000858D0">
            <w:pPr>
              <w:spacing w:after="60"/>
              <w:jc w:val="center"/>
              <w:rPr>
                <w:sz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91D4E" w:rsidRPr="00345780" w:rsidRDefault="00345780" w:rsidP="00345780">
            <w:pPr>
              <w:jc w:val="left"/>
              <w:rPr>
                <w:sz w:val="16"/>
                <w:szCs w:val="16"/>
                <w:lang w:val="en-CA"/>
              </w:rPr>
            </w:pPr>
            <w:r w:rsidRPr="00345780">
              <w:rPr>
                <w:sz w:val="16"/>
                <w:szCs w:val="16"/>
                <w:lang w:val="en-CA"/>
              </w:rPr>
              <w:t>Gastos del proyecto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A07E4C" w:rsidP="000858D0">
            <w:pPr>
              <w:spacing w:after="60"/>
              <w:jc w:val="right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6.</w:t>
            </w:r>
            <w:r w:rsidR="00B91D4E" w:rsidRPr="00DC4384">
              <w:rPr>
                <w:b/>
                <w:sz w:val="18"/>
                <w:lang w:val="en-CA"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91D4E" w:rsidRPr="00DC4384" w:rsidRDefault="00B91D4E" w:rsidP="000858D0">
            <w:pPr>
              <w:spacing w:after="60"/>
              <w:jc w:val="right"/>
              <w:rPr>
                <w:sz w:val="18"/>
                <w:lang w:val="en-CA"/>
              </w:rPr>
            </w:pPr>
            <w:r w:rsidRPr="00DC4384">
              <w:rPr>
                <w:sz w:val="18"/>
                <w:lang w:val="en-CA"/>
              </w:rPr>
              <w:t>0</w:t>
            </w:r>
          </w:p>
        </w:tc>
      </w:tr>
    </w:tbl>
    <w:p w:rsidR="00F665A9" w:rsidRPr="00976669" w:rsidRDefault="002B7EC5" w:rsidP="000858D0">
      <w:pPr>
        <w:spacing w:after="60"/>
        <w:rPr>
          <w:sz w:val="16"/>
          <w:szCs w:val="16"/>
          <w:lang w:val="es-ES"/>
        </w:rPr>
      </w:pPr>
      <w:r w:rsidRPr="00976669">
        <w:rPr>
          <w:sz w:val="16"/>
          <w:szCs w:val="16"/>
          <w:lang w:val="es-ES"/>
        </w:rPr>
        <w:t>* El cuarto tramo debió presentarse e</w:t>
      </w:r>
      <w:r w:rsidR="009D4F38" w:rsidRPr="00976669">
        <w:rPr>
          <w:sz w:val="16"/>
          <w:szCs w:val="16"/>
          <w:lang w:val="es-ES"/>
        </w:rPr>
        <w:t>n 2018.</w:t>
      </w:r>
    </w:p>
    <w:p w:rsidR="009B37E9" w:rsidRPr="002B7EC5" w:rsidRDefault="009B37E9" w:rsidP="000858D0">
      <w:pPr>
        <w:spacing w:after="60"/>
        <w:jc w:val="center"/>
        <w:rPr>
          <w:lang w:val="es-ES"/>
        </w:rPr>
      </w:pPr>
    </w:p>
    <w:tbl>
      <w:tblPr>
        <w:tblStyle w:val="TableGrid"/>
        <w:tblW w:w="1000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000"/>
        <w:gridCol w:w="7000"/>
      </w:tblGrid>
      <w:tr w:rsidR="00F665A9" w:rsidRPr="00DC4384" w:rsidTr="009B37E9">
        <w:trPr>
          <w:trHeight w:hRule="exact" w:val="238"/>
        </w:trPr>
        <w:tc>
          <w:tcPr>
            <w:tcW w:w="3000" w:type="dxa"/>
            <w:shd w:val="clear" w:color="auto" w:fill="auto"/>
          </w:tcPr>
          <w:p w:rsidR="00F665A9" w:rsidRPr="002B7EC5" w:rsidRDefault="00EE38B6" w:rsidP="000858D0">
            <w:pPr>
              <w:spacing w:after="60"/>
              <w:jc w:val="left"/>
              <w:rPr>
                <w:b/>
                <w:sz w:val="18"/>
                <w:lang w:val="es-ES"/>
              </w:rPr>
            </w:pPr>
            <w:r w:rsidRPr="002B7EC5">
              <w:rPr>
                <w:b/>
                <w:sz w:val="18"/>
                <w:lang w:val="es-ES"/>
              </w:rPr>
              <w:t>Recomendación de la Secretaría:</w:t>
            </w:r>
          </w:p>
        </w:tc>
        <w:tc>
          <w:tcPr>
            <w:tcW w:w="7000" w:type="dxa"/>
            <w:shd w:val="clear" w:color="auto" w:fill="auto"/>
          </w:tcPr>
          <w:p w:rsidR="00F665A9" w:rsidRPr="00DC4384" w:rsidRDefault="002B7EC5" w:rsidP="002B7EC5">
            <w:pPr>
              <w:spacing w:after="6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s-ES"/>
              </w:rPr>
              <w:t>Aprobación general</w:t>
            </w:r>
          </w:p>
        </w:tc>
      </w:tr>
    </w:tbl>
    <w:p w:rsidR="00FE3307" w:rsidRPr="00DC4384" w:rsidRDefault="00FE3307" w:rsidP="000858D0">
      <w:pPr>
        <w:rPr>
          <w:lang w:val="en-CA"/>
        </w:rPr>
      </w:pPr>
      <w:r w:rsidRPr="00DC4384">
        <w:rPr>
          <w:lang w:val="en-CA"/>
        </w:rPr>
        <w:br w:type="page"/>
      </w:r>
    </w:p>
    <w:p w:rsidR="00B95D0B" w:rsidRDefault="00B95D0B" w:rsidP="000858D0">
      <w:pPr>
        <w:jc w:val="center"/>
        <w:rPr>
          <w:b/>
          <w:lang w:val="en-CA"/>
        </w:rPr>
      </w:pPr>
    </w:p>
    <w:p w:rsidR="00FE3307" w:rsidRPr="00DC4384" w:rsidRDefault="002B7EC5" w:rsidP="000858D0">
      <w:pPr>
        <w:jc w:val="center"/>
        <w:rPr>
          <w:b/>
          <w:lang w:val="en-CA"/>
        </w:rPr>
      </w:pPr>
      <w:r>
        <w:rPr>
          <w:b/>
          <w:lang w:val="en-CA"/>
        </w:rPr>
        <w:t>DESCRIPCIÓN DEL PROYECTO</w:t>
      </w:r>
    </w:p>
    <w:p w:rsidR="00FE3307" w:rsidRPr="00DC4384" w:rsidRDefault="00FE3307" w:rsidP="000858D0">
      <w:pPr>
        <w:rPr>
          <w:lang w:val="en-CA"/>
        </w:rPr>
      </w:pPr>
    </w:p>
    <w:p w:rsidR="00FE3307" w:rsidRPr="007E42F3" w:rsidRDefault="002B7EC5" w:rsidP="000858D0">
      <w:pPr>
        <w:pStyle w:val="Heading1"/>
        <w:rPr>
          <w:lang w:val="es-ES"/>
        </w:rPr>
      </w:pPr>
      <w:r w:rsidRPr="007E42F3">
        <w:rPr>
          <w:lang w:val="es-ES"/>
        </w:rPr>
        <w:t xml:space="preserve">En nombre del Gobierno de </w:t>
      </w:r>
      <w:r w:rsidR="007A496D" w:rsidRPr="007E42F3">
        <w:rPr>
          <w:lang w:val="es-ES"/>
        </w:rPr>
        <w:t>Mali</w:t>
      </w:r>
      <w:r w:rsidR="00FE3307" w:rsidRPr="007E42F3">
        <w:rPr>
          <w:lang w:val="es-ES"/>
        </w:rPr>
        <w:t>,</w:t>
      </w:r>
      <w:r w:rsidR="007A496D" w:rsidRPr="007E42F3">
        <w:rPr>
          <w:lang w:val="es-ES"/>
        </w:rPr>
        <w:t xml:space="preserve"> </w:t>
      </w:r>
      <w:r w:rsidRPr="007E42F3">
        <w:rPr>
          <w:lang w:val="es-ES"/>
        </w:rPr>
        <w:t>el PNUMA, en su condición de organismo de ejecución principal</w:t>
      </w:r>
      <w:r w:rsidR="007E42F3">
        <w:rPr>
          <w:lang w:val="es-ES"/>
        </w:rPr>
        <w:t>, ha</w:t>
      </w:r>
      <w:r w:rsidR="007E42F3" w:rsidRPr="007E42F3">
        <w:rPr>
          <w:lang w:val="es-ES"/>
        </w:rPr>
        <w:t xml:space="preserve"> presentado una solicitud de financiaci</w:t>
      </w:r>
      <w:r w:rsidR="007E42F3">
        <w:rPr>
          <w:lang w:val="es-ES"/>
        </w:rPr>
        <w:t>ón del cuarto tramo de la etapa</w:t>
      </w:r>
      <w:r w:rsidR="007E42F3" w:rsidRPr="007E42F3">
        <w:rPr>
          <w:lang w:val="es-ES"/>
        </w:rPr>
        <w:t xml:space="preserve"> </w:t>
      </w:r>
      <w:r w:rsidR="00FE3307" w:rsidRPr="007E42F3">
        <w:rPr>
          <w:lang w:val="es-ES"/>
        </w:rPr>
        <w:t xml:space="preserve">I </w:t>
      </w:r>
      <w:r w:rsidR="007E42F3">
        <w:rPr>
          <w:lang w:val="es-ES"/>
        </w:rPr>
        <w:t>del</w:t>
      </w:r>
      <w:r w:rsidR="00FE3307" w:rsidRPr="007E42F3">
        <w:rPr>
          <w:lang w:val="es-ES"/>
        </w:rPr>
        <w:t xml:space="preserve"> </w:t>
      </w:r>
      <w:r w:rsidR="007E42F3">
        <w:rPr>
          <w:lang w:val="es-ES"/>
        </w:rPr>
        <w:t xml:space="preserve">plan de gestión de la eliminación de </w:t>
      </w:r>
      <w:r w:rsidR="00FE3307" w:rsidRPr="007E42F3">
        <w:rPr>
          <w:lang w:val="es-ES"/>
        </w:rPr>
        <w:t>HCFC</w:t>
      </w:r>
      <w:r w:rsidR="007E42F3">
        <w:rPr>
          <w:lang w:val="es-ES"/>
        </w:rPr>
        <w:t>, por la suma de</w:t>
      </w:r>
      <w:r w:rsidR="00FE3307" w:rsidRPr="007E42F3">
        <w:rPr>
          <w:lang w:val="es-ES"/>
        </w:rPr>
        <w:t xml:space="preserve"> </w:t>
      </w:r>
      <w:r w:rsidR="007A496D" w:rsidRPr="007E42F3">
        <w:rPr>
          <w:lang w:val="es-ES"/>
        </w:rPr>
        <w:t>52</w:t>
      </w:r>
      <w:r w:rsidRPr="007E42F3">
        <w:rPr>
          <w:lang w:val="es-ES"/>
        </w:rPr>
        <w:t>.</w:t>
      </w:r>
      <w:r w:rsidR="007A496D" w:rsidRPr="007E42F3">
        <w:rPr>
          <w:lang w:val="es-ES"/>
        </w:rPr>
        <w:t>000</w:t>
      </w:r>
      <w:r w:rsidRPr="007E42F3">
        <w:rPr>
          <w:lang w:val="es-ES"/>
        </w:rPr>
        <w:t xml:space="preserve"> $EUA</w:t>
      </w:r>
      <w:r w:rsidR="00FE3307" w:rsidRPr="007E42F3">
        <w:rPr>
          <w:lang w:val="es-ES"/>
        </w:rPr>
        <w:t xml:space="preserve">, </w:t>
      </w:r>
      <w:r w:rsidRPr="007E42F3">
        <w:rPr>
          <w:lang w:val="es-ES"/>
        </w:rPr>
        <w:t>más gastos de apoyo al organismo de 6.</w:t>
      </w:r>
      <w:r w:rsidR="007A496D" w:rsidRPr="007E42F3">
        <w:rPr>
          <w:lang w:val="es-ES"/>
        </w:rPr>
        <w:t>760</w:t>
      </w:r>
      <w:r w:rsidRPr="007E42F3">
        <w:rPr>
          <w:lang w:val="es-ES"/>
        </w:rPr>
        <w:t xml:space="preserve"> $EUA para el PNUMA solamente</w:t>
      </w:r>
      <w:r w:rsidR="00FE3307" w:rsidRPr="00DC4384">
        <w:rPr>
          <w:rStyle w:val="FootnoteReference"/>
          <w:lang w:val="en-CA"/>
        </w:rPr>
        <w:footnoteReference w:id="1"/>
      </w:r>
      <w:r w:rsidRPr="007E42F3">
        <w:rPr>
          <w:lang w:val="es-ES"/>
        </w:rPr>
        <w:t>.</w:t>
      </w:r>
      <w:r w:rsidR="00FE3307" w:rsidRPr="007E42F3">
        <w:rPr>
          <w:lang w:val="es-ES"/>
        </w:rPr>
        <w:t xml:space="preserve"> </w:t>
      </w:r>
      <w:r w:rsidR="007E42F3">
        <w:rPr>
          <w:lang w:val="es-ES"/>
        </w:rPr>
        <w:t xml:space="preserve">En la solicitud se incluye un informe sobre los progresos realizados en </w:t>
      </w:r>
      <w:r w:rsidR="00EE38B6">
        <w:rPr>
          <w:lang w:val="es-ES"/>
        </w:rPr>
        <w:t>la</w:t>
      </w:r>
      <w:r w:rsidR="007E42F3">
        <w:rPr>
          <w:lang w:val="es-ES"/>
        </w:rPr>
        <w:t xml:space="preserve"> ejecución del tercer tramo y el plan de ejecución del tramo para </w:t>
      </w:r>
      <w:r w:rsidR="00FE3307" w:rsidRPr="007E42F3">
        <w:rPr>
          <w:lang w:val="es-ES"/>
        </w:rPr>
        <w:t xml:space="preserve">2019 </w:t>
      </w:r>
      <w:r w:rsidR="007E42F3">
        <w:rPr>
          <w:lang w:val="es-ES"/>
        </w:rPr>
        <w:t>hasta</w:t>
      </w:r>
      <w:r w:rsidR="00FE3307" w:rsidRPr="007E42F3">
        <w:rPr>
          <w:lang w:val="es-ES"/>
        </w:rPr>
        <w:t xml:space="preserve"> 20</w:t>
      </w:r>
      <w:r w:rsidR="00A778B6" w:rsidRPr="007E42F3">
        <w:rPr>
          <w:lang w:val="es-ES"/>
        </w:rPr>
        <w:t>20</w:t>
      </w:r>
      <w:r w:rsidR="00FE3307" w:rsidRPr="007E42F3">
        <w:rPr>
          <w:lang w:val="es-ES"/>
        </w:rPr>
        <w:t>.</w:t>
      </w:r>
    </w:p>
    <w:p w:rsidR="00FE3307" w:rsidRPr="002B7EC5" w:rsidRDefault="002B7EC5" w:rsidP="000858D0">
      <w:pPr>
        <w:rPr>
          <w:u w:val="single"/>
          <w:lang w:val="es-ES"/>
        </w:rPr>
      </w:pPr>
      <w:r w:rsidRPr="002B7EC5">
        <w:rPr>
          <w:u w:val="single"/>
          <w:lang w:val="es-ES"/>
        </w:rPr>
        <w:t>Informe sobre el consum</w:t>
      </w:r>
      <w:r w:rsidR="007E42F3">
        <w:rPr>
          <w:u w:val="single"/>
          <w:lang w:val="es-ES"/>
        </w:rPr>
        <w:t>o</w:t>
      </w:r>
      <w:r w:rsidRPr="002B7EC5">
        <w:rPr>
          <w:u w:val="single"/>
          <w:lang w:val="es-ES"/>
        </w:rPr>
        <w:t xml:space="preserve"> de </w:t>
      </w:r>
      <w:r w:rsidR="00FE3307" w:rsidRPr="002B7EC5">
        <w:rPr>
          <w:u w:val="single"/>
          <w:lang w:val="es-ES"/>
        </w:rPr>
        <w:t>HCFC</w:t>
      </w:r>
    </w:p>
    <w:p w:rsidR="00FE3307" w:rsidRPr="002B7EC5" w:rsidRDefault="00FE3307" w:rsidP="000858D0">
      <w:pPr>
        <w:rPr>
          <w:lang w:val="es-ES"/>
        </w:rPr>
      </w:pPr>
    </w:p>
    <w:p w:rsidR="00FE3307" w:rsidRPr="003032C1" w:rsidRDefault="007E42F3" w:rsidP="000858D0">
      <w:pPr>
        <w:pStyle w:val="Heading1"/>
        <w:rPr>
          <w:lang w:val="es-ES"/>
        </w:rPr>
      </w:pPr>
      <w:r w:rsidRPr="007E42F3">
        <w:rPr>
          <w:lang w:val="es-ES"/>
        </w:rPr>
        <w:t xml:space="preserve">El Gobierno de Mali notificó un consumo de </w:t>
      </w:r>
      <w:r w:rsidR="00BD3ECD" w:rsidRPr="007E42F3">
        <w:rPr>
          <w:lang w:val="es-ES"/>
        </w:rPr>
        <w:t>9</w:t>
      </w:r>
      <w:r w:rsidRPr="007E42F3">
        <w:rPr>
          <w:lang w:val="es-ES"/>
        </w:rPr>
        <w:t>,</w:t>
      </w:r>
      <w:r w:rsidR="00BD3ECD" w:rsidRPr="007E42F3">
        <w:rPr>
          <w:lang w:val="es-ES"/>
        </w:rPr>
        <w:t>08</w:t>
      </w:r>
      <w:r w:rsidR="00927275" w:rsidRPr="007E42F3">
        <w:rPr>
          <w:lang w:val="es-ES"/>
        </w:rPr>
        <w:t xml:space="preserve"> </w:t>
      </w:r>
      <w:r w:rsidRPr="007E42F3">
        <w:rPr>
          <w:lang w:val="es-ES"/>
        </w:rPr>
        <w:t xml:space="preserve">toneladas PAO de </w:t>
      </w:r>
      <w:r w:rsidR="00927275" w:rsidRPr="007E42F3">
        <w:rPr>
          <w:lang w:val="es-ES"/>
        </w:rPr>
        <w:t xml:space="preserve">HCFC </w:t>
      </w:r>
      <w:r>
        <w:rPr>
          <w:lang w:val="es-ES"/>
        </w:rPr>
        <w:t>e</w:t>
      </w:r>
      <w:r w:rsidR="00927275" w:rsidRPr="007E42F3">
        <w:rPr>
          <w:lang w:val="es-ES"/>
        </w:rPr>
        <w:t>n 2018</w:t>
      </w:r>
      <w:r w:rsidR="00FE3307" w:rsidRPr="007E42F3">
        <w:rPr>
          <w:lang w:val="es-ES"/>
        </w:rPr>
        <w:t xml:space="preserve">, </w:t>
      </w:r>
      <w:r>
        <w:rPr>
          <w:lang w:val="es-ES"/>
        </w:rPr>
        <w:t xml:space="preserve">que es inferior en más de un </w:t>
      </w:r>
      <w:r w:rsidR="00BD3ECD" w:rsidRPr="007E42F3">
        <w:rPr>
          <w:lang w:val="es-ES"/>
        </w:rPr>
        <w:t>39</w:t>
      </w:r>
      <w:r>
        <w:rPr>
          <w:lang w:val="es-ES"/>
        </w:rPr>
        <w:t>%</w:t>
      </w:r>
      <w:r w:rsidR="00FE3307" w:rsidRPr="007E42F3">
        <w:rPr>
          <w:lang w:val="es-ES"/>
        </w:rPr>
        <w:t xml:space="preserve"> </w:t>
      </w:r>
      <w:r>
        <w:rPr>
          <w:lang w:val="es-ES"/>
        </w:rPr>
        <w:t xml:space="preserve">al nivel de </w:t>
      </w:r>
      <w:r w:rsidR="003032C1">
        <w:rPr>
          <w:lang w:val="es-ES"/>
        </w:rPr>
        <w:t>referencia</w:t>
      </w:r>
      <w:r>
        <w:rPr>
          <w:lang w:val="es-ES"/>
        </w:rPr>
        <w:t xml:space="preserve"> de HCFC </w:t>
      </w:r>
      <w:r w:rsidR="003032C1">
        <w:rPr>
          <w:lang w:val="es-ES"/>
        </w:rPr>
        <w:t xml:space="preserve">establecido </w:t>
      </w:r>
      <w:r>
        <w:rPr>
          <w:lang w:val="es-ES"/>
        </w:rPr>
        <w:t>para el cumplimiento</w:t>
      </w:r>
      <w:r w:rsidR="00FE3307" w:rsidRPr="007E42F3">
        <w:rPr>
          <w:lang w:val="es-ES"/>
        </w:rPr>
        <w:t xml:space="preserve">. </w:t>
      </w:r>
      <w:r w:rsidR="003032C1">
        <w:rPr>
          <w:lang w:val="es-ES"/>
        </w:rPr>
        <w:t>En el cuadro 1 se muestra el consumo de HCFCH en</w:t>
      </w:r>
      <w:r w:rsidR="00FE3307" w:rsidRPr="003032C1">
        <w:rPr>
          <w:lang w:val="es-ES"/>
        </w:rPr>
        <w:t xml:space="preserve"> 2014-2018.  </w:t>
      </w:r>
    </w:p>
    <w:p w:rsidR="00FE3307" w:rsidRPr="006B0508" w:rsidRDefault="002B7EC5" w:rsidP="000858D0">
      <w:pPr>
        <w:rPr>
          <w:b/>
          <w:lang w:val="es-ES"/>
        </w:rPr>
      </w:pPr>
      <w:r w:rsidRPr="006B0508">
        <w:rPr>
          <w:b/>
          <w:lang w:val="es-ES"/>
        </w:rPr>
        <w:t>Cuadro</w:t>
      </w:r>
      <w:r w:rsidR="00FE3307" w:rsidRPr="006B0508">
        <w:rPr>
          <w:b/>
          <w:lang w:val="es-ES"/>
        </w:rPr>
        <w:t xml:space="preserve"> 1. </w:t>
      </w:r>
      <w:r w:rsidR="006B0508" w:rsidRPr="006B0508">
        <w:rPr>
          <w:b/>
          <w:lang w:val="es-ES"/>
        </w:rPr>
        <w:t>Consumo de HCFC e</w:t>
      </w:r>
      <w:r w:rsidR="00FE3307" w:rsidRPr="006B0508">
        <w:rPr>
          <w:b/>
          <w:lang w:val="es-ES"/>
        </w:rPr>
        <w:t xml:space="preserve">n </w:t>
      </w:r>
      <w:r w:rsidR="004F0A07" w:rsidRPr="006B0508">
        <w:rPr>
          <w:b/>
          <w:lang w:val="es-ES"/>
        </w:rPr>
        <w:t>Mali</w:t>
      </w:r>
      <w:r w:rsidR="00FE3307" w:rsidRPr="006B0508">
        <w:rPr>
          <w:b/>
          <w:lang w:val="es-ES"/>
        </w:rPr>
        <w:t xml:space="preserve"> (</w:t>
      </w:r>
      <w:r w:rsidR="006B0508" w:rsidRPr="006B0508">
        <w:rPr>
          <w:b/>
          <w:lang w:val="es-ES"/>
        </w:rPr>
        <w:t xml:space="preserve">datos </w:t>
      </w:r>
      <w:r w:rsidR="006B0508">
        <w:rPr>
          <w:b/>
          <w:lang w:val="es-ES"/>
        </w:rPr>
        <w:t xml:space="preserve">correspondientes a 2014-2018 </w:t>
      </w:r>
      <w:r w:rsidR="006B0508" w:rsidRPr="006B0508">
        <w:rPr>
          <w:b/>
          <w:lang w:val="es-ES"/>
        </w:rPr>
        <w:t>presentados con arreglo al art</w:t>
      </w:r>
      <w:r w:rsidR="006B0508">
        <w:rPr>
          <w:b/>
          <w:lang w:val="es-ES"/>
        </w:rPr>
        <w:t>ículo 7</w:t>
      </w:r>
      <w:r w:rsidR="00FE3307" w:rsidRPr="006B0508">
        <w:rPr>
          <w:b/>
          <w:lang w:val="es-ES"/>
        </w:rPr>
        <w:t>)</w:t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2922"/>
        <w:gridCol w:w="908"/>
        <w:gridCol w:w="910"/>
        <w:gridCol w:w="910"/>
        <w:gridCol w:w="908"/>
        <w:gridCol w:w="911"/>
        <w:gridCol w:w="1827"/>
      </w:tblGrid>
      <w:tr w:rsidR="003032C1" w:rsidRPr="00DC4384" w:rsidTr="003B72B1">
        <w:trPr>
          <w:trHeight w:val="248"/>
          <w:tblHeader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E3307" w:rsidRPr="00DC4384" w:rsidRDefault="00FE3307" w:rsidP="000858D0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HCFC-22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07" w:rsidRPr="00DC4384" w:rsidRDefault="00FE3307" w:rsidP="000858D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2014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07" w:rsidRPr="00DC4384" w:rsidRDefault="00FE3307" w:rsidP="000858D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2015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7" w:rsidRPr="00DC4384" w:rsidRDefault="00FE3307" w:rsidP="000858D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2016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FE3307" w:rsidP="000858D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FE3307" w:rsidP="007509D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/>
                <w:bCs/>
                <w:color w:val="000000"/>
                <w:sz w:val="20"/>
                <w:szCs w:val="20"/>
                <w:lang w:val="en-CA"/>
              </w:rPr>
              <w:t>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07" w:rsidRPr="00DC4384" w:rsidRDefault="003032C1" w:rsidP="003032C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Nivel de referencia</w:t>
            </w:r>
          </w:p>
        </w:tc>
      </w:tr>
      <w:tr w:rsidR="003032C1" w:rsidRPr="00DC4384" w:rsidTr="003B72B1">
        <w:trPr>
          <w:trHeight w:val="24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E3307" w:rsidRPr="00DC4384" w:rsidRDefault="006B0508" w:rsidP="000858D0">
            <w:pPr>
              <w:widowControl w:val="0"/>
              <w:jc w:val="left"/>
              <w:rPr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Cs/>
                <w:color w:val="000000"/>
                <w:sz w:val="20"/>
                <w:szCs w:val="20"/>
                <w:lang w:val="en-CA"/>
              </w:rPr>
              <w:t>Toneladas métrica</w:t>
            </w:r>
            <w:r w:rsidR="007E42F3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07" w:rsidRPr="00DC4384" w:rsidRDefault="008519C8" w:rsidP="007E42F3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color w:val="000000"/>
                <w:sz w:val="20"/>
                <w:szCs w:val="20"/>
                <w:lang w:val="en-CA"/>
              </w:rPr>
              <w:t>185</w:t>
            </w:r>
            <w:r w:rsidR="007E42F3">
              <w:rPr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color w:val="000000"/>
                <w:sz w:val="20"/>
                <w:szCs w:val="20"/>
                <w:lang w:val="en-CA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307" w:rsidRPr="00DC4384" w:rsidRDefault="008519C8" w:rsidP="007E42F3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color w:val="000000"/>
                <w:sz w:val="20"/>
                <w:szCs w:val="20"/>
                <w:lang w:val="en-CA"/>
              </w:rPr>
              <w:t>184</w:t>
            </w:r>
            <w:r w:rsidR="007E42F3">
              <w:rPr>
                <w:color w:val="000000"/>
                <w:sz w:val="20"/>
                <w:szCs w:val="20"/>
                <w:lang w:val="en-CA"/>
              </w:rPr>
              <w:t>,</w:t>
            </w:r>
            <w:r w:rsidR="0027264F" w:rsidRPr="00DC4384">
              <w:rPr>
                <w:color w:val="000000"/>
                <w:sz w:val="20"/>
                <w:szCs w:val="20"/>
                <w:lang w:val="en-CA"/>
              </w:rPr>
              <w:t>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7" w:rsidRPr="00DC4384" w:rsidRDefault="008519C8" w:rsidP="007E42F3">
            <w:pPr>
              <w:widowControl w:val="0"/>
              <w:jc w:val="right"/>
              <w:rPr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Cs/>
                <w:color w:val="000000"/>
                <w:sz w:val="20"/>
                <w:szCs w:val="20"/>
                <w:lang w:val="en-CA"/>
              </w:rPr>
              <w:t>175</w:t>
            </w:r>
            <w:r w:rsidR="007E42F3">
              <w:rPr>
                <w:bCs/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bCs/>
                <w:color w:val="000000"/>
                <w:sz w:val="20"/>
                <w:szCs w:val="20"/>
                <w:lang w:val="en-CA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8519C8" w:rsidP="007E42F3">
            <w:pPr>
              <w:widowControl w:val="0"/>
              <w:jc w:val="right"/>
              <w:rPr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bCs/>
                <w:color w:val="000000"/>
                <w:sz w:val="20"/>
                <w:szCs w:val="20"/>
                <w:lang w:val="en-CA"/>
              </w:rPr>
              <w:t>165</w:t>
            </w:r>
            <w:r w:rsidR="007E42F3">
              <w:rPr>
                <w:bCs/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bCs/>
                <w:color w:val="000000"/>
                <w:sz w:val="20"/>
                <w:szCs w:val="20"/>
                <w:lang w:val="en-CA"/>
              </w:rPr>
              <w:t>09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7509DA" w:rsidP="007E42F3">
            <w:pPr>
              <w:widowControl w:val="0"/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165</w:t>
            </w:r>
            <w:r w:rsidR="007E42F3">
              <w:rPr>
                <w:rFonts w:eastAsiaTheme="minorHAnsi"/>
                <w:color w:val="000000"/>
                <w:sz w:val="20"/>
                <w:szCs w:val="20"/>
                <w:lang w:val="en-CA"/>
              </w:rPr>
              <w:t>,</w:t>
            </w:r>
            <w:r w:rsidR="008519C8"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07" w:rsidRPr="00DC4384" w:rsidRDefault="008519C8" w:rsidP="007E42F3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sz w:val="20"/>
                <w:szCs w:val="20"/>
              </w:rPr>
              <w:t>272</w:t>
            </w:r>
            <w:r w:rsidR="007E42F3">
              <w:rPr>
                <w:sz w:val="20"/>
                <w:szCs w:val="20"/>
              </w:rPr>
              <w:t>,</w:t>
            </w:r>
            <w:r w:rsidRPr="00DC4384">
              <w:rPr>
                <w:sz w:val="20"/>
                <w:szCs w:val="20"/>
              </w:rPr>
              <w:t>30</w:t>
            </w:r>
          </w:p>
        </w:tc>
      </w:tr>
      <w:tr w:rsidR="003032C1" w:rsidRPr="00DC4384" w:rsidTr="003B72B1">
        <w:trPr>
          <w:trHeight w:val="248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E3307" w:rsidRPr="00DC4384" w:rsidRDefault="006B0508" w:rsidP="000858D0">
            <w:pPr>
              <w:widowControl w:val="0"/>
              <w:jc w:val="left"/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bCs/>
                <w:color w:val="000000"/>
                <w:sz w:val="20"/>
                <w:szCs w:val="20"/>
                <w:lang w:val="en-CA"/>
              </w:rPr>
              <w:t>Toneladas PAO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307" w:rsidRPr="00DC4384" w:rsidRDefault="008519C8" w:rsidP="007E42F3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10</w:t>
            </w:r>
            <w:r w:rsidR="007E42F3">
              <w:rPr>
                <w:rFonts w:eastAsiaTheme="minorHAnsi"/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307" w:rsidRPr="00DC4384" w:rsidRDefault="008519C8" w:rsidP="007E42F3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color w:val="000000"/>
                <w:sz w:val="20"/>
                <w:szCs w:val="20"/>
                <w:lang w:val="en-CA"/>
              </w:rPr>
              <w:t>10</w:t>
            </w:r>
            <w:r w:rsidR="007E42F3">
              <w:rPr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307" w:rsidRPr="00DC4384" w:rsidRDefault="008519C8" w:rsidP="007E42F3">
            <w:pPr>
              <w:jc w:val="right"/>
              <w:rPr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color w:val="000000"/>
                <w:sz w:val="20"/>
                <w:szCs w:val="20"/>
                <w:lang w:val="en-CA"/>
              </w:rPr>
              <w:t>9</w:t>
            </w:r>
            <w:r w:rsidR="007E42F3">
              <w:rPr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color w:val="000000"/>
                <w:sz w:val="20"/>
                <w:szCs w:val="20"/>
                <w:lang w:val="en-CA"/>
              </w:rPr>
              <w:t>63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8519C8" w:rsidP="007E42F3">
            <w:pPr>
              <w:jc w:val="right"/>
              <w:rPr>
                <w:sz w:val="20"/>
                <w:szCs w:val="20"/>
                <w:lang w:val="en-CA"/>
              </w:rPr>
            </w:pPr>
            <w:r w:rsidRPr="00DC4384">
              <w:rPr>
                <w:sz w:val="20"/>
                <w:szCs w:val="20"/>
                <w:lang w:val="en-CA"/>
              </w:rPr>
              <w:t>9</w:t>
            </w:r>
            <w:r w:rsidR="007E42F3">
              <w:rPr>
                <w:sz w:val="20"/>
                <w:szCs w:val="20"/>
                <w:lang w:val="en-CA"/>
              </w:rPr>
              <w:t>,</w:t>
            </w:r>
            <w:r w:rsidRPr="00DC4384">
              <w:rPr>
                <w:sz w:val="20"/>
                <w:szCs w:val="20"/>
                <w:lang w:val="en-CA"/>
              </w:rPr>
              <w:t>08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7" w:rsidRPr="00DC4384" w:rsidRDefault="007509DA" w:rsidP="007E42F3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sz w:val="20"/>
                <w:szCs w:val="20"/>
                <w:lang w:val="en-CA"/>
              </w:rPr>
              <w:t>9</w:t>
            </w:r>
            <w:r w:rsidR="007E42F3">
              <w:rPr>
                <w:sz w:val="20"/>
                <w:szCs w:val="20"/>
                <w:lang w:val="en-CA"/>
              </w:rPr>
              <w:t>,</w:t>
            </w:r>
            <w:r w:rsidRPr="00DC4384">
              <w:rPr>
                <w:sz w:val="20"/>
                <w:szCs w:val="20"/>
                <w:lang w:val="en-CA"/>
              </w:rPr>
              <w:t>08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307" w:rsidRPr="00DC4384" w:rsidRDefault="008519C8" w:rsidP="007E42F3">
            <w:pPr>
              <w:jc w:val="right"/>
              <w:rPr>
                <w:rFonts w:eastAsiaTheme="minorHAnsi"/>
                <w:color w:val="000000"/>
                <w:sz w:val="20"/>
                <w:szCs w:val="20"/>
                <w:lang w:val="en-CA"/>
              </w:rPr>
            </w:pPr>
            <w:r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15</w:t>
            </w:r>
            <w:r w:rsidR="007E42F3">
              <w:rPr>
                <w:rFonts w:eastAsiaTheme="minorHAnsi"/>
                <w:color w:val="000000"/>
                <w:sz w:val="20"/>
                <w:szCs w:val="20"/>
                <w:lang w:val="en-CA"/>
              </w:rPr>
              <w:t>,</w:t>
            </w:r>
            <w:r w:rsidRPr="00DC4384">
              <w:rPr>
                <w:rFonts w:eastAsiaTheme="minorHAnsi"/>
                <w:color w:val="000000"/>
                <w:sz w:val="20"/>
                <w:szCs w:val="20"/>
                <w:lang w:val="en-CA"/>
              </w:rPr>
              <w:t>00</w:t>
            </w:r>
          </w:p>
        </w:tc>
      </w:tr>
    </w:tbl>
    <w:p w:rsidR="00FE3307" w:rsidRPr="00DC4384" w:rsidRDefault="00FE3307" w:rsidP="000858D0">
      <w:pPr>
        <w:rPr>
          <w:lang w:val="en-CA"/>
        </w:rPr>
      </w:pPr>
    </w:p>
    <w:p w:rsidR="00FE3307" w:rsidRPr="007E42F3" w:rsidRDefault="006B0508" w:rsidP="000858D0">
      <w:pPr>
        <w:pStyle w:val="Heading1"/>
        <w:rPr>
          <w:lang w:val="es-ES"/>
        </w:rPr>
      </w:pPr>
      <w:r w:rsidRPr="006B0508">
        <w:rPr>
          <w:lang w:val="es-ES"/>
        </w:rPr>
        <w:t xml:space="preserve">Mali </w:t>
      </w:r>
      <w:r w:rsidR="0027264F" w:rsidRPr="006B0508">
        <w:rPr>
          <w:lang w:val="es-ES"/>
        </w:rPr>
        <w:t>import</w:t>
      </w:r>
      <w:r w:rsidRPr="006B0508">
        <w:rPr>
          <w:lang w:val="es-ES"/>
        </w:rPr>
        <w:t>a solamente</w:t>
      </w:r>
      <w:r w:rsidR="0027264F" w:rsidRPr="006B0508">
        <w:rPr>
          <w:lang w:val="es-ES"/>
        </w:rPr>
        <w:t xml:space="preserve"> HCFC-22 </w:t>
      </w:r>
      <w:r w:rsidRPr="006B0508">
        <w:rPr>
          <w:lang w:val="es-ES"/>
        </w:rPr>
        <w:t xml:space="preserve">y esta sustancia se utiliza en </w:t>
      </w:r>
      <w:r>
        <w:rPr>
          <w:lang w:val="es-ES"/>
        </w:rPr>
        <w:t>la prestación de servicios a las</w:t>
      </w:r>
      <w:r w:rsidRPr="006B0508">
        <w:rPr>
          <w:lang w:val="es-ES"/>
        </w:rPr>
        <w:t xml:space="preserve"> </w:t>
      </w:r>
      <w:r>
        <w:rPr>
          <w:lang w:val="es-ES"/>
        </w:rPr>
        <w:t xml:space="preserve">actuales </w:t>
      </w:r>
      <w:r w:rsidRPr="006B0508">
        <w:rPr>
          <w:lang w:val="es-ES"/>
        </w:rPr>
        <w:t>aplicaciones en refrigeraci</w:t>
      </w:r>
      <w:r>
        <w:rPr>
          <w:lang w:val="es-ES"/>
        </w:rPr>
        <w:t>ón y aire acondicionado</w:t>
      </w:r>
      <w:r w:rsidR="00705B6C" w:rsidRPr="006B0508">
        <w:rPr>
          <w:lang w:val="es-ES"/>
        </w:rPr>
        <w:t>.</w:t>
      </w:r>
      <w:r w:rsidR="0027264F" w:rsidRPr="006B0508">
        <w:rPr>
          <w:lang w:val="es-ES"/>
        </w:rPr>
        <w:t xml:space="preserve"> </w:t>
      </w:r>
      <w:r w:rsidRPr="006B0508">
        <w:rPr>
          <w:lang w:val="es-ES"/>
        </w:rPr>
        <w:t>El consumo de</w:t>
      </w:r>
      <w:r w:rsidR="0027264F" w:rsidRPr="006B0508">
        <w:rPr>
          <w:lang w:val="es-ES"/>
        </w:rPr>
        <w:t xml:space="preserve"> HCFC-22 </w:t>
      </w:r>
      <w:r w:rsidRPr="006B0508">
        <w:rPr>
          <w:lang w:val="es-ES"/>
        </w:rPr>
        <w:t>está disminuyendo debido a que disminuye la cantidad de equipos que utilizan</w:t>
      </w:r>
      <w:r w:rsidR="003B72B1" w:rsidRPr="006B0508">
        <w:rPr>
          <w:lang w:val="es-ES"/>
        </w:rPr>
        <w:t xml:space="preserve"> HCFC</w:t>
      </w:r>
      <w:r w:rsidR="003B72B1" w:rsidRPr="006B0508">
        <w:rPr>
          <w:lang w:val="es-ES"/>
        </w:rPr>
        <w:noBreakHyphen/>
        <w:t>22</w:t>
      </w:r>
      <w:r w:rsidR="0027264F" w:rsidRPr="006B0508">
        <w:rPr>
          <w:lang w:val="es-ES"/>
        </w:rPr>
        <w:t xml:space="preserve">, </w:t>
      </w:r>
      <w:r w:rsidRPr="006B0508">
        <w:rPr>
          <w:lang w:val="es-ES"/>
        </w:rPr>
        <w:t>a la ejecución del plan de gestión de eliminación de los HCFC mediante controles reg</w:t>
      </w:r>
      <w:r>
        <w:rPr>
          <w:lang w:val="es-ES"/>
        </w:rPr>
        <w:t>lamentarios y a la capacitación y creación de capacidad de los técnicos de mantenimiento en buenas prácticas de mantenimiento</w:t>
      </w:r>
      <w:r w:rsidR="00BD3ECD" w:rsidRPr="006B0508">
        <w:rPr>
          <w:lang w:val="es-ES"/>
        </w:rPr>
        <w:t>,</w:t>
      </w:r>
      <w:r w:rsidR="0027264F" w:rsidRPr="006B0508">
        <w:rPr>
          <w:lang w:val="es-ES"/>
        </w:rPr>
        <w:t xml:space="preserve"> </w:t>
      </w:r>
      <w:r w:rsidR="007E42F3">
        <w:rPr>
          <w:lang w:val="es-ES"/>
        </w:rPr>
        <w:t>y a que cada vez más</w:t>
      </w:r>
      <w:r w:rsidR="007E42F3" w:rsidRPr="007E42F3">
        <w:rPr>
          <w:lang w:val="es-ES"/>
        </w:rPr>
        <w:t xml:space="preserve"> </w:t>
      </w:r>
      <w:r w:rsidR="007E42F3">
        <w:rPr>
          <w:lang w:val="es-ES"/>
        </w:rPr>
        <w:t xml:space="preserve">se adoptan alternativas que no usan </w:t>
      </w:r>
      <w:r w:rsidR="0027264F" w:rsidRPr="006B0508">
        <w:rPr>
          <w:lang w:val="es-ES"/>
        </w:rPr>
        <w:t>HCFC</w:t>
      </w:r>
      <w:r w:rsidR="007E42F3">
        <w:rPr>
          <w:lang w:val="es-ES"/>
        </w:rPr>
        <w:t>, principalmente en aplicaciones de climatización</w:t>
      </w:r>
      <w:r w:rsidR="0027264F" w:rsidRPr="006B0508">
        <w:rPr>
          <w:lang w:val="es-ES"/>
        </w:rPr>
        <w:t>.</w:t>
      </w:r>
      <w:r w:rsidR="00705B6C" w:rsidRPr="006B0508">
        <w:rPr>
          <w:lang w:val="es-ES"/>
        </w:rPr>
        <w:t xml:space="preserve"> </w:t>
      </w:r>
      <w:r w:rsidR="007E42F3">
        <w:rPr>
          <w:lang w:val="es-ES"/>
        </w:rPr>
        <w:t xml:space="preserve">No se ha notificado el uso de SAO a no ser los </w:t>
      </w:r>
      <w:r w:rsidR="00705B6C" w:rsidRPr="007E42F3">
        <w:rPr>
          <w:lang w:val="es-ES"/>
        </w:rPr>
        <w:t>HCFC</w:t>
      </w:r>
      <w:r w:rsidR="007E42F3">
        <w:rPr>
          <w:lang w:val="es-ES"/>
        </w:rPr>
        <w:t xml:space="preserve"> que están en el mercado</w:t>
      </w:r>
      <w:r w:rsidR="00705B6C" w:rsidRPr="007E42F3">
        <w:rPr>
          <w:lang w:val="es-ES"/>
        </w:rPr>
        <w:t>.</w:t>
      </w:r>
    </w:p>
    <w:p w:rsidR="00FE3307" w:rsidRPr="007E42F3" w:rsidRDefault="007E42F3" w:rsidP="000858D0">
      <w:pPr>
        <w:rPr>
          <w:i/>
          <w:lang w:val="es-ES"/>
        </w:rPr>
      </w:pPr>
      <w:r w:rsidRPr="007E42F3">
        <w:rPr>
          <w:i/>
          <w:lang w:val="es-ES"/>
        </w:rPr>
        <w:t>Informe sobre la ejecución del programa de pa</w:t>
      </w:r>
      <w:r>
        <w:rPr>
          <w:i/>
          <w:lang w:val="es-ES"/>
        </w:rPr>
        <w:t>ís</w:t>
      </w:r>
    </w:p>
    <w:p w:rsidR="00FE3307" w:rsidRPr="007E42F3" w:rsidRDefault="00FE3307" w:rsidP="000858D0">
      <w:pPr>
        <w:rPr>
          <w:lang w:val="es-ES"/>
        </w:rPr>
      </w:pPr>
    </w:p>
    <w:p w:rsidR="00FE3307" w:rsidRPr="003032C1" w:rsidRDefault="007E42F3" w:rsidP="000858D0">
      <w:pPr>
        <w:pStyle w:val="Heading1"/>
        <w:rPr>
          <w:lang w:val="es-ES"/>
        </w:rPr>
      </w:pPr>
      <w:r w:rsidRPr="003032C1">
        <w:rPr>
          <w:lang w:val="es-ES"/>
        </w:rPr>
        <w:t>El Gobierno de Mali</w:t>
      </w:r>
      <w:r w:rsidR="00F05892" w:rsidRPr="003032C1">
        <w:rPr>
          <w:lang w:val="es-ES"/>
        </w:rPr>
        <w:t xml:space="preserve"> </w:t>
      </w:r>
      <w:r w:rsidR="003032C1" w:rsidRPr="003032C1">
        <w:rPr>
          <w:lang w:val="es-ES"/>
        </w:rPr>
        <w:t xml:space="preserve">presentó datos sobre el consume de </w:t>
      </w:r>
      <w:r w:rsidR="00FF19C2" w:rsidRPr="003032C1">
        <w:rPr>
          <w:lang w:val="es-ES"/>
        </w:rPr>
        <w:t xml:space="preserve">HCFC </w:t>
      </w:r>
      <w:r w:rsidR="003032C1" w:rsidRPr="003032C1">
        <w:rPr>
          <w:lang w:val="es-ES"/>
        </w:rPr>
        <w:t xml:space="preserve">por </w:t>
      </w:r>
      <w:r w:rsidR="00FF19C2" w:rsidRPr="003032C1">
        <w:rPr>
          <w:lang w:val="es-ES"/>
        </w:rPr>
        <w:t>sector</w:t>
      </w:r>
      <w:r w:rsidR="003032C1" w:rsidRPr="003032C1">
        <w:rPr>
          <w:lang w:val="es-ES"/>
        </w:rPr>
        <w:t>es en el informe sobre la ejecuci</w:t>
      </w:r>
      <w:r w:rsidR="003032C1">
        <w:rPr>
          <w:lang w:val="es-ES"/>
        </w:rPr>
        <w:t xml:space="preserve">ón del programa de país correspondiente a </w:t>
      </w:r>
      <w:r w:rsidR="00FF19C2" w:rsidRPr="003032C1">
        <w:rPr>
          <w:lang w:val="es-ES"/>
        </w:rPr>
        <w:t>201</w:t>
      </w:r>
      <w:r w:rsidR="007509DA" w:rsidRPr="003032C1">
        <w:rPr>
          <w:lang w:val="es-ES"/>
        </w:rPr>
        <w:t>8</w:t>
      </w:r>
      <w:r w:rsidR="003032C1">
        <w:rPr>
          <w:lang w:val="es-ES"/>
        </w:rPr>
        <w:t>, que concuerdan con los datos comunicados con arreglo al artículo</w:t>
      </w:r>
      <w:r w:rsidR="00FF19C2" w:rsidRPr="003032C1">
        <w:rPr>
          <w:lang w:val="es-ES"/>
        </w:rPr>
        <w:t xml:space="preserve"> 7 </w:t>
      </w:r>
      <w:r w:rsidR="003032C1">
        <w:rPr>
          <w:lang w:val="es-ES"/>
        </w:rPr>
        <w:t>del Protocolo de</w:t>
      </w:r>
      <w:r w:rsidR="00FF19C2" w:rsidRPr="003032C1">
        <w:rPr>
          <w:lang w:val="es-ES"/>
        </w:rPr>
        <w:t xml:space="preserve"> Montreal. </w:t>
      </w:r>
    </w:p>
    <w:p w:rsidR="00FE3307" w:rsidRPr="003032C1" w:rsidRDefault="003032C1" w:rsidP="000858D0">
      <w:pPr>
        <w:keepNext/>
        <w:rPr>
          <w:u w:val="single"/>
          <w:lang w:val="es-ES"/>
        </w:rPr>
      </w:pPr>
      <w:r w:rsidRPr="003032C1">
        <w:rPr>
          <w:u w:val="single"/>
          <w:lang w:val="es-ES"/>
        </w:rPr>
        <w:t>Informe sobre los progresos realizados en la ejecución del tercer tramo del plan de gesti</w:t>
      </w:r>
      <w:r>
        <w:rPr>
          <w:u w:val="single"/>
          <w:lang w:val="es-ES"/>
        </w:rPr>
        <w:t>ón de eliminación de los HCFC</w:t>
      </w:r>
    </w:p>
    <w:p w:rsidR="00FE3307" w:rsidRPr="003032C1" w:rsidRDefault="00FE3307" w:rsidP="000858D0">
      <w:pPr>
        <w:keepNext/>
        <w:rPr>
          <w:lang w:val="es-ES"/>
        </w:rPr>
      </w:pPr>
    </w:p>
    <w:p w:rsidR="00FE3307" w:rsidRPr="00DC4384" w:rsidRDefault="003032C1" w:rsidP="000858D0">
      <w:pPr>
        <w:keepNext/>
        <w:rPr>
          <w:i/>
          <w:lang w:val="en-CA"/>
        </w:rPr>
      </w:pPr>
      <w:r>
        <w:rPr>
          <w:i/>
          <w:lang w:val="en-CA"/>
        </w:rPr>
        <w:t>Marco jurídico</w:t>
      </w:r>
    </w:p>
    <w:p w:rsidR="00FE3307" w:rsidRPr="00DC4384" w:rsidRDefault="00FE3307" w:rsidP="000858D0">
      <w:pPr>
        <w:keepNext/>
        <w:rPr>
          <w:lang w:val="en-CA"/>
        </w:rPr>
      </w:pPr>
    </w:p>
    <w:p w:rsidR="00C515C8" w:rsidRPr="00153BFF" w:rsidRDefault="007E42F3" w:rsidP="00B95D0B">
      <w:pPr>
        <w:pStyle w:val="Heading1"/>
        <w:rPr>
          <w:lang w:val="es-ES"/>
        </w:rPr>
      </w:pPr>
      <w:r w:rsidRPr="00101E0C">
        <w:rPr>
          <w:lang w:val="es-ES"/>
        </w:rPr>
        <w:t>El Gobierno de Mali</w:t>
      </w:r>
      <w:r w:rsidR="0027264F" w:rsidRPr="00101E0C">
        <w:rPr>
          <w:lang w:val="es-ES"/>
        </w:rPr>
        <w:t xml:space="preserve"> ha</w:t>
      </w:r>
      <w:r w:rsidR="00101E0C" w:rsidRPr="00101E0C">
        <w:rPr>
          <w:lang w:val="es-ES"/>
        </w:rPr>
        <w:t xml:space="preserve"> puesto en funcionamiento un sistema de concesión de licencias de importaci</w:t>
      </w:r>
      <w:r w:rsidR="00101E0C">
        <w:rPr>
          <w:lang w:val="es-ES"/>
        </w:rPr>
        <w:t xml:space="preserve">ón/exportación y de cupos </w:t>
      </w:r>
      <w:r w:rsidR="00153BFF">
        <w:rPr>
          <w:lang w:val="es-ES"/>
        </w:rPr>
        <w:t>para las SAO, que incluye a los HCFC</w:t>
      </w:r>
      <w:r w:rsidR="0027264F" w:rsidRPr="00101E0C">
        <w:rPr>
          <w:lang w:val="es-ES"/>
        </w:rPr>
        <w:t xml:space="preserve">. </w:t>
      </w:r>
      <w:r w:rsidR="00153BFF" w:rsidRPr="00153BFF">
        <w:rPr>
          <w:lang w:val="es-ES"/>
        </w:rPr>
        <w:t xml:space="preserve">El Decreto de </w:t>
      </w:r>
      <w:r w:rsidR="0027264F" w:rsidRPr="00153BFF">
        <w:rPr>
          <w:lang w:val="es-ES"/>
        </w:rPr>
        <w:t xml:space="preserve">22 </w:t>
      </w:r>
      <w:r w:rsidR="00153BFF" w:rsidRPr="00153BFF">
        <w:rPr>
          <w:lang w:val="es-ES"/>
        </w:rPr>
        <w:t xml:space="preserve">de enero de </w:t>
      </w:r>
      <w:r w:rsidR="0027264F" w:rsidRPr="00153BFF">
        <w:rPr>
          <w:lang w:val="es-ES"/>
        </w:rPr>
        <w:t>2007 regula</w:t>
      </w:r>
      <w:r w:rsidR="00153BFF" w:rsidRPr="00153BFF">
        <w:rPr>
          <w:lang w:val="es-ES"/>
        </w:rPr>
        <w:t xml:space="preserve"> la importaci</w:t>
      </w:r>
      <w:r w:rsidR="00153BFF">
        <w:rPr>
          <w:lang w:val="es-ES"/>
        </w:rPr>
        <w:t xml:space="preserve">ón, el comercio, el uso y la reexportación de SAO, incluidos los </w:t>
      </w:r>
      <w:r w:rsidR="0027264F" w:rsidRPr="00153BFF">
        <w:rPr>
          <w:lang w:val="es-ES"/>
        </w:rPr>
        <w:t>HCFC</w:t>
      </w:r>
      <w:r w:rsidR="00153BFF">
        <w:rPr>
          <w:lang w:val="es-ES"/>
        </w:rPr>
        <w:t xml:space="preserve"> y el equipo que lo contenga</w:t>
      </w:r>
      <w:r w:rsidR="003E4691" w:rsidRPr="00153BFF">
        <w:rPr>
          <w:lang w:val="es-ES"/>
        </w:rPr>
        <w:t>.</w:t>
      </w:r>
      <w:r w:rsidR="00C515C8" w:rsidRPr="00153BFF">
        <w:rPr>
          <w:lang w:val="es-ES"/>
        </w:rPr>
        <w:t xml:space="preserve"> </w:t>
      </w:r>
      <w:r w:rsidR="00153BFF" w:rsidRPr="00153BFF">
        <w:rPr>
          <w:lang w:val="es-ES"/>
        </w:rPr>
        <w:t>El Gobierno ha seguido fortaleciendo sus controles reglamentarios mediante inspecciones periódicas de los mercados locales para detectar casos de</w:t>
      </w:r>
      <w:r w:rsidR="00153BFF">
        <w:rPr>
          <w:lang w:val="es-ES"/>
        </w:rPr>
        <w:t xml:space="preserve"> envíos ilegales</w:t>
      </w:r>
      <w:r w:rsidR="00C515C8" w:rsidRPr="00153BFF">
        <w:rPr>
          <w:lang w:val="es-ES"/>
        </w:rPr>
        <w:t xml:space="preserve">, </w:t>
      </w:r>
      <w:r w:rsidR="00153BFF">
        <w:rPr>
          <w:lang w:val="es-ES"/>
        </w:rPr>
        <w:t>y aumentando la capacitación de oficiales de aduanas y del Ministerio de Comercio</w:t>
      </w:r>
      <w:r w:rsidR="00C515C8" w:rsidRPr="00153BFF">
        <w:rPr>
          <w:lang w:val="es-ES"/>
        </w:rPr>
        <w:t xml:space="preserve">, </w:t>
      </w:r>
      <w:r w:rsidR="00153BFF">
        <w:rPr>
          <w:lang w:val="es-ES"/>
        </w:rPr>
        <w:t>y las actividades de sensibilización centradas en el reglamento sobre las SAO entre los importadores, las empresas navieras, los agentes de aduanas</w:t>
      </w:r>
      <w:r w:rsidR="00C515C8" w:rsidRPr="00153BFF">
        <w:rPr>
          <w:lang w:val="es-ES"/>
        </w:rPr>
        <w:t xml:space="preserve">, </w:t>
      </w:r>
      <w:r w:rsidR="00153BFF">
        <w:rPr>
          <w:lang w:val="es-ES"/>
        </w:rPr>
        <w:t>los comerciantes minoristas y las empresas de servicios</w:t>
      </w:r>
      <w:r w:rsidR="00C515C8" w:rsidRPr="00153BFF">
        <w:rPr>
          <w:lang w:val="es-ES"/>
        </w:rPr>
        <w:t>.</w:t>
      </w:r>
      <w:r w:rsidR="003E4691" w:rsidRPr="00153BFF">
        <w:rPr>
          <w:lang w:val="es-ES"/>
        </w:rPr>
        <w:t xml:space="preserve"> </w:t>
      </w:r>
      <w:r w:rsidR="00153BFF" w:rsidRPr="00153BFF">
        <w:rPr>
          <w:lang w:val="es-ES"/>
        </w:rPr>
        <w:t>El Gobierno sigue aplicando el reglamento por el que se prohíbe la importaci</w:t>
      </w:r>
      <w:r w:rsidR="00153BFF">
        <w:rPr>
          <w:lang w:val="es-ES"/>
        </w:rPr>
        <w:t>ón de SAO y de equipo que utilice SAO distintas de los HCFC</w:t>
      </w:r>
      <w:r w:rsidR="003E4691" w:rsidRPr="00153BFF">
        <w:rPr>
          <w:lang w:val="es-ES"/>
        </w:rPr>
        <w:t>.</w:t>
      </w:r>
    </w:p>
    <w:p w:rsidR="00FE3307" w:rsidRPr="003032C1" w:rsidRDefault="003032C1" w:rsidP="00B95D0B">
      <w:pPr>
        <w:keepNext/>
        <w:keepLines/>
        <w:rPr>
          <w:i/>
          <w:lang w:val="es-ES"/>
        </w:rPr>
      </w:pPr>
      <w:r w:rsidRPr="003032C1">
        <w:rPr>
          <w:i/>
          <w:lang w:val="es-ES"/>
        </w:rPr>
        <w:lastRenderedPageBreak/>
        <w:t>Sector de mantenimiento de equipos de refrigeraci</w:t>
      </w:r>
      <w:r>
        <w:rPr>
          <w:i/>
          <w:lang w:val="es-ES"/>
        </w:rPr>
        <w:t>ón</w:t>
      </w:r>
    </w:p>
    <w:p w:rsidR="00FE3307" w:rsidRPr="003032C1" w:rsidRDefault="00FE3307" w:rsidP="00B95D0B">
      <w:pPr>
        <w:keepNext/>
        <w:keepLines/>
        <w:rPr>
          <w:lang w:val="es-ES"/>
        </w:rPr>
      </w:pPr>
    </w:p>
    <w:p w:rsidR="00DA539A" w:rsidRPr="003032C1" w:rsidRDefault="00101E0C" w:rsidP="00B95D0B">
      <w:pPr>
        <w:pStyle w:val="Heading1"/>
        <w:keepNext/>
        <w:keepLines/>
        <w:tabs>
          <w:tab w:val="clear" w:pos="0"/>
        </w:tabs>
        <w:rPr>
          <w:lang w:val="es-ES"/>
        </w:rPr>
      </w:pPr>
      <w:r>
        <w:rPr>
          <w:lang w:val="es-ES"/>
        </w:rPr>
        <w:t xml:space="preserve">Las actividades </w:t>
      </w:r>
      <w:r w:rsidR="003032C1" w:rsidRPr="003032C1">
        <w:rPr>
          <w:lang w:val="es-ES"/>
        </w:rPr>
        <w:t xml:space="preserve">principales </w:t>
      </w:r>
      <w:r>
        <w:rPr>
          <w:lang w:val="es-ES"/>
        </w:rPr>
        <w:t>que se han llevado a cabo s</w:t>
      </w:r>
      <w:r w:rsidR="003032C1" w:rsidRPr="003032C1">
        <w:rPr>
          <w:lang w:val="es-ES"/>
        </w:rPr>
        <w:t>on</w:t>
      </w:r>
      <w:r w:rsidR="00DA539A" w:rsidRPr="003032C1">
        <w:rPr>
          <w:lang w:val="es-ES"/>
        </w:rPr>
        <w:t>:</w:t>
      </w:r>
    </w:p>
    <w:p w:rsidR="00DA539A" w:rsidRPr="00825C3B" w:rsidRDefault="00825C3B" w:rsidP="00B95D0B">
      <w:pPr>
        <w:pStyle w:val="Heading2"/>
        <w:keepNext/>
        <w:keepLines/>
        <w:rPr>
          <w:lang w:val="es-ES"/>
        </w:rPr>
      </w:pPr>
      <w:r w:rsidRPr="00825C3B">
        <w:rPr>
          <w:lang w:val="es-ES"/>
        </w:rPr>
        <w:t xml:space="preserve">Cinco cursillos prácticos para formar un total de </w:t>
      </w:r>
      <w:r w:rsidR="00DA539A" w:rsidRPr="00825C3B">
        <w:rPr>
          <w:lang w:val="es-ES"/>
        </w:rPr>
        <w:t xml:space="preserve">175 </w:t>
      </w:r>
      <w:r>
        <w:rPr>
          <w:lang w:val="es-ES"/>
        </w:rPr>
        <w:t>oficiales de adu</w:t>
      </w:r>
      <w:r w:rsidRPr="00825C3B">
        <w:rPr>
          <w:lang w:val="es-ES"/>
        </w:rPr>
        <w:t>anas y de medio ambiente y otros agentes encargados de hacer cumplir la ley</w:t>
      </w:r>
      <w:r>
        <w:rPr>
          <w:lang w:val="es-ES"/>
        </w:rPr>
        <w:t xml:space="preserve"> e</w:t>
      </w:r>
      <w:r w:rsidR="00DA539A" w:rsidRPr="00825C3B">
        <w:rPr>
          <w:lang w:val="es-ES"/>
        </w:rPr>
        <w:t xml:space="preserve">n </w:t>
      </w:r>
      <w:r>
        <w:rPr>
          <w:lang w:val="es-ES"/>
        </w:rPr>
        <w:t xml:space="preserve">la supervisión y el control de la importación y distribución de los </w:t>
      </w:r>
      <w:r w:rsidR="00DA539A" w:rsidRPr="00825C3B">
        <w:rPr>
          <w:lang w:val="es-ES"/>
        </w:rPr>
        <w:t>HCFC</w:t>
      </w:r>
      <w:r w:rsidR="004654B9" w:rsidRPr="00825C3B">
        <w:rPr>
          <w:lang w:val="es-ES"/>
        </w:rPr>
        <w:t xml:space="preserve">. </w:t>
      </w:r>
      <w:r w:rsidRPr="00825C3B">
        <w:rPr>
          <w:lang w:val="es-ES"/>
        </w:rPr>
        <w:t>El plan de estudios de la escuela de capacitación de oficiales de aduanas se está revisando para incluir un manual de capacitaci</w:t>
      </w:r>
      <w:r>
        <w:rPr>
          <w:lang w:val="es-ES"/>
        </w:rPr>
        <w:t>ón sobre el reglamento de las SAO y la importación y exportación de SAO</w:t>
      </w:r>
      <w:r w:rsidR="006E5B26" w:rsidRPr="00825C3B">
        <w:rPr>
          <w:lang w:val="es-ES"/>
        </w:rPr>
        <w:t>;</w:t>
      </w:r>
    </w:p>
    <w:p w:rsidR="00DA539A" w:rsidRPr="00825C3B" w:rsidRDefault="00825C3B" w:rsidP="000858D0">
      <w:pPr>
        <w:pStyle w:val="Heading2"/>
        <w:rPr>
          <w:lang w:val="es-ES"/>
        </w:rPr>
      </w:pPr>
      <w:r w:rsidRPr="00825C3B">
        <w:rPr>
          <w:lang w:val="es-ES"/>
        </w:rPr>
        <w:t xml:space="preserve">Seis cursillos prácticos para la formación de un total de </w:t>
      </w:r>
      <w:r w:rsidR="00DA539A" w:rsidRPr="00825C3B">
        <w:rPr>
          <w:lang w:val="es-ES"/>
        </w:rPr>
        <w:t xml:space="preserve">255 </w:t>
      </w:r>
      <w:r w:rsidRPr="00825C3B">
        <w:rPr>
          <w:lang w:val="es-ES"/>
        </w:rPr>
        <w:t>técnicos en refrigeración en buenas prácticas de mantenimiento de equ</w:t>
      </w:r>
      <w:r>
        <w:rPr>
          <w:lang w:val="es-ES"/>
        </w:rPr>
        <w:t>i</w:t>
      </w:r>
      <w:r w:rsidRPr="00825C3B">
        <w:rPr>
          <w:lang w:val="es-ES"/>
        </w:rPr>
        <w:t>pos de aire acondicionado</w:t>
      </w:r>
      <w:r>
        <w:rPr>
          <w:lang w:val="es-ES"/>
        </w:rPr>
        <w:t xml:space="preserve">, que incluyen la recuperación y el reciclado de los </w:t>
      </w:r>
      <w:r w:rsidR="00DA539A" w:rsidRPr="00825C3B">
        <w:rPr>
          <w:lang w:val="es-ES"/>
        </w:rPr>
        <w:t>HCFC</w:t>
      </w:r>
      <w:r>
        <w:rPr>
          <w:lang w:val="es-ES"/>
        </w:rPr>
        <w:t xml:space="preserve"> y la manipulación de refrigerantes a base de hidrocarbonos en condiciones seguras</w:t>
      </w:r>
      <w:r w:rsidR="00DA539A" w:rsidRPr="00825C3B">
        <w:rPr>
          <w:lang w:val="es-ES"/>
        </w:rPr>
        <w:t>;</w:t>
      </w:r>
    </w:p>
    <w:p w:rsidR="004654B9" w:rsidRPr="00825C3B" w:rsidRDefault="00825C3B" w:rsidP="000858D0">
      <w:pPr>
        <w:pStyle w:val="Heading2"/>
        <w:rPr>
          <w:lang w:val="es-ES"/>
        </w:rPr>
      </w:pPr>
      <w:r w:rsidRPr="00825C3B">
        <w:rPr>
          <w:lang w:val="es-ES"/>
        </w:rPr>
        <w:t xml:space="preserve">Adquisición y entrega de equipos y herramientas para cuatro centros de capacitación y determinados talleres en los distritos de </w:t>
      </w:r>
      <w:r w:rsidR="00F426B7" w:rsidRPr="00825C3B">
        <w:rPr>
          <w:lang w:val="es-ES"/>
        </w:rPr>
        <w:t xml:space="preserve">Bamako (3) </w:t>
      </w:r>
      <w:r>
        <w:rPr>
          <w:lang w:val="es-ES"/>
        </w:rPr>
        <w:t>y</w:t>
      </w:r>
      <w:r w:rsidR="00F426B7" w:rsidRPr="00825C3B">
        <w:rPr>
          <w:lang w:val="es-ES"/>
        </w:rPr>
        <w:t xml:space="preserve"> Segou (1).</w:t>
      </w:r>
      <w:r w:rsidR="00C515C8" w:rsidRPr="00825C3B">
        <w:rPr>
          <w:lang w:val="es-ES"/>
        </w:rPr>
        <w:t xml:space="preserve"> </w:t>
      </w:r>
      <w:r w:rsidRPr="00825C3B">
        <w:rPr>
          <w:lang w:val="es-ES"/>
        </w:rPr>
        <w:t>El equipo incluye detectores de refrigerantes, detector</w:t>
      </w:r>
      <w:r>
        <w:rPr>
          <w:lang w:val="es-ES"/>
        </w:rPr>
        <w:t>e</w:t>
      </w:r>
      <w:r w:rsidRPr="00825C3B">
        <w:rPr>
          <w:lang w:val="es-ES"/>
        </w:rPr>
        <w:t>s electrónicos portátiles de fugas</w:t>
      </w:r>
      <w:r w:rsidR="00D54C78" w:rsidRPr="00825C3B">
        <w:rPr>
          <w:lang w:val="es-ES"/>
        </w:rPr>
        <w:t xml:space="preserve">, </w:t>
      </w:r>
      <w:r w:rsidRPr="00825C3B">
        <w:rPr>
          <w:lang w:val="es-ES"/>
        </w:rPr>
        <w:t>bombas de vac</w:t>
      </w:r>
      <w:r>
        <w:rPr>
          <w:lang w:val="es-ES"/>
        </w:rPr>
        <w:t xml:space="preserve">ío, </w:t>
      </w:r>
      <w:r w:rsidR="00D54C78" w:rsidRPr="00825C3B">
        <w:rPr>
          <w:lang w:val="es-ES"/>
        </w:rPr>
        <w:t>gauges,</w:t>
      </w:r>
      <w:r>
        <w:rPr>
          <w:lang w:val="es-ES"/>
        </w:rPr>
        <w:t xml:space="preserve"> equipos de recuperación y reciclado, y cilindro de recuperación</w:t>
      </w:r>
      <w:r w:rsidR="00D54C78" w:rsidRPr="00825C3B">
        <w:rPr>
          <w:lang w:val="es-ES"/>
        </w:rPr>
        <w:t xml:space="preserve">, </w:t>
      </w:r>
      <w:r w:rsidR="005666C3">
        <w:rPr>
          <w:lang w:val="es-ES"/>
        </w:rPr>
        <w:t>instrumentos de seguridad y accesorios</w:t>
      </w:r>
      <w:r w:rsidR="004654B9" w:rsidRPr="00825C3B">
        <w:rPr>
          <w:lang w:val="es-ES"/>
        </w:rPr>
        <w:t>;</w:t>
      </w:r>
      <w:r w:rsidR="00D54C78" w:rsidRPr="00825C3B">
        <w:rPr>
          <w:lang w:val="es-ES"/>
        </w:rPr>
        <w:t xml:space="preserve"> </w:t>
      </w:r>
      <w:r w:rsidR="005666C3">
        <w:rPr>
          <w:lang w:val="es-ES"/>
        </w:rPr>
        <w:t>y</w:t>
      </w:r>
    </w:p>
    <w:p w:rsidR="00D54C78" w:rsidRPr="00153BFF" w:rsidRDefault="00153BFF" w:rsidP="000858D0">
      <w:pPr>
        <w:pStyle w:val="Heading2"/>
        <w:rPr>
          <w:lang w:val="es-ES"/>
        </w:rPr>
      </w:pPr>
      <w:r w:rsidRPr="00825C3B">
        <w:rPr>
          <w:lang w:val="es-ES"/>
        </w:rPr>
        <w:t>Las actividades previstas en el subcomponente de refrigeración comercial</w:t>
      </w:r>
      <w:r w:rsidR="00825C3B" w:rsidRPr="00825C3B">
        <w:rPr>
          <w:lang w:val="es-ES"/>
        </w:rPr>
        <w:t xml:space="preserve"> para los usuarios finales quedaron aplazada</w:t>
      </w:r>
      <w:r w:rsidR="00825C3B">
        <w:rPr>
          <w:lang w:val="es-ES"/>
        </w:rPr>
        <w:t>s debido a que no se dispone de tecnologías de bajo potencial de calentamiento atmosférico</w:t>
      </w:r>
      <w:r w:rsidR="00F426B7" w:rsidRPr="00825C3B">
        <w:rPr>
          <w:lang w:val="es-ES"/>
        </w:rPr>
        <w:t xml:space="preserve"> (</w:t>
      </w:r>
      <w:r w:rsidR="00825C3B">
        <w:rPr>
          <w:lang w:val="es-ES"/>
        </w:rPr>
        <w:t>PCA</w:t>
      </w:r>
      <w:r w:rsidR="00F426B7" w:rsidRPr="00825C3B">
        <w:rPr>
          <w:lang w:val="es-ES"/>
        </w:rPr>
        <w:t>)</w:t>
      </w:r>
      <w:r w:rsidR="007E2A09" w:rsidRPr="00825C3B">
        <w:rPr>
          <w:lang w:val="es-ES"/>
        </w:rPr>
        <w:t xml:space="preserve"> </w:t>
      </w:r>
      <w:r w:rsidR="00E12932" w:rsidRPr="00825C3B">
        <w:rPr>
          <w:lang w:val="es-ES"/>
        </w:rPr>
        <w:t>(</w:t>
      </w:r>
      <w:r w:rsidR="00825C3B">
        <w:rPr>
          <w:lang w:val="es-ES"/>
        </w:rPr>
        <w:t>por ej.</w:t>
      </w:r>
      <w:r w:rsidR="00E12932" w:rsidRPr="00825C3B">
        <w:rPr>
          <w:lang w:val="es-ES"/>
        </w:rPr>
        <w:t xml:space="preserve">, </w:t>
      </w:r>
      <w:r w:rsidR="00825C3B">
        <w:rPr>
          <w:lang w:val="es-ES"/>
        </w:rPr>
        <w:t>hidrocarbonos</w:t>
      </w:r>
      <w:r w:rsidR="00E12932" w:rsidRPr="00825C3B">
        <w:rPr>
          <w:lang w:val="es-ES"/>
        </w:rPr>
        <w:t xml:space="preserve"> (HC))</w:t>
      </w:r>
      <w:r w:rsidR="007E2A09" w:rsidRPr="00825C3B">
        <w:rPr>
          <w:lang w:val="es-ES"/>
        </w:rPr>
        <w:t xml:space="preserve"> </w:t>
      </w:r>
      <w:r w:rsidR="00825C3B">
        <w:rPr>
          <w:lang w:val="es-ES"/>
        </w:rPr>
        <w:t>para la reconversión de equipos</w:t>
      </w:r>
      <w:r w:rsidR="004654B9" w:rsidRPr="00825C3B">
        <w:rPr>
          <w:lang w:val="es-ES"/>
        </w:rPr>
        <w:t>.</w:t>
      </w:r>
      <w:r w:rsidR="00BC648A" w:rsidRPr="00825C3B">
        <w:rPr>
          <w:lang w:val="es-ES"/>
        </w:rPr>
        <w:t xml:space="preserve"> </w:t>
      </w:r>
      <w:r w:rsidRPr="00153BFF">
        <w:rPr>
          <w:lang w:val="es-ES"/>
        </w:rPr>
        <w:t xml:space="preserve">Los fondos asignados para este </w:t>
      </w:r>
      <w:r w:rsidR="00BC648A" w:rsidRPr="00153BFF">
        <w:rPr>
          <w:lang w:val="es-ES"/>
        </w:rPr>
        <w:t>component</w:t>
      </w:r>
      <w:r w:rsidRPr="00153BFF">
        <w:rPr>
          <w:lang w:val="es-ES"/>
        </w:rPr>
        <w:t>e</w:t>
      </w:r>
      <w:r w:rsidR="00BC648A" w:rsidRPr="00153BFF">
        <w:rPr>
          <w:lang w:val="es-ES"/>
        </w:rPr>
        <w:t xml:space="preserve"> (10</w:t>
      </w:r>
      <w:r w:rsidRPr="00153BFF">
        <w:rPr>
          <w:lang w:val="es-ES"/>
        </w:rPr>
        <w:t>.</w:t>
      </w:r>
      <w:r w:rsidR="00BC648A" w:rsidRPr="00153BFF">
        <w:rPr>
          <w:lang w:val="es-ES"/>
        </w:rPr>
        <w:t>000</w:t>
      </w:r>
      <w:r w:rsidRPr="00153BFF">
        <w:rPr>
          <w:lang w:val="es-ES"/>
        </w:rPr>
        <w:t xml:space="preserve"> $EUA</w:t>
      </w:r>
      <w:r w:rsidR="00BC648A" w:rsidRPr="00153BFF">
        <w:rPr>
          <w:lang w:val="es-ES"/>
        </w:rPr>
        <w:t xml:space="preserve">) </w:t>
      </w:r>
      <w:r w:rsidRPr="00153BFF">
        <w:rPr>
          <w:lang w:val="es-ES"/>
        </w:rPr>
        <w:t>se usaron para prestar apoyo en equipos a los centros de capacitaci</w:t>
      </w:r>
      <w:r>
        <w:rPr>
          <w:lang w:val="es-ES"/>
        </w:rPr>
        <w:t>ón</w:t>
      </w:r>
      <w:r w:rsidR="00BC648A" w:rsidRPr="00153BFF">
        <w:rPr>
          <w:lang w:val="es-ES"/>
        </w:rPr>
        <w:t>.</w:t>
      </w:r>
      <w:r w:rsidR="00F426B7" w:rsidRPr="00153BFF">
        <w:rPr>
          <w:lang w:val="es-ES"/>
        </w:rPr>
        <w:t xml:space="preserve"> </w:t>
      </w:r>
    </w:p>
    <w:p w:rsidR="00FE3307" w:rsidRPr="003032C1" w:rsidRDefault="003032C1" w:rsidP="000858D0">
      <w:pPr>
        <w:keepNext/>
        <w:rPr>
          <w:i/>
          <w:lang w:val="es-ES"/>
        </w:rPr>
      </w:pPr>
      <w:r w:rsidRPr="003032C1">
        <w:rPr>
          <w:i/>
          <w:lang w:val="es-ES"/>
        </w:rPr>
        <w:t>Dependencia de Ejecución y Supervisión de Proyectos</w:t>
      </w:r>
    </w:p>
    <w:p w:rsidR="00FE3307" w:rsidRPr="003032C1" w:rsidRDefault="00FE3307" w:rsidP="000858D0">
      <w:pPr>
        <w:keepNext/>
        <w:rPr>
          <w:lang w:val="es-ES"/>
        </w:rPr>
      </w:pPr>
    </w:p>
    <w:p w:rsidR="00FE3307" w:rsidRPr="00101E0C" w:rsidRDefault="00101E0C" w:rsidP="000858D0">
      <w:pPr>
        <w:pStyle w:val="Heading1"/>
        <w:keepNext/>
        <w:rPr>
          <w:lang w:val="es-ES"/>
        </w:rPr>
      </w:pPr>
      <w:r w:rsidRPr="00101E0C">
        <w:rPr>
          <w:lang w:val="es-ES"/>
        </w:rPr>
        <w:t xml:space="preserve">La Dependencia desempeña </w:t>
      </w:r>
      <w:r>
        <w:rPr>
          <w:lang w:val="es-ES"/>
        </w:rPr>
        <w:t xml:space="preserve">su </w:t>
      </w:r>
      <w:r w:rsidRPr="00101E0C">
        <w:rPr>
          <w:lang w:val="es-ES"/>
        </w:rPr>
        <w:t>funci</w:t>
      </w:r>
      <w:r>
        <w:rPr>
          <w:lang w:val="es-ES"/>
        </w:rPr>
        <w:t>ó</w:t>
      </w:r>
      <w:r w:rsidRPr="00101E0C">
        <w:rPr>
          <w:lang w:val="es-ES"/>
        </w:rPr>
        <w:t>n</w:t>
      </w:r>
      <w:r>
        <w:rPr>
          <w:lang w:val="es-ES"/>
        </w:rPr>
        <w:t xml:space="preserve"> de </w:t>
      </w:r>
      <w:r w:rsidRPr="00101E0C">
        <w:rPr>
          <w:lang w:val="es-ES"/>
        </w:rPr>
        <w:t>supervis</w:t>
      </w:r>
      <w:r>
        <w:rPr>
          <w:lang w:val="es-ES"/>
        </w:rPr>
        <w:t>ar</w:t>
      </w:r>
      <w:r w:rsidRPr="00101E0C">
        <w:rPr>
          <w:lang w:val="es-ES"/>
        </w:rPr>
        <w:t xml:space="preserve"> la ejecuci</w:t>
      </w:r>
      <w:r>
        <w:rPr>
          <w:lang w:val="es-ES"/>
        </w:rPr>
        <w:t>ón de proyectos</w:t>
      </w:r>
      <w:r w:rsidR="00E12932" w:rsidRPr="00101E0C">
        <w:rPr>
          <w:lang w:val="es-ES"/>
        </w:rPr>
        <w:t xml:space="preserve">.  </w:t>
      </w:r>
      <w:r w:rsidRPr="00101E0C">
        <w:rPr>
          <w:lang w:val="es-ES"/>
        </w:rPr>
        <w:t>Los fondos de la Dependencia se utilizaron para contratar a consultores que evaluar</w:t>
      </w:r>
      <w:r>
        <w:rPr>
          <w:lang w:val="es-ES"/>
        </w:rPr>
        <w:t>a</w:t>
      </w:r>
      <w:r w:rsidRPr="00101E0C">
        <w:rPr>
          <w:lang w:val="es-ES"/>
        </w:rPr>
        <w:t>n la ejecución del plan de gesti</w:t>
      </w:r>
      <w:r>
        <w:rPr>
          <w:lang w:val="es-ES"/>
        </w:rPr>
        <w:t>ón de eliminación de los HCFC y formularan recomendaciones para aumentar la eficacia</w:t>
      </w:r>
      <w:r w:rsidR="00E12932" w:rsidRPr="00101E0C">
        <w:rPr>
          <w:lang w:val="es-ES"/>
        </w:rPr>
        <w:t>.</w:t>
      </w:r>
      <w:r w:rsidR="008608FD" w:rsidRPr="00101E0C">
        <w:rPr>
          <w:lang w:val="es-ES"/>
        </w:rPr>
        <w:t xml:space="preserve"> </w:t>
      </w:r>
      <w:r>
        <w:rPr>
          <w:lang w:val="es-ES"/>
        </w:rPr>
        <w:t>Los consultores presentaron dos informes anuales a la dependencia nacional del ozono</w:t>
      </w:r>
      <w:r w:rsidR="003E4691" w:rsidRPr="00101E0C">
        <w:rPr>
          <w:lang w:val="es-ES"/>
        </w:rPr>
        <w:t>.</w:t>
      </w:r>
    </w:p>
    <w:p w:rsidR="00FE3307" w:rsidRPr="003032C1" w:rsidRDefault="003032C1" w:rsidP="000858D0">
      <w:pPr>
        <w:rPr>
          <w:u w:val="single"/>
          <w:lang w:val="es-ES"/>
        </w:rPr>
      </w:pPr>
      <w:r w:rsidRPr="003032C1">
        <w:rPr>
          <w:u w:val="single"/>
          <w:lang w:val="es-ES"/>
        </w:rPr>
        <w:t>Nivel de desembolso de los fondos</w:t>
      </w:r>
    </w:p>
    <w:p w:rsidR="00FE3307" w:rsidRPr="003032C1" w:rsidRDefault="00FE3307" w:rsidP="000858D0">
      <w:pPr>
        <w:rPr>
          <w:lang w:val="es-ES"/>
        </w:rPr>
      </w:pPr>
    </w:p>
    <w:p w:rsidR="00FE3307" w:rsidRPr="00101E0C" w:rsidRDefault="00101E0C" w:rsidP="000858D0">
      <w:pPr>
        <w:pStyle w:val="Heading1"/>
        <w:rPr>
          <w:lang w:val="es-ES"/>
        </w:rPr>
      </w:pPr>
      <w:r w:rsidRPr="00101E0C">
        <w:rPr>
          <w:lang w:val="es-ES"/>
        </w:rPr>
        <w:t xml:space="preserve">En marzo de 2019, de los </w:t>
      </w:r>
      <w:r w:rsidR="005A6E4B" w:rsidRPr="00101E0C">
        <w:rPr>
          <w:lang w:val="es-ES"/>
        </w:rPr>
        <w:t>448</w:t>
      </w:r>
      <w:r w:rsidRPr="00101E0C">
        <w:rPr>
          <w:lang w:val="es-ES"/>
        </w:rPr>
        <w:t>.</w:t>
      </w:r>
      <w:r w:rsidR="005A6E4B" w:rsidRPr="00101E0C">
        <w:rPr>
          <w:lang w:val="es-ES"/>
        </w:rPr>
        <w:t>830</w:t>
      </w:r>
      <w:r w:rsidR="00FE3307" w:rsidRPr="00101E0C">
        <w:rPr>
          <w:lang w:val="es-ES"/>
        </w:rPr>
        <w:t xml:space="preserve"> </w:t>
      </w:r>
      <w:r w:rsidRPr="00101E0C">
        <w:rPr>
          <w:lang w:val="es-ES"/>
        </w:rPr>
        <w:t xml:space="preserve">$EUA </w:t>
      </w:r>
      <w:r w:rsidR="003032C1" w:rsidRPr="00101E0C">
        <w:rPr>
          <w:lang w:val="es-ES"/>
        </w:rPr>
        <w:t>aprobado</w:t>
      </w:r>
      <w:r>
        <w:rPr>
          <w:lang w:val="es-ES"/>
        </w:rPr>
        <w:t>s hasta ese momento</w:t>
      </w:r>
      <w:r w:rsidR="00FE3307" w:rsidRPr="00101E0C">
        <w:rPr>
          <w:lang w:val="es-ES"/>
        </w:rPr>
        <w:t xml:space="preserve">, </w:t>
      </w:r>
      <w:r>
        <w:rPr>
          <w:lang w:val="es-ES"/>
        </w:rPr>
        <w:t xml:space="preserve">se habían desembolsado </w:t>
      </w:r>
      <w:r w:rsidR="00713F86" w:rsidRPr="00101E0C">
        <w:rPr>
          <w:lang w:val="es-ES"/>
        </w:rPr>
        <w:t>434</w:t>
      </w:r>
      <w:r>
        <w:rPr>
          <w:lang w:val="es-ES"/>
        </w:rPr>
        <w:t>.</w:t>
      </w:r>
      <w:r w:rsidR="00713F86" w:rsidRPr="00101E0C">
        <w:rPr>
          <w:lang w:val="es-ES"/>
        </w:rPr>
        <w:t>723</w:t>
      </w:r>
      <w:r w:rsidR="00FE3307" w:rsidRPr="00101E0C">
        <w:rPr>
          <w:lang w:val="es-ES"/>
        </w:rPr>
        <w:t xml:space="preserve"> </w:t>
      </w:r>
      <w:r>
        <w:rPr>
          <w:lang w:val="es-ES"/>
        </w:rPr>
        <w:t xml:space="preserve">$EUA </w:t>
      </w:r>
      <w:r w:rsidR="00FE3307" w:rsidRPr="00101E0C">
        <w:rPr>
          <w:lang w:val="es-ES"/>
        </w:rPr>
        <w:t>(</w:t>
      </w:r>
      <w:r w:rsidR="00713F86" w:rsidRPr="00101E0C">
        <w:rPr>
          <w:lang w:val="es-ES"/>
        </w:rPr>
        <w:t>196</w:t>
      </w:r>
      <w:r>
        <w:rPr>
          <w:lang w:val="es-ES"/>
        </w:rPr>
        <w:t>.</w:t>
      </w:r>
      <w:r w:rsidR="00713F86" w:rsidRPr="00101E0C">
        <w:rPr>
          <w:lang w:val="es-ES"/>
        </w:rPr>
        <w:t>830</w:t>
      </w:r>
      <w:r w:rsidR="00FE3307" w:rsidRPr="00101E0C">
        <w:rPr>
          <w:lang w:val="es-ES"/>
        </w:rPr>
        <w:t xml:space="preserve"> </w:t>
      </w:r>
      <w:r>
        <w:rPr>
          <w:lang w:val="es-ES"/>
        </w:rPr>
        <w:t>$EUA para el PNUMA y</w:t>
      </w:r>
      <w:r w:rsidR="00FE3307" w:rsidRPr="00101E0C">
        <w:rPr>
          <w:lang w:val="es-ES"/>
        </w:rPr>
        <w:t xml:space="preserve"> </w:t>
      </w:r>
      <w:r w:rsidR="00713F86" w:rsidRPr="00101E0C">
        <w:rPr>
          <w:lang w:val="es-ES"/>
        </w:rPr>
        <w:t>237</w:t>
      </w:r>
      <w:r>
        <w:rPr>
          <w:lang w:val="es-ES"/>
        </w:rPr>
        <w:t>.</w:t>
      </w:r>
      <w:r w:rsidR="00713F86" w:rsidRPr="00101E0C">
        <w:rPr>
          <w:lang w:val="es-ES"/>
        </w:rPr>
        <w:t>893</w:t>
      </w:r>
      <w:r>
        <w:rPr>
          <w:lang w:val="es-ES"/>
        </w:rPr>
        <w:t xml:space="preserve"> $EUA para el PNUD</w:t>
      </w:r>
      <w:r w:rsidR="00FE3307" w:rsidRPr="00101E0C">
        <w:rPr>
          <w:lang w:val="es-ES"/>
        </w:rPr>
        <w:t>)</w:t>
      </w:r>
      <w:r>
        <w:rPr>
          <w:lang w:val="es-ES"/>
        </w:rPr>
        <w:t xml:space="preserve">, como se indica en el </w:t>
      </w:r>
      <w:r w:rsidR="002B7EC5" w:rsidRPr="00101E0C">
        <w:rPr>
          <w:lang w:val="es-ES"/>
        </w:rPr>
        <w:t>cuadro</w:t>
      </w:r>
      <w:r w:rsidR="00FE3307" w:rsidRPr="00101E0C">
        <w:rPr>
          <w:lang w:val="es-ES"/>
        </w:rPr>
        <w:t xml:space="preserve"> 2. </w:t>
      </w:r>
      <w:r w:rsidRPr="00101E0C">
        <w:rPr>
          <w:lang w:val="es-ES"/>
        </w:rPr>
        <w:t xml:space="preserve">Para el año 2020 se habrá desembolsado el saldo de </w:t>
      </w:r>
      <w:r w:rsidR="005A6E4B" w:rsidRPr="00101E0C">
        <w:rPr>
          <w:lang w:val="es-ES"/>
        </w:rPr>
        <w:t>14</w:t>
      </w:r>
      <w:r>
        <w:rPr>
          <w:lang w:val="es-ES"/>
        </w:rPr>
        <w:t>.</w:t>
      </w:r>
      <w:r w:rsidR="005A6E4B" w:rsidRPr="00101E0C">
        <w:rPr>
          <w:lang w:val="es-ES"/>
        </w:rPr>
        <w:t>107</w:t>
      </w:r>
      <w:r w:rsidR="00FE3307" w:rsidRPr="00101E0C">
        <w:rPr>
          <w:lang w:val="es-ES"/>
        </w:rPr>
        <w:t xml:space="preserve"> </w:t>
      </w:r>
      <w:r>
        <w:rPr>
          <w:lang w:val="es-ES"/>
        </w:rPr>
        <w:t>$EUA</w:t>
      </w:r>
      <w:r w:rsidR="00FE3307" w:rsidRPr="00101E0C">
        <w:rPr>
          <w:lang w:val="es-ES"/>
        </w:rPr>
        <w:t>.</w:t>
      </w:r>
    </w:p>
    <w:p w:rsidR="00FE3307" w:rsidRPr="003032C1" w:rsidRDefault="002B7EC5" w:rsidP="000858D0">
      <w:pPr>
        <w:rPr>
          <w:b/>
          <w:lang w:val="es-ES"/>
        </w:rPr>
      </w:pPr>
      <w:r w:rsidRPr="00976669">
        <w:rPr>
          <w:b/>
          <w:lang w:val="es-ES_tradnl"/>
        </w:rPr>
        <w:t>Cuadro</w:t>
      </w:r>
      <w:r w:rsidR="00FE3307" w:rsidRPr="00976669">
        <w:rPr>
          <w:b/>
          <w:lang w:val="es-ES_tradnl"/>
        </w:rPr>
        <w:t xml:space="preserve"> 2. </w:t>
      </w:r>
      <w:r w:rsidR="003032C1" w:rsidRPr="003032C1">
        <w:rPr>
          <w:b/>
          <w:lang w:val="es-ES"/>
        </w:rPr>
        <w:t>Informe financiero de la etapa</w:t>
      </w:r>
      <w:r w:rsidR="00FE3307" w:rsidRPr="003032C1">
        <w:rPr>
          <w:b/>
          <w:lang w:val="es-ES"/>
        </w:rPr>
        <w:t xml:space="preserve"> I </w:t>
      </w:r>
      <w:r w:rsidR="003032C1" w:rsidRPr="003032C1">
        <w:rPr>
          <w:b/>
          <w:lang w:val="es-ES"/>
        </w:rPr>
        <w:t>del plan de gesti</w:t>
      </w:r>
      <w:r w:rsidR="003032C1">
        <w:rPr>
          <w:b/>
          <w:lang w:val="es-ES"/>
        </w:rPr>
        <w:t>ón de eliminación de los HCFC para</w:t>
      </w:r>
      <w:r w:rsidR="003773F1" w:rsidRPr="003032C1">
        <w:rPr>
          <w:b/>
          <w:lang w:val="es-ES"/>
        </w:rPr>
        <w:t xml:space="preserve"> Mali</w:t>
      </w:r>
      <w:r w:rsidR="00FE3307" w:rsidRPr="003032C1">
        <w:rPr>
          <w:b/>
          <w:lang w:val="es-ES"/>
        </w:rPr>
        <w:t xml:space="preserve"> ($</w:t>
      </w:r>
      <w:r w:rsidR="003032C1">
        <w:rPr>
          <w:b/>
          <w:lang w:val="es-ES"/>
        </w:rPr>
        <w:t>EUA</w:t>
      </w:r>
      <w:r w:rsidR="00FE3307" w:rsidRPr="003032C1">
        <w:rPr>
          <w:b/>
          <w:lang w:val="es-ES"/>
        </w:rPr>
        <w:t>)</w:t>
      </w:r>
    </w:p>
    <w:tbl>
      <w:tblPr>
        <w:tblW w:w="92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802"/>
        <w:gridCol w:w="1194"/>
        <w:gridCol w:w="713"/>
        <w:gridCol w:w="1194"/>
        <w:gridCol w:w="803"/>
        <w:gridCol w:w="1194"/>
        <w:gridCol w:w="803"/>
        <w:gridCol w:w="1194"/>
      </w:tblGrid>
      <w:tr w:rsidR="008608FD" w:rsidRPr="00DC4384" w:rsidTr="008608FD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3032C1" w:rsidP="000858D0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Organismo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3032C1" w:rsidP="003032C1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Primer tramo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8608FD" w:rsidP="003032C1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Se</w:t>
            </w:r>
            <w:r w:rsidR="003032C1">
              <w:rPr>
                <w:b/>
                <w:color w:val="000000"/>
                <w:sz w:val="18"/>
                <w:szCs w:val="18"/>
                <w:lang w:eastAsia="zh-CN"/>
              </w:rPr>
              <w:t>gundo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 xml:space="preserve"> tra</w:t>
            </w:r>
            <w:r w:rsidR="003032C1">
              <w:rPr>
                <w:b/>
                <w:color w:val="000000"/>
                <w:sz w:val="18"/>
                <w:szCs w:val="18"/>
                <w:lang w:eastAsia="zh-CN"/>
              </w:rPr>
              <w:t>mo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8608FD" w:rsidP="003032C1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T</w:t>
            </w:r>
            <w:r w:rsidR="003032C1">
              <w:rPr>
                <w:b/>
                <w:color w:val="000000"/>
                <w:sz w:val="18"/>
                <w:szCs w:val="18"/>
                <w:lang w:eastAsia="zh-CN"/>
              </w:rPr>
              <w:t>ercer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 xml:space="preserve"> tra</w:t>
            </w:r>
            <w:r w:rsidR="003032C1">
              <w:rPr>
                <w:b/>
                <w:color w:val="000000"/>
                <w:sz w:val="18"/>
                <w:szCs w:val="18"/>
                <w:lang w:eastAsia="zh-CN"/>
              </w:rPr>
              <w:t>mo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8608FD" w:rsidP="000858D0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Total</w:t>
            </w:r>
          </w:p>
        </w:tc>
      </w:tr>
      <w:tr w:rsidR="00A638CA" w:rsidRPr="00DC4384" w:rsidTr="008608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FD" w:rsidRPr="00DC4384" w:rsidRDefault="008608FD" w:rsidP="000858D0">
            <w:pPr>
              <w:jc w:val="left"/>
              <w:rPr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CA" w:rsidRPr="00A638CA" w:rsidRDefault="00A638CA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Apro</w:t>
            </w:r>
            <w:r w:rsidR="00F73A2A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bado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Desembolsado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Apro</w:t>
            </w:r>
            <w:r w:rsidR="00F73A2A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bado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Desembolsado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Apro</w:t>
            </w:r>
            <w:r w:rsidR="00F73A2A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bado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Desembolsado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Apro</w:t>
            </w:r>
            <w:r w:rsidR="00F73A2A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bado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A638CA" w:rsidRDefault="003032C1" w:rsidP="000858D0">
            <w:pPr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638CA">
              <w:rPr>
                <w:b/>
                <w:color w:val="000000"/>
                <w:sz w:val="16"/>
                <w:szCs w:val="16"/>
                <w:lang w:eastAsia="zh-CN"/>
              </w:rPr>
              <w:t>Desembolsado</w:t>
            </w:r>
          </w:p>
        </w:tc>
      </w:tr>
      <w:tr w:rsidR="00A638CA" w:rsidRPr="00DC4384" w:rsidTr="008608F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3032C1" w:rsidP="000858D0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PNUMA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EB58A4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61</w:t>
            </w:r>
            <w:r w:rsidR="00EB58A4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830</w:t>
            </w:r>
            <w:r w:rsidR="003E4691" w:rsidRPr="00DC4384">
              <w:rPr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61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55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55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80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80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196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196</w:t>
            </w:r>
            <w:r w:rsidR="00A638CA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830</w:t>
            </w:r>
          </w:p>
        </w:tc>
      </w:tr>
      <w:tr w:rsidR="00A638CA" w:rsidRPr="00DC4384" w:rsidTr="008608F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3032C1" w:rsidP="000858D0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PNUD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EB58A4" w:rsidP="000858D0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160.</w:t>
            </w:r>
            <w:r w:rsidR="008608FD"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160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858D0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858D0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92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77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252</w:t>
            </w:r>
            <w:r w:rsidR="00096CE3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color w:val="000000"/>
                <w:sz w:val="18"/>
                <w:szCs w:val="18"/>
                <w:lang w:eastAsia="zh-CN"/>
              </w:rPr>
              <w:t>237</w:t>
            </w:r>
            <w:r w:rsidR="00A638CA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color w:val="000000"/>
                <w:sz w:val="18"/>
                <w:szCs w:val="18"/>
                <w:lang w:eastAsia="zh-CN"/>
              </w:rPr>
              <w:t>893</w:t>
            </w:r>
          </w:p>
        </w:tc>
      </w:tr>
      <w:tr w:rsidR="00A638CA" w:rsidRPr="00DC4384" w:rsidTr="008608F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D" w:rsidRPr="00DC4384" w:rsidRDefault="008608FD" w:rsidP="000858D0">
            <w:pPr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D" w:rsidRPr="00DC4384" w:rsidRDefault="00EB58A4" w:rsidP="000858D0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221.</w:t>
            </w:r>
            <w:r w:rsidR="008608FD" w:rsidRPr="00DC4384">
              <w:rPr>
                <w:b/>
                <w:color w:val="000000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221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55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55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172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157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893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096CE3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448</w:t>
            </w:r>
            <w:r w:rsidR="00096CE3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right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434</w:t>
            </w:r>
            <w:r w:rsidR="00A638CA">
              <w:rPr>
                <w:b/>
                <w:color w:val="000000"/>
                <w:sz w:val="18"/>
                <w:szCs w:val="18"/>
                <w:lang w:eastAsia="zh-CN"/>
              </w:rPr>
              <w:t>.</w:t>
            </w: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723</w:t>
            </w:r>
          </w:p>
        </w:tc>
      </w:tr>
      <w:tr w:rsidR="008608FD" w:rsidRPr="00DC4384" w:rsidTr="008608FD">
        <w:trPr>
          <w:trHeight w:val="2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FD" w:rsidRPr="00DC4384" w:rsidRDefault="003032C1" w:rsidP="003032C1">
            <w:pPr>
              <w:jc w:val="left"/>
              <w:rPr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Tasa de desembolso</w:t>
            </w:r>
            <w:r w:rsidR="00321E33" w:rsidRPr="00DC4384">
              <w:rPr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608FD" w:rsidRPr="00DC4384">
              <w:rPr>
                <w:b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100</w:t>
            </w:r>
            <w:r w:rsidR="00A638CA">
              <w:rPr>
                <w:b/>
                <w:color w:val="000000"/>
                <w:sz w:val="18"/>
                <w:szCs w:val="18"/>
                <w:lang w:eastAsia="zh-CN"/>
              </w:rPr>
              <w:t>,</w:t>
            </w:r>
            <w:r w:rsidR="00624014" w:rsidRPr="00DC4384">
              <w:rPr>
                <w:b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100</w:t>
            </w:r>
            <w:r w:rsidR="00A638CA">
              <w:rPr>
                <w:b/>
                <w:color w:val="000000"/>
                <w:sz w:val="18"/>
                <w:szCs w:val="18"/>
                <w:lang w:eastAsia="zh-CN"/>
              </w:rPr>
              <w:t>,</w:t>
            </w:r>
            <w:r w:rsidR="00624014" w:rsidRPr="00DC4384">
              <w:rPr>
                <w:b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92</w:t>
            </w:r>
            <w:r w:rsidR="00A638CA">
              <w:rPr>
                <w:b/>
                <w:color w:val="000000"/>
                <w:sz w:val="18"/>
                <w:szCs w:val="18"/>
                <w:lang w:eastAsia="zh-CN"/>
              </w:rPr>
              <w:t>,</w:t>
            </w:r>
            <w:r w:rsidR="00624014" w:rsidRPr="00DC4384">
              <w:rPr>
                <w:b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FD" w:rsidRPr="00DC4384" w:rsidRDefault="008608FD" w:rsidP="00A638CA">
            <w:pPr>
              <w:jc w:val="center"/>
              <w:rPr>
                <w:b/>
                <w:color w:val="000000"/>
                <w:sz w:val="18"/>
                <w:szCs w:val="18"/>
                <w:lang w:eastAsia="zh-CN"/>
              </w:rPr>
            </w:pPr>
            <w:r w:rsidRPr="00DC4384">
              <w:rPr>
                <w:b/>
                <w:color w:val="000000"/>
                <w:sz w:val="18"/>
                <w:szCs w:val="18"/>
                <w:lang w:eastAsia="zh-CN"/>
              </w:rPr>
              <w:t>97</w:t>
            </w:r>
            <w:r w:rsidR="00A638CA">
              <w:rPr>
                <w:b/>
                <w:color w:val="000000"/>
                <w:sz w:val="18"/>
                <w:szCs w:val="18"/>
                <w:lang w:eastAsia="zh-CN"/>
              </w:rPr>
              <w:t>,</w:t>
            </w:r>
            <w:r w:rsidR="00624014" w:rsidRPr="00DC4384">
              <w:rPr>
                <w:b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</w:tbl>
    <w:p w:rsidR="00FE3307" w:rsidRPr="00A638CA" w:rsidRDefault="003E4691" w:rsidP="000858D0">
      <w:pPr>
        <w:rPr>
          <w:sz w:val="18"/>
          <w:szCs w:val="18"/>
          <w:lang w:val="es-ES"/>
        </w:rPr>
      </w:pPr>
      <w:r w:rsidRPr="00A638CA">
        <w:rPr>
          <w:sz w:val="18"/>
          <w:szCs w:val="18"/>
          <w:lang w:val="es-ES"/>
        </w:rPr>
        <w:t xml:space="preserve">* </w:t>
      </w:r>
      <w:r w:rsidR="003032C1" w:rsidRPr="00A638CA">
        <w:rPr>
          <w:sz w:val="18"/>
          <w:szCs w:val="18"/>
          <w:lang w:val="es-ES"/>
        </w:rPr>
        <w:t>Se aprobaron 65.</w:t>
      </w:r>
      <w:r w:rsidRPr="00A638CA">
        <w:rPr>
          <w:sz w:val="18"/>
          <w:szCs w:val="18"/>
          <w:lang w:val="es-ES"/>
        </w:rPr>
        <w:t xml:space="preserve">000 </w:t>
      </w:r>
      <w:r w:rsidR="00A638CA" w:rsidRPr="00A638CA">
        <w:rPr>
          <w:sz w:val="18"/>
          <w:szCs w:val="18"/>
          <w:lang w:val="es-ES"/>
        </w:rPr>
        <w:t>$EUA</w:t>
      </w:r>
      <w:r w:rsidRPr="00A638CA">
        <w:rPr>
          <w:sz w:val="18"/>
          <w:szCs w:val="18"/>
          <w:lang w:val="es-ES"/>
        </w:rPr>
        <w:t xml:space="preserve">; </w:t>
      </w:r>
      <w:r w:rsidR="00A638CA" w:rsidRPr="00A638CA">
        <w:rPr>
          <w:sz w:val="18"/>
          <w:szCs w:val="18"/>
          <w:lang w:val="es-ES"/>
        </w:rPr>
        <w:t xml:space="preserve">se devolvieron </w:t>
      </w:r>
      <w:r w:rsidRPr="00A638CA">
        <w:rPr>
          <w:sz w:val="18"/>
          <w:szCs w:val="18"/>
          <w:lang w:val="es-ES"/>
        </w:rPr>
        <w:t>3</w:t>
      </w:r>
      <w:r w:rsidR="00A638CA" w:rsidRPr="00A638CA">
        <w:rPr>
          <w:sz w:val="18"/>
          <w:szCs w:val="18"/>
          <w:lang w:val="es-ES"/>
        </w:rPr>
        <w:t>.</w:t>
      </w:r>
      <w:r w:rsidRPr="00A638CA">
        <w:rPr>
          <w:sz w:val="18"/>
          <w:szCs w:val="18"/>
          <w:lang w:val="es-ES"/>
        </w:rPr>
        <w:t xml:space="preserve">170 </w:t>
      </w:r>
      <w:r w:rsidR="00A638CA" w:rsidRPr="00A638CA">
        <w:rPr>
          <w:sz w:val="18"/>
          <w:szCs w:val="18"/>
          <w:lang w:val="es-ES"/>
        </w:rPr>
        <w:t>$E</w:t>
      </w:r>
      <w:r w:rsidR="00A638CA">
        <w:rPr>
          <w:sz w:val="18"/>
          <w:szCs w:val="18"/>
          <w:lang w:val="es-ES"/>
        </w:rPr>
        <w:t>UA</w:t>
      </w:r>
      <w:r w:rsidR="00A638CA" w:rsidRPr="00A638CA">
        <w:rPr>
          <w:sz w:val="18"/>
          <w:szCs w:val="18"/>
          <w:lang w:val="es-ES"/>
        </w:rPr>
        <w:t xml:space="preserve"> en la</w:t>
      </w:r>
      <w:r w:rsidRPr="00A638CA">
        <w:rPr>
          <w:sz w:val="18"/>
          <w:szCs w:val="18"/>
          <w:lang w:val="es-ES"/>
        </w:rPr>
        <w:t xml:space="preserve"> 73</w:t>
      </w:r>
      <w:r w:rsidR="00A638CA">
        <w:rPr>
          <w:sz w:val="18"/>
          <w:szCs w:val="18"/>
          <w:vertAlign w:val="superscript"/>
          <w:lang w:val="es-ES"/>
        </w:rPr>
        <w:t>a</w:t>
      </w:r>
      <w:r w:rsidRPr="00A638CA">
        <w:rPr>
          <w:sz w:val="18"/>
          <w:szCs w:val="18"/>
          <w:lang w:val="es-ES"/>
        </w:rPr>
        <w:t xml:space="preserve"> </w:t>
      </w:r>
      <w:r w:rsidR="00A638CA">
        <w:rPr>
          <w:sz w:val="18"/>
          <w:szCs w:val="18"/>
          <w:lang w:val="es-ES"/>
        </w:rPr>
        <w:t>reunión</w:t>
      </w:r>
      <w:r w:rsidRPr="00A638CA">
        <w:rPr>
          <w:sz w:val="18"/>
          <w:szCs w:val="18"/>
          <w:lang w:val="es-ES"/>
        </w:rPr>
        <w:t>.</w:t>
      </w:r>
    </w:p>
    <w:p w:rsidR="003E4691" w:rsidRPr="00A638CA" w:rsidRDefault="003E4691" w:rsidP="000858D0">
      <w:pPr>
        <w:rPr>
          <w:sz w:val="18"/>
          <w:szCs w:val="18"/>
          <w:lang w:val="es-ES"/>
        </w:rPr>
      </w:pPr>
    </w:p>
    <w:p w:rsidR="00FE3307" w:rsidRPr="00A638CA" w:rsidRDefault="00A638CA" w:rsidP="00F73A2A">
      <w:pPr>
        <w:keepNext/>
        <w:keepLines/>
        <w:rPr>
          <w:u w:val="single"/>
          <w:lang w:val="es-ES"/>
        </w:rPr>
      </w:pPr>
      <w:bookmarkStart w:id="0" w:name="_GoBack"/>
      <w:bookmarkEnd w:id="0"/>
      <w:r w:rsidRPr="00A638CA">
        <w:rPr>
          <w:u w:val="single"/>
          <w:lang w:val="es-ES"/>
        </w:rPr>
        <w:lastRenderedPageBreak/>
        <w:t>Plan de ejecución del cuarto tramo del plan de gestión de eliminaci</w:t>
      </w:r>
      <w:r>
        <w:rPr>
          <w:u w:val="single"/>
          <w:lang w:val="es-ES"/>
        </w:rPr>
        <w:t>ón de los HCFC</w:t>
      </w:r>
    </w:p>
    <w:p w:rsidR="00FE3307" w:rsidRPr="00A638CA" w:rsidRDefault="00FE3307" w:rsidP="00F73A2A">
      <w:pPr>
        <w:keepNext/>
        <w:keepLines/>
        <w:rPr>
          <w:lang w:val="es-ES"/>
        </w:rPr>
      </w:pPr>
    </w:p>
    <w:p w:rsidR="00FE3307" w:rsidRPr="00A638CA" w:rsidRDefault="00A638CA" w:rsidP="00F73A2A">
      <w:pPr>
        <w:pStyle w:val="Heading1"/>
        <w:keepNext/>
        <w:keepLines/>
        <w:rPr>
          <w:lang w:val="es-ES"/>
        </w:rPr>
      </w:pPr>
      <w:r w:rsidRPr="00A638CA">
        <w:rPr>
          <w:lang w:val="es-ES"/>
        </w:rPr>
        <w:t>Entre marzo de 2019 y junio de 2020 se realizarán las actividades siguientes</w:t>
      </w:r>
      <w:r w:rsidR="00FE3307" w:rsidRPr="00A638CA">
        <w:rPr>
          <w:lang w:val="es-ES"/>
        </w:rPr>
        <w:t>:</w:t>
      </w:r>
    </w:p>
    <w:p w:rsidR="00FE3307" w:rsidRPr="00A638CA" w:rsidRDefault="00A638CA" w:rsidP="000858D0">
      <w:pPr>
        <w:pStyle w:val="Heading2"/>
        <w:numPr>
          <w:ilvl w:val="1"/>
          <w:numId w:val="1"/>
        </w:numPr>
        <w:rPr>
          <w:lang w:val="es-ES"/>
        </w:rPr>
      </w:pPr>
      <w:r w:rsidRPr="00A638CA">
        <w:rPr>
          <w:lang w:val="es-ES"/>
        </w:rPr>
        <w:t xml:space="preserve">Capacitación de </w:t>
      </w:r>
      <w:r w:rsidR="004626AF" w:rsidRPr="00A638CA">
        <w:rPr>
          <w:lang w:val="es-ES"/>
        </w:rPr>
        <w:t xml:space="preserve">80 </w:t>
      </w:r>
      <w:r w:rsidRPr="00A638CA">
        <w:rPr>
          <w:lang w:val="es-ES"/>
        </w:rPr>
        <w:t>oficiales de aduanas y medio ambiente y otros agentes encargados de hacer cumplir la ley en la identificaci</w:t>
      </w:r>
      <w:r>
        <w:rPr>
          <w:lang w:val="es-ES"/>
        </w:rPr>
        <w:t xml:space="preserve">ón y el control de los </w:t>
      </w:r>
      <w:r w:rsidR="004626AF" w:rsidRPr="00A638CA">
        <w:rPr>
          <w:lang w:val="es-ES"/>
        </w:rPr>
        <w:t xml:space="preserve">HCFC </w:t>
      </w:r>
      <w:r>
        <w:rPr>
          <w:lang w:val="es-ES"/>
        </w:rPr>
        <w:t xml:space="preserve">y los equipos que los utilizan, así como en la imposición del sistema de cupos </w:t>
      </w:r>
      <w:r w:rsidR="00FE3307" w:rsidRPr="00A638CA">
        <w:rPr>
          <w:lang w:val="es-ES"/>
        </w:rPr>
        <w:t>(</w:t>
      </w:r>
      <w:r>
        <w:rPr>
          <w:lang w:val="es-ES"/>
        </w:rPr>
        <w:t>PNUMA</w:t>
      </w:r>
      <w:r w:rsidR="00FE3307" w:rsidRPr="00A638CA">
        <w:rPr>
          <w:lang w:val="es-ES"/>
        </w:rPr>
        <w:t>) (</w:t>
      </w:r>
      <w:r w:rsidR="004626AF" w:rsidRPr="00A638CA">
        <w:rPr>
          <w:lang w:val="es-ES"/>
        </w:rPr>
        <w:t>20</w:t>
      </w:r>
      <w:r>
        <w:rPr>
          <w:lang w:val="es-ES"/>
        </w:rPr>
        <w:t>.</w:t>
      </w:r>
      <w:r w:rsidR="004626AF" w:rsidRPr="00A638CA">
        <w:rPr>
          <w:lang w:val="es-ES"/>
        </w:rPr>
        <w:t>000</w:t>
      </w:r>
      <w:r>
        <w:rPr>
          <w:lang w:val="es-ES"/>
        </w:rPr>
        <w:t xml:space="preserve"> $EUA</w:t>
      </w:r>
      <w:r w:rsidR="00FE3307" w:rsidRPr="00A638CA">
        <w:rPr>
          <w:lang w:val="es-ES"/>
        </w:rPr>
        <w:t xml:space="preserve">); </w:t>
      </w:r>
    </w:p>
    <w:p w:rsidR="00FE3307" w:rsidRPr="00A638CA" w:rsidRDefault="00A638CA" w:rsidP="000858D0">
      <w:pPr>
        <w:pStyle w:val="Heading2"/>
        <w:numPr>
          <w:ilvl w:val="1"/>
          <w:numId w:val="1"/>
        </w:numPr>
        <w:rPr>
          <w:lang w:val="es-ES"/>
        </w:rPr>
      </w:pPr>
      <w:r w:rsidRPr="00A638CA">
        <w:rPr>
          <w:lang w:val="es-ES"/>
        </w:rPr>
        <w:t xml:space="preserve">Capacitación de </w:t>
      </w:r>
      <w:r w:rsidR="004626AF" w:rsidRPr="00A638CA">
        <w:rPr>
          <w:lang w:val="es-ES"/>
        </w:rPr>
        <w:t xml:space="preserve">100 </w:t>
      </w:r>
      <w:r w:rsidRPr="00A638CA">
        <w:rPr>
          <w:lang w:val="es-ES"/>
        </w:rPr>
        <w:t>técnicos en refrigeración en buenas prácticas en el mantenimiento de equipos de aire acondicio</w:t>
      </w:r>
      <w:r w:rsidR="00101E0C">
        <w:rPr>
          <w:lang w:val="es-ES"/>
        </w:rPr>
        <w:t>nado, lo que incl</w:t>
      </w:r>
      <w:r w:rsidRPr="00A638CA">
        <w:rPr>
          <w:lang w:val="es-ES"/>
        </w:rPr>
        <w:t>uye la recuperaci</w:t>
      </w:r>
      <w:r>
        <w:rPr>
          <w:lang w:val="es-ES"/>
        </w:rPr>
        <w:t xml:space="preserve">ón y el reciclado de los </w:t>
      </w:r>
      <w:r w:rsidR="004626AF" w:rsidRPr="00A638CA">
        <w:rPr>
          <w:lang w:val="es-ES"/>
        </w:rPr>
        <w:t>HCFC</w:t>
      </w:r>
      <w:r>
        <w:rPr>
          <w:lang w:val="es-ES"/>
        </w:rPr>
        <w:t xml:space="preserve"> y la manipulación de refrigerantes a base de hidrocarbonos en condiciones seguras</w:t>
      </w:r>
      <w:r w:rsidR="00FE3307" w:rsidRPr="00A638CA">
        <w:rPr>
          <w:lang w:val="es-ES"/>
        </w:rPr>
        <w:t xml:space="preserve"> (</w:t>
      </w:r>
      <w:r w:rsidR="00101E0C">
        <w:rPr>
          <w:lang w:val="es-ES"/>
        </w:rPr>
        <w:t>PNUMA</w:t>
      </w:r>
      <w:r w:rsidR="00FE3307" w:rsidRPr="00A638CA">
        <w:rPr>
          <w:lang w:val="es-ES"/>
        </w:rPr>
        <w:t>) (</w:t>
      </w:r>
      <w:r w:rsidR="004626AF" w:rsidRPr="00A638CA">
        <w:rPr>
          <w:lang w:val="es-ES"/>
        </w:rPr>
        <w:t>22</w:t>
      </w:r>
      <w:r w:rsidR="00101E0C">
        <w:rPr>
          <w:lang w:val="es-ES"/>
        </w:rPr>
        <w:t>.</w:t>
      </w:r>
      <w:r w:rsidR="004626AF" w:rsidRPr="00A638CA">
        <w:rPr>
          <w:lang w:val="es-ES"/>
        </w:rPr>
        <w:t>000</w:t>
      </w:r>
      <w:r w:rsidR="00101E0C">
        <w:rPr>
          <w:lang w:val="es-ES"/>
        </w:rPr>
        <w:t xml:space="preserve"> $EUA</w:t>
      </w:r>
      <w:r w:rsidR="00FE3307" w:rsidRPr="00A638CA">
        <w:rPr>
          <w:lang w:val="es-ES"/>
        </w:rPr>
        <w:t>);</w:t>
      </w:r>
      <w:r w:rsidR="00942D60" w:rsidRPr="00A638CA">
        <w:rPr>
          <w:lang w:val="es-ES"/>
        </w:rPr>
        <w:t xml:space="preserve"> </w:t>
      </w:r>
      <w:r w:rsidR="00101E0C">
        <w:rPr>
          <w:lang w:val="es-ES"/>
        </w:rPr>
        <w:t>y</w:t>
      </w:r>
    </w:p>
    <w:p w:rsidR="004626AF" w:rsidRPr="00101E0C" w:rsidRDefault="00101E0C" w:rsidP="000858D0">
      <w:pPr>
        <w:pStyle w:val="Heading2"/>
        <w:rPr>
          <w:lang w:val="es-ES"/>
        </w:rPr>
      </w:pPr>
      <w:r w:rsidRPr="00101E0C">
        <w:rPr>
          <w:lang w:val="es-ES"/>
        </w:rPr>
        <w:t>Supervisión de la realización de las actividades previstas en el plan de gesti</w:t>
      </w:r>
      <w:r>
        <w:rPr>
          <w:lang w:val="es-ES"/>
        </w:rPr>
        <w:t>ón de eliminación de los HCFC</w:t>
      </w:r>
      <w:r w:rsidR="004626AF" w:rsidRPr="00101E0C">
        <w:rPr>
          <w:szCs w:val="20"/>
          <w:lang w:val="es-ES"/>
        </w:rPr>
        <w:t xml:space="preserve"> (</w:t>
      </w:r>
      <w:r>
        <w:rPr>
          <w:szCs w:val="20"/>
          <w:lang w:val="es-ES"/>
        </w:rPr>
        <w:t>PNUMA</w:t>
      </w:r>
      <w:r w:rsidR="004626AF" w:rsidRPr="00101E0C">
        <w:rPr>
          <w:szCs w:val="20"/>
          <w:lang w:val="es-ES"/>
        </w:rPr>
        <w:t>) (10</w:t>
      </w:r>
      <w:r>
        <w:rPr>
          <w:szCs w:val="20"/>
          <w:lang w:val="es-ES"/>
        </w:rPr>
        <w:t>.</w:t>
      </w:r>
      <w:r w:rsidR="004626AF" w:rsidRPr="00101E0C">
        <w:rPr>
          <w:szCs w:val="20"/>
          <w:lang w:val="es-ES"/>
        </w:rPr>
        <w:t>000</w:t>
      </w:r>
      <w:r>
        <w:rPr>
          <w:szCs w:val="20"/>
          <w:lang w:val="es-ES"/>
        </w:rPr>
        <w:t xml:space="preserve"> $EUA</w:t>
      </w:r>
      <w:r w:rsidR="004626AF" w:rsidRPr="00101E0C">
        <w:rPr>
          <w:szCs w:val="20"/>
          <w:lang w:val="es-ES"/>
        </w:rPr>
        <w:t>).</w:t>
      </w:r>
    </w:p>
    <w:p w:rsidR="00FE3307" w:rsidRPr="00101E0C" w:rsidRDefault="00FE3307" w:rsidP="000858D0">
      <w:pPr>
        <w:rPr>
          <w:lang w:val="es-ES"/>
        </w:rPr>
      </w:pPr>
    </w:p>
    <w:p w:rsidR="00FE3307" w:rsidRPr="00101E0C" w:rsidRDefault="00101E0C" w:rsidP="007509DA">
      <w:pPr>
        <w:keepNext/>
        <w:jc w:val="center"/>
        <w:rPr>
          <w:b/>
          <w:lang w:val="es-ES"/>
        </w:rPr>
      </w:pPr>
      <w:r w:rsidRPr="00101E0C">
        <w:rPr>
          <w:b/>
          <w:lang w:val="es-ES"/>
        </w:rPr>
        <w:t>OBSERVACIONES Y RECOMENDACIÓN DE LA SECRETAR</w:t>
      </w:r>
      <w:r>
        <w:rPr>
          <w:b/>
          <w:lang w:val="es-ES"/>
        </w:rPr>
        <w:t>ÍA</w:t>
      </w:r>
    </w:p>
    <w:p w:rsidR="00FE3307" w:rsidRPr="00101E0C" w:rsidRDefault="00FE3307" w:rsidP="007509DA">
      <w:pPr>
        <w:keepNext/>
        <w:rPr>
          <w:lang w:val="es-ES"/>
        </w:rPr>
      </w:pPr>
    </w:p>
    <w:p w:rsidR="00FE3307" w:rsidRPr="005666C3" w:rsidRDefault="005666C3" w:rsidP="007509DA">
      <w:pPr>
        <w:keepNext/>
        <w:rPr>
          <w:b/>
          <w:lang w:val="es-ES"/>
        </w:rPr>
      </w:pPr>
      <w:r w:rsidRPr="005666C3">
        <w:rPr>
          <w:b/>
          <w:lang w:val="es-ES"/>
        </w:rPr>
        <w:t>OBSERVACIONES</w:t>
      </w:r>
    </w:p>
    <w:p w:rsidR="00FE3307" w:rsidRPr="005666C3" w:rsidRDefault="00FE3307" w:rsidP="007509DA">
      <w:pPr>
        <w:keepNext/>
        <w:rPr>
          <w:lang w:val="es-ES"/>
        </w:rPr>
      </w:pPr>
    </w:p>
    <w:p w:rsidR="00FE3307" w:rsidRDefault="005666C3" w:rsidP="007509DA">
      <w:pPr>
        <w:keepNext/>
        <w:rPr>
          <w:u w:val="single"/>
          <w:lang w:val="es-ES"/>
        </w:rPr>
      </w:pPr>
      <w:r w:rsidRPr="005666C3">
        <w:rPr>
          <w:u w:val="single"/>
          <w:lang w:val="es-ES"/>
        </w:rPr>
        <w:t>Informe sobre los progresos realizados en la ejecución del tercer tramo del plan de gesti</w:t>
      </w:r>
      <w:r>
        <w:rPr>
          <w:u w:val="single"/>
          <w:lang w:val="es-ES"/>
        </w:rPr>
        <w:t>ón de eliminación de los HCFC</w:t>
      </w:r>
    </w:p>
    <w:p w:rsidR="005666C3" w:rsidRPr="005666C3" w:rsidRDefault="005666C3" w:rsidP="007509DA">
      <w:pPr>
        <w:keepNext/>
        <w:rPr>
          <w:lang w:val="es-ES"/>
        </w:rPr>
      </w:pPr>
    </w:p>
    <w:p w:rsidR="00FE3307" w:rsidRPr="005666C3" w:rsidRDefault="005666C3" w:rsidP="007509DA">
      <w:pPr>
        <w:keepNext/>
        <w:rPr>
          <w:i/>
          <w:lang w:val="es-ES"/>
        </w:rPr>
      </w:pPr>
      <w:r>
        <w:rPr>
          <w:i/>
          <w:lang w:val="es-ES"/>
        </w:rPr>
        <w:t>Marco jurídico</w:t>
      </w:r>
    </w:p>
    <w:p w:rsidR="00FE3307" w:rsidRPr="005666C3" w:rsidRDefault="00FE3307" w:rsidP="007509DA">
      <w:pPr>
        <w:keepNext/>
        <w:rPr>
          <w:lang w:val="es-ES"/>
        </w:rPr>
      </w:pPr>
    </w:p>
    <w:p w:rsidR="00362E06" w:rsidRPr="00C117FD" w:rsidRDefault="007E42F3" w:rsidP="007509DA">
      <w:pPr>
        <w:pStyle w:val="Heading1"/>
        <w:keepNext/>
        <w:rPr>
          <w:i/>
          <w:lang w:val="es-ES"/>
        </w:rPr>
      </w:pPr>
      <w:r w:rsidRPr="00C117FD">
        <w:rPr>
          <w:lang w:val="es-ES"/>
        </w:rPr>
        <w:t>El Gobierno de Mali</w:t>
      </w:r>
      <w:r w:rsidR="00FE3307" w:rsidRPr="00C117FD">
        <w:rPr>
          <w:lang w:val="es-ES"/>
        </w:rPr>
        <w:t xml:space="preserve"> ha</w:t>
      </w:r>
      <w:r w:rsidR="00C117FD" w:rsidRPr="00C117FD">
        <w:rPr>
          <w:lang w:val="es-ES"/>
        </w:rPr>
        <w:t xml:space="preserve"> emitido ya cupos de importación de </w:t>
      </w:r>
      <w:r w:rsidR="00FE3307" w:rsidRPr="00C117FD">
        <w:rPr>
          <w:lang w:val="es-ES"/>
        </w:rPr>
        <w:t xml:space="preserve">HCFC </w:t>
      </w:r>
      <w:r w:rsidR="00C117FD" w:rsidRPr="00C117FD">
        <w:rPr>
          <w:lang w:val="es-ES"/>
        </w:rPr>
        <w:t xml:space="preserve">para </w:t>
      </w:r>
      <w:r w:rsidR="00FE3307" w:rsidRPr="00C117FD">
        <w:rPr>
          <w:lang w:val="es-ES"/>
        </w:rPr>
        <w:t>2019</w:t>
      </w:r>
      <w:r w:rsidR="00362E06" w:rsidRPr="00C117FD">
        <w:rPr>
          <w:lang w:val="es-ES"/>
        </w:rPr>
        <w:t xml:space="preserve"> </w:t>
      </w:r>
      <w:r w:rsidR="00C117FD">
        <w:rPr>
          <w:lang w:val="es-ES"/>
        </w:rPr>
        <w:t>para</w:t>
      </w:r>
      <w:r w:rsidR="00362E06" w:rsidRPr="00C117FD">
        <w:rPr>
          <w:lang w:val="es-ES"/>
        </w:rPr>
        <w:t xml:space="preserve"> 8</w:t>
      </w:r>
      <w:r w:rsidR="00C117FD">
        <w:rPr>
          <w:lang w:val="es-ES"/>
        </w:rPr>
        <w:t>,</w:t>
      </w:r>
      <w:r w:rsidR="00362E06" w:rsidRPr="00C117FD">
        <w:rPr>
          <w:lang w:val="es-ES"/>
        </w:rPr>
        <w:t>25</w:t>
      </w:r>
      <w:r w:rsidR="00F73A2A">
        <w:rPr>
          <w:lang w:val="es-ES"/>
        </w:rPr>
        <w:t> </w:t>
      </w:r>
      <w:r w:rsidR="00C117FD">
        <w:rPr>
          <w:lang w:val="es-ES"/>
        </w:rPr>
        <w:t>toneladas PAO</w:t>
      </w:r>
      <w:r w:rsidR="00353F2A" w:rsidRPr="00C117FD">
        <w:rPr>
          <w:lang w:val="es-ES"/>
        </w:rPr>
        <w:t xml:space="preserve">, </w:t>
      </w:r>
      <w:r w:rsidR="00C117FD">
        <w:rPr>
          <w:lang w:val="es-ES"/>
        </w:rPr>
        <w:t>que son inferiores a las metas de control del Protocolo de Montreal en un 39%</w:t>
      </w:r>
      <w:r w:rsidR="00362E06" w:rsidRPr="00C117FD">
        <w:rPr>
          <w:lang w:val="es-ES"/>
        </w:rPr>
        <w:t>.</w:t>
      </w:r>
      <w:r w:rsidR="00FE3307" w:rsidRPr="00C117FD">
        <w:rPr>
          <w:lang w:val="es-ES"/>
        </w:rPr>
        <w:t xml:space="preserve"> </w:t>
      </w:r>
    </w:p>
    <w:p w:rsidR="00FE3307" w:rsidRPr="005666C3" w:rsidRDefault="005666C3" w:rsidP="000858D0">
      <w:pPr>
        <w:rPr>
          <w:i/>
          <w:lang w:val="es-ES"/>
        </w:rPr>
      </w:pPr>
      <w:r w:rsidRPr="005666C3">
        <w:rPr>
          <w:i/>
          <w:lang w:val="es-ES"/>
        </w:rPr>
        <w:t>Sector de mantenimiento de equipos de re</w:t>
      </w:r>
      <w:r w:rsidR="00FE3307" w:rsidRPr="005666C3">
        <w:rPr>
          <w:i/>
          <w:lang w:val="es-ES"/>
        </w:rPr>
        <w:t>frigera</w:t>
      </w:r>
      <w:r>
        <w:rPr>
          <w:i/>
          <w:lang w:val="es-ES"/>
        </w:rPr>
        <w:t>c</w:t>
      </w:r>
      <w:r w:rsidR="00FE3307" w:rsidRPr="005666C3">
        <w:rPr>
          <w:i/>
          <w:lang w:val="es-ES"/>
        </w:rPr>
        <w:t>i</w:t>
      </w:r>
      <w:r>
        <w:rPr>
          <w:i/>
          <w:lang w:val="es-ES"/>
        </w:rPr>
        <w:t>ó</w:t>
      </w:r>
      <w:r w:rsidR="00FE3307" w:rsidRPr="005666C3">
        <w:rPr>
          <w:i/>
          <w:lang w:val="es-ES"/>
        </w:rPr>
        <w:t xml:space="preserve">n </w:t>
      </w:r>
    </w:p>
    <w:p w:rsidR="00FE3307" w:rsidRPr="005666C3" w:rsidRDefault="00FE3307" w:rsidP="000858D0">
      <w:pPr>
        <w:rPr>
          <w:lang w:val="es-ES"/>
        </w:rPr>
      </w:pPr>
    </w:p>
    <w:p w:rsidR="00527BB4" w:rsidRPr="00C117FD" w:rsidRDefault="00C117FD" w:rsidP="000858D0">
      <w:pPr>
        <w:pStyle w:val="Heading1"/>
        <w:rPr>
          <w:lang w:val="es-ES"/>
        </w:rPr>
      </w:pPr>
      <w:r w:rsidRPr="00C117FD">
        <w:rPr>
          <w:lang w:val="es-ES"/>
        </w:rPr>
        <w:t>El PNUMA señaló que, debido a la situación política del país,</w:t>
      </w:r>
      <w:r>
        <w:rPr>
          <w:lang w:val="es-ES"/>
        </w:rPr>
        <w:t xml:space="preserve"> había demorado</w:t>
      </w:r>
      <w:r w:rsidRPr="00C117FD">
        <w:rPr>
          <w:lang w:val="es-ES"/>
        </w:rPr>
        <w:t xml:space="preserve"> la realización de actividades del tramo</w:t>
      </w:r>
      <w:r>
        <w:rPr>
          <w:lang w:val="es-ES"/>
        </w:rPr>
        <w:t xml:space="preserve"> anterior. </w:t>
      </w:r>
      <w:r w:rsidRPr="00C117FD">
        <w:rPr>
          <w:lang w:val="es-ES"/>
        </w:rPr>
        <w:t>Las demoras se habían resuelto ya y, en cooperación con la dependencia nacional del ozono, se hab</w:t>
      </w:r>
      <w:r>
        <w:rPr>
          <w:lang w:val="es-ES"/>
        </w:rPr>
        <w:t>ía acelerado la realización de las actividades</w:t>
      </w:r>
      <w:r w:rsidR="00527BB4" w:rsidRPr="00C117FD">
        <w:rPr>
          <w:lang w:val="es-ES"/>
        </w:rPr>
        <w:t>.</w:t>
      </w:r>
    </w:p>
    <w:p w:rsidR="00FE3307" w:rsidRPr="00C117FD" w:rsidRDefault="00C117FD" w:rsidP="000858D0">
      <w:pPr>
        <w:pStyle w:val="Heading1"/>
        <w:rPr>
          <w:lang w:val="es-ES"/>
        </w:rPr>
      </w:pPr>
      <w:r w:rsidRPr="00C117FD">
        <w:rPr>
          <w:lang w:val="es-ES"/>
        </w:rPr>
        <w:t>El PNUMA aclaró que la disponibilidad de alternativas de bajo PCA, como el</w:t>
      </w:r>
      <w:r w:rsidR="00E12932" w:rsidRPr="00C117FD">
        <w:rPr>
          <w:lang w:val="es-ES"/>
        </w:rPr>
        <w:t xml:space="preserve"> R-290 </w:t>
      </w:r>
      <w:r>
        <w:rPr>
          <w:lang w:val="es-ES"/>
        </w:rPr>
        <w:t>y el</w:t>
      </w:r>
      <w:r w:rsidR="00E12932" w:rsidRPr="00C117FD">
        <w:rPr>
          <w:lang w:val="es-ES"/>
        </w:rPr>
        <w:t xml:space="preserve"> R-32 </w:t>
      </w:r>
      <w:r>
        <w:rPr>
          <w:lang w:val="es-ES"/>
        </w:rPr>
        <w:t>era limitada</w:t>
      </w:r>
      <w:r w:rsidR="001017BD" w:rsidRPr="00C117FD">
        <w:rPr>
          <w:lang w:val="es-ES"/>
        </w:rPr>
        <w:t>.</w:t>
      </w:r>
      <w:r w:rsidR="00362E06" w:rsidRPr="00C117FD">
        <w:rPr>
          <w:lang w:val="es-ES"/>
        </w:rPr>
        <w:t xml:space="preserve"> </w:t>
      </w:r>
      <w:r w:rsidRPr="00C117FD">
        <w:rPr>
          <w:lang w:val="es-ES"/>
        </w:rPr>
        <w:t xml:space="preserve">En cuanto a las actividades de </w:t>
      </w:r>
      <w:r w:rsidR="00E777F4">
        <w:rPr>
          <w:lang w:val="es-ES"/>
        </w:rPr>
        <w:t>reconversión</w:t>
      </w:r>
      <w:r w:rsidR="00362E06" w:rsidRPr="00C117FD">
        <w:rPr>
          <w:lang w:val="es-ES"/>
        </w:rPr>
        <w:t xml:space="preserve"> </w:t>
      </w:r>
      <w:r w:rsidRPr="00C117FD">
        <w:rPr>
          <w:lang w:val="es-ES"/>
        </w:rPr>
        <w:t xml:space="preserve">en aplicaciones de aire acondicionado cono R-290 en lugar de </w:t>
      </w:r>
      <w:r w:rsidR="00BC648A" w:rsidRPr="00C117FD">
        <w:rPr>
          <w:lang w:val="es-ES"/>
        </w:rPr>
        <w:t>HCFC-22</w:t>
      </w:r>
      <w:r w:rsidR="00362E06" w:rsidRPr="00C117FD">
        <w:rPr>
          <w:lang w:val="es-ES"/>
        </w:rPr>
        <w:t xml:space="preserve">, </w:t>
      </w:r>
      <w:r>
        <w:rPr>
          <w:lang w:val="es-ES"/>
        </w:rPr>
        <w:t>el PNUMA informó de que</w:t>
      </w:r>
      <w:r w:rsidR="00362E06" w:rsidRPr="00C117FD">
        <w:rPr>
          <w:lang w:val="es-ES"/>
        </w:rPr>
        <w:t xml:space="preserve"> </w:t>
      </w:r>
      <w:r w:rsidR="007E42F3" w:rsidRPr="00C117FD">
        <w:rPr>
          <w:lang w:val="es-ES"/>
        </w:rPr>
        <w:t>el Gobierno de Mali</w:t>
      </w:r>
      <w:r w:rsidR="00362E06" w:rsidRPr="00C117FD">
        <w:rPr>
          <w:lang w:val="es-ES"/>
        </w:rPr>
        <w:t xml:space="preserve"> </w:t>
      </w:r>
      <w:r>
        <w:rPr>
          <w:lang w:val="es-ES"/>
        </w:rPr>
        <w:t xml:space="preserve">tenía pleno conocimiento de las decisiones pertinentes del Comité Ejecutivo sobre </w:t>
      </w:r>
      <w:r w:rsidR="00E777F4">
        <w:rPr>
          <w:lang w:val="es-ES"/>
        </w:rPr>
        <w:t>reconversión</w:t>
      </w:r>
      <w:r w:rsidR="00362E06" w:rsidRPr="00DC4384">
        <w:rPr>
          <w:rStyle w:val="FootnoteReference"/>
          <w:lang w:val="en-CA"/>
        </w:rPr>
        <w:footnoteReference w:id="2"/>
      </w:r>
      <w:r>
        <w:rPr>
          <w:lang w:val="es-ES"/>
        </w:rPr>
        <w:t>.</w:t>
      </w:r>
      <w:r w:rsidR="00362E06" w:rsidRPr="00C117FD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C117FD">
        <w:rPr>
          <w:lang w:val="es-ES"/>
        </w:rPr>
        <w:t xml:space="preserve">Los programas de capacitación abarcan el uso de refrigerantes inflamables en condiciones de seguridad pero no alientan la </w:t>
      </w:r>
      <w:r w:rsidR="00E777F4">
        <w:rPr>
          <w:lang w:val="es-ES"/>
        </w:rPr>
        <w:t>reconversión</w:t>
      </w:r>
      <w:r w:rsidR="00362E06" w:rsidRPr="00C117FD">
        <w:rPr>
          <w:lang w:val="es-ES"/>
        </w:rPr>
        <w:t xml:space="preserve"> </w:t>
      </w:r>
      <w:r>
        <w:rPr>
          <w:lang w:val="es-ES"/>
        </w:rPr>
        <w:t xml:space="preserve">de equipos que usen </w:t>
      </w:r>
      <w:r w:rsidR="00362E06" w:rsidRPr="00C117FD">
        <w:rPr>
          <w:lang w:val="es-ES"/>
        </w:rPr>
        <w:t>HCFC</w:t>
      </w:r>
      <w:r>
        <w:rPr>
          <w:lang w:val="es-ES"/>
        </w:rPr>
        <w:t xml:space="preserve"> con alternativas inflamables</w:t>
      </w:r>
      <w:r w:rsidR="00362E06" w:rsidRPr="00C117FD">
        <w:rPr>
          <w:lang w:val="es-ES"/>
        </w:rPr>
        <w:t>.</w:t>
      </w:r>
    </w:p>
    <w:p w:rsidR="00FE3307" w:rsidRPr="00C117FD" w:rsidRDefault="00C117FD" w:rsidP="000858D0">
      <w:pPr>
        <w:pStyle w:val="Heading1"/>
        <w:rPr>
          <w:lang w:val="es-ES"/>
        </w:rPr>
      </w:pPr>
      <w:r w:rsidRPr="00C117FD">
        <w:rPr>
          <w:lang w:val="es-ES"/>
        </w:rPr>
        <w:t>Respecto de la sostenibilidad a largo plazo de las actividades del plan de gestión de eliminación de los HCFC, el PNUMA mencionó que se impartía capacitación a los oficiales de aduanas y encargados de hacer cumplir la ley</w:t>
      </w:r>
      <w:r>
        <w:rPr>
          <w:lang w:val="es-ES"/>
        </w:rPr>
        <w:t xml:space="preserve"> con carácter permanente en la escuela de capacitación de oficiales de aduanas</w:t>
      </w:r>
      <w:r w:rsidR="00FD3BC0" w:rsidRPr="00C117FD">
        <w:rPr>
          <w:lang w:val="es-ES"/>
        </w:rPr>
        <w:t>.</w:t>
      </w:r>
      <w:r>
        <w:rPr>
          <w:lang w:val="es-ES"/>
        </w:rPr>
        <w:t xml:space="preserve"> </w:t>
      </w:r>
      <w:r w:rsidRPr="00C117FD">
        <w:rPr>
          <w:lang w:val="es-ES"/>
        </w:rPr>
        <w:t xml:space="preserve">En lo </w:t>
      </w:r>
      <w:r w:rsidR="00E777F4">
        <w:rPr>
          <w:lang w:val="es-ES"/>
        </w:rPr>
        <w:t>que atañe</w:t>
      </w:r>
      <w:r w:rsidRPr="00C117FD">
        <w:rPr>
          <w:lang w:val="es-ES"/>
        </w:rPr>
        <w:t xml:space="preserve"> al sector de mantenimiento</w:t>
      </w:r>
      <w:r w:rsidR="00527BB4" w:rsidRPr="00C117FD">
        <w:rPr>
          <w:lang w:val="es-ES"/>
        </w:rPr>
        <w:t xml:space="preserve">, </w:t>
      </w:r>
      <w:r w:rsidRPr="00C117FD">
        <w:rPr>
          <w:lang w:val="es-ES"/>
        </w:rPr>
        <w:t>se seguirá impartiendo capacitación a los técnicos sobre buenas prácticas y uso de refrigerantes alternativos en condiciones de seguridad, junto con la creación de capacidad de los centros de capacitaci</w:t>
      </w:r>
      <w:r>
        <w:rPr>
          <w:lang w:val="es-ES"/>
        </w:rPr>
        <w:t>ón mediante el apoyo en equipos</w:t>
      </w:r>
      <w:r w:rsidR="00745F7E" w:rsidRPr="00C117FD">
        <w:rPr>
          <w:lang w:val="es-ES"/>
        </w:rPr>
        <w:t>;</w:t>
      </w:r>
      <w:r w:rsidR="00105E55" w:rsidRPr="00C117FD">
        <w:rPr>
          <w:lang w:val="es-ES"/>
        </w:rPr>
        <w:t xml:space="preserve"> </w:t>
      </w:r>
      <w:r w:rsidR="00E777F4">
        <w:rPr>
          <w:lang w:val="es-ES"/>
        </w:rPr>
        <w:t>gracias a la realización de estas actividades en estrecha cooperación con las asociaciones de servicios, se garantizaría la sostenibilidad de estos</w:t>
      </w:r>
      <w:r w:rsidR="00105E55" w:rsidRPr="00C117FD">
        <w:rPr>
          <w:lang w:val="es-ES"/>
        </w:rPr>
        <w:t xml:space="preserve"> program</w:t>
      </w:r>
      <w:r w:rsidR="00E777F4">
        <w:rPr>
          <w:lang w:val="es-ES"/>
        </w:rPr>
        <w:t>a</w:t>
      </w:r>
      <w:r w:rsidR="00105E55" w:rsidRPr="00C117FD">
        <w:rPr>
          <w:lang w:val="es-ES"/>
        </w:rPr>
        <w:t>s</w:t>
      </w:r>
      <w:r w:rsidR="00362E06" w:rsidRPr="00C117FD">
        <w:rPr>
          <w:lang w:val="es-ES"/>
        </w:rPr>
        <w:t>.</w:t>
      </w:r>
      <w:r w:rsidR="00285E5F" w:rsidRPr="00C117FD">
        <w:rPr>
          <w:lang w:val="es-ES"/>
        </w:rPr>
        <w:t xml:space="preserve"> </w:t>
      </w:r>
    </w:p>
    <w:p w:rsidR="00FE3307" w:rsidRPr="00DC4384" w:rsidRDefault="00E777F4" w:rsidP="000858D0">
      <w:pPr>
        <w:keepNext/>
        <w:rPr>
          <w:u w:val="single"/>
          <w:lang w:val="en-CA"/>
        </w:rPr>
      </w:pPr>
      <w:r>
        <w:rPr>
          <w:u w:val="single"/>
          <w:lang w:val="en-CA"/>
        </w:rPr>
        <w:lastRenderedPageBreak/>
        <w:t>Conclusió</w:t>
      </w:r>
      <w:r w:rsidR="00FE3307" w:rsidRPr="00DC4384">
        <w:rPr>
          <w:u w:val="single"/>
          <w:lang w:val="en-CA"/>
        </w:rPr>
        <w:t xml:space="preserve">n </w:t>
      </w:r>
    </w:p>
    <w:p w:rsidR="00FE3307" w:rsidRPr="00DC4384" w:rsidRDefault="00FE3307" w:rsidP="000858D0">
      <w:pPr>
        <w:keepNext/>
        <w:rPr>
          <w:lang w:val="en-CA"/>
        </w:rPr>
      </w:pPr>
    </w:p>
    <w:p w:rsidR="00FE3307" w:rsidRPr="00E777F4" w:rsidRDefault="00E777F4" w:rsidP="000858D0">
      <w:pPr>
        <w:pStyle w:val="Heading1"/>
        <w:rPr>
          <w:lang w:val="es-ES"/>
        </w:rPr>
      </w:pPr>
      <w:r w:rsidRPr="00E777F4">
        <w:rPr>
          <w:lang w:val="es-ES"/>
        </w:rPr>
        <w:t>La ejecución del plan de gestión de eliminación de los HCFC avanza a pesar de la difícil situación política del pa</w:t>
      </w:r>
      <w:r>
        <w:rPr>
          <w:lang w:val="es-ES"/>
        </w:rPr>
        <w:t>ís</w:t>
      </w:r>
      <w:r w:rsidR="00362E06" w:rsidRPr="00E777F4">
        <w:rPr>
          <w:lang w:val="es-ES"/>
        </w:rPr>
        <w:t xml:space="preserve">. </w:t>
      </w:r>
      <w:r>
        <w:rPr>
          <w:lang w:val="es-ES"/>
        </w:rPr>
        <w:t xml:space="preserve">El nivel de fondos </w:t>
      </w:r>
      <w:r w:rsidR="003032C1" w:rsidRPr="00E777F4">
        <w:rPr>
          <w:lang w:val="es-ES"/>
        </w:rPr>
        <w:t>desembolsado</w:t>
      </w:r>
      <w:r w:rsidRPr="00E777F4">
        <w:rPr>
          <w:lang w:val="es-ES"/>
        </w:rPr>
        <w:t>s</w:t>
      </w:r>
      <w:r w:rsidR="00362E06" w:rsidRPr="00E777F4">
        <w:rPr>
          <w:lang w:val="es-ES"/>
        </w:rPr>
        <w:t xml:space="preserve"> </w:t>
      </w:r>
      <w:r w:rsidRPr="00E777F4">
        <w:rPr>
          <w:lang w:val="es-ES"/>
        </w:rPr>
        <w:t xml:space="preserve">es del </w:t>
      </w:r>
      <w:r w:rsidR="002B5E7B" w:rsidRPr="00E777F4">
        <w:rPr>
          <w:lang w:val="es-ES"/>
        </w:rPr>
        <w:t>97</w:t>
      </w:r>
      <w:r>
        <w:rPr>
          <w:lang w:val="es-ES"/>
        </w:rPr>
        <w:t>%</w:t>
      </w:r>
      <w:r w:rsidR="00362E06" w:rsidRPr="00E777F4">
        <w:rPr>
          <w:lang w:val="es-ES"/>
        </w:rPr>
        <w:t xml:space="preserve">. </w:t>
      </w:r>
      <w:r w:rsidRPr="00E777F4">
        <w:rPr>
          <w:lang w:val="es-ES"/>
        </w:rPr>
        <w:t xml:space="preserve">Conforme a los datos de 2018 presentados con arreglo al artículo </w:t>
      </w:r>
      <w:r w:rsidR="002B5E7B" w:rsidRPr="00E777F4">
        <w:rPr>
          <w:lang w:val="es-ES"/>
        </w:rPr>
        <w:t xml:space="preserve">7, </w:t>
      </w:r>
      <w:r w:rsidR="00362E06" w:rsidRPr="00E777F4">
        <w:rPr>
          <w:lang w:val="es-ES"/>
        </w:rPr>
        <w:t xml:space="preserve">Mali </w:t>
      </w:r>
      <w:r w:rsidRPr="00E777F4">
        <w:rPr>
          <w:lang w:val="es-ES"/>
        </w:rPr>
        <w:t>se encuentra en situaci</w:t>
      </w:r>
      <w:r>
        <w:rPr>
          <w:lang w:val="es-ES"/>
        </w:rPr>
        <w:t>ón de cumplimiento del Protocolo de Montreal y de su Acuerdo con el Comité Ejecutivo</w:t>
      </w:r>
      <w:r w:rsidR="00362E06" w:rsidRPr="00E777F4">
        <w:rPr>
          <w:lang w:val="es-ES"/>
        </w:rPr>
        <w:t xml:space="preserve">. </w:t>
      </w:r>
      <w:r w:rsidR="002B5E7B" w:rsidRPr="00E777F4">
        <w:rPr>
          <w:lang w:val="es-ES"/>
        </w:rPr>
        <w:t xml:space="preserve">Mali </w:t>
      </w:r>
      <w:r w:rsidRPr="00E777F4">
        <w:rPr>
          <w:lang w:val="es-ES"/>
        </w:rPr>
        <w:t>sigue impartiendo capacitación a los técnicos de mantenimiento y a los oficiales encargados de hacer cumplir la ley y realizando actividades de concienciación</w:t>
      </w:r>
      <w:r w:rsidR="00705B6C" w:rsidRPr="00E777F4">
        <w:rPr>
          <w:lang w:val="es-ES"/>
        </w:rPr>
        <w:t xml:space="preserve">, </w:t>
      </w:r>
      <w:r w:rsidRPr="00E777F4">
        <w:rPr>
          <w:lang w:val="es-ES"/>
        </w:rPr>
        <w:t>y ha adoptado medidas para crear capacidad de las instituciones t</w:t>
      </w:r>
      <w:r>
        <w:rPr>
          <w:lang w:val="es-ES"/>
        </w:rPr>
        <w:t xml:space="preserve">écnicas mediante el apoyo en equipos y trabajando en estrecha colaboración con la asociación de refrigeración para la realización sostenible de las actividades de eliminación de los </w:t>
      </w:r>
      <w:r w:rsidR="00BE52EC" w:rsidRPr="00E777F4">
        <w:rPr>
          <w:lang w:val="es-ES"/>
        </w:rPr>
        <w:t>HCFC</w:t>
      </w:r>
      <w:r w:rsidR="00672DFA" w:rsidRPr="00E777F4">
        <w:rPr>
          <w:lang w:val="es-ES"/>
        </w:rPr>
        <w:t xml:space="preserve">. </w:t>
      </w:r>
      <w:r w:rsidRPr="00E777F4">
        <w:rPr>
          <w:lang w:val="es-ES"/>
        </w:rPr>
        <w:t>El programa de incentivos a los usuarios finales que fue propuesto originalmente para reconvertir los equipos de refrigeración comercial</w:t>
      </w:r>
      <w:r w:rsidR="001017BD" w:rsidRPr="00E777F4">
        <w:rPr>
          <w:lang w:val="es-ES"/>
        </w:rPr>
        <w:t xml:space="preserve"> </w:t>
      </w:r>
      <w:r>
        <w:rPr>
          <w:lang w:val="es-ES"/>
        </w:rPr>
        <w:t>no se ejecutaría, por lo que los fondos destinados a este programa se están usando para apoyar con equipo a las instituciones de capacitación</w:t>
      </w:r>
      <w:r w:rsidR="001017BD" w:rsidRPr="00E777F4">
        <w:rPr>
          <w:lang w:val="es-ES"/>
        </w:rPr>
        <w:t>.</w:t>
      </w:r>
      <w:r w:rsidR="00437ABB" w:rsidRPr="00E777F4">
        <w:rPr>
          <w:lang w:val="es-ES"/>
        </w:rPr>
        <w:t xml:space="preserve"> </w:t>
      </w:r>
      <w:r w:rsidR="002B5E7B" w:rsidRPr="00E777F4">
        <w:rPr>
          <w:lang w:val="es-ES"/>
        </w:rPr>
        <w:t>Dur</w:t>
      </w:r>
      <w:r w:rsidRPr="00E777F4">
        <w:rPr>
          <w:lang w:val="es-ES"/>
        </w:rPr>
        <w:t xml:space="preserve">ante el cuarto tramo, el Gobierno seguirá fortaleciendo la capacidad de los técnicos de mantenimiento y los oficiales </w:t>
      </w:r>
      <w:r>
        <w:rPr>
          <w:lang w:val="es-ES"/>
        </w:rPr>
        <w:t xml:space="preserve">encargados de hacer cumplir la </w:t>
      </w:r>
      <w:r w:rsidRPr="00E777F4">
        <w:rPr>
          <w:lang w:val="es-ES"/>
        </w:rPr>
        <w:t xml:space="preserve">ley para sostener </w:t>
      </w:r>
      <w:r>
        <w:rPr>
          <w:lang w:val="es-ES"/>
        </w:rPr>
        <w:t xml:space="preserve">la eliminación de los </w:t>
      </w:r>
      <w:r w:rsidR="002B5E7B" w:rsidRPr="00E777F4">
        <w:rPr>
          <w:lang w:val="es-ES"/>
        </w:rPr>
        <w:t>HCFC.</w:t>
      </w:r>
    </w:p>
    <w:p w:rsidR="00FE3307" w:rsidRPr="00DC4384" w:rsidRDefault="00FE3307" w:rsidP="000858D0">
      <w:pPr>
        <w:rPr>
          <w:b/>
          <w:lang w:val="en-CA"/>
        </w:rPr>
      </w:pPr>
      <w:r w:rsidRPr="00DC4384">
        <w:rPr>
          <w:b/>
          <w:lang w:val="en-CA"/>
        </w:rPr>
        <w:t>RECOMENDA</w:t>
      </w:r>
      <w:r w:rsidR="005666C3">
        <w:rPr>
          <w:b/>
          <w:lang w:val="en-CA"/>
        </w:rPr>
        <w:t>C</w:t>
      </w:r>
      <w:r w:rsidRPr="00DC4384">
        <w:rPr>
          <w:b/>
          <w:lang w:val="en-CA"/>
        </w:rPr>
        <w:t>I</w:t>
      </w:r>
      <w:r w:rsidR="005666C3">
        <w:rPr>
          <w:b/>
          <w:lang w:val="en-CA"/>
        </w:rPr>
        <w:t>Ó</w:t>
      </w:r>
      <w:r w:rsidRPr="00DC4384">
        <w:rPr>
          <w:b/>
          <w:lang w:val="en-CA"/>
        </w:rPr>
        <w:t xml:space="preserve">N </w:t>
      </w:r>
    </w:p>
    <w:p w:rsidR="002B5E7B" w:rsidRPr="00DC4384" w:rsidRDefault="002B5E7B" w:rsidP="000858D0">
      <w:pPr>
        <w:rPr>
          <w:lang w:val="en-CA"/>
        </w:rPr>
      </w:pPr>
    </w:p>
    <w:p w:rsidR="00FE3307" w:rsidRPr="005666C3" w:rsidRDefault="005666C3" w:rsidP="000858D0">
      <w:pPr>
        <w:pStyle w:val="Heading1"/>
        <w:rPr>
          <w:lang w:val="es-ES"/>
        </w:rPr>
      </w:pPr>
      <w:r w:rsidRPr="005666C3">
        <w:rPr>
          <w:lang w:val="es-ES"/>
        </w:rPr>
        <w:t>La Secretaría del Fondo recomienda que el Comité Ejecutivo</w:t>
      </w:r>
      <w:r w:rsidR="00167822" w:rsidRPr="005666C3">
        <w:rPr>
          <w:lang w:val="es-ES"/>
        </w:rPr>
        <w:t xml:space="preserve"> t</w:t>
      </w:r>
      <w:r w:rsidRPr="005666C3">
        <w:rPr>
          <w:lang w:val="es-ES"/>
        </w:rPr>
        <w:t>ome nota del informe sobre los progresos realizados en la ejecución del tercer tramo de la etapa</w:t>
      </w:r>
      <w:r w:rsidR="00167822" w:rsidRPr="005666C3">
        <w:rPr>
          <w:lang w:val="es-ES"/>
        </w:rPr>
        <w:t xml:space="preserve"> I </w:t>
      </w:r>
      <w:r w:rsidRPr="005666C3">
        <w:rPr>
          <w:lang w:val="es-ES"/>
        </w:rPr>
        <w:t xml:space="preserve">del plan de gestión de eliminación de los </w:t>
      </w:r>
      <w:r w:rsidR="00167822" w:rsidRPr="005666C3">
        <w:rPr>
          <w:lang w:val="es-ES"/>
        </w:rPr>
        <w:t xml:space="preserve">HCFC </w:t>
      </w:r>
      <w:r w:rsidRPr="005666C3">
        <w:rPr>
          <w:lang w:val="es-ES"/>
        </w:rPr>
        <w:t>para</w:t>
      </w:r>
      <w:r w:rsidR="00167822" w:rsidRPr="005666C3">
        <w:rPr>
          <w:lang w:val="es-ES"/>
        </w:rPr>
        <w:t xml:space="preserve"> Mali</w:t>
      </w:r>
      <w:r w:rsidR="00705B6C" w:rsidRPr="005666C3">
        <w:rPr>
          <w:lang w:val="es-ES"/>
        </w:rPr>
        <w:t xml:space="preserve">; </w:t>
      </w:r>
      <w:r w:rsidRPr="005666C3">
        <w:rPr>
          <w:lang w:val="es-ES"/>
        </w:rPr>
        <w:t>y recomienda además la aprobación general del cuarto tramo de la etapa I del plan de gestión de eliminación de los HCFC para</w:t>
      </w:r>
      <w:r w:rsidR="00FE3307" w:rsidRPr="005666C3">
        <w:rPr>
          <w:lang w:val="es-ES"/>
        </w:rPr>
        <w:t xml:space="preserve"> </w:t>
      </w:r>
      <w:r w:rsidR="002B5E7B" w:rsidRPr="005666C3">
        <w:rPr>
          <w:lang w:val="es-ES"/>
        </w:rPr>
        <w:t>Mali</w:t>
      </w:r>
      <w:r w:rsidR="00FE3307" w:rsidRPr="005666C3">
        <w:rPr>
          <w:lang w:val="es-ES"/>
        </w:rPr>
        <w:t xml:space="preserve">, </w:t>
      </w:r>
      <w:r w:rsidRPr="005666C3">
        <w:rPr>
          <w:lang w:val="es-ES"/>
        </w:rPr>
        <w:t>y el correspondiente plan de ejecución del tramo para</w:t>
      </w:r>
      <w:r w:rsidR="00FE3307" w:rsidRPr="005666C3">
        <w:rPr>
          <w:lang w:val="es-ES"/>
        </w:rPr>
        <w:t xml:space="preserve"> 2019</w:t>
      </w:r>
      <w:r w:rsidR="00F73A2A">
        <w:rPr>
          <w:lang w:val="es-ES"/>
        </w:rPr>
        <w:noBreakHyphen/>
      </w:r>
      <w:r w:rsidR="002B5E7B" w:rsidRPr="005666C3">
        <w:rPr>
          <w:lang w:val="es-ES"/>
        </w:rPr>
        <w:t>2020</w:t>
      </w:r>
      <w:r w:rsidR="00FE3307" w:rsidRPr="005666C3">
        <w:rPr>
          <w:lang w:val="es-ES"/>
        </w:rPr>
        <w:t xml:space="preserve">, </w:t>
      </w:r>
      <w:r w:rsidRPr="005666C3">
        <w:rPr>
          <w:lang w:val="es-ES"/>
        </w:rPr>
        <w:t>con el nivel de financiación indicado en el cuadro que figura a continuaci</w:t>
      </w:r>
      <w:r>
        <w:rPr>
          <w:lang w:val="es-ES"/>
        </w:rPr>
        <w:t>ón</w:t>
      </w:r>
      <w:r w:rsidR="00FE3307" w:rsidRPr="005666C3">
        <w:rPr>
          <w:lang w:val="es-ES"/>
        </w:rPr>
        <w:t xml:space="preserve">, </w:t>
      </w:r>
      <w:r>
        <w:rPr>
          <w:lang w:val="es-ES"/>
        </w:rPr>
        <w:t>en el entendimiento de que, si</w:t>
      </w:r>
      <w:r w:rsidR="002B5E7B" w:rsidRPr="005666C3">
        <w:rPr>
          <w:lang w:val="es-ES"/>
        </w:rPr>
        <w:t xml:space="preserve"> Mali </w:t>
      </w:r>
      <w:r>
        <w:rPr>
          <w:lang w:val="es-ES"/>
        </w:rPr>
        <w:t>decidiera proceder a la reconversión y el mantenimiento asociado de refrigerantes inflamables y tóxicos en los equipos de refrigeración y aire acondicionado originalmente diseñados para sustancias no inflamables</w:t>
      </w:r>
      <w:r w:rsidR="002B5E7B" w:rsidRPr="005666C3">
        <w:rPr>
          <w:lang w:val="es-ES"/>
        </w:rPr>
        <w:t xml:space="preserve">, </w:t>
      </w:r>
      <w:r>
        <w:rPr>
          <w:lang w:val="es-ES"/>
        </w:rPr>
        <w:t>lo haría asumiendo todas las responsabilidades y riesgos concomitantes y solo de conformidad con las normas y los protocolos pertinentes</w:t>
      </w:r>
      <w:r w:rsidR="00167822" w:rsidRPr="005666C3">
        <w:rPr>
          <w:lang w:val="es-ES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20"/>
        <w:gridCol w:w="1620"/>
        <w:gridCol w:w="1380"/>
        <w:gridCol w:w="1590"/>
      </w:tblGrid>
      <w:tr w:rsidR="00FE3307" w:rsidRPr="00DC4384" w:rsidTr="000B2B04">
        <w:tc>
          <w:tcPr>
            <w:tcW w:w="540" w:type="dxa"/>
          </w:tcPr>
          <w:p w:rsidR="00FE3307" w:rsidRPr="005666C3" w:rsidRDefault="00FE3307" w:rsidP="0072025B">
            <w:pPr>
              <w:keepNext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</w:tcPr>
          <w:p w:rsidR="00FE3307" w:rsidRPr="00DC4384" w:rsidRDefault="005666C3" w:rsidP="005666C3">
            <w:pPr>
              <w:keepNext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Título del proyecto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FE3307" w:rsidRPr="00DC4384" w:rsidRDefault="005666C3" w:rsidP="005666C3">
            <w:pPr>
              <w:keepNext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 xml:space="preserve">Fondos del proyecto </w:t>
            </w:r>
            <w:r w:rsidR="00FE3307" w:rsidRPr="00DC4384">
              <w:rPr>
                <w:b/>
                <w:bCs/>
                <w:sz w:val="20"/>
                <w:szCs w:val="20"/>
                <w:lang w:val="en-CA"/>
              </w:rPr>
              <w:t>($</w:t>
            </w:r>
            <w:r>
              <w:rPr>
                <w:b/>
                <w:bCs/>
                <w:sz w:val="20"/>
                <w:szCs w:val="20"/>
                <w:lang w:val="en-CA"/>
              </w:rPr>
              <w:t>EUA</w:t>
            </w:r>
            <w:r w:rsidR="00FE3307" w:rsidRPr="00DC4384">
              <w:rPr>
                <w:b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380" w:type="dxa"/>
            <w:tcMar>
              <w:left w:w="29" w:type="dxa"/>
              <w:right w:w="29" w:type="dxa"/>
            </w:tcMar>
          </w:tcPr>
          <w:p w:rsidR="00FE3307" w:rsidRPr="00DC4384" w:rsidRDefault="005666C3" w:rsidP="005666C3">
            <w:pPr>
              <w:keepNext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Gastos de apoyo</w:t>
            </w:r>
            <w:r w:rsidR="00FE3307" w:rsidRPr="00DC4384">
              <w:rPr>
                <w:b/>
                <w:bCs/>
                <w:sz w:val="20"/>
                <w:szCs w:val="20"/>
                <w:lang w:val="en-C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CA"/>
              </w:rPr>
              <w:t>$ EUA</w:t>
            </w:r>
            <w:r w:rsidR="00FE3307" w:rsidRPr="00DC4384">
              <w:rPr>
                <w:b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590" w:type="dxa"/>
            <w:tcMar>
              <w:left w:w="29" w:type="dxa"/>
              <w:right w:w="29" w:type="dxa"/>
            </w:tcMar>
          </w:tcPr>
          <w:p w:rsidR="00FE3307" w:rsidRPr="00DC4384" w:rsidRDefault="005666C3" w:rsidP="005666C3">
            <w:pPr>
              <w:keepNext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Organismo de ejecución</w:t>
            </w:r>
          </w:p>
        </w:tc>
      </w:tr>
      <w:tr w:rsidR="00FE3307" w:rsidRPr="00FE3307" w:rsidTr="000B2B04">
        <w:tc>
          <w:tcPr>
            <w:tcW w:w="540" w:type="dxa"/>
          </w:tcPr>
          <w:p w:rsidR="00FE3307" w:rsidRPr="00DC4384" w:rsidRDefault="00FE3307" w:rsidP="0072025B">
            <w:pPr>
              <w:keepNext/>
              <w:rPr>
                <w:sz w:val="20"/>
                <w:szCs w:val="20"/>
                <w:lang w:val="en-CA"/>
              </w:rPr>
            </w:pPr>
            <w:r w:rsidRPr="00DC4384">
              <w:rPr>
                <w:sz w:val="20"/>
                <w:szCs w:val="20"/>
                <w:lang w:val="en-CA"/>
              </w:rPr>
              <w:t>a)</w:t>
            </w:r>
          </w:p>
        </w:tc>
        <w:tc>
          <w:tcPr>
            <w:tcW w:w="4320" w:type="dxa"/>
          </w:tcPr>
          <w:p w:rsidR="00FE3307" w:rsidRPr="005666C3" w:rsidRDefault="005666C3" w:rsidP="005666C3">
            <w:pPr>
              <w:keepNext/>
              <w:rPr>
                <w:sz w:val="20"/>
                <w:szCs w:val="20"/>
                <w:lang w:val="es-ES"/>
              </w:rPr>
            </w:pPr>
            <w:r w:rsidRPr="005666C3">
              <w:rPr>
                <w:sz w:val="20"/>
                <w:szCs w:val="20"/>
                <w:lang w:val="es-ES"/>
              </w:rPr>
              <w:t>Plan de gestión de eliminación de los H</w:t>
            </w:r>
            <w:r w:rsidR="00FE3307" w:rsidRPr="005666C3">
              <w:rPr>
                <w:sz w:val="20"/>
                <w:szCs w:val="20"/>
                <w:lang w:val="es-ES"/>
              </w:rPr>
              <w:t>CFC</w:t>
            </w:r>
            <w:r w:rsidRPr="005666C3">
              <w:rPr>
                <w:sz w:val="20"/>
                <w:szCs w:val="20"/>
                <w:lang w:val="es-ES"/>
              </w:rPr>
              <w:t xml:space="preserve"> </w:t>
            </w:r>
            <w:r w:rsidR="00FE3307" w:rsidRPr="005666C3">
              <w:rPr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e</w:t>
            </w:r>
            <w:r w:rsidR="00FE3307" w:rsidRPr="005666C3">
              <w:rPr>
                <w:sz w:val="20"/>
                <w:szCs w:val="20"/>
                <w:lang w:val="es-ES"/>
              </w:rPr>
              <w:t>ta</w:t>
            </w:r>
            <w:r>
              <w:rPr>
                <w:sz w:val="20"/>
                <w:szCs w:val="20"/>
                <w:lang w:val="es-ES"/>
              </w:rPr>
              <w:t>pa</w:t>
            </w:r>
            <w:r w:rsidR="00FE3307" w:rsidRPr="005666C3">
              <w:rPr>
                <w:sz w:val="20"/>
                <w:szCs w:val="20"/>
                <w:lang w:val="es-ES"/>
              </w:rPr>
              <w:t xml:space="preserve"> I, </w:t>
            </w:r>
            <w:r>
              <w:rPr>
                <w:sz w:val="20"/>
                <w:szCs w:val="20"/>
                <w:lang w:val="es-ES"/>
              </w:rPr>
              <w:t>cuarto tramo</w:t>
            </w:r>
            <w:r w:rsidR="00FE3307" w:rsidRPr="005666C3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620" w:type="dxa"/>
          </w:tcPr>
          <w:p w:rsidR="00FE3307" w:rsidRPr="00DC4384" w:rsidRDefault="002B5E7B" w:rsidP="005666C3">
            <w:pPr>
              <w:keepNext/>
              <w:jc w:val="right"/>
              <w:rPr>
                <w:sz w:val="20"/>
                <w:szCs w:val="20"/>
                <w:lang w:val="en-CA"/>
              </w:rPr>
            </w:pPr>
            <w:r w:rsidRPr="00DC4384">
              <w:rPr>
                <w:sz w:val="20"/>
                <w:szCs w:val="20"/>
                <w:lang w:val="en-CA"/>
              </w:rPr>
              <w:t>52</w:t>
            </w:r>
            <w:r w:rsidR="005666C3">
              <w:rPr>
                <w:sz w:val="20"/>
                <w:szCs w:val="20"/>
                <w:lang w:val="en-CA"/>
              </w:rPr>
              <w:t>.</w:t>
            </w:r>
            <w:r w:rsidRPr="00DC4384">
              <w:rPr>
                <w:sz w:val="20"/>
                <w:szCs w:val="20"/>
                <w:lang w:val="en-CA"/>
              </w:rPr>
              <w:t>000</w:t>
            </w:r>
          </w:p>
        </w:tc>
        <w:tc>
          <w:tcPr>
            <w:tcW w:w="1380" w:type="dxa"/>
          </w:tcPr>
          <w:p w:rsidR="00FE3307" w:rsidRPr="00DC4384" w:rsidRDefault="002B5E7B" w:rsidP="005666C3">
            <w:pPr>
              <w:keepNext/>
              <w:jc w:val="right"/>
              <w:rPr>
                <w:lang w:val="en-CA"/>
              </w:rPr>
            </w:pPr>
            <w:r w:rsidRPr="00DC4384">
              <w:rPr>
                <w:sz w:val="20"/>
                <w:szCs w:val="20"/>
                <w:lang w:val="en-CA"/>
              </w:rPr>
              <w:t>6</w:t>
            </w:r>
            <w:r w:rsidR="005666C3">
              <w:rPr>
                <w:sz w:val="20"/>
                <w:szCs w:val="20"/>
                <w:lang w:val="en-CA"/>
              </w:rPr>
              <w:t>.</w:t>
            </w:r>
            <w:r w:rsidRPr="00DC4384">
              <w:rPr>
                <w:sz w:val="20"/>
                <w:szCs w:val="20"/>
                <w:lang w:val="en-CA"/>
              </w:rPr>
              <w:t>760</w:t>
            </w:r>
          </w:p>
        </w:tc>
        <w:tc>
          <w:tcPr>
            <w:tcW w:w="1590" w:type="dxa"/>
          </w:tcPr>
          <w:p w:rsidR="00FE3307" w:rsidRPr="002B5E7B" w:rsidRDefault="005666C3" w:rsidP="0072025B">
            <w:pPr>
              <w:keepNext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PNUMA</w:t>
            </w:r>
          </w:p>
        </w:tc>
      </w:tr>
    </w:tbl>
    <w:p w:rsidR="00FE3307" w:rsidRDefault="00FE3307" w:rsidP="000858D0">
      <w:pPr>
        <w:rPr>
          <w:lang w:val="en-CA"/>
        </w:rPr>
      </w:pPr>
    </w:p>
    <w:p w:rsidR="00F73A2A" w:rsidRDefault="00F73A2A" w:rsidP="000858D0">
      <w:pPr>
        <w:rPr>
          <w:lang w:val="en-CA"/>
        </w:rPr>
      </w:pPr>
    </w:p>
    <w:p w:rsidR="00F73A2A" w:rsidRDefault="00F73A2A" w:rsidP="000858D0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A78D3" w:rsidRPr="00FE3307" w:rsidTr="005C4E90">
        <w:tc>
          <w:tcPr>
            <w:tcW w:w="1871" w:type="dxa"/>
          </w:tcPr>
          <w:p w:rsidR="00CA78D3" w:rsidRPr="00FE3307" w:rsidRDefault="00CA78D3" w:rsidP="000858D0">
            <w:pPr>
              <w:rPr>
                <w:lang w:val="en-CA"/>
              </w:rPr>
            </w:pPr>
          </w:p>
        </w:tc>
        <w:tc>
          <w:tcPr>
            <w:tcW w:w="1872" w:type="dxa"/>
          </w:tcPr>
          <w:p w:rsidR="00CA78D3" w:rsidRPr="00FE3307" w:rsidRDefault="00CA78D3" w:rsidP="000858D0">
            <w:pPr>
              <w:rPr>
                <w:lang w:val="en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A78D3" w:rsidRPr="00FE3307" w:rsidRDefault="00CA78D3" w:rsidP="000858D0">
            <w:pPr>
              <w:rPr>
                <w:lang w:val="en-CA"/>
              </w:rPr>
            </w:pPr>
          </w:p>
        </w:tc>
        <w:tc>
          <w:tcPr>
            <w:tcW w:w="1872" w:type="dxa"/>
          </w:tcPr>
          <w:p w:rsidR="00CA78D3" w:rsidRPr="00FE3307" w:rsidRDefault="00CA78D3" w:rsidP="000858D0">
            <w:pPr>
              <w:rPr>
                <w:lang w:val="en-CA"/>
              </w:rPr>
            </w:pPr>
          </w:p>
        </w:tc>
        <w:tc>
          <w:tcPr>
            <w:tcW w:w="1873" w:type="dxa"/>
          </w:tcPr>
          <w:p w:rsidR="00CA78D3" w:rsidRPr="00FE3307" w:rsidRDefault="00CA78D3" w:rsidP="000858D0">
            <w:pPr>
              <w:rPr>
                <w:lang w:val="en-CA"/>
              </w:rPr>
            </w:pPr>
          </w:p>
        </w:tc>
      </w:tr>
    </w:tbl>
    <w:p w:rsidR="00CA78D3" w:rsidRPr="00FE3307" w:rsidRDefault="00CA78D3" w:rsidP="000858D0">
      <w:pPr>
        <w:rPr>
          <w:lang w:val="en-CA"/>
        </w:rPr>
      </w:pPr>
    </w:p>
    <w:sectPr w:rsidR="00CA78D3" w:rsidRPr="00FE3307" w:rsidSect="00F665A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600" w:right="1440" w:bottom="600" w:left="1440" w:header="72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E2" w:rsidRDefault="00836DE2" w:rsidP="004A504B">
      <w:r>
        <w:separator/>
      </w:r>
    </w:p>
  </w:endnote>
  <w:endnote w:type="continuationSeparator" w:id="0">
    <w:p w:rsidR="00836DE2" w:rsidRDefault="00836DE2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F4" w:rsidRPr="0033525D" w:rsidRDefault="00E777F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F729B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F4" w:rsidRPr="0033525D" w:rsidRDefault="00E777F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F729B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73" w:rsidRDefault="00EA76D3" w:rsidP="00B963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rPr>
        <w:sz w:val="18"/>
        <w:szCs w:val="18"/>
        <w:lang w:val="es-ES"/>
      </w:rPr>
    </w:pPr>
    <w:r w:rsidRPr="00EA76D3">
      <w:rPr>
        <w:sz w:val="18"/>
        <w:szCs w:val="18"/>
        <w:lang w:val="es-ES"/>
      </w:rPr>
      <w:t xml:space="preserve">Los documentos previos al período de sesiones del Comité Ejecutivo del Fondo </w:t>
    </w:r>
    <w:r w:rsidR="00E777F4" w:rsidRPr="00EA76D3">
      <w:rPr>
        <w:sz w:val="18"/>
        <w:szCs w:val="18"/>
        <w:lang w:val="es-ES"/>
      </w:rPr>
      <w:t xml:space="preserve">Multilateral </w:t>
    </w:r>
    <w:r w:rsidRPr="00EA76D3">
      <w:rPr>
        <w:sz w:val="18"/>
        <w:szCs w:val="18"/>
        <w:lang w:val="es-ES"/>
      </w:rPr>
      <w:t>para la Aplicación del Protocolo de</w:t>
    </w:r>
  </w:p>
  <w:p w:rsidR="00E777F4" w:rsidRPr="00EA76D3" w:rsidRDefault="00E777F4" w:rsidP="00B963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rPr>
        <w:sz w:val="18"/>
        <w:szCs w:val="18"/>
        <w:lang w:val="es-ES"/>
      </w:rPr>
    </w:pPr>
    <w:r w:rsidRPr="00EA76D3">
      <w:rPr>
        <w:sz w:val="18"/>
        <w:szCs w:val="18"/>
        <w:lang w:val="es-ES"/>
      </w:rPr>
      <w:t xml:space="preserve">Montreal </w:t>
    </w:r>
    <w:r w:rsidR="00EA76D3" w:rsidRPr="00EA76D3">
      <w:rPr>
        <w:sz w:val="18"/>
        <w:szCs w:val="18"/>
        <w:lang w:val="es-ES"/>
      </w:rPr>
      <w:t>no van en perjuicio de cualquier decisi</w:t>
    </w:r>
    <w:r w:rsidR="00EA76D3">
      <w:rPr>
        <w:sz w:val="18"/>
        <w:szCs w:val="18"/>
        <w:lang w:val="es-ES"/>
      </w:rPr>
      <w:t>ón que el Comité Ejecutivo pudiera adoptar después</w:t>
    </w:r>
    <w:r w:rsidRPr="00EA76D3">
      <w:rPr>
        <w:sz w:val="18"/>
        <w:szCs w:val="18"/>
        <w:lang w:val="es-ES"/>
      </w:rPr>
      <w:t xml:space="preserve"> </w:t>
    </w:r>
    <w:r w:rsidR="00EA76D3">
      <w:rPr>
        <w:sz w:val="18"/>
        <w:szCs w:val="18"/>
        <w:lang w:val="es-ES"/>
      </w:rPr>
      <w:t>de la emisión de los mismos</w:t>
    </w:r>
    <w:r w:rsidRPr="00EA76D3">
      <w:rPr>
        <w:sz w:val="18"/>
        <w:szCs w:val="18"/>
        <w:lang w:val="es-ES"/>
      </w:rPr>
      <w:t>.</w:t>
    </w:r>
  </w:p>
  <w:p w:rsidR="00EA76D3" w:rsidRPr="00976669" w:rsidRDefault="00EA76D3">
    <w:pPr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E2" w:rsidRDefault="00836DE2" w:rsidP="004A504B">
      <w:r>
        <w:separator/>
      </w:r>
    </w:p>
  </w:footnote>
  <w:footnote w:type="continuationSeparator" w:id="0">
    <w:p w:rsidR="00836DE2" w:rsidRDefault="00836DE2" w:rsidP="004A504B">
      <w:r>
        <w:continuationSeparator/>
      </w:r>
    </w:p>
  </w:footnote>
  <w:footnote w:id="1">
    <w:p w:rsidR="00E777F4" w:rsidRPr="003032C1" w:rsidRDefault="00E777F4" w:rsidP="00FE3307">
      <w:pPr>
        <w:pStyle w:val="FootnoteText"/>
        <w:rPr>
          <w:lang w:val="es-ES"/>
        </w:rPr>
      </w:pPr>
      <w:r w:rsidRPr="00DC4384">
        <w:rPr>
          <w:rStyle w:val="FootnoteReference"/>
        </w:rPr>
        <w:footnoteRef/>
      </w:r>
      <w:r w:rsidRPr="003032C1">
        <w:rPr>
          <w:lang w:val="es-ES"/>
        </w:rPr>
        <w:t xml:space="preserve"> Según la carta de 18 de marzo de 2019 dirigida a la Secretar</w:t>
      </w:r>
      <w:r>
        <w:rPr>
          <w:lang w:val="es-ES"/>
        </w:rPr>
        <w:t xml:space="preserve">ía por el Ministerio de Medio Ambiente, Saneamiento y Desarrollo Sostenible de </w:t>
      </w:r>
      <w:r w:rsidRPr="003032C1">
        <w:rPr>
          <w:lang w:val="es-ES"/>
        </w:rPr>
        <w:t>Mali.</w:t>
      </w:r>
    </w:p>
  </w:footnote>
  <w:footnote w:id="2">
    <w:p w:rsidR="00E777F4" w:rsidRPr="00362E06" w:rsidRDefault="00E777F4">
      <w:pPr>
        <w:pStyle w:val="FootnoteText"/>
        <w:rPr>
          <w:lang w:val="en-CA"/>
        </w:rPr>
      </w:pPr>
      <w:r w:rsidRPr="00DC4384">
        <w:rPr>
          <w:rStyle w:val="FootnoteReference"/>
        </w:rPr>
        <w:footnoteRef/>
      </w:r>
      <w:r w:rsidRPr="00DC4384">
        <w:t xml:space="preserve"> Decision</w:t>
      </w:r>
      <w:r>
        <w:t>e</w:t>
      </w:r>
      <w:r w:rsidRPr="00DC4384">
        <w:t xml:space="preserve">s 72/17 </w:t>
      </w:r>
      <w:r>
        <w:t>y</w:t>
      </w:r>
      <w:r w:rsidRPr="00DC4384">
        <w:t xml:space="preserve"> 73/34.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F4" w:rsidRPr="0033525D" w:rsidRDefault="00836DE2">
    <w:fldSimple w:instr=" DOCPROPERTY &quot;Document number&quot;  \* MERGEFORMAT ">
      <w:r w:rsidR="00B96373">
        <w:t>UNEP/OzL.Pro/ExCom/83/30</w:t>
      </w:r>
    </w:fldSimple>
  </w:p>
  <w:p w:rsidR="00E777F4" w:rsidRPr="0033525D" w:rsidRDefault="00E777F4"/>
  <w:p w:rsidR="00E777F4" w:rsidRPr="0033525D" w:rsidRDefault="00E777F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F4" w:rsidRPr="0033525D" w:rsidRDefault="00836DE2">
    <w:pPr>
      <w:jc w:val="right"/>
    </w:pPr>
    <w:fldSimple w:instr=" DOCPROPERTY &quot;Document number&quot;  \* MERGEFORMAT ">
      <w:r w:rsidR="00B96373">
        <w:t>UNEP/OzL.Pro/ExCom/83/30</w:t>
      </w:r>
    </w:fldSimple>
  </w:p>
  <w:p w:rsidR="00E777F4" w:rsidRPr="0033525D" w:rsidRDefault="00E777F4"/>
  <w:p w:rsidR="00E777F4" w:rsidRPr="0033525D" w:rsidRDefault="00E7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46C010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i w:val="0"/>
        <w:lang w:val="es-ES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1B4B315F"/>
    <w:multiLevelType w:val="hybridMultilevel"/>
    <w:tmpl w:val="6982264C"/>
    <w:lvl w:ilvl="0" w:tplc="FE024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FD4054B"/>
    <w:multiLevelType w:val="hybridMultilevel"/>
    <w:tmpl w:val="6A88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0"/>
  </w:num>
  <w:num w:numId="24">
    <w:abstractNumId w:val="10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BC1E52"/>
    <w:rsid w:val="00000FED"/>
    <w:rsid w:val="0000434E"/>
    <w:rsid w:val="000211A9"/>
    <w:rsid w:val="00031260"/>
    <w:rsid w:val="0003681A"/>
    <w:rsid w:val="00053218"/>
    <w:rsid w:val="00061B1B"/>
    <w:rsid w:val="00061EC2"/>
    <w:rsid w:val="00067709"/>
    <w:rsid w:val="000745FC"/>
    <w:rsid w:val="00080ED0"/>
    <w:rsid w:val="00083100"/>
    <w:rsid w:val="000858D0"/>
    <w:rsid w:val="00085B8F"/>
    <w:rsid w:val="00090481"/>
    <w:rsid w:val="00096CE3"/>
    <w:rsid w:val="000A6C26"/>
    <w:rsid w:val="000B2B04"/>
    <w:rsid w:val="000D52A4"/>
    <w:rsid w:val="000E07BC"/>
    <w:rsid w:val="000F1CD4"/>
    <w:rsid w:val="000F4103"/>
    <w:rsid w:val="000F70A7"/>
    <w:rsid w:val="001017BD"/>
    <w:rsid w:val="00101E0C"/>
    <w:rsid w:val="00105E55"/>
    <w:rsid w:val="00107825"/>
    <w:rsid w:val="00113CCA"/>
    <w:rsid w:val="001171D5"/>
    <w:rsid w:val="00122F25"/>
    <w:rsid w:val="00135980"/>
    <w:rsid w:val="00153BFF"/>
    <w:rsid w:val="00161375"/>
    <w:rsid w:val="00164719"/>
    <w:rsid w:val="00166FC4"/>
    <w:rsid w:val="001677AC"/>
    <w:rsid w:val="00167822"/>
    <w:rsid w:val="00174BB4"/>
    <w:rsid w:val="001804EA"/>
    <w:rsid w:val="00184B48"/>
    <w:rsid w:val="00190A61"/>
    <w:rsid w:val="001A3342"/>
    <w:rsid w:val="001A3E3D"/>
    <w:rsid w:val="001A7049"/>
    <w:rsid w:val="001B1E40"/>
    <w:rsid w:val="001C4A43"/>
    <w:rsid w:val="001C764E"/>
    <w:rsid w:val="001D47C4"/>
    <w:rsid w:val="001D4C91"/>
    <w:rsid w:val="001E1052"/>
    <w:rsid w:val="001E21B1"/>
    <w:rsid w:val="001E2F93"/>
    <w:rsid w:val="001E61E5"/>
    <w:rsid w:val="001F2159"/>
    <w:rsid w:val="001F7336"/>
    <w:rsid w:val="00204BB4"/>
    <w:rsid w:val="00214863"/>
    <w:rsid w:val="002156B4"/>
    <w:rsid w:val="00222EEB"/>
    <w:rsid w:val="00253222"/>
    <w:rsid w:val="00262847"/>
    <w:rsid w:val="0027264F"/>
    <w:rsid w:val="00274706"/>
    <w:rsid w:val="00276AE5"/>
    <w:rsid w:val="00281BB2"/>
    <w:rsid w:val="00285234"/>
    <w:rsid w:val="00285E5F"/>
    <w:rsid w:val="002B5E7B"/>
    <w:rsid w:val="002B72E9"/>
    <w:rsid w:val="002B7EC5"/>
    <w:rsid w:val="002C7998"/>
    <w:rsid w:val="002E5891"/>
    <w:rsid w:val="002F1E53"/>
    <w:rsid w:val="002F2CAA"/>
    <w:rsid w:val="0030052C"/>
    <w:rsid w:val="003032C1"/>
    <w:rsid w:val="00321E33"/>
    <w:rsid w:val="003306E1"/>
    <w:rsid w:val="003320E4"/>
    <w:rsid w:val="0033525D"/>
    <w:rsid w:val="003414F3"/>
    <w:rsid w:val="00345780"/>
    <w:rsid w:val="00353F2A"/>
    <w:rsid w:val="00354011"/>
    <w:rsid w:val="0035613E"/>
    <w:rsid w:val="00362735"/>
    <w:rsid w:val="00362E06"/>
    <w:rsid w:val="00363EE9"/>
    <w:rsid w:val="00376128"/>
    <w:rsid w:val="003773F1"/>
    <w:rsid w:val="0037742E"/>
    <w:rsid w:val="00377D56"/>
    <w:rsid w:val="0038245A"/>
    <w:rsid w:val="003840E6"/>
    <w:rsid w:val="00385CFC"/>
    <w:rsid w:val="00386B7D"/>
    <w:rsid w:val="0039337A"/>
    <w:rsid w:val="003A3189"/>
    <w:rsid w:val="003A3CA7"/>
    <w:rsid w:val="003B33BD"/>
    <w:rsid w:val="003B569D"/>
    <w:rsid w:val="003B72B1"/>
    <w:rsid w:val="003C3C0E"/>
    <w:rsid w:val="003D4B7B"/>
    <w:rsid w:val="003D4FAC"/>
    <w:rsid w:val="003E4691"/>
    <w:rsid w:val="003E7906"/>
    <w:rsid w:val="003F3C50"/>
    <w:rsid w:val="00406A6A"/>
    <w:rsid w:val="00406B22"/>
    <w:rsid w:val="00416A76"/>
    <w:rsid w:val="004174B4"/>
    <w:rsid w:val="00424FB5"/>
    <w:rsid w:val="00430658"/>
    <w:rsid w:val="004328A7"/>
    <w:rsid w:val="00434C74"/>
    <w:rsid w:val="00437ABB"/>
    <w:rsid w:val="004506C0"/>
    <w:rsid w:val="00453AA9"/>
    <w:rsid w:val="00456EB4"/>
    <w:rsid w:val="004626AF"/>
    <w:rsid w:val="004654B9"/>
    <w:rsid w:val="004718F3"/>
    <w:rsid w:val="00475040"/>
    <w:rsid w:val="00490BCB"/>
    <w:rsid w:val="00493D40"/>
    <w:rsid w:val="004967B6"/>
    <w:rsid w:val="004A504B"/>
    <w:rsid w:val="004A6911"/>
    <w:rsid w:val="004B2BB7"/>
    <w:rsid w:val="004B54E0"/>
    <w:rsid w:val="004B7384"/>
    <w:rsid w:val="004C4269"/>
    <w:rsid w:val="004D6236"/>
    <w:rsid w:val="004D7F90"/>
    <w:rsid w:val="004E4DBB"/>
    <w:rsid w:val="004E4E41"/>
    <w:rsid w:val="004E7F9C"/>
    <w:rsid w:val="004F0A07"/>
    <w:rsid w:val="004F3493"/>
    <w:rsid w:val="004F5143"/>
    <w:rsid w:val="0050496F"/>
    <w:rsid w:val="00512B09"/>
    <w:rsid w:val="00527BB4"/>
    <w:rsid w:val="00533796"/>
    <w:rsid w:val="0055491B"/>
    <w:rsid w:val="00555D75"/>
    <w:rsid w:val="00560DF0"/>
    <w:rsid w:val="005666C3"/>
    <w:rsid w:val="0056759C"/>
    <w:rsid w:val="00581D0E"/>
    <w:rsid w:val="00593F52"/>
    <w:rsid w:val="0059513E"/>
    <w:rsid w:val="005A6E4B"/>
    <w:rsid w:val="005B48FF"/>
    <w:rsid w:val="005C4E90"/>
    <w:rsid w:val="005F2013"/>
    <w:rsid w:val="00604C15"/>
    <w:rsid w:val="00614BE0"/>
    <w:rsid w:val="006158D5"/>
    <w:rsid w:val="00624014"/>
    <w:rsid w:val="00625CA3"/>
    <w:rsid w:val="00625D83"/>
    <w:rsid w:val="00644185"/>
    <w:rsid w:val="006623E7"/>
    <w:rsid w:val="00662B80"/>
    <w:rsid w:val="00670F6C"/>
    <w:rsid w:val="00672DFA"/>
    <w:rsid w:val="00676684"/>
    <w:rsid w:val="006852C7"/>
    <w:rsid w:val="006852CE"/>
    <w:rsid w:val="006B0508"/>
    <w:rsid w:val="006C1727"/>
    <w:rsid w:val="006C32FD"/>
    <w:rsid w:val="006C39CE"/>
    <w:rsid w:val="006D0FCC"/>
    <w:rsid w:val="006D4EF4"/>
    <w:rsid w:val="006E1FC3"/>
    <w:rsid w:val="006E4307"/>
    <w:rsid w:val="006E5B26"/>
    <w:rsid w:val="006E7EC5"/>
    <w:rsid w:val="006F0F69"/>
    <w:rsid w:val="00705B6C"/>
    <w:rsid w:val="0070616B"/>
    <w:rsid w:val="00706FDA"/>
    <w:rsid w:val="00711F9A"/>
    <w:rsid w:val="00713810"/>
    <w:rsid w:val="00713F86"/>
    <w:rsid w:val="0072025B"/>
    <w:rsid w:val="007303A5"/>
    <w:rsid w:val="00730B3E"/>
    <w:rsid w:val="0073420B"/>
    <w:rsid w:val="00745F7E"/>
    <w:rsid w:val="0074760E"/>
    <w:rsid w:val="007509DA"/>
    <w:rsid w:val="00754ABA"/>
    <w:rsid w:val="007A1546"/>
    <w:rsid w:val="007A228C"/>
    <w:rsid w:val="007A368E"/>
    <w:rsid w:val="007A496D"/>
    <w:rsid w:val="007A5868"/>
    <w:rsid w:val="007B04CE"/>
    <w:rsid w:val="007B6871"/>
    <w:rsid w:val="007B7A2F"/>
    <w:rsid w:val="007C3D33"/>
    <w:rsid w:val="007D294A"/>
    <w:rsid w:val="007D47D2"/>
    <w:rsid w:val="007D6EC0"/>
    <w:rsid w:val="007D7E1D"/>
    <w:rsid w:val="007E2A09"/>
    <w:rsid w:val="007E42F3"/>
    <w:rsid w:val="00825C3B"/>
    <w:rsid w:val="00831979"/>
    <w:rsid w:val="00836DE2"/>
    <w:rsid w:val="0085055D"/>
    <w:rsid w:val="00851352"/>
    <w:rsid w:val="008519C8"/>
    <w:rsid w:val="008608FD"/>
    <w:rsid w:val="00863230"/>
    <w:rsid w:val="008717D8"/>
    <w:rsid w:val="0087215C"/>
    <w:rsid w:val="00880E35"/>
    <w:rsid w:val="008875FE"/>
    <w:rsid w:val="00887F8E"/>
    <w:rsid w:val="00896234"/>
    <w:rsid w:val="00897E43"/>
    <w:rsid w:val="008C5738"/>
    <w:rsid w:val="008C70E7"/>
    <w:rsid w:val="008C7EAD"/>
    <w:rsid w:val="008D0CFE"/>
    <w:rsid w:val="008D6152"/>
    <w:rsid w:val="008F0F81"/>
    <w:rsid w:val="008F27BF"/>
    <w:rsid w:val="009142EC"/>
    <w:rsid w:val="009154C3"/>
    <w:rsid w:val="00923540"/>
    <w:rsid w:val="00926767"/>
    <w:rsid w:val="00927275"/>
    <w:rsid w:val="009361D5"/>
    <w:rsid w:val="009428A4"/>
    <w:rsid w:val="00942D60"/>
    <w:rsid w:val="009659F4"/>
    <w:rsid w:val="00970D60"/>
    <w:rsid w:val="00976669"/>
    <w:rsid w:val="009960E5"/>
    <w:rsid w:val="009A7ADC"/>
    <w:rsid w:val="009B37E9"/>
    <w:rsid w:val="009C19B7"/>
    <w:rsid w:val="009D4F38"/>
    <w:rsid w:val="009D7C51"/>
    <w:rsid w:val="009E196C"/>
    <w:rsid w:val="009E1A76"/>
    <w:rsid w:val="009F36BF"/>
    <w:rsid w:val="00A048CF"/>
    <w:rsid w:val="00A06B2F"/>
    <w:rsid w:val="00A07E4C"/>
    <w:rsid w:val="00A111B6"/>
    <w:rsid w:val="00A11872"/>
    <w:rsid w:val="00A26D27"/>
    <w:rsid w:val="00A270C2"/>
    <w:rsid w:val="00A30732"/>
    <w:rsid w:val="00A32F90"/>
    <w:rsid w:val="00A376EE"/>
    <w:rsid w:val="00A42A99"/>
    <w:rsid w:val="00A5151A"/>
    <w:rsid w:val="00A57E0A"/>
    <w:rsid w:val="00A638CA"/>
    <w:rsid w:val="00A778B6"/>
    <w:rsid w:val="00A823F6"/>
    <w:rsid w:val="00A93BBA"/>
    <w:rsid w:val="00AA0A89"/>
    <w:rsid w:val="00AA6429"/>
    <w:rsid w:val="00AB39F5"/>
    <w:rsid w:val="00AB70F0"/>
    <w:rsid w:val="00AC01AA"/>
    <w:rsid w:val="00AC4F72"/>
    <w:rsid w:val="00AC6FBF"/>
    <w:rsid w:val="00AD26C7"/>
    <w:rsid w:val="00AF04D6"/>
    <w:rsid w:val="00AF741A"/>
    <w:rsid w:val="00B01ADB"/>
    <w:rsid w:val="00B04161"/>
    <w:rsid w:val="00B056F9"/>
    <w:rsid w:val="00B11E3D"/>
    <w:rsid w:val="00B17E82"/>
    <w:rsid w:val="00B264C2"/>
    <w:rsid w:val="00B35853"/>
    <w:rsid w:val="00B417AB"/>
    <w:rsid w:val="00B4575A"/>
    <w:rsid w:val="00B575BA"/>
    <w:rsid w:val="00B76429"/>
    <w:rsid w:val="00B90356"/>
    <w:rsid w:val="00B91D4E"/>
    <w:rsid w:val="00B956D4"/>
    <w:rsid w:val="00B95D0B"/>
    <w:rsid w:val="00B96373"/>
    <w:rsid w:val="00B97446"/>
    <w:rsid w:val="00BA7432"/>
    <w:rsid w:val="00BC1AA0"/>
    <w:rsid w:val="00BC1E52"/>
    <w:rsid w:val="00BC2495"/>
    <w:rsid w:val="00BC648A"/>
    <w:rsid w:val="00BC7EB9"/>
    <w:rsid w:val="00BD2643"/>
    <w:rsid w:val="00BD3ECD"/>
    <w:rsid w:val="00BD56B1"/>
    <w:rsid w:val="00BD6558"/>
    <w:rsid w:val="00BE52EC"/>
    <w:rsid w:val="00BF3022"/>
    <w:rsid w:val="00BF3214"/>
    <w:rsid w:val="00BF5573"/>
    <w:rsid w:val="00BF729B"/>
    <w:rsid w:val="00C117FD"/>
    <w:rsid w:val="00C144AB"/>
    <w:rsid w:val="00C15867"/>
    <w:rsid w:val="00C17DAD"/>
    <w:rsid w:val="00C2296D"/>
    <w:rsid w:val="00C23155"/>
    <w:rsid w:val="00C27E9F"/>
    <w:rsid w:val="00C40C41"/>
    <w:rsid w:val="00C45885"/>
    <w:rsid w:val="00C50F22"/>
    <w:rsid w:val="00C515C8"/>
    <w:rsid w:val="00C57971"/>
    <w:rsid w:val="00C65BD7"/>
    <w:rsid w:val="00C754A6"/>
    <w:rsid w:val="00C76BA4"/>
    <w:rsid w:val="00C83A48"/>
    <w:rsid w:val="00C85865"/>
    <w:rsid w:val="00C85E85"/>
    <w:rsid w:val="00CA2EAE"/>
    <w:rsid w:val="00CA4AC1"/>
    <w:rsid w:val="00CA78D3"/>
    <w:rsid w:val="00CB0316"/>
    <w:rsid w:val="00CB0793"/>
    <w:rsid w:val="00CB0B11"/>
    <w:rsid w:val="00CB5354"/>
    <w:rsid w:val="00CB6ACC"/>
    <w:rsid w:val="00CC6A14"/>
    <w:rsid w:val="00CC70A3"/>
    <w:rsid w:val="00CD4442"/>
    <w:rsid w:val="00CD53C3"/>
    <w:rsid w:val="00CD574E"/>
    <w:rsid w:val="00CE4C22"/>
    <w:rsid w:val="00CF41EC"/>
    <w:rsid w:val="00CF5D04"/>
    <w:rsid w:val="00D04DE4"/>
    <w:rsid w:val="00D063F1"/>
    <w:rsid w:val="00D13CD0"/>
    <w:rsid w:val="00D14E3D"/>
    <w:rsid w:val="00D14F22"/>
    <w:rsid w:val="00D4741C"/>
    <w:rsid w:val="00D54C78"/>
    <w:rsid w:val="00D57918"/>
    <w:rsid w:val="00D73DC6"/>
    <w:rsid w:val="00D74C1A"/>
    <w:rsid w:val="00D754C1"/>
    <w:rsid w:val="00D77393"/>
    <w:rsid w:val="00D77A35"/>
    <w:rsid w:val="00D81B3E"/>
    <w:rsid w:val="00D90C70"/>
    <w:rsid w:val="00D90E49"/>
    <w:rsid w:val="00D96ADE"/>
    <w:rsid w:val="00DA0CE2"/>
    <w:rsid w:val="00DA539A"/>
    <w:rsid w:val="00DB3EB6"/>
    <w:rsid w:val="00DC4384"/>
    <w:rsid w:val="00DC6A10"/>
    <w:rsid w:val="00DE05EB"/>
    <w:rsid w:val="00DE657E"/>
    <w:rsid w:val="00DF30CE"/>
    <w:rsid w:val="00DF4704"/>
    <w:rsid w:val="00E024AA"/>
    <w:rsid w:val="00E12932"/>
    <w:rsid w:val="00E250DD"/>
    <w:rsid w:val="00E250F1"/>
    <w:rsid w:val="00E3550D"/>
    <w:rsid w:val="00E472B7"/>
    <w:rsid w:val="00E614E0"/>
    <w:rsid w:val="00E73F7F"/>
    <w:rsid w:val="00E777F4"/>
    <w:rsid w:val="00E85409"/>
    <w:rsid w:val="00EA4181"/>
    <w:rsid w:val="00EA429F"/>
    <w:rsid w:val="00EA4F9E"/>
    <w:rsid w:val="00EA63CA"/>
    <w:rsid w:val="00EA6D3B"/>
    <w:rsid w:val="00EA76D3"/>
    <w:rsid w:val="00EB00AD"/>
    <w:rsid w:val="00EB136C"/>
    <w:rsid w:val="00EB15CB"/>
    <w:rsid w:val="00EB2FB4"/>
    <w:rsid w:val="00EB480E"/>
    <w:rsid w:val="00EB58A4"/>
    <w:rsid w:val="00EB5EC6"/>
    <w:rsid w:val="00EB7FC9"/>
    <w:rsid w:val="00ED27E8"/>
    <w:rsid w:val="00ED7137"/>
    <w:rsid w:val="00EE38B6"/>
    <w:rsid w:val="00F05892"/>
    <w:rsid w:val="00F14452"/>
    <w:rsid w:val="00F21088"/>
    <w:rsid w:val="00F327E7"/>
    <w:rsid w:val="00F35746"/>
    <w:rsid w:val="00F36C73"/>
    <w:rsid w:val="00F426B7"/>
    <w:rsid w:val="00F43C8B"/>
    <w:rsid w:val="00F447C7"/>
    <w:rsid w:val="00F5211B"/>
    <w:rsid w:val="00F554A9"/>
    <w:rsid w:val="00F63E28"/>
    <w:rsid w:val="00F665A9"/>
    <w:rsid w:val="00F716FD"/>
    <w:rsid w:val="00F72037"/>
    <w:rsid w:val="00F73A2A"/>
    <w:rsid w:val="00F80355"/>
    <w:rsid w:val="00F87C43"/>
    <w:rsid w:val="00FB0C81"/>
    <w:rsid w:val="00FC2200"/>
    <w:rsid w:val="00FC2540"/>
    <w:rsid w:val="00FC70C1"/>
    <w:rsid w:val="00FD3BC0"/>
    <w:rsid w:val="00FD6811"/>
    <w:rsid w:val="00FE3307"/>
    <w:rsid w:val="00FF0204"/>
    <w:rsid w:val="00FF19C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D5F71B-2262-4990-BFAB-DFE2232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ListParagraph">
    <w:name w:val="List Paragraph"/>
    <w:basedOn w:val="Normal"/>
    <w:uiPriority w:val="34"/>
    <w:qFormat/>
    <w:rsid w:val="00FE3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3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30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3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83rd\Templates\Eec83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6487C9FB6F4EBDAE4F9BF2BADC67" ma:contentTypeVersion="1" ma:contentTypeDescription="Create a new document." ma:contentTypeScope="" ma:versionID="dde0cf08f0de2d5ded6bad66deab1706">
  <xsd:schema xmlns:xsd="http://www.w3.org/2001/XMLSchema" xmlns:p="http://schemas.microsoft.com/office/2006/metadata/properties" xmlns:ns2="e6e1f9e0-8f48-4721-871b-80b3d7694360" targetNamespace="http://schemas.microsoft.com/office/2006/metadata/properties" ma:root="true" ma:fieldsID="29c4091274cd144a9dc66b7db47548ad" ns2:_="">
    <xsd:import namespace="e6e1f9e0-8f48-4721-871b-80b3d7694360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UNEP/OzL.Pro/ExCom/83/30</Document_x0020_Number>
  </documentManagement>
</p:properties>
</file>

<file path=customXml/itemProps1.xml><?xml version="1.0" encoding="utf-8"?>
<ds:datastoreItem xmlns:ds="http://schemas.openxmlformats.org/officeDocument/2006/customXml" ds:itemID="{EFB73EC8-5123-4809-AC2D-D0FE74A6B8FD}"/>
</file>

<file path=customXml/itemProps2.xml><?xml version="1.0" encoding="utf-8"?>
<ds:datastoreItem xmlns:ds="http://schemas.openxmlformats.org/officeDocument/2006/customXml" ds:itemID="{5B449B7D-E32F-40E9-8DD1-BDD378F083BC}"/>
</file>

<file path=customXml/itemProps3.xml><?xml version="1.0" encoding="utf-8"?>
<ds:datastoreItem xmlns:ds="http://schemas.openxmlformats.org/officeDocument/2006/customXml" ds:itemID="{DC71B4F3-B748-4F14-8545-758C9D25AE70}"/>
</file>

<file path=customXml/itemProps4.xml><?xml version="1.0" encoding="utf-8"?>
<ds:datastoreItem xmlns:ds="http://schemas.openxmlformats.org/officeDocument/2006/customXml" ds:itemID="{CA46B167-0565-4EC3-A630-A09931472B93}"/>
</file>

<file path=docProps/app.xml><?xml version="1.0" encoding="utf-8"?>
<Properties xmlns="http://schemas.openxmlformats.org/officeDocument/2006/extended-properties" xmlns:vt="http://schemas.openxmlformats.org/officeDocument/2006/docPropsVTypes">
  <Template>Eec83G</Template>
  <TotalTime>22</TotalTime>
  <Pages>6</Pages>
  <Words>2244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proyecto:  Mali</vt:lpstr>
    </vt:vector>
  </TitlesOfParts>
  <Company>UNMFS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proyecto: Mali</dc:title>
  <dc:subject>83a</dc:subject>
  <dc:creator>Patricia Chau</dc:creator>
  <cp:keywords/>
  <dc:description/>
  <cp:lastModifiedBy>HBE</cp:lastModifiedBy>
  <cp:revision>8</cp:revision>
  <cp:lastPrinted>2019-04-25T20:01:00Z</cp:lastPrinted>
  <dcterms:created xsi:type="dcterms:W3CDTF">2019-05-01T01:20:00Z</dcterms:created>
  <dcterms:modified xsi:type="dcterms:W3CDTF">2019-05-20T14:37:00Z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UNEP/OzL.Pro/ExCom/83/30</vt:lpwstr>
  </property>
  <property fmtid="{D5CDD505-2E9C-101B-9397-08002B2CF9AE}" pid="3" name="Revision date">
    <vt:lpwstr>4/29/2019</vt:lpwstr>
  </property>
  <property fmtid="{D5CDD505-2E9C-101B-9397-08002B2CF9AE}" pid="4" name="ContentTypeId">
    <vt:lpwstr>0x010100AA786487C9FB6F4EBDAE4F9BF2BADC67</vt:lpwstr>
  </property>
</Properties>
</file>