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466B13">
        <w:trPr>
          <w:trHeight w:val="720"/>
        </w:trPr>
        <w:tc>
          <w:tcPr>
            <w:tcW w:w="6494" w:type="dxa"/>
            <w:gridSpan w:val="2"/>
            <w:tcBorders>
              <w:bottom w:val="single" w:sz="18" w:space="0" w:color="auto"/>
            </w:tcBorders>
          </w:tcPr>
          <w:p w:rsidR="0087455A" w:rsidRPr="00466B13" w:rsidRDefault="0024162E">
            <w:pPr>
              <w:rPr>
                <w:rFonts w:ascii="Univers" w:hAnsi="Univers"/>
                <w:b/>
                <w:sz w:val="28"/>
                <w:szCs w:val="28"/>
                <w:lang w:val="es-ES"/>
              </w:rPr>
            </w:pPr>
            <w:r w:rsidRPr="00466B13">
              <w:rPr>
                <w:rFonts w:ascii="Univers" w:hAnsi="Univers"/>
                <w:b/>
                <w:sz w:val="28"/>
                <w:szCs w:val="28"/>
                <w:lang w:val="es-ES"/>
              </w:rPr>
              <w:t>NACIONES</w:t>
            </w:r>
          </w:p>
          <w:p w:rsidR="0087455A" w:rsidRPr="00466B13" w:rsidRDefault="0024162E">
            <w:pPr>
              <w:rPr>
                <w:rFonts w:ascii="Univers" w:hAnsi="Univers"/>
                <w:b/>
                <w:sz w:val="28"/>
                <w:szCs w:val="28"/>
                <w:lang w:val="es-ES"/>
              </w:rPr>
            </w:pPr>
            <w:r w:rsidRPr="00466B13">
              <w:rPr>
                <w:rFonts w:ascii="Univers" w:hAnsi="Univers"/>
                <w:b/>
                <w:sz w:val="28"/>
                <w:szCs w:val="28"/>
                <w:lang w:val="es-ES"/>
              </w:rPr>
              <w:t>UNIDAS</w:t>
            </w:r>
          </w:p>
        </w:tc>
        <w:tc>
          <w:tcPr>
            <w:tcW w:w="4590" w:type="dxa"/>
            <w:tcBorders>
              <w:bottom w:val="single" w:sz="18" w:space="0" w:color="auto"/>
            </w:tcBorders>
          </w:tcPr>
          <w:p w:rsidR="0087455A" w:rsidRPr="00466B13" w:rsidRDefault="0024162E">
            <w:pPr>
              <w:jc w:val="right"/>
              <w:rPr>
                <w:rFonts w:asciiTheme="minorBidi" w:hAnsiTheme="minorBidi" w:cstheme="minorBidi"/>
                <w:sz w:val="52"/>
                <w:szCs w:val="52"/>
                <w:lang w:val="es-ES"/>
              </w:rPr>
            </w:pPr>
            <w:r w:rsidRPr="00466B13">
              <w:rPr>
                <w:rFonts w:asciiTheme="minorBidi" w:hAnsiTheme="minorBidi" w:cstheme="minorBidi"/>
                <w:b/>
                <w:sz w:val="72"/>
                <w:lang w:val="es-ES"/>
              </w:rPr>
              <w:t>EP</w:t>
            </w:r>
          </w:p>
        </w:tc>
      </w:tr>
      <w:tr w:rsidR="0087455A" w:rsidRPr="0046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466B13" w:rsidRDefault="005156B9">
            <w:pPr>
              <w:spacing w:before="120"/>
              <w:rPr>
                <w:lang w:val="es-ES"/>
              </w:rPr>
            </w:pPr>
            <w:r w:rsidRPr="00466B13">
              <w:rPr>
                <w:noProof/>
                <w:lang w:val="en-CA" w:eastAsia="en-CA"/>
              </w:rPr>
              <w:drawing>
                <wp:anchor distT="0" distB="0" distL="114300" distR="114300" simplePos="0" relativeHeight="251660288" behindDoc="0" locked="0" layoutInCell="1" allowOverlap="1">
                  <wp:simplePos x="0" y="0"/>
                  <wp:positionH relativeFrom="column">
                    <wp:posOffset>12438</wp:posOffset>
                  </wp:positionH>
                  <wp:positionV relativeFrom="paragraph">
                    <wp:posOffset>922468</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24162E" w:rsidRPr="00466B13">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466B1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466B1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66B13">
              <w:rPr>
                <w:rFonts w:ascii="Univers" w:hAnsi="Univers"/>
                <w:b/>
                <w:sz w:val="32"/>
                <w:lang w:val="es-ES"/>
              </w:rPr>
              <w:t>Programa de las</w:t>
            </w:r>
          </w:p>
          <w:p w:rsidR="0087455A" w:rsidRPr="00466B1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66B13">
              <w:rPr>
                <w:rFonts w:ascii="Univers" w:hAnsi="Univers"/>
                <w:b/>
                <w:sz w:val="32"/>
                <w:lang w:val="es-ES"/>
              </w:rPr>
              <w:t>Naciones Unidas</w:t>
            </w:r>
          </w:p>
          <w:p w:rsidR="0087455A" w:rsidRPr="00466B13"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466B13">
              <w:rPr>
                <w:rFonts w:ascii="Univers" w:hAnsi="Univers"/>
                <w:b/>
                <w:sz w:val="32"/>
                <w:lang w:val="es-ES"/>
              </w:rPr>
              <w:t>para el Medio Ambiente</w:t>
            </w:r>
          </w:p>
          <w:p w:rsidR="0087455A" w:rsidRPr="00466B13"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466B13" w:rsidRDefault="0087455A">
            <w:pPr>
              <w:spacing w:before="720"/>
              <w:ind w:left="158"/>
              <w:rPr>
                <w:lang w:val="es-ES"/>
              </w:rPr>
            </w:pPr>
          </w:p>
        </w:tc>
        <w:tc>
          <w:tcPr>
            <w:tcW w:w="4590" w:type="dxa"/>
            <w:tcBorders>
              <w:top w:val="nil"/>
              <w:left w:val="nil"/>
              <w:bottom w:val="single" w:sz="36" w:space="0" w:color="auto"/>
              <w:right w:val="nil"/>
            </w:tcBorders>
          </w:tcPr>
          <w:p w:rsidR="0087455A" w:rsidRPr="00466B13" w:rsidRDefault="0087455A">
            <w:pPr>
              <w:rPr>
                <w:lang w:val="es-ES"/>
              </w:rPr>
            </w:pPr>
          </w:p>
          <w:p w:rsidR="0087455A" w:rsidRPr="00BC2314" w:rsidRDefault="0024162E">
            <w:pPr>
              <w:rPr>
                <w:lang w:val="es-ES"/>
              </w:rPr>
            </w:pPr>
            <w:r w:rsidRPr="00BC2314">
              <w:rPr>
                <w:lang w:val="es-ES"/>
              </w:rPr>
              <w:t>Distr.</w:t>
            </w:r>
          </w:p>
          <w:p w:rsidR="0087455A" w:rsidRPr="00BC2314" w:rsidRDefault="0024162E">
            <w:pPr>
              <w:rPr>
                <w:lang w:val="es-ES"/>
              </w:rPr>
            </w:pPr>
            <w:r w:rsidRPr="00BC2314">
              <w:rPr>
                <w:lang w:val="es-ES"/>
              </w:rPr>
              <w:t>GENERAL</w:t>
            </w:r>
          </w:p>
          <w:p w:rsidR="0087455A" w:rsidRPr="00BC2314" w:rsidRDefault="0087455A">
            <w:pPr>
              <w:rPr>
                <w:lang w:val="es-ES"/>
              </w:rPr>
            </w:pPr>
          </w:p>
          <w:p w:rsidR="0087455A" w:rsidRPr="00BC2314" w:rsidRDefault="0024162E">
            <w:pPr>
              <w:rPr>
                <w:lang w:val="es-ES"/>
              </w:rPr>
            </w:pPr>
            <w:r w:rsidRPr="00466B13">
              <w:rPr>
                <w:lang w:val="es-ES"/>
              </w:rPr>
              <w:fldChar w:fldCharType="begin"/>
            </w:r>
            <w:r w:rsidRPr="00BC2314">
              <w:rPr>
                <w:lang w:val="es-ES"/>
              </w:rPr>
              <w:instrText xml:space="preserve"> DOCPROPERTY "Document number"  \* MERGEFORMAT </w:instrText>
            </w:r>
            <w:r w:rsidRPr="00466B13">
              <w:rPr>
                <w:lang w:val="es-ES"/>
              </w:rPr>
              <w:fldChar w:fldCharType="separate"/>
            </w:r>
            <w:r w:rsidR="00FE2692" w:rsidRPr="00BC2314">
              <w:rPr>
                <w:lang w:val="es-ES"/>
              </w:rPr>
              <w:t>UNEP/OzL.Pro/ExCom/83/34</w:t>
            </w:r>
            <w:r w:rsidRPr="00466B13">
              <w:rPr>
                <w:lang w:val="es-ES"/>
              </w:rPr>
              <w:fldChar w:fldCharType="end"/>
            </w:r>
          </w:p>
          <w:p w:rsidR="001F3B8E" w:rsidRPr="00BC2314" w:rsidRDefault="001F3B8E" w:rsidP="001F3B8E">
            <w:pPr>
              <w:rPr>
                <w:lang w:val="es-ES"/>
              </w:rPr>
            </w:pPr>
            <w:r w:rsidRPr="003401A5">
              <w:fldChar w:fldCharType="begin"/>
            </w:r>
            <w:r w:rsidRPr="00BC2314">
              <w:rPr>
                <w:lang w:val="es-ES"/>
              </w:rPr>
              <w:instrText xml:space="preserve"> DOCPROPERTY "Revision date" \@ "d MMMM YYYY"  \* MERGEFORMAT </w:instrText>
            </w:r>
            <w:r w:rsidRPr="003401A5">
              <w:fldChar w:fldCharType="separate"/>
            </w:r>
            <w:r w:rsidRPr="00BC2314">
              <w:rPr>
                <w:lang w:val="es-ES"/>
              </w:rPr>
              <w:t xml:space="preserve">3 </w:t>
            </w:r>
            <w:r w:rsidR="00FE2692" w:rsidRPr="00BC2314">
              <w:rPr>
                <w:lang w:val="es-ES"/>
              </w:rPr>
              <w:t xml:space="preserve">de </w:t>
            </w:r>
            <w:r w:rsidRPr="00BC2314">
              <w:rPr>
                <w:lang w:val="es-ES"/>
              </w:rPr>
              <w:t>May</w:t>
            </w:r>
            <w:r w:rsidR="00FE2692" w:rsidRPr="00BC2314">
              <w:rPr>
                <w:lang w:val="es-ES"/>
              </w:rPr>
              <w:t>o de</w:t>
            </w:r>
            <w:r w:rsidRPr="00BC2314">
              <w:rPr>
                <w:lang w:val="es-ES"/>
              </w:rPr>
              <w:t xml:space="preserve"> 2019</w:t>
            </w:r>
            <w:r w:rsidRPr="003401A5">
              <w:fldChar w:fldCharType="end"/>
            </w:r>
          </w:p>
          <w:p w:rsidR="00114CAA" w:rsidRPr="00BC2314" w:rsidRDefault="00114CAA">
            <w:pPr>
              <w:rPr>
                <w:caps/>
                <w:lang w:val="es-ES"/>
              </w:rPr>
            </w:pPr>
          </w:p>
          <w:p w:rsidR="0087455A" w:rsidRPr="00466B13" w:rsidRDefault="0024162E">
            <w:pPr>
              <w:rPr>
                <w:lang w:val="es-ES"/>
              </w:rPr>
            </w:pPr>
            <w:r w:rsidRPr="00466B13">
              <w:rPr>
                <w:lang w:val="es-ES"/>
              </w:rPr>
              <w:t xml:space="preserve">ESPAÑOL </w:t>
            </w:r>
          </w:p>
          <w:p w:rsidR="0087455A" w:rsidRPr="00466B13" w:rsidRDefault="0024162E">
            <w:pPr>
              <w:rPr>
                <w:lang w:val="es-ES"/>
              </w:rPr>
            </w:pPr>
            <w:r w:rsidRPr="00466B13">
              <w:rPr>
                <w:lang w:val="es-ES"/>
              </w:rPr>
              <w:t>ORIGINAL: INGLÉS</w:t>
            </w:r>
          </w:p>
        </w:tc>
      </w:tr>
    </w:tbl>
    <w:p w:rsidR="0087455A" w:rsidRPr="00466B13" w:rsidRDefault="0087455A">
      <w:pPr>
        <w:jc w:val="left"/>
        <w:rPr>
          <w:lang w:val="es-ES"/>
        </w:rPr>
      </w:pPr>
      <w:bookmarkStart w:id="0" w:name="_GoBack"/>
      <w:bookmarkEnd w:id="0"/>
    </w:p>
    <w:p w:rsidR="0087455A" w:rsidRPr="00466B13" w:rsidRDefault="0024162E">
      <w:pPr>
        <w:jc w:val="left"/>
        <w:rPr>
          <w:lang w:val="es-ES"/>
        </w:rPr>
      </w:pPr>
      <w:r w:rsidRPr="00466B13">
        <w:rPr>
          <w:lang w:val="es-ES"/>
        </w:rPr>
        <w:t>COMITÉ EJECUTIVO DEL FONDO MULTILATERAL</w:t>
      </w:r>
      <w:r w:rsidRPr="00466B13">
        <w:rPr>
          <w:lang w:val="es-ES"/>
        </w:rPr>
        <w:br/>
        <w:t xml:space="preserve">  PARA LA APLICACIÓN DEL</w:t>
      </w:r>
      <w:r w:rsidRPr="00466B13">
        <w:rPr>
          <w:lang w:val="es-ES"/>
        </w:rPr>
        <w:br/>
        <w:t xml:space="preserve">  PROTOCOLO DE MONTREAL</w:t>
      </w:r>
    </w:p>
    <w:p w:rsidR="00106F6E" w:rsidRPr="00466B13" w:rsidRDefault="00106F6E" w:rsidP="001C2D22">
      <w:pPr>
        <w:jc w:val="left"/>
        <w:rPr>
          <w:lang w:val="es-ES"/>
        </w:rPr>
      </w:pPr>
      <w:r w:rsidRPr="00466B13">
        <w:rPr>
          <w:lang w:val="es-ES"/>
        </w:rPr>
        <w:t xml:space="preserve">Octogésima </w:t>
      </w:r>
      <w:r w:rsidR="001C2D22" w:rsidRPr="00466B13">
        <w:rPr>
          <w:lang w:val="es-ES"/>
        </w:rPr>
        <w:t>tercera</w:t>
      </w:r>
      <w:r w:rsidRPr="00466B13">
        <w:rPr>
          <w:lang w:val="es-ES"/>
        </w:rPr>
        <w:t xml:space="preserve"> Reunión</w:t>
      </w:r>
      <w:r w:rsidRPr="00466B13">
        <w:rPr>
          <w:lang w:val="es-ES"/>
        </w:rPr>
        <w:br/>
        <w:t xml:space="preserve">Montreal, </w:t>
      </w:r>
      <w:r w:rsidR="001C2D22" w:rsidRPr="00466B13">
        <w:rPr>
          <w:lang w:val="es-ES"/>
        </w:rPr>
        <w:t>27</w:t>
      </w:r>
      <w:r w:rsidRPr="00466B13">
        <w:rPr>
          <w:lang w:val="es-ES"/>
        </w:rPr>
        <w:t xml:space="preserve"> – </w:t>
      </w:r>
      <w:r w:rsidR="001C2D22" w:rsidRPr="00466B13">
        <w:rPr>
          <w:lang w:val="es-ES"/>
        </w:rPr>
        <w:t>31</w:t>
      </w:r>
      <w:r w:rsidRPr="00466B13">
        <w:rPr>
          <w:lang w:val="es-ES"/>
        </w:rPr>
        <w:t xml:space="preserve"> de </w:t>
      </w:r>
      <w:r w:rsidR="001C2D22" w:rsidRPr="00466B13">
        <w:rPr>
          <w:lang w:val="es-ES"/>
        </w:rPr>
        <w:t>mayo de 2019</w:t>
      </w:r>
    </w:p>
    <w:p w:rsidR="00106F6E" w:rsidRPr="00466B13" w:rsidRDefault="00106F6E" w:rsidP="00106F6E">
      <w:pPr>
        <w:jc w:val="left"/>
        <w:rPr>
          <w:lang w:val="es-ES"/>
        </w:rPr>
      </w:pPr>
    </w:p>
    <w:p w:rsidR="0087455A" w:rsidRPr="00466B13" w:rsidRDefault="0087455A">
      <w:pPr>
        <w:jc w:val="left"/>
        <w:rPr>
          <w:lang w:val="es-ES"/>
        </w:rPr>
      </w:pPr>
    </w:p>
    <w:p w:rsidR="0087455A" w:rsidRPr="00466B13" w:rsidRDefault="0087455A">
      <w:pPr>
        <w:pStyle w:val="Heading3"/>
        <w:numPr>
          <w:ilvl w:val="0"/>
          <w:numId w:val="0"/>
        </w:numPr>
        <w:spacing w:after="0"/>
        <w:rPr>
          <w:lang w:val="es-ES"/>
        </w:rPr>
      </w:pPr>
    </w:p>
    <w:p w:rsidR="0087455A" w:rsidRPr="00466B13" w:rsidRDefault="0087455A">
      <w:pPr>
        <w:pStyle w:val="Title1"/>
        <w:rPr>
          <w:lang w:val="es-ES"/>
        </w:rPr>
      </w:pPr>
    </w:p>
    <w:p w:rsidR="00466B13" w:rsidRPr="00466B13" w:rsidRDefault="00466B13" w:rsidP="00466B13">
      <w:pPr>
        <w:jc w:val="center"/>
        <w:rPr>
          <w:b/>
          <w:lang w:val="es-ES"/>
        </w:rPr>
      </w:pPr>
      <w:r w:rsidRPr="00466B13">
        <w:rPr>
          <w:b/>
          <w:bCs/>
          <w:lang w:val="es-ES"/>
        </w:rPr>
        <w:t>PROPUESTA DE PROYECTO: PAKISTÁN</w:t>
      </w:r>
    </w:p>
    <w:p w:rsidR="00466B13" w:rsidRPr="00466B13" w:rsidRDefault="00466B13" w:rsidP="00466B13">
      <w:pPr>
        <w:jc w:val="center"/>
        <w:rPr>
          <w:b/>
          <w:lang w:val="es-ES"/>
        </w:rPr>
      </w:pPr>
    </w:p>
    <w:p w:rsidR="00466B13" w:rsidRPr="00466B13" w:rsidRDefault="00466B13" w:rsidP="00466B13">
      <w:pPr>
        <w:jc w:val="center"/>
        <w:rPr>
          <w:b/>
          <w:lang w:val="es-ES"/>
        </w:rPr>
      </w:pPr>
    </w:p>
    <w:p w:rsidR="00466B13" w:rsidRPr="00466B13" w:rsidRDefault="00466B13" w:rsidP="00466B13">
      <w:pPr>
        <w:rPr>
          <w:lang w:val="es-ES"/>
        </w:rPr>
      </w:pPr>
    </w:p>
    <w:p w:rsidR="00466B13" w:rsidRPr="00466B13" w:rsidRDefault="00466B13" w:rsidP="00466B13">
      <w:pPr>
        <w:ind w:firstLine="720"/>
        <w:rPr>
          <w:lang w:val="es-ES"/>
        </w:rPr>
      </w:pPr>
      <w:r w:rsidRPr="00466B13">
        <w:rPr>
          <w:lang w:val="es-ES"/>
        </w:rPr>
        <w:t xml:space="preserve">El presente documento consta de las observaciones y la </w:t>
      </w:r>
      <w:r w:rsidR="00F863FF">
        <w:rPr>
          <w:lang w:val="es-ES"/>
        </w:rPr>
        <w:t>recomendación</w:t>
      </w:r>
      <w:r w:rsidRPr="00466B13">
        <w:rPr>
          <w:lang w:val="es-ES"/>
        </w:rPr>
        <w:t xml:space="preserve"> de la </w:t>
      </w:r>
      <w:r w:rsidR="00F863FF">
        <w:rPr>
          <w:lang w:val="es-ES"/>
        </w:rPr>
        <w:t>Secretaría</w:t>
      </w:r>
      <w:r w:rsidRPr="00466B13">
        <w:rPr>
          <w:lang w:val="es-ES"/>
        </w:rPr>
        <w:t xml:space="preserve"> sobre la propuesta de proyecto siguiente: </w:t>
      </w:r>
    </w:p>
    <w:p w:rsidR="00466B13" w:rsidRPr="00466B13" w:rsidRDefault="00466B13" w:rsidP="00466B13">
      <w:pPr>
        <w:rPr>
          <w:lang w:val="es-ES"/>
        </w:rPr>
      </w:pPr>
    </w:p>
    <w:p w:rsidR="00466B13" w:rsidRPr="00466B13" w:rsidRDefault="00466B13" w:rsidP="00466B13">
      <w:pPr>
        <w:rPr>
          <w:u w:val="single"/>
          <w:lang w:val="es-ES"/>
        </w:rPr>
      </w:pPr>
      <w:r w:rsidRPr="00466B13">
        <w:rPr>
          <w:u w:val="single"/>
          <w:lang w:val="es-ES"/>
        </w:rPr>
        <w:t>Eliminación</w:t>
      </w:r>
    </w:p>
    <w:p w:rsidR="00466B13" w:rsidRPr="00466B13" w:rsidRDefault="00466B13" w:rsidP="00466B13">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466B13" w:rsidRPr="00466B13" w:rsidTr="00F863FF">
        <w:tc>
          <w:tcPr>
            <w:tcW w:w="6941" w:type="dxa"/>
          </w:tcPr>
          <w:p w:rsidR="00466B13" w:rsidRPr="00466B13" w:rsidRDefault="00466B13" w:rsidP="00F863FF">
            <w:pPr>
              <w:pStyle w:val="ListParagraph"/>
              <w:numPr>
                <w:ilvl w:val="0"/>
                <w:numId w:val="21"/>
              </w:numPr>
              <w:ind w:hanging="830"/>
              <w:rPr>
                <w:lang w:val="es-ES"/>
              </w:rPr>
            </w:pPr>
            <w:r w:rsidRPr="00466B13">
              <w:rPr>
                <w:lang w:val="es-ES"/>
              </w:rPr>
              <w:t xml:space="preserve">Plan de </w:t>
            </w:r>
            <w:r w:rsidR="00F863FF">
              <w:rPr>
                <w:lang w:val="es-ES"/>
              </w:rPr>
              <w:t>gestión</w:t>
            </w:r>
            <w:r w:rsidRPr="00466B13">
              <w:rPr>
                <w:lang w:val="es-ES"/>
              </w:rPr>
              <w:t xml:space="preserve"> de </w:t>
            </w:r>
            <w:r w:rsidR="00F863FF">
              <w:rPr>
                <w:lang w:val="es-ES"/>
              </w:rPr>
              <w:t>eliminación</w:t>
            </w:r>
            <w:r w:rsidRPr="00466B13">
              <w:rPr>
                <w:lang w:val="es-ES"/>
              </w:rPr>
              <w:t xml:space="preserve"> de HCFC (etapa II, segundo tramo)</w:t>
            </w:r>
          </w:p>
        </w:tc>
        <w:tc>
          <w:tcPr>
            <w:tcW w:w="2409" w:type="dxa"/>
          </w:tcPr>
          <w:p w:rsidR="00466B13" w:rsidRPr="00466B13" w:rsidRDefault="00466B13" w:rsidP="008647A0">
            <w:pPr>
              <w:jc w:val="right"/>
              <w:rPr>
                <w:lang w:val="es-ES"/>
              </w:rPr>
            </w:pPr>
            <w:r w:rsidRPr="00466B13">
              <w:rPr>
                <w:lang w:val="es-ES"/>
              </w:rPr>
              <w:t>ONUDI y PNUMA</w:t>
            </w:r>
          </w:p>
        </w:tc>
      </w:tr>
    </w:tbl>
    <w:p w:rsidR="00466B13" w:rsidRPr="00466B13" w:rsidRDefault="00466B13" w:rsidP="00466B13">
      <w:pPr>
        <w:rPr>
          <w:lang w:val="es-ES"/>
        </w:rPr>
      </w:pPr>
    </w:p>
    <w:p w:rsidR="00466B13" w:rsidRPr="00466B13" w:rsidRDefault="00466B13" w:rsidP="00466B13">
      <w:pPr>
        <w:rPr>
          <w:lang w:val="es-ES"/>
        </w:rPr>
      </w:pPr>
    </w:p>
    <w:p w:rsidR="00466B13" w:rsidRPr="00466B13" w:rsidRDefault="00466B13" w:rsidP="00466B13">
      <w:pPr>
        <w:rPr>
          <w:lang w:val="es-ES"/>
        </w:rPr>
      </w:pPr>
    </w:p>
    <w:p w:rsidR="00466B13" w:rsidRPr="00466B13" w:rsidRDefault="00466B13" w:rsidP="00466B13">
      <w:pPr>
        <w:rPr>
          <w:lang w:val="es-ES"/>
        </w:rPr>
      </w:pPr>
      <w:r w:rsidRPr="00466B13">
        <w:rPr>
          <w:lang w:val="es-ES"/>
        </w:rPr>
        <w:br w:type="page"/>
      </w:r>
    </w:p>
    <w:p w:rsidR="00466B13" w:rsidRPr="00466B13" w:rsidRDefault="00466B13" w:rsidP="00466B13">
      <w:pPr>
        <w:jc w:val="center"/>
        <w:rPr>
          <w:b/>
          <w:lang w:val="es-ES"/>
        </w:rPr>
      </w:pPr>
      <w:r w:rsidRPr="00466B13">
        <w:rPr>
          <w:b/>
          <w:bCs/>
          <w:lang w:val="es-ES"/>
        </w:rPr>
        <w:lastRenderedPageBreak/>
        <w:t>HOJA DE EVALUACIÓN DE PROYECTO – PROYECTOS PLURIANUALES</w:t>
      </w:r>
    </w:p>
    <w:p w:rsidR="00466B13" w:rsidRPr="00466B13" w:rsidRDefault="00466B13" w:rsidP="00466B13">
      <w:pPr>
        <w:jc w:val="center"/>
        <w:rPr>
          <w:b/>
          <w:lang w:val="es-ES"/>
        </w:rPr>
      </w:pPr>
      <w:r w:rsidRPr="00466B13">
        <w:rPr>
          <w:b/>
          <w:bCs/>
          <w:lang w:val="es-ES"/>
        </w:rPr>
        <w:t>Pakistán</w:t>
      </w:r>
    </w:p>
    <w:tbl>
      <w:tblPr>
        <w:tblStyle w:val="TableGrid"/>
        <w:tblW w:w="10000" w:type="dxa"/>
        <w:tblLook w:val="04A0" w:firstRow="1" w:lastRow="0" w:firstColumn="1" w:lastColumn="0" w:noHBand="0" w:noVBand="1"/>
      </w:tblPr>
      <w:tblGrid>
        <w:gridCol w:w="2830"/>
        <w:gridCol w:w="2390"/>
        <w:gridCol w:w="2390"/>
        <w:gridCol w:w="2390"/>
      </w:tblGrid>
      <w:tr w:rsidR="00466B13" w:rsidRPr="00466B13" w:rsidTr="00F863FF">
        <w:trPr>
          <w:trHeight w:val="240"/>
        </w:trPr>
        <w:tc>
          <w:tcPr>
            <w:tcW w:w="2830" w:type="dxa"/>
            <w:shd w:val="clear" w:color="auto" w:fill="auto"/>
          </w:tcPr>
          <w:p w:rsidR="00466B13" w:rsidRPr="00466B13" w:rsidRDefault="00466B13" w:rsidP="00F863FF">
            <w:pPr>
              <w:spacing w:after="80"/>
              <w:jc w:val="left"/>
              <w:rPr>
                <w:b/>
                <w:sz w:val="18"/>
                <w:lang w:val="es-ES"/>
              </w:rPr>
            </w:pPr>
            <w:r w:rsidRPr="00466B13">
              <w:rPr>
                <w:b/>
                <w:bCs/>
                <w:sz w:val="18"/>
                <w:szCs w:val="18"/>
                <w:lang w:val="es-ES"/>
              </w:rPr>
              <w:t>I) TÍTULO DEL PROYECTO</w:t>
            </w:r>
          </w:p>
        </w:tc>
        <w:tc>
          <w:tcPr>
            <w:tcW w:w="2390" w:type="dxa"/>
            <w:shd w:val="clear" w:color="auto" w:fill="auto"/>
          </w:tcPr>
          <w:p w:rsidR="00466B13" w:rsidRPr="00466B13" w:rsidRDefault="00466B13" w:rsidP="00F863FF">
            <w:pPr>
              <w:spacing w:after="80"/>
              <w:jc w:val="center"/>
              <w:rPr>
                <w:b/>
                <w:sz w:val="18"/>
                <w:lang w:val="es-ES"/>
              </w:rPr>
            </w:pPr>
            <w:r w:rsidRPr="00466B13">
              <w:rPr>
                <w:b/>
                <w:bCs/>
                <w:sz w:val="18"/>
                <w:szCs w:val="18"/>
                <w:lang w:val="es-ES"/>
              </w:rPr>
              <w:t>ORGANISMO</w:t>
            </w:r>
          </w:p>
        </w:tc>
        <w:tc>
          <w:tcPr>
            <w:tcW w:w="2390" w:type="dxa"/>
            <w:shd w:val="clear" w:color="auto" w:fill="auto"/>
          </w:tcPr>
          <w:p w:rsidR="00466B13" w:rsidRPr="00466B13" w:rsidRDefault="00466B13" w:rsidP="00F863FF">
            <w:pPr>
              <w:spacing w:after="80"/>
              <w:jc w:val="center"/>
              <w:rPr>
                <w:b/>
                <w:sz w:val="18"/>
                <w:lang w:val="es-ES"/>
              </w:rPr>
            </w:pPr>
            <w:r w:rsidRPr="00466B13">
              <w:rPr>
                <w:b/>
                <w:bCs/>
                <w:sz w:val="18"/>
                <w:szCs w:val="18"/>
                <w:lang w:val="es-ES"/>
              </w:rPr>
              <w:t>REUNIÓN EN QUE SE APROBÓ</w:t>
            </w:r>
          </w:p>
        </w:tc>
        <w:tc>
          <w:tcPr>
            <w:tcW w:w="2390" w:type="dxa"/>
            <w:shd w:val="clear" w:color="auto" w:fill="auto"/>
          </w:tcPr>
          <w:p w:rsidR="00466B13" w:rsidRPr="00466B13" w:rsidRDefault="00466B13" w:rsidP="00F863FF">
            <w:pPr>
              <w:spacing w:after="80"/>
              <w:jc w:val="center"/>
              <w:rPr>
                <w:b/>
                <w:sz w:val="18"/>
                <w:lang w:val="es-ES"/>
              </w:rPr>
            </w:pPr>
            <w:r w:rsidRPr="00466B13">
              <w:rPr>
                <w:b/>
                <w:bCs/>
                <w:sz w:val="18"/>
                <w:szCs w:val="18"/>
                <w:lang w:val="es-ES"/>
              </w:rPr>
              <w:t>MEDIDA DE CONTROL</w:t>
            </w:r>
          </w:p>
        </w:tc>
      </w:tr>
      <w:tr w:rsidR="00466B13" w:rsidRPr="00466B13" w:rsidTr="00F863FF">
        <w:trPr>
          <w:trHeight w:val="240"/>
        </w:trPr>
        <w:tc>
          <w:tcPr>
            <w:tcW w:w="2830" w:type="dxa"/>
            <w:shd w:val="clear" w:color="auto" w:fill="auto"/>
          </w:tcPr>
          <w:p w:rsidR="00466B13" w:rsidRPr="00466B13" w:rsidRDefault="00466B13" w:rsidP="00F863FF">
            <w:pPr>
              <w:spacing w:after="80"/>
              <w:jc w:val="center"/>
              <w:rPr>
                <w:sz w:val="18"/>
                <w:lang w:val="es-ES"/>
              </w:rPr>
            </w:pPr>
            <w:r w:rsidRPr="00466B13">
              <w:rPr>
                <w:sz w:val="18"/>
                <w:szCs w:val="18"/>
                <w:lang w:val="es-ES"/>
              </w:rPr>
              <w:t xml:space="preserve">Plan de </w:t>
            </w:r>
            <w:r w:rsidR="00755041">
              <w:rPr>
                <w:sz w:val="18"/>
                <w:szCs w:val="18"/>
                <w:lang w:val="es-ES"/>
              </w:rPr>
              <w:t>gestión</w:t>
            </w:r>
            <w:r w:rsidRPr="00466B13">
              <w:rPr>
                <w:sz w:val="18"/>
                <w:szCs w:val="18"/>
                <w:lang w:val="es-ES"/>
              </w:rPr>
              <w:t xml:space="preserve"> de </w:t>
            </w:r>
            <w:r w:rsidR="00755041">
              <w:rPr>
                <w:sz w:val="18"/>
                <w:szCs w:val="18"/>
                <w:lang w:val="es-ES"/>
              </w:rPr>
              <w:t>eliminación</w:t>
            </w:r>
            <w:r w:rsidRPr="00466B13">
              <w:rPr>
                <w:sz w:val="18"/>
                <w:szCs w:val="18"/>
                <w:lang w:val="es-ES"/>
              </w:rPr>
              <w:t xml:space="preserve"> de HCFC (etapa II)</w:t>
            </w:r>
          </w:p>
        </w:tc>
        <w:tc>
          <w:tcPr>
            <w:tcW w:w="2390" w:type="dxa"/>
            <w:shd w:val="clear" w:color="auto" w:fill="auto"/>
          </w:tcPr>
          <w:p w:rsidR="00466B13" w:rsidRPr="00466B13" w:rsidRDefault="00466B13" w:rsidP="00F863FF">
            <w:pPr>
              <w:spacing w:after="80"/>
              <w:jc w:val="center"/>
              <w:rPr>
                <w:sz w:val="18"/>
                <w:lang w:val="es-ES"/>
              </w:rPr>
            </w:pPr>
            <w:r w:rsidRPr="00466B13">
              <w:rPr>
                <w:sz w:val="18"/>
                <w:szCs w:val="18"/>
                <w:lang w:val="es-ES"/>
              </w:rPr>
              <w:t>PNUMA, ONUDI (principal)</w:t>
            </w:r>
          </w:p>
        </w:tc>
        <w:tc>
          <w:tcPr>
            <w:tcW w:w="2390" w:type="dxa"/>
            <w:shd w:val="clear" w:color="auto" w:fill="auto"/>
          </w:tcPr>
          <w:p w:rsidR="00466B13" w:rsidRPr="00466B13" w:rsidRDefault="00466B13" w:rsidP="00F863FF">
            <w:pPr>
              <w:spacing w:after="80"/>
              <w:jc w:val="center"/>
              <w:rPr>
                <w:sz w:val="18"/>
                <w:lang w:val="es-ES"/>
              </w:rPr>
            </w:pPr>
            <w:r w:rsidRPr="00466B13">
              <w:rPr>
                <w:sz w:val="18"/>
                <w:szCs w:val="18"/>
                <w:lang w:val="es-ES"/>
              </w:rPr>
              <w:t xml:space="preserve">76ª </w:t>
            </w:r>
          </w:p>
        </w:tc>
        <w:tc>
          <w:tcPr>
            <w:tcW w:w="2390" w:type="dxa"/>
            <w:shd w:val="clear" w:color="auto" w:fill="auto"/>
          </w:tcPr>
          <w:p w:rsidR="00466B13" w:rsidRPr="00466B13" w:rsidRDefault="00466B13" w:rsidP="00F863FF">
            <w:pPr>
              <w:spacing w:after="80"/>
              <w:jc w:val="center"/>
              <w:rPr>
                <w:sz w:val="18"/>
                <w:lang w:val="es-ES"/>
              </w:rPr>
            </w:pPr>
            <w:r w:rsidRPr="00466B13">
              <w:rPr>
                <w:sz w:val="18"/>
                <w:szCs w:val="18"/>
                <w:lang w:val="es-ES"/>
              </w:rPr>
              <w:t>50% para 2020</w:t>
            </w:r>
          </w:p>
        </w:tc>
      </w:tr>
    </w:tbl>
    <w:p w:rsidR="00466B13" w:rsidRPr="00466B13" w:rsidRDefault="00466B13" w:rsidP="00466B13">
      <w:pPr>
        <w:spacing w:after="60"/>
        <w:jc w:val="center"/>
        <w:rPr>
          <w:sz w:val="18"/>
          <w:lang w:val="es-ES"/>
        </w:rPr>
      </w:pPr>
    </w:p>
    <w:tbl>
      <w:tblPr>
        <w:tblStyle w:val="TableGrid"/>
        <w:tblW w:w="10000" w:type="dxa"/>
        <w:tblLook w:val="04A0" w:firstRow="1" w:lastRow="0" w:firstColumn="1" w:lastColumn="0" w:noHBand="0" w:noVBand="1"/>
      </w:tblPr>
      <w:tblGrid>
        <w:gridCol w:w="5200"/>
        <w:gridCol w:w="2400"/>
        <w:gridCol w:w="2400"/>
      </w:tblGrid>
      <w:tr w:rsidR="00466B13" w:rsidRPr="00466B13" w:rsidTr="00F863FF">
        <w:trPr>
          <w:trHeight w:val="240"/>
        </w:trPr>
        <w:tc>
          <w:tcPr>
            <w:tcW w:w="5200" w:type="dxa"/>
            <w:shd w:val="clear" w:color="auto" w:fill="auto"/>
          </w:tcPr>
          <w:p w:rsidR="00466B13" w:rsidRPr="00466B13" w:rsidRDefault="00466B13" w:rsidP="00F863FF">
            <w:pPr>
              <w:spacing w:after="60"/>
              <w:jc w:val="left"/>
              <w:rPr>
                <w:b/>
                <w:sz w:val="18"/>
                <w:lang w:val="es-ES"/>
              </w:rPr>
            </w:pPr>
            <w:r w:rsidRPr="00466B13">
              <w:rPr>
                <w:b/>
                <w:bCs/>
                <w:sz w:val="18"/>
                <w:szCs w:val="18"/>
                <w:lang w:val="es-ES"/>
              </w:rPr>
              <w:t>II) DATOS MÁS RECIENTES CON ARREGLO AL ARTÍCULO 7 (Grupo I del Anexo C)</w:t>
            </w:r>
          </w:p>
        </w:tc>
        <w:tc>
          <w:tcPr>
            <w:tcW w:w="2400" w:type="dxa"/>
            <w:shd w:val="clear" w:color="auto" w:fill="auto"/>
          </w:tcPr>
          <w:p w:rsidR="00466B13" w:rsidRPr="00466B13" w:rsidRDefault="00466B13" w:rsidP="00F863FF">
            <w:pPr>
              <w:spacing w:after="60"/>
              <w:jc w:val="center"/>
              <w:rPr>
                <w:sz w:val="18"/>
                <w:lang w:val="es-ES"/>
              </w:rPr>
            </w:pPr>
            <w:r w:rsidRPr="00466B13">
              <w:rPr>
                <w:sz w:val="18"/>
                <w:szCs w:val="18"/>
                <w:lang w:val="es-ES"/>
              </w:rPr>
              <w:t xml:space="preserve">Año 2017 </w:t>
            </w:r>
          </w:p>
        </w:tc>
        <w:tc>
          <w:tcPr>
            <w:tcW w:w="2400" w:type="dxa"/>
            <w:shd w:val="clear" w:color="auto" w:fill="auto"/>
          </w:tcPr>
          <w:p w:rsidR="00466B13" w:rsidRPr="00466B13" w:rsidRDefault="00466B13" w:rsidP="00F863FF">
            <w:pPr>
              <w:spacing w:after="60"/>
              <w:jc w:val="right"/>
              <w:rPr>
                <w:sz w:val="18"/>
                <w:lang w:val="es-ES"/>
              </w:rPr>
            </w:pPr>
            <w:r w:rsidRPr="00466B13">
              <w:rPr>
                <w:sz w:val="18"/>
                <w:szCs w:val="18"/>
                <w:lang w:val="es-ES"/>
              </w:rPr>
              <w:t>206,8 (toneladas PAO)</w:t>
            </w:r>
          </w:p>
        </w:tc>
      </w:tr>
    </w:tbl>
    <w:p w:rsidR="00466B13" w:rsidRPr="00466B13" w:rsidRDefault="00466B13" w:rsidP="00FE2692">
      <w:pPr>
        <w:spacing w:line="80" w:lineRule="exact"/>
        <w:jc w:val="center"/>
        <w:rPr>
          <w:sz w:val="18"/>
          <w:lang w:val="es-ES"/>
        </w:rPr>
      </w:pPr>
    </w:p>
    <w:tbl>
      <w:tblPr>
        <w:tblStyle w:val="TableGrid"/>
        <w:tblW w:w="10000" w:type="dxa"/>
        <w:tblLook w:val="04A0" w:firstRow="1" w:lastRow="0" w:firstColumn="1" w:lastColumn="0" w:noHBand="0" w:noVBand="1"/>
      </w:tblPr>
      <w:tblGrid>
        <w:gridCol w:w="1200"/>
        <w:gridCol w:w="786"/>
        <w:gridCol w:w="866"/>
        <w:gridCol w:w="1082"/>
        <w:gridCol w:w="1066"/>
        <w:gridCol w:w="1316"/>
        <w:gridCol w:w="996"/>
        <w:gridCol w:w="985"/>
        <w:gridCol w:w="600"/>
        <w:gridCol w:w="1103"/>
      </w:tblGrid>
      <w:tr w:rsidR="00466B13" w:rsidRPr="00466B13" w:rsidTr="00F863FF">
        <w:trPr>
          <w:trHeight w:val="240"/>
        </w:trPr>
        <w:tc>
          <w:tcPr>
            <w:tcW w:w="0" w:type="auto"/>
            <w:gridSpan w:val="8"/>
            <w:shd w:val="clear" w:color="auto" w:fill="auto"/>
          </w:tcPr>
          <w:p w:rsidR="00466B13" w:rsidRPr="00466B13" w:rsidRDefault="00466B13" w:rsidP="00F863FF">
            <w:pPr>
              <w:spacing w:after="60"/>
              <w:jc w:val="left"/>
              <w:rPr>
                <w:b/>
                <w:sz w:val="18"/>
                <w:lang w:val="es-ES"/>
              </w:rPr>
            </w:pPr>
            <w:r w:rsidRPr="00466B13">
              <w:rPr>
                <w:b/>
                <w:bCs/>
                <w:sz w:val="18"/>
                <w:szCs w:val="18"/>
                <w:lang w:val="es-ES"/>
              </w:rPr>
              <w:t xml:space="preserve">III) DATOS SECTORIALES DEL PROGRAMA DE PAÍS MÁS RECIENTES (toneladas PAO) </w:t>
            </w:r>
          </w:p>
        </w:tc>
        <w:tc>
          <w:tcPr>
            <w:tcW w:w="0" w:type="auto"/>
            <w:gridSpan w:val="2"/>
            <w:shd w:val="clear" w:color="auto" w:fill="auto"/>
          </w:tcPr>
          <w:p w:rsidR="00466B13" w:rsidRPr="00466B13" w:rsidRDefault="00466B13" w:rsidP="00F863FF">
            <w:pPr>
              <w:spacing w:after="60"/>
              <w:jc w:val="right"/>
              <w:rPr>
                <w:b/>
                <w:sz w:val="18"/>
                <w:lang w:val="es-ES"/>
              </w:rPr>
            </w:pPr>
            <w:r w:rsidRPr="00466B13">
              <w:rPr>
                <w:b/>
                <w:bCs/>
                <w:sz w:val="18"/>
                <w:szCs w:val="18"/>
                <w:lang w:val="es-ES"/>
              </w:rPr>
              <w:t>Año 2017</w:t>
            </w:r>
          </w:p>
        </w:tc>
      </w:tr>
      <w:tr w:rsidR="00466B13" w:rsidRPr="00466B13" w:rsidTr="00F863FF">
        <w:trPr>
          <w:trHeight w:val="240"/>
        </w:trPr>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Sustancia química</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Aerosol</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Espuma</w:t>
            </w:r>
            <w:r w:rsidR="006A6060">
              <w:rPr>
                <w:sz w:val="18"/>
                <w:szCs w:val="18"/>
                <w:lang w:val="es-ES"/>
              </w:rPr>
              <w:t>s</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Lucha contra incendios</w:t>
            </w:r>
          </w:p>
        </w:tc>
        <w:tc>
          <w:tcPr>
            <w:tcW w:w="0" w:type="auto"/>
            <w:gridSpan w:val="2"/>
            <w:shd w:val="clear" w:color="auto" w:fill="auto"/>
          </w:tcPr>
          <w:p w:rsidR="00466B13" w:rsidRPr="00466B13" w:rsidRDefault="00466B13" w:rsidP="00F863FF">
            <w:pPr>
              <w:spacing w:after="60"/>
              <w:jc w:val="center"/>
              <w:rPr>
                <w:sz w:val="18"/>
                <w:lang w:val="es-ES"/>
              </w:rPr>
            </w:pPr>
            <w:r w:rsidRPr="00466B13">
              <w:rPr>
                <w:sz w:val="18"/>
                <w:szCs w:val="18"/>
                <w:lang w:val="es-ES"/>
              </w:rPr>
              <w:t>Refrigeración</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Disolvente</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Agente de procesos</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Uso en lab.</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Consumo total del sector</w:t>
            </w:r>
          </w:p>
        </w:tc>
      </w:tr>
      <w:tr w:rsidR="00466B13" w:rsidRPr="00466B13" w:rsidTr="00F863FF">
        <w:trPr>
          <w:trHeight w:val="240"/>
        </w:trPr>
        <w:tc>
          <w:tcPr>
            <w:tcW w:w="0" w:type="auto"/>
            <w:gridSpan w:val="4"/>
            <w:shd w:val="clear" w:color="auto" w:fill="auto"/>
          </w:tcPr>
          <w:p w:rsidR="00466B13" w:rsidRPr="00466B13" w:rsidRDefault="00466B13" w:rsidP="00F863FF">
            <w:pPr>
              <w:spacing w:after="60"/>
              <w:jc w:val="center"/>
              <w:rPr>
                <w:sz w:val="18"/>
                <w:lang w:val="es-ES"/>
              </w:rPr>
            </w:pPr>
            <w:r w:rsidRPr="00466B13">
              <w:rPr>
                <w:sz w:val="18"/>
                <w:lang w:val="es-ES"/>
              </w:rPr>
              <w:t xml:space="preserve"> </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Fabricación</w:t>
            </w:r>
          </w:p>
        </w:tc>
        <w:tc>
          <w:tcPr>
            <w:tcW w:w="0" w:type="auto"/>
            <w:shd w:val="clear" w:color="auto" w:fill="auto"/>
          </w:tcPr>
          <w:p w:rsidR="00466B13" w:rsidRPr="00466B13" w:rsidRDefault="00466B13" w:rsidP="00F863FF">
            <w:pPr>
              <w:spacing w:after="60"/>
              <w:jc w:val="center"/>
              <w:rPr>
                <w:sz w:val="18"/>
                <w:lang w:val="es-ES"/>
              </w:rPr>
            </w:pPr>
            <w:r w:rsidRPr="00466B13">
              <w:rPr>
                <w:sz w:val="18"/>
                <w:szCs w:val="18"/>
                <w:lang w:val="es-ES"/>
              </w:rPr>
              <w:t>Mantenimiento</w:t>
            </w:r>
          </w:p>
        </w:tc>
        <w:tc>
          <w:tcPr>
            <w:tcW w:w="0" w:type="auto"/>
            <w:gridSpan w:val="4"/>
            <w:shd w:val="clear" w:color="auto" w:fill="auto"/>
          </w:tcPr>
          <w:p w:rsidR="00466B13" w:rsidRPr="00466B13" w:rsidRDefault="00466B13" w:rsidP="00F863FF">
            <w:pPr>
              <w:spacing w:after="60"/>
              <w:jc w:val="center"/>
              <w:rPr>
                <w:sz w:val="18"/>
                <w:lang w:val="es-ES"/>
              </w:rPr>
            </w:pPr>
          </w:p>
        </w:tc>
      </w:tr>
      <w:tr w:rsidR="00466B13" w:rsidRPr="00466B13" w:rsidTr="00F863FF">
        <w:trPr>
          <w:trHeight w:val="240"/>
        </w:trPr>
        <w:tc>
          <w:tcPr>
            <w:tcW w:w="1200" w:type="dxa"/>
            <w:shd w:val="clear" w:color="auto" w:fill="auto"/>
          </w:tcPr>
          <w:p w:rsidR="00466B13" w:rsidRPr="00466B13" w:rsidRDefault="00466B13" w:rsidP="00F863FF">
            <w:pPr>
              <w:spacing w:after="60"/>
              <w:jc w:val="left"/>
              <w:rPr>
                <w:sz w:val="18"/>
                <w:lang w:val="es-ES"/>
              </w:rPr>
            </w:pPr>
            <w:r w:rsidRPr="00466B13">
              <w:rPr>
                <w:sz w:val="18"/>
                <w:szCs w:val="18"/>
                <w:lang w:val="es-ES"/>
              </w:rPr>
              <w:t>HCFC-123</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tabs>
                <w:tab w:val="left" w:pos="462"/>
              </w:tabs>
              <w:spacing w:after="60"/>
              <w:jc w:val="right"/>
              <w:rPr>
                <w:sz w:val="18"/>
                <w:lang w:val="es-ES"/>
              </w:rPr>
            </w:pPr>
            <w:r w:rsidRPr="00466B13">
              <w:rPr>
                <w:sz w:val="18"/>
                <w:szCs w:val="18"/>
                <w:lang w:val="es-ES"/>
              </w:rPr>
              <w:t>0,04</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0,04</w:t>
            </w:r>
          </w:p>
        </w:tc>
      </w:tr>
      <w:tr w:rsidR="00466B13" w:rsidRPr="00466B13" w:rsidTr="00F863FF">
        <w:trPr>
          <w:trHeight w:val="240"/>
        </w:trPr>
        <w:tc>
          <w:tcPr>
            <w:tcW w:w="1200" w:type="dxa"/>
            <w:shd w:val="clear" w:color="auto" w:fill="auto"/>
          </w:tcPr>
          <w:p w:rsidR="00466B13" w:rsidRPr="00466B13" w:rsidRDefault="00466B13" w:rsidP="00F863FF">
            <w:pPr>
              <w:spacing w:after="60"/>
              <w:jc w:val="left"/>
              <w:rPr>
                <w:sz w:val="18"/>
                <w:lang w:val="es-ES"/>
              </w:rPr>
            </w:pPr>
            <w:r w:rsidRPr="00466B13">
              <w:rPr>
                <w:sz w:val="18"/>
                <w:szCs w:val="18"/>
                <w:lang w:val="es-ES"/>
              </w:rPr>
              <w:t>HCFC-124</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r>
      <w:tr w:rsidR="00466B13" w:rsidRPr="00466B13" w:rsidTr="00F863FF">
        <w:trPr>
          <w:trHeight w:val="240"/>
        </w:trPr>
        <w:tc>
          <w:tcPr>
            <w:tcW w:w="1200" w:type="dxa"/>
            <w:shd w:val="clear" w:color="auto" w:fill="auto"/>
          </w:tcPr>
          <w:p w:rsidR="00466B13" w:rsidRPr="00466B13" w:rsidRDefault="00466B13" w:rsidP="00F863FF">
            <w:pPr>
              <w:spacing w:after="60"/>
              <w:jc w:val="left"/>
              <w:rPr>
                <w:sz w:val="18"/>
                <w:lang w:val="es-ES"/>
              </w:rPr>
            </w:pPr>
            <w:r w:rsidRPr="00466B13">
              <w:rPr>
                <w:sz w:val="18"/>
                <w:szCs w:val="18"/>
                <w:lang w:val="es-ES"/>
              </w:rPr>
              <w:t>HCFC-141b</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55,46</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55,46</w:t>
            </w:r>
          </w:p>
        </w:tc>
      </w:tr>
      <w:tr w:rsidR="00466B13" w:rsidRPr="00466B13" w:rsidTr="00F863FF">
        <w:trPr>
          <w:trHeight w:val="240"/>
        </w:trPr>
        <w:tc>
          <w:tcPr>
            <w:tcW w:w="1200" w:type="dxa"/>
            <w:shd w:val="clear" w:color="auto" w:fill="auto"/>
          </w:tcPr>
          <w:p w:rsidR="00466B13" w:rsidRPr="00466B13" w:rsidRDefault="00466B13" w:rsidP="00F863FF">
            <w:pPr>
              <w:spacing w:after="60"/>
              <w:jc w:val="left"/>
              <w:rPr>
                <w:sz w:val="18"/>
                <w:lang w:val="es-ES"/>
              </w:rPr>
            </w:pPr>
            <w:r w:rsidRPr="00466B13">
              <w:rPr>
                <w:sz w:val="18"/>
                <w:szCs w:val="18"/>
                <w:lang w:val="es-ES"/>
              </w:rPr>
              <w:t>HCFC-142b</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2,99</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2,99</w:t>
            </w:r>
          </w:p>
        </w:tc>
      </w:tr>
      <w:tr w:rsidR="00466B13" w:rsidRPr="00466B13" w:rsidTr="00F863FF">
        <w:trPr>
          <w:trHeight w:val="240"/>
        </w:trPr>
        <w:tc>
          <w:tcPr>
            <w:tcW w:w="1200" w:type="dxa"/>
            <w:shd w:val="clear" w:color="auto" w:fill="auto"/>
          </w:tcPr>
          <w:p w:rsidR="00466B13" w:rsidRPr="00466B13" w:rsidRDefault="00466B13" w:rsidP="00F863FF">
            <w:pPr>
              <w:spacing w:after="60"/>
              <w:jc w:val="left"/>
              <w:rPr>
                <w:sz w:val="18"/>
                <w:lang w:val="es-ES"/>
              </w:rPr>
            </w:pPr>
            <w:r w:rsidRPr="00466B13">
              <w:rPr>
                <w:sz w:val="18"/>
                <w:szCs w:val="18"/>
                <w:lang w:val="es-ES"/>
              </w:rPr>
              <w:t>HCFC-22</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1,69</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44,95</w:t>
            </w: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101,69</w:t>
            </w: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p>
        </w:tc>
        <w:tc>
          <w:tcPr>
            <w:tcW w:w="0" w:type="auto"/>
            <w:shd w:val="clear" w:color="auto" w:fill="auto"/>
          </w:tcPr>
          <w:p w:rsidR="00466B13" w:rsidRPr="00466B13" w:rsidRDefault="00466B13" w:rsidP="00F863FF">
            <w:pPr>
              <w:spacing w:after="60"/>
              <w:jc w:val="right"/>
              <w:rPr>
                <w:sz w:val="18"/>
                <w:lang w:val="es-ES"/>
              </w:rPr>
            </w:pPr>
            <w:r w:rsidRPr="00466B13">
              <w:rPr>
                <w:sz w:val="18"/>
                <w:szCs w:val="18"/>
                <w:lang w:val="es-ES"/>
              </w:rPr>
              <w:t>148,33</w:t>
            </w:r>
          </w:p>
        </w:tc>
      </w:tr>
    </w:tbl>
    <w:p w:rsidR="00466B13" w:rsidRPr="00466B13" w:rsidRDefault="00466B13" w:rsidP="00FE2692">
      <w:pPr>
        <w:spacing w:line="80" w:lineRule="exact"/>
        <w:jc w:val="center"/>
        <w:rPr>
          <w:sz w:val="18"/>
          <w:lang w:val="es-ES"/>
        </w:rPr>
      </w:pPr>
    </w:p>
    <w:tbl>
      <w:tblPr>
        <w:tblStyle w:val="TableGrid"/>
        <w:tblW w:w="5380" w:type="pct"/>
        <w:tblLook w:val="04A0" w:firstRow="1" w:lastRow="0" w:firstColumn="1" w:lastColumn="0" w:noHBand="0" w:noVBand="1"/>
      </w:tblPr>
      <w:tblGrid>
        <w:gridCol w:w="2514"/>
        <w:gridCol w:w="881"/>
        <w:gridCol w:w="5338"/>
        <w:gridCol w:w="1328"/>
      </w:tblGrid>
      <w:tr w:rsidR="00466B13" w:rsidRPr="00BC2314" w:rsidTr="00F863FF">
        <w:trPr>
          <w:trHeight w:val="240"/>
        </w:trPr>
        <w:tc>
          <w:tcPr>
            <w:tcW w:w="5000" w:type="pct"/>
            <w:gridSpan w:val="4"/>
            <w:shd w:val="clear" w:color="auto" w:fill="auto"/>
          </w:tcPr>
          <w:p w:rsidR="00466B13" w:rsidRPr="00466B13" w:rsidRDefault="00466B13" w:rsidP="00F863FF">
            <w:pPr>
              <w:spacing w:after="60"/>
              <w:jc w:val="left"/>
              <w:rPr>
                <w:b/>
                <w:sz w:val="18"/>
                <w:lang w:val="es-ES"/>
              </w:rPr>
            </w:pPr>
            <w:r w:rsidRPr="00466B13">
              <w:rPr>
                <w:b/>
                <w:bCs/>
                <w:sz w:val="18"/>
                <w:szCs w:val="18"/>
                <w:lang w:val="es-ES"/>
              </w:rPr>
              <w:t>IV) DATOS SOBRE EL CONSUMO (toneladas PAO)</w:t>
            </w:r>
          </w:p>
        </w:tc>
      </w:tr>
      <w:tr w:rsidR="00466B13" w:rsidRPr="00466B13" w:rsidTr="00F863FF">
        <w:trPr>
          <w:trHeight w:val="240"/>
        </w:trPr>
        <w:tc>
          <w:tcPr>
            <w:tcW w:w="1249" w:type="pct"/>
            <w:shd w:val="clear" w:color="auto" w:fill="auto"/>
          </w:tcPr>
          <w:p w:rsidR="00466B13" w:rsidRPr="00466B13" w:rsidRDefault="00466B13" w:rsidP="00F863FF">
            <w:pPr>
              <w:spacing w:after="60"/>
              <w:jc w:val="center"/>
              <w:rPr>
                <w:sz w:val="18"/>
                <w:lang w:val="es-ES"/>
              </w:rPr>
            </w:pPr>
            <w:r w:rsidRPr="00466B13">
              <w:rPr>
                <w:sz w:val="18"/>
                <w:szCs w:val="18"/>
                <w:lang w:val="es-ES"/>
              </w:rPr>
              <w:t>Nivel básico en 2009-2010:</w:t>
            </w:r>
          </w:p>
        </w:tc>
        <w:tc>
          <w:tcPr>
            <w:tcW w:w="438" w:type="pct"/>
            <w:shd w:val="clear" w:color="auto" w:fill="auto"/>
          </w:tcPr>
          <w:p w:rsidR="00466B13" w:rsidRPr="00466B13" w:rsidRDefault="00466B13" w:rsidP="00F863FF">
            <w:pPr>
              <w:spacing w:after="60"/>
              <w:jc w:val="right"/>
              <w:rPr>
                <w:sz w:val="18"/>
                <w:lang w:val="es-ES"/>
              </w:rPr>
            </w:pPr>
            <w:r w:rsidRPr="00466B13">
              <w:rPr>
                <w:sz w:val="18"/>
                <w:szCs w:val="18"/>
                <w:lang w:val="es-ES"/>
              </w:rPr>
              <w:t>248,11</w:t>
            </w:r>
          </w:p>
        </w:tc>
        <w:tc>
          <w:tcPr>
            <w:tcW w:w="2653" w:type="pct"/>
            <w:shd w:val="clear" w:color="auto" w:fill="auto"/>
          </w:tcPr>
          <w:p w:rsidR="00466B13" w:rsidRPr="00466B13" w:rsidRDefault="00466B13" w:rsidP="00F863FF">
            <w:pPr>
              <w:spacing w:after="60"/>
              <w:jc w:val="center"/>
              <w:rPr>
                <w:sz w:val="18"/>
                <w:lang w:val="es-ES"/>
              </w:rPr>
            </w:pPr>
            <w:r w:rsidRPr="00466B13">
              <w:rPr>
                <w:sz w:val="18"/>
                <w:szCs w:val="18"/>
                <w:lang w:val="es-ES"/>
              </w:rPr>
              <w:t>Punto de partida para las reducciones acumulativas sostenidas:</w:t>
            </w:r>
          </w:p>
        </w:tc>
        <w:tc>
          <w:tcPr>
            <w:tcW w:w="661" w:type="pct"/>
            <w:shd w:val="clear" w:color="auto" w:fill="auto"/>
          </w:tcPr>
          <w:p w:rsidR="00466B13" w:rsidRPr="00466B13" w:rsidRDefault="00466B13" w:rsidP="00F863FF">
            <w:pPr>
              <w:spacing w:after="60"/>
              <w:jc w:val="right"/>
              <w:rPr>
                <w:sz w:val="18"/>
                <w:lang w:val="es-ES"/>
              </w:rPr>
            </w:pPr>
            <w:r w:rsidRPr="00466B13">
              <w:rPr>
                <w:sz w:val="18"/>
                <w:szCs w:val="18"/>
                <w:lang w:val="es-ES"/>
              </w:rPr>
              <w:t>248,11</w:t>
            </w:r>
          </w:p>
        </w:tc>
      </w:tr>
      <w:tr w:rsidR="00466B13" w:rsidRPr="00BC2314" w:rsidTr="00F863FF">
        <w:trPr>
          <w:trHeight w:val="240"/>
        </w:trPr>
        <w:tc>
          <w:tcPr>
            <w:tcW w:w="5000" w:type="pct"/>
            <w:gridSpan w:val="4"/>
            <w:shd w:val="clear" w:color="auto" w:fill="auto"/>
          </w:tcPr>
          <w:p w:rsidR="00466B13" w:rsidRPr="00466B13" w:rsidRDefault="00466B13" w:rsidP="00F863FF">
            <w:pPr>
              <w:spacing w:after="60"/>
              <w:jc w:val="center"/>
              <w:rPr>
                <w:b/>
                <w:sz w:val="18"/>
                <w:lang w:val="es-ES"/>
              </w:rPr>
            </w:pPr>
            <w:r w:rsidRPr="00466B13">
              <w:rPr>
                <w:b/>
                <w:bCs/>
                <w:sz w:val="18"/>
                <w:szCs w:val="18"/>
                <w:lang w:val="es-ES"/>
              </w:rPr>
              <w:t>CONSUMO ADMISIBLE PARA LA FINANCIACIÓN (toneladas PAO)</w:t>
            </w:r>
          </w:p>
        </w:tc>
      </w:tr>
      <w:tr w:rsidR="00466B13" w:rsidRPr="00466B13" w:rsidTr="00F863FF">
        <w:trPr>
          <w:trHeight w:val="240"/>
        </w:trPr>
        <w:tc>
          <w:tcPr>
            <w:tcW w:w="1249" w:type="pct"/>
            <w:shd w:val="clear" w:color="auto" w:fill="auto"/>
          </w:tcPr>
          <w:p w:rsidR="00466B13" w:rsidRPr="00466B13" w:rsidRDefault="00466B13" w:rsidP="00F863FF">
            <w:pPr>
              <w:spacing w:after="60"/>
              <w:jc w:val="center"/>
              <w:rPr>
                <w:sz w:val="18"/>
                <w:lang w:val="es-ES"/>
              </w:rPr>
            </w:pPr>
            <w:r w:rsidRPr="00466B13">
              <w:rPr>
                <w:sz w:val="18"/>
                <w:szCs w:val="18"/>
                <w:lang w:val="es-ES"/>
              </w:rPr>
              <w:t>Ya aprobado:</w:t>
            </w:r>
          </w:p>
        </w:tc>
        <w:tc>
          <w:tcPr>
            <w:tcW w:w="438" w:type="pct"/>
            <w:shd w:val="clear" w:color="auto" w:fill="auto"/>
          </w:tcPr>
          <w:p w:rsidR="00466B13" w:rsidRPr="00466B13" w:rsidRDefault="00466B13" w:rsidP="00F863FF">
            <w:pPr>
              <w:spacing w:after="60"/>
              <w:jc w:val="right"/>
              <w:rPr>
                <w:sz w:val="18"/>
                <w:lang w:val="es-ES"/>
              </w:rPr>
            </w:pPr>
            <w:r w:rsidRPr="00466B13">
              <w:rPr>
                <w:sz w:val="18"/>
                <w:szCs w:val="18"/>
                <w:lang w:val="es-ES"/>
              </w:rPr>
              <w:t>152,08</w:t>
            </w:r>
          </w:p>
        </w:tc>
        <w:tc>
          <w:tcPr>
            <w:tcW w:w="2653" w:type="pct"/>
            <w:shd w:val="clear" w:color="auto" w:fill="auto"/>
          </w:tcPr>
          <w:p w:rsidR="00466B13" w:rsidRPr="00466B13" w:rsidRDefault="00466B13" w:rsidP="00F863FF">
            <w:pPr>
              <w:spacing w:after="60"/>
              <w:jc w:val="center"/>
              <w:rPr>
                <w:sz w:val="18"/>
                <w:lang w:val="es-ES"/>
              </w:rPr>
            </w:pPr>
            <w:r w:rsidRPr="00466B13">
              <w:rPr>
                <w:sz w:val="18"/>
                <w:szCs w:val="18"/>
                <w:lang w:val="es-ES"/>
              </w:rPr>
              <w:t>Restante</w:t>
            </w:r>
          </w:p>
        </w:tc>
        <w:tc>
          <w:tcPr>
            <w:tcW w:w="661" w:type="pct"/>
            <w:shd w:val="clear" w:color="auto" w:fill="auto"/>
          </w:tcPr>
          <w:p w:rsidR="00466B13" w:rsidRPr="00466B13" w:rsidRDefault="00466B13" w:rsidP="00F863FF">
            <w:pPr>
              <w:spacing w:after="60"/>
              <w:jc w:val="right"/>
              <w:rPr>
                <w:sz w:val="18"/>
                <w:lang w:val="es-ES"/>
              </w:rPr>
            </w:pPr>
            <w:r w:rsidRPr="00466B13">
              <w:rPr>
                <w:sz w:val="18"/>
                <w:szCs w:val="18"/>
                <w:lang w:val="es-ES"/>
              </w:rPr>
              <w:t>96,03</w:t>
            </w:r>
          </w:p>
        </w:tc>
      </w:tr>
    </w:tbl>
    <w:p w:rsidR="00466B13" w:rsidRPr="00466B13" w:rsidRDefault="00466B13" w:rsidP="00FE2692">
      <w:pPr>
        <w:spacing w:line="80" w:lineRule="exact"/>
        <w:jc w:val="center"/>
        <w:rPr>
          <w:sz w:val="18"/>
          <w:lang w:val="es-ES"/>
        </w:rPr>
      </w:pPr>
    </w:p>
    <w:tbl>
      <w:tblPr>
        <w:tblStyle w:val="TableGrid"/>
        <w:tblW w:w="5380" w:type="pct"/>
        <w:tblLook w:val="04A0" w:firstRow="1" w:lastRow="0" w:firstColumn="1" w:lastColumn="0" w:noHBand="0" w:noVBand="1"/>
      </w:tblPr>
      <w:tblGrid>
        <w:gridCol w:w="961"/>
        <w:gridCol w:w="2849"/>
        <w:gridCol w:w="2083"/>
        <w:gridCol w:w="2083"/>
        <w:gridCol w:w="2085"/>
      </w:tblGrid>
      <w:tr w:rsidR="00466B13" w:rsidRPr="00466B13" w:rsidTr="00F863FF">
        <w:trPr>
          <w:trHeight w:val="240"/>
        </w:trPr>
        <w:tc>
          <w:tcPr>
            <w:tcW w:w="1894" w:type="pct"/>
            <w:gridSpan w:val="2"/>
            <w:shd w:val="clear" w:color="auto" w:fill="auto"/>
          </w:tcPr>
          <w:p w:rsidR="00466B13" w:rsidRPr="00466B13" w:rsidRDefault="00466B13" w:rsidP="00F863FF">
            <w:pPr>
              <w:spacing w:after="60"/>
              <w:jc w:val="left"/>
              <w:rPr>
                <w:b/>
                <w:sz w:val="18"/>
                <w:lang w:val="es-ES"/>
              </w:rPr>
            </w:pPr>
            <w:r w:rsidRPr="00466B13">
              <w:rPr>
                <w:b/>
                <w:bCs/>
                <w:sz w:val="18"/>
                <w:szCs w:val="18"/>
                <w:lang w:val="es-ES"/>
              </w:rPr>
              <w:t>V) PLAN ADMINISTRATIVO</w:t>
            </w:r>
          </w:p>
        </w:tc>
        <w:tc>
          <w:tcPr>
            <w:tcW w:w="1035" w:type="pct"/>
            <w:shd w:val="clear" w:color="auto" w:fill="auto"/>
          </w:tcPr>
          <w:p w:rsidR="00466B13" w:rsidRPr="00466B13" w:rsidRDefault="00466B13" w:rsidP="00F863FF">
            <w:pPr>
              <w:spacing w:after="60"/>
              <w:jc w:val="center"/>
              <w:rPr>
                <w:b/>
                <w:sz w:val="18"/>
                <w:lang w:val="es-ES"/>
              </w:rPr>
            </w:pPr>
            <w:r w:rsidRPr="00466B13">
              <w:rPr>
                <w:b/>
                <w:bCs/>
                <w:sz w:val="18"/>
                <w:szCs w:val="18"/>
                <w:lang w:val="es-ES"/>
              </w:rPr>
              <w:t>2019</w:t>
            </w:r>
          </w:p>
        </w:tc>
        <w:tc>
          <w:tcPr>
            <w:tcW w:w="1035" w:type="pct"/>
            <w:shd w:val="clear" w:color="auto" w:fill="auto"/>
          </w:tcPr>
          <w:p w:rsidR="00466B13" w:rsidRPr="00466B13" w:rsidRDefault="00466B13" w:rsidP="00F863FF">
            <w:pPr>
              <w:spacing w:after="60"/>
              <w:jc w:val="center"/>
              <w:rPr>
                <w:b/>
                <w:sz w:val="18"/>
                <w:lang w:val="es-ES"/>
              </w:rPr>
            </w:pPr>
            <w:r w:rsidRPr="00466B13">
              <w:rPr>
                <w:b/>
                <w:bCs/>
                <w:sz w:val="18"/>
                <w:szCs w:val="18"/>
                <w:lang w:val="es-ES"/>
              </w:rPr>
              <w:t>2020</w:t>
            </w:r>
          </w:p>
        </w:tc>
        <w:tc>
          <w:tcPr>
            <w:tcW w:w="1036" w:type="pct"/>
            <w:shd w:val="clear" w:color="auto" w:fill="auto"/>
          </w:tcPr>
          <w:p w:rsidR="00466B13" w:rsidRPr="00466B13" w:rsidRDefault="00466B13" w:rsidP="00F863FF">
            <w:pPr>
              <w:spacing w:after="60"/>
              <w:jc w:val="center"/>
              <w:rPr>
                <w:b/>
                <w:sz w:val="18"/>
                <w:lang w:val="es-ES"/>
              </w:rPr>
            </w:pPr>
            <w:r w:rsidRPr="00466B13">
              <w:rPr>
                <w:b/>
                <w:bCs/>
                <w:sz w:val="18"/>
                <w:szCs w:val="18"/>
                <w:lang w:val="es-ES"/>
              </w:rPr>
              <w:t>Total</w:t>
            </w:r>
          </w:p>
        </w:tc>
      </w:tr>
      <w:tr w:rsidR="00466B13" w:rsidRPr="00466B13" w:rsidTr="00F863FF">
        <w:trPr>
          <w:trHeight w:val="240"/>
        </w:trPr>
        <w:tc>
          <w:tcPr>
            <w:tcW w:w="478" w:type="pct"/>
            <w:vMerge w:val="restart"/>
            <w:shd w:val="clear" w:color="auto" w:fill="auto"/>
          </w:tcPr>
          <w:p w:rsidR="00466B13" w:rsidRPr="00466B13" w:rsidRDefault="00466B13" w:rsidP="00F863FF">
            <w:pPr>
              <w:spacing w:after="60"/>
              <w:jc w:val="center"/>
              <w:rPr>
                <w:sz w:val="18"/>
                <w:lang w:val="es-ES"/>
              </w:rPr>
            </w:pPr>
            <w:r w:rsidRPr="00466B13">
              <w:rPr>
                <w:sz w:val="18"/>
                <w:szCs w:val="18"/>
                <w:lang w:val="es-ES"/>
              </w:rPr>
              <w:t>ONUDI</w:t>
            </w:r>
          </w:p>
        </w:tc>
        <w:tc>
          <w:tcPr>
            <w:tcW w:w="1416" w:type="pct"/>
            <w:shd w:val="clear" w:color="auto" w:fill="auto"/>
          </w:tcPr>
          <w:p w:rsidR="00466B13" w:rsidRPr="00466B13" w:rsidRDefault="003117FC" w:rsidP="00F863FF">
            <w:pPr>
              <w:spacing w:after="60"/>
              <w:jc w:val="left"/>
              <w:rPr>
                <w:sz w:val="18"/>
                <w:lang w:val="es-ES"/>
              </w:rPr>
            </w:pPr>
            <w:r>
              <w:rPr>
                <w:sz w:val="18"/>
                <w:szCs w:val="18"/>
                <w:lang w:val="es-ES"/>
              </w:rPr>
              <w:t>Eliminación</w:t>
            </w:r>
            <w:r w:rsidR="00466B13" w:rsidRPr="00466B13">
              <w:rPr>
                <w:sz w:val="18"/>
                <w:szCs w:val="18"/>
                <w:lang w:val="es-ES"/>
              </w:rPr>
              <w:t xml:space="preserve"> de SAO (toneladas PAO)</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27,35</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6,17</w:t>
            </w:r>
          </w:p>
        </w:tc>
        <w:tc>
          <w:tcPr>
            <w:tcW w:w="1036" w:type="pct"/>
            <w:shd w:val="clear" w:color="auto" w:fill="auto"/>
          </w:tcPr>
          <w:p w:rsidR="00466B13" w:rsidRPr="00466B13" w:rsidRDefault="00466B13" w:rsidP="00F863FF">
            <w:pPr>
              <w:spacing w:after="60"/>
              <w:jc w:val="right"/>
              <w:rPr>
                <w:sz w:val="18"/>
                <w:lang w:val="es-ES"/>
              </w:rPr>
            </w:pPr>
            <w:r w:rsidRPr="00466B13">
              <w:rPr>
                <w:sz w:val="18"/>
                <w:szCs w:val="18"/>
                <w:lang w:val="es-ES"/>
              </w:rPr>
              <w:t>33,52</w:t>
            </w:r>
          </w:p>
        </w:tc>
      </w:tr>
      <w:tr w:rsidR="00466B13" w:rsidRPr="00466B13" w:rsidTr="00F863FF">
        <w:trPr>
          <w:trHeight w:val="240"/>
        </w:trPr>
        <w:tc>
          <w:tcPr>
            <w:tcW w:w="478" w:type="pct"/>
            <w:vMerge/>
            <w:shd w:val="clear" w:color="auto" w:fill="auto"/>
          </w:tcPr>
          <w:p w:rsidR="00466B13" w:rsidRPr="00466B13" w:rsidRDefault="00466B13" w:rsidP="00F863FF">
            <w:pPr>
              <w:spacing w:after="60"/>
              <w:jc w:val="center"/>
              <w:rPr>
                <w:sz w:val="18"/>
                <w:lang w:val="es-ES"/>
              </w:rPr>
            </w:pPr>
          </w:p>
        </w:tc>
        <w:tc>
          <w:tcPr>
            <w:tcW w:w="1416" w:type="pct"/>
            <w:shd w:val="clear" w:color="auto" w:fill="auto"/>
          </w:tcPr>
          <w:p w:rsidR="00466B13" w:rsidRPr="00466B13" w:rsidRDefault="003117FC" w:rsidP="00F863FF">
            <w:pPr>
              <w:spacing w:after="60"/>
              <w:jc w:val="left"/>
              <w:rPr>
                <w:sz w:val="18"/>
                <w:lang w:val="es-ES"/>
              </w:rPr>
            </w:pPr>
            <w:r>
              <w:rPr>
                <w:sz w:val="18"/>
                <w:szCs w:val="18"/>
                <w:lang w:val="es-ES"/>
              </w:rPr>
              <w:t>Financiación</w:t>
            </w:r>
            <w:r w:rsidR="00466B13" w:rsidRPr="00466B13">
              <w:rPr>
                <w:sz w:val="18"/>
                <w:szCs w:val="18"/>
                <w:lang w:val="es-ES"/>
              </w:rPr>
              <w:t xml:space="preserve"> ($ EUA)</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2 118 442</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477 990</w:t>
            </w:r>
          </w:p>
        </w:tc>
        <w:tc>
          <w:tcPr>
            <w:tcW w:w="1036" w:type="pct"/>
            <w:shd w:val="clear" w:color="auto" w:fill="auto"/>
          </w:tcPr>
          <w:p w:rsidR="00466B13" w:rsidRPr="00466B13" w:rsidRDefault="00466B13" w:rsidP="00F863FF">
            <w:pPr>
              <w:spacing w:after="60"/>
              <w:jc w:val="right"/>
              <w:rPr>
                <w:sz w:val="18"/>
                <w:lang w:val="es-ES"/>
              </w:rPr>
            </w:pPr>
            <w:r w:rsidRPr="00466B13">
              <w:rPr>
                <w:sz w:val="18"/>
                <w:szCs w:val="18"/>
                <w:lang w:val="es-ES"/>
              </w:rPr>
              <w:t>2 596 432</w:t>
            </w:r>
          </w:p>
        </w:tc>
      </w:tr>
      <w:tr w:rsidR="00466B13" w:rsidRPr="00466B13" w:rsidTr="00F863FF">
        <w:trPr>
          <w:trHeight w:val="240"/>
        </w:trPr>
        <w:tc>
          <w:tcPr>
            <w:tcW w:w="478" w:type="pct"/>
            <w:vMerge w:val="restart"/>
            <w:shd w:val="clear" w:color="auto" w:fill="auto"/>
          </w:tcPr>
          <w:p w:rsidR="00466B13" w:rsidRPr="00466B13" w:rsidRDefault="00466B13" w:rsidP="00F863FF">
            <w:pPr>
              <w:spacing w:after="60"/>
              <w:jc w:val="center"/>
              <w:rPr>
                <w:sz w:val="18"/>
                <w:lang w:val="es-ES"/>
              </w:rPr>
            </w:pPr>
            <w:r w:rsidRPr="00466B13">
              <w:rPr>
                <w:sz w:val="18"/>
                <w:szCs w:val="18"/>
                <w:lang w:val="es-ES"/>
              </w:rPr>
              <w:t>PNUMA</w:t>
            </w:r>
          </w:p>
        </w:tc>
        <w:tc>
          <w:tcPr>
            <w:tcW w:w="1416" w:type="pct"/>
            <w:shd w:val="clear" w:color="auto" w:fill="auto"/>
          </w:tcPr>
          <w:p w:rsidR="00466B13" w:rsidRPr="00466B13" w:rsidRDefault="003117FC" w:rsidP="00F863FF">
            <w:pPr>
              <w:spacing w:after="60"/>
              <w:jc w:val="left"/>
              <w:rPr>
                <w:sz w:val="18"/>
                <w:lang w:val="es-ES"/>
              </w:rPr>
            </w:pPr>
            <w:r>
              <w:rPr>
                <w:sz w:val="18"/>
                <w:szCs w:val="18"/>
                <w:lang w:val="es-ES"/>
              </w:rPr>
              <w:t>Eliminación</w:t>
            </w:r>
            <w:r w:rsidR="00466B13" w:rsidRPr="00466B13">
              <w:rPr>
                <w:sz w:val="18"/>
                <w:szCs w:val="18"/>
                <w:lang w:val="es-ES"/>
              </w:rPr>
              <w:t xml:space="preserve"> de SAO (toneladas PAO)</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2,76</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1,42</w:t>
            </w:r>
          </w:p>
        </w:tc>
        <w:tc>
          <w:tcPr>
            <w:tcW w:w="1036" w:type="pct"/>
            <w:shd w:val="clear" w:color="auto" w:fill="auto"/>
          </w:tcPr>
          <w:p w:rsidR="00466B13" w:rsidRPr="00466B13" w:rsidRDefault="00466B13" w:rsidP="00F863FF">
            <w:pPr>
              <w:spacing w:after="60"/>
              <w:jc w:val="right"/>
              <w:rPr>
                <w:sz w:val="18"/>
                <w:lang w:val="es-ES"/>
              </w:rPr>
            </w:pPr>
            <w:r w:rsidRPr="00466B13">
              <w:rPr>
                <w:sz w:val="18"/>
                <w:szCs w:val="18"/>
                <w:lang w:val="es-ES"/>
              </w:rPr>
              <w:t>4,18</w:t>
            </w:r>
          </w:p>
        </w:tc>
      </w:tr>
      <w:tr w:rsidR="00466B13" w:rsidRPr="00466B13" w:rsidTr="00F863FF">
        <w:trPr>
          <w:trHeight w:val="240"/>
        </w:trPr>
        <w:tc>
          <w:tcPr>
            <w:tcW w:w="478" w:type="pct"/>
            <w:vMerge/>
            <w:shd w:val="clear" w:color="auto" w:fill="auto"/>
          </w:tcPr>
          <w:p w:rsidR="00466B13" w:rsidRPr="00466B13" w:rsidRDefault="00466B13" w:rsidP="00F863FF">
            <w:pPr>
              <w:spacing w:after="60"/>
              <w:jc w:val="center"/>
              <w:rPr>
                <w:sz w:val="18"/>
                <w:lang w:val="es-ES"/>
              </w:rPr>
            </w:pPr>
          </w:p>
        </w:tc>
        <w:tc>
          <w:tcPr>
            <w:tcW w:w="1416" w:type="pct"/>
            <w:shd w:val="clear" w:color="auto" w:fill="auto"/>
          </w:tcPr>
          <w:p w:rsidR="00466B13" w:rsidRPr="00466B13" w:rsidRDefault="003117FC" w:rsidP="00F863FF">
            <w:pPr>
              <w:spacing w:after="60"/>
              <w:jc w:val="left"/>
              <w:rPr>
                <w:sz w:val="18"/>
                <w:lang w:val="es-ES"/>
              </w:rPr>
            </w:pPr>
            <w:r>
              <w:rPr>
                <w:sz w:val="18"/>
                <w:szCs w:val="18"/>
                <w:lang w:val="es-ES"/>
              </w:rPr>
              <w:t>Financiación</w:t>
            </w:r>
            <w:r w:rsidR="00466B13" w:rsidRPr="00466B13">
              <w:rPr>
                <w:sz w:val="18"/>
                <w:szCs w:val="18"/>
                <w:lang w:val="es-ES"/>
              </w:rPr>
              <w:t xml:space="preserve"> ($ EUA)</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225 976</w:t>
            </w:r>
          </w:p>
        </w:tc>
        <w:tc>
          <w:tcPr>
            <w:tcW w:w="1035" w:type="pct"/>
            <w:shd w:val="clear" w:color="auto" w:fill="auto"/>
          </w:tcPr>
          <w:p w:rsidR="00466B13" w:rsidRPr="00466B13" w:rsidRDefault="00466B13" w:rsidP="00F863FF">
            <w:pPr>
              <w:spacing w:after="60"/>
              <w:jc w:val="right"/>
              <w:rPr>
                <w:sz w:val="18"/>
                <w:lang w:val="es-ES"/>
              </w:rPr>
            </w:pPr>
            <w:r w:rsidRPr="00466B13">
              <w:rPr>
                <w:sz w:val="18"/>
                <w:szCs w:val="18"/>
                <w:lang w:val="es-ES"/>
              </w:rPr>
              <w:t>116 378</w:t>
            </w:r>
          </w:p>
        </w:tc>
        <w:tc>
          <w:tcPr>
            <w:tcW w:w="1036" w:type="pct"/>
            <w:shd w:val="clear" w:color="auto" w:fill="auto"/>
          </w:tcPr>
          <w:p w:rsidR="00466B13" w:rsidRPr="00466B13" w:rsidRDefault="00466B13" w:rsidP="00F863FF">
            <w:pPr>
              <w:spacing w:after="60"/>
              <w:jc w:val="right"/>
              <w:rPr>
                <w:sz w:val="18"/>
                <w:lang w:val="es-ES"/>
              </w:rPr>
            </w:pPr>
            <w:r w:rsidRPr="00466B13">
              <w:rPr>
                <w:sz w:val="18"/>
                <w:szCs w:val="18"/>
                <w:lang w:val="es-ES"/>
              </w:rPr>
              <w:t>342 354</w:t>
            </w:r>
          </w:p>
        </w:tc>
      </w:tr>
    </w:tbl>
    <w:p w:rsidR="00466B13" w:rsidRPr="00466B13" w:rsidRDefault="00466B13" w:rsidP="00466B13">
      <w:pPr>
        <w:spacing w:after="60"/>
        <w:jc w:val="center"/>
        <w:rPr>
          <w:sz w:val="18"/>
          <w:lang w:val="es-ES"/>
        </w:rPr>
      </w:pPr>
    </w:p>
    <w:tbl>
      <w:tblPr>
        <w:tblStyle w:val="TableGrid"/>
        <w:tblW w:w="5535" w:type="pct"/>
        <w:tblInd w:w="-289" w:type="dxa"/>
        <w:tblLook w:val="04A0" w:firstRow="1" w:lastRow="0" w:firstColumn="1" w:lastColumn="0" w:noHBand="0" w:noVBand="1"/>
      </w:tblPr>
      <w:tblGrid>
        <w:gridCol w:w="1434"/>
        <w:gridCol w:w="953"/>
        <w:gridCol w:w="1259"/>
        <w:gridCol w:w="1118"/>
        <w:gridCol w:w="1118"/>
        <w:gridCol w:w="1118"/>
        <w:gridCol w:w="1118"/>
        <w:gridCol w:w="1118"/>
        <w:gridCol w:w="1114"/>
      </w:tblGrid>
      <w:tr w:rsidR="00466B13" w:rsidRPr="00466B13" w:rsidTr="00FE2692">
        <w:tc>
          <w:tcPr>
            <w:tcW w:w="1762" w:type="pct"/>
            <w:gridSpan w:val="3"/>
            <w:shd w:val="clear" w:color="auto" w:fill="auto"/>
          </w:tcPr>
          <w:p w:rsidR="00466B13" w:rsidRPr="00466B13" w:rsidRDefault="00466B13" w:rsidP="00F863FF">
            <w:pPr>
              <w:jc w:val="left"/>
              <w:rPr>
                <w:b/>
                <w:sz w:val="18"/>
                <w:lang w:val="es-ES"/>
              </w:rPr>
            </w:pPr>
            <w:r w:rsidRPr="00466B13">
              <w:rPr>
                <w:b/>
                <w:bCs/>
                <w:sz w:val="18"/>
                <w:szCs w:val="18"/>
                <w:lang w:val="es-ES"/>
              </w:rPr>
              <w:t>VI) DATOS DEL PROYECTO</w:t>
            </w:r>
          </w:p>
        </w:tc>
        <w:tc>
          <w:tcPr>
            <w:tcW w:w="540" w:type="pct"/>
            <w:shd w:val="clear" w:color="auto" w:fill="auto"/>
          </w:tcPr>
          <w:p w:rsidR="00466B13" w:rsidRPr="00466B13" w:rsidRDefault="00466B13" w:rsidP="00F863FF">
            <w:pPr>
              <w:jc w:val="center"/>
              <w:rPr>
                <w:b/>
                <w:sz w:val="18"/>
                <w:lang w:val="es-ES"/>
              </w:rPr>
            </w:pPr>
            <w:r w:rsidRPr="00466B13">
              <w:rPr>
                <w:b/>
                <w:bCs/>
                <w:sz w:val="18"/>
                <w:szCs w:val="18"/>
                <w:lang w:val="es-ES"/>
              </w:rPr>
              <w:t>2016</w:t>
            </w:r>
          </w:p>
        </w:tc>
        <w:tc>
          <w:tcPr>
            <w:tcW w:w="540" w:type="pct"/>
            <w:shd w:val="clear" w:color="auto" w:fill="auto"/>
          </w:tcPr>
          <w:p w:rsidR="00466B13" w:rsidRPr="00466B13" w:rsidRDefault="00466B13" w:rsidP="00F863FF">
            <w:pPr>
              <w:jc w:val="center"/>
              <w:rPr>
                <w:b/>
                <w:sz w:val="18"/>
                <w:lang w:val="es-ES"/>
              </w:rPr>
            </w:pPr>
            <w:r w:rsidRPr="00466B13">
              <w:rPr>
                <w:b/>
                <w:bCs/>
                <w:sz w:val="18"/>
                <w:szCs w:val="18"/>
                <w:lang w:val="es-ES"/>
              </w:rPr>
              <w:t>2017</w:t>
            </w:r>
          </w:p>
        </w:tc>
        <w:tc>
          <w:tcPr>
            <w:tcW w:w="540" w:type="pct"/>
            <w:shd w:val="clear" w:color="auto" w:fill="auto"/>
          </w:tcPr>
          <w:p w:rsidR="00466B13" w:rsidRPr="00466B13" w:rsidRDefault="00466B13" w:rsidP="00F863FF">
            <w:pPr>
              <w:jc w:val="center"/>
              <w:rPr>
                <w:b/>
                <w:sz w:val="18"/>
                <w:lang w:val="es-ES"/>
              </w:rPr>
            </w:pPr>
            <w:r w:rsidRPr="00466B13">
              <w:rPr>
                <w:b/>
                <w:bCs/>
                <w:sz w:val="18"/>
                <w:szCs w:val="18"/>
                <w:lang w:val="es-ES"/>
              </w:rPr>
              <w:t>2018*</w:t>
            </w:r>
          </w:p>
        </w:tc>
        <w:tc>
          <w:tcPr>
            <w:tcW w:w="540" w:type="pct"/>
            <w:shd w:val="clear" w:color="auto" w:fill="auto"/>
          </w:tcPr>
          <w:p w:rsidR="00466B13" w:rsidRPr="00466B13" w:rsidRDefault="00466B13" w:rsidP="00F863FF">
            <w:pPr>
              <w:jc w:val="center"/>
              <w:rPr>
                <w:b/>
                <w:sz w:val="18"/>
                <w:lang w:val="es-ES"/>
              </w:rPr>
            </w:pPr>
            <w:r w:rsidRPr="00466B13">
              <w:rPr>
                <w:b/>
                <w:bCs/>
                <w:sz w:val="18"/>
                <w:szCs w:val="18"/>
                <w:lang w:val="es-ES"/>
              </w:rPr>
              <w:t>2019</w:t>
            </w:r>
          </w:p>
        </w:tc>
        <w:tc>
          <w:tcPr>
            <w:tcW w:w="540" w:type="pct"/>
            <w:shd w:val="clear" w:color="auto" w:fill="auto"/>
          </w:tcPr>
          <w:p w:rsidR="00466B13" w:rsidRPr="00466B13" w:rsidRDefault="00466B13" w:rsidP="00F863FF">
            <w:pPr>
              <w:jc w:val="center"/>
              <w:rPr>
                <w:b/>
                <w:sz w:val="18"/>
                <w:lang w:val="es-ES"/>
              </w:rPr>
            </w:pPr>
            <w:r w:rsidRPr="00466B13">
              <w:rPr>
                <w:b/>
                <w:bCs/>
                <w:sz w:val="18"/>
                <w:szCs w:val="18"/>
                <w:lang w:val="es-ES"/>
              </w:rPr>
              <w:t>2020</w:t>
            </w:r>
          </w:p>
        </w:tc>
        <w:tc>
          <w:tcPr>
            <w:tcW w:w="539" w:type="pct"/>
            <w:shd w:val="clear" w:color="auto" w:fill="auto"/>
          </w:tcPr>
          <w:p w:rsidR="00466B13" w:rsidRPr="00466B13" w:rsidRDefault="00466B13" w:rsidP="00F863FF">
            <w:pPr>
              <w:jc w:val="center"/>
              <w:rPr>
                <w:b/>
                <w:sz w:val="18"/>
                <w:lang w:val="es-ES"/>
              </w:rPr>
            </w:pPr>
            <w:r w:rsidRPr="00466B13">
              <w:rPr>
                <w:b/>
                <w:bCs/>
                <w:sz w:val="18"/>
                <w:szCs w:val="18"/>
                <w:lang w:val="es-ES"/>
              </w:rPr>
              <w:t>Total</w:t>
            </w:r>
          </w:p>
        </w:tc>
      </w:tr>
      <w:tr w:rsidR="00466B13" w:rsidRPr="00466B13" w:rsidTr="00FE2692">
        <w:tc>
          <w:tcPr>
            <w:tcW w:w="1762" w:type="pct"/>
            <w:gridSpan w:val="3"/>
            <w:shd w:val="clear" w:color="auto" w:fill="auto"/>
          </w:tcPr>
          <w:p w:rsidR="00466B13" w:rsidRPr="00466B13" w:rsidRDefault="003117FC" w:rsidP="00F863FF">
            <w:pPr>
              <w:jc w:val="left"/>
              <w:rPr>
                <w:sz w:val="18"/>
                <w:lang w:val="es-ES"/>
              </w:rPr>
            </w:pPr>
            <w:r>
              <w:rPr>
                <w:sz w:val="18"/>
                <w:szCs w:val="18"/>
                <w:lang w:val="es-ES"/>
              </w:rPr>
              <w:t>Límites</w:t>
            </w:r>
            <w:r w:rsidR="00466B13" w:rsidRPr="00466B13">
              <w:rPr>
                <w:sz w:val="18"/>
                <w:szCs w:val="18"/>
                <w:lang w:val="es-ES"/>
              </w:rPr>
              <w:t xml:space="preserve"> del consumo establecidos en el Protocolo de Montreal (estimación)</w:t>
            </w:r>
          </w:p>
        </w:tc>
        <w:tc>
          <w:tcPr>
            <w:tcW w:w="540" w:type="pct"/>
            <w:shd w:val="clear" w:color="auto" w:fill="auto"/>
          </w:tcPr>
          <w:p w:rsidR="00466B13" w:rsidRPr="00466B13" w:rsidRDefault="00466B13" w:rsidP="00F863FF">
            <w:pPr>
              <w:jc w:val="right"/>
              <w:rPr>
                <w:color w:val="000000"/>
                <w:sz w:val="18"/>
                <w:szCs w:val="20"/>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color w:val="000000"/>
                <w:sz w:val="18"/>
                <w:szCs w:val="20"/>
                <w:lang w:val="es-ES"/>
              </w:rPr>
            </w:pPr>
            <w:r w:rsidRPr="00466B13">
              <w:rPr>
                <w:color w:val="000000"/>
                <w:sz w:val="18"/>
                <w:szCs w:val="18"/>
                <w:lang w:val="es-ES"/>
              </w:rPr>
              <w:t>161,27</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n/a</w:t>
            </w:r>
          </w:p>
        </w:tc>
      </w:tr>
      <w:tr w:rsidR="00466B13" w:rsidRPr="00466B13" w:rsidTr="00FE2692">
        <w:tc>
          <w:tcPr>
            <w:tcW w:w="1762" w:type="pct"/>
            <w:gridSpan w:val="3"/>
            <w:shd w:val="clear" w:color="auto" w:fill="auto"/>
          </w:tcPr>
          <w:p w:rsidR="00466B13" w:rsidRPr="00466B13" w:rsidRDefault="00466B13" w:rsidP="00F863FF">
            <w:pPr>
              <w:jc w:val="left"/>
              <w:rPr>
                <w:sz w:val="18"/>
                <w:lang w:val="es-ES"/>
              </w:rPr>
            </w:pPr>
            <w:r w:rsidRPr="00466B13">
              <w:rPr>
                <w:sz w:val="18"/>
                <w:szCs w:val="18"/>
                <w:lang w:val="es-ES"/>
              </w:rPr>
              <w:t xml:space="preserve">Consumo </w:t>
            </w:r>
            <w:r w:rsidR="003117FC">
              <w:rPr>
                <w:sz w:val="18"/>
                <w:szCs w:val="18"/>
                <w:lang w:val="es-ES"/>
              </w:rPr>
              <w:t>máximo</w:t>
            </w:r>
            <w:r w:rsidRPr="00466B13">
              <w:rPr>
                <w:sz w:val="18"/>
                <w:szCs w:val="18"/>
                <w:lang w:val="es-ES"/>
              </w:rPr>
              <w:t xml:space="preserve"> permitido (toneladas PAO)</w:t>
            </w:r>
          </w:p>
        </w:tc>
        <w:tc>
          <w:tcPr>
            <w:tcW w:w="540" w:type="pct"/>
            <w:shd w:val="clear" w:color="auto" w:fill="auto"/>
          </w:tcPr>
          <w:p w:rsidR="00466B13" w:rsidRPr="00466B13" w:rsidRDefault="00466B13" w:rsidP="00F863FF">
            <w:pPr>
              <w:jc w:val="right"/>
              <w:rPr>
                <w:color w:val="000000"/>
                <w:sz w:val="18"/>
                <w:szCs w:val="20"/>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sz w:val="18"/>
                <w:lang w:val="es-ES"/>
              </w:rPr>
            </w:pPr>
            <w:r w:rsidRPr="00466B13">
              <w:rPr>
                <w:color w:val="000000"/>
                <w:sz w:val="18"/>
                <w:szCs w:val="18"/>
                <w:lang w:val="es-ES"/>
              </w:rPr>
              <w:t>223,30</w:t>
            </w:r>
          </w:p>
        </w:tc>
        <w:tc>
          <w:tcPr>
            <w:tcW w:w="540" w:type="pct"/>
            <w:shd w:val="clear" w:color="auto" w:fill="auto"/>
          </w:tcPr>
          <w:p w:rsidR="00466B13" w:rsidRPr="00466B13" w:rsidRDefault="00466B13" w:rsidP="00F863FF">
            <w:pPr>
              <w:jc w:val="right"/>
              <w:rPr>
                <w:color w:val="000000"/>
                <w:sz w:val="18"/>
                <w:szCs w:val="20"/>
                <w:lang w:val="es-ES"/>
              </w:rPr>
            </w:pPr>
            <w:r w:rsidRPr="00466B13">
              <w:rPr>
                <w:color w:val="000000"/>
                <w:sz w:val="18"/>
                <w:szCs w:val="18"/>
                <w:lang w:val="es-ES"/>
              </w:rPr>
              <w:t>124,06</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n/a</w:t>
            </w:r>
          </w:p>
        </w:tc>
      </w:tr>
      <w:tr w:rsidR="003117FC" w:rsidRPr="00466B13" w:rsidTr="00FE2692">
        <w:tc>
          <w:tcPr>
            <w:tcW w:w="693" w:type="pct"/>
            <w:vMerge w:val="restart"/>
            <w:shd w:val="clear" w:color="auto" w:fill="auto"/>
          </w:tcPr>
          <w:p w:rsidR="00466B13" w:rsidRPr="00466B13" w:rsidRDefault="003117FC" w:rsidP="00F863FF">
            <w:pPr>
              <w:jc w:val="left"/>
              <w:rPr>
                <w:sz w:val="18"/>
                <w:lang w:val="es-ES"/>
              </w:rPr>
            </w:pPr>
            <w:r>
              <w:rPr>
                <w:sz w:val="18"/>
                <w:szCs w:val="18"/>
                <w:lang w:val="es-ES"/>
              </w:rPr>
              <w:t>Financiación</w:t>
            </w:r>
            <w:r w:rsidR="00466B13" w:rsidRPr="00466B13">
              <w:rPr>
                <w:sz w:val="18"/>
                <w:szCs w:val="18"/>
                <w:lang w:val="es-ES"/>
              </w:rPr>
              <w:t xml:space="preserve"> acordada ($ EUA)</w:t>
            </w:r>
          </w:p>
        </w:tc>
        <w:tc>
          <w:tcPr>
            <w:tcW w:w="461" w:type="pct"/>
            <w:vMerge w:val="restart"/>
            <w:shd w:val="clear" w:color="auto" w:fill="auto"/>
          </w:tcPr>
          <w:p w:rsidR="00466B13" w:rsidRPr="00466B13" w:rsidRDefault="00466B13" w:rsidP="00F863FF">
            <w:pPr>
              <w:jc w:val="center"/>
              <w:rPr>
                <w:sz w:val="18"/>
                <w:lang w:val="es-ES"/>
              </w:rPr>
            </w:pPr>
            <w:r w:rsidRPr="00466B13">
              <w:rPr>
                <w:sz w:val="18"/>
                <w:szCs w:val="18"/>
                <w:lang w:val="es-ES"/>
              </w:rPr>
              <w:t>PNUMA</w:t>
            </w: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Costos del proyecto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200 000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200 000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103 000</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503 000</w:t>
            </w:r>
          </w:p>
        </w:tc>
      </w:tr>
      <w:tr w:rsidR="003117FC" w:rsidRPr="00466B13" w:rsidTr="00FE2692">
        <w:tc>
          <w:tcPr>
            <w:tcW w:w="693" w:type="pct"/>
            <w:vMerge/>
            <w:shd w:val="clear" w:color="auto" w:fill="auto"/>
          </w:tcPr>
          <w:p w:rsidR="00466B13" w:rsidRPr="00466B13" w:rsidRDefault="00466B13" w:rsidP="00F863FF">
            <w:pPr>
              <w:jc w:val="center"/>
              <w:rPr>
                <w:sz w:val="18"/>
                <w:lang w:val="es-ES"/>
              </w:rPr>
            </w:pPr>
          </w:p>
        </w:tc>
        <w:tc>
          <w:tcPr>
            <w:tcW w:w="461" w:type="pct"/>
            <w:vMerge/>
            <w:shd w:val="clear" w:color="auto" w:fill="auto"/>
          </w:tcPr>
          <w:p w:rsidR="00466B13" w:rsidRPr="00466B13" w:rsidRDefault="00466B13" w:rsidP="00F863FF">
            <w:pPr>
              <w:jc w:val="center"/>
              <w:rPr>
                <w:sz w:val="18"/>
                <w:lang w:val="es-ES"/>
              </w:rPr>
            </w:pP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Gastos de apoyo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25 976</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25 976</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13 378</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65 330</w:t>
            </w:r>
          </w:p>
        </w:tc>
      </w:tr>
      <w:tr w:rsidR="003117FC" w:rsidRPr="00466B13" w:rsidTr="00FE2692">
        <w:tc>
          <w:tcPr>
            <w:tcW w:w="693" w:type="pct"/>
            <w:vMerge/>
            <w:shd w:val="clear" w:color="auto" w:fill="auto"/>
          </w:tcPr>
          <w:p w:rsidR="00466B13" w:rsidRPr="00466B13" w:rsidRDefault="00466B13" w:rsidP="00F863FF">
            <w:pPr>
              <w:jc w:val="center"/>
              <w:rPr>
                <w:sz w:val="18"/>
                <w:lang w:val="es-ES"/>
              </w:rPr>
            </w:pPr>
          </w:p>
        </w:tc>
        <w:tc>
          <w:tcPr>
            <w:tcW w:w="461" w:type="pct"/>
            <w:vMerge w:val="restart"/>
            <w:shd w:val="clear" w:color="auto" w:fill="auto"/>
          </w:tcPr>
          <w:p w:rsidR="00466B13" w:rsidRPr="00466B13" w:rsidRDefault="00466B13" w:rsidP="00F863FF">
            <w:pPr>
              <w:jc w:val="center"/>
              <w:rPr>
                <w:sz w:val="18"/>
                <w:lang w:val="es-ES"/>
              </w:rPr>
            </w:pPr>
            <w:r w:rsidRPr="00466B13">
              <w:rPr>
                <w:sz w:val="18"/>
                <w:szCs w:val="18"/>
                <w:lang w:val="es-ES"/>
              </w:rPr>
              <w:t>ONUDI</w:t>
            </w: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Costos del proyecto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2 350 200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1 979 852</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446 720</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4 776 772</w:t>
            </w:r>
          </w:p>
        </w:tc>
      </w:tr>
      <w:tr w:rsidR="003117FC" w:rsidRPr="00466B13" w:rsidTr="00FE2692">
        <w:tc>
          <w:tcPr>
            <w:tcW w:w="693" w:type="pct"/>
            <w:vMerge/>
            <w:shd w:val="clear" w:color="auto" w:fill="auto"/>
          </w:tcPr>
          <w:p w:rsidR="00466B13" w:rsidRPr="00466B13" w:rsidRDefault="00466B13" w:rsidP="00F863FF">
            <w:pPr>
              <w:jc w:val="center"/>
              <w:rPr>
                <w:sz w:val="18"/>
                <w:lang w:val="es-ES"/>
              </w:rPr>
            </w:pPr>
          </w:p>
        </w:tc>
        <w:tc>
          <w:tcPr>
            <w:tcW w:w="461" w:type="pct"/>
            <w:vMerge/>
            <w:shd w:val="clear" w:color="auto" w:fill="auto"/>
          </w:tcPr>
          <w:p w:rsidR="00466B13" w:rsidRPr="00466B13" w:rsidRDefault="00466B13" w:rsidP="00F863FF">
            <w:pPr>
              <w:jc w:val="center"/>
              <w:rPr>
                <w:sz w:val="18"/>
                <w:lang w:val="es-ES"/>
              </w:rPr>
            </w:pP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Gastos de apoyo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164 514</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138 590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31 270</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334 374</w:t>
            </w:r>
          </w:p>
        </w:tc>
      </w:tr>
      <w:tr w:rsidR="00466B13" w:rsidRPr="00466B13" w:rsidTr="00FE2692">
        <w:tc>
          <w:tcPr>
            <w:tcW w:w="1154" w:type="pct"/>
            <w:gridSpan w:val="2"/>
            <w:vMerge w:val="restart"/>
            <w:shd w:val="clear" w:color="auto" w:fill="auto"/>
          </w:tcPr>
          <w:p w:rsidR="00466B13" w:rsidRPr="00466B13" w:rsidRDefault="00466B13" w:rsidP="00F863FF">
            <w:pPr>
              <w:jc w:val="left"/>
              <w:rPr>
                <w:sz w:val="18"/>
                <w:lang w:val="es-ES"/>
              </w:rPr>
            </w:pPr>
            <w:r w:rsidRPr="00466B13">
              <w:rPr>
                <w:sz w:val="18"/>
                <w:szCs w:val="18"/>
                <w:lang w:val="es-ES"/>
              </w:rPr>
              <w:t xml:space="preserve">Fondos aprobados por el </w:t>
            </w:r>
            <w:r w:rsidR="00D926B5">
              <w:rPr>
                <w:sz w:val="18"/>
                <w:szCs w:val="18"/>
                <w:lang w:val="es-ES"/>
              </w:rPr>
              <w:t>Comité</w:t>
            </w:r>
            <w:r w:rsidRPr="00466B13">
              <w:rPr>
                <w:sz w:val="18"/>
                <w:szCs w:val="18"/>
                <w:lang w:val="es-ES"/>
              </w:rPr>
              <w:t xml:space="preserve"> Ejecutivo ($ EUA)</w:t>
            </w: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Costos del proyecto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2 550 200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2 550 200</w:t>
            </w:r>
          </w:p>
        </w:tc>
      </w:tr>
      <w:tr w:rsidR="00466B13" w:rsidRPr="00466B13" w:rsidTr="00FE2692">
        <w:tc>
          <w:tcPr>
            <w:tcW w:w="1154" w:type="pct"/>
            <w:gridSpan w:val="2"/>
            <w:vMerge/>
            <w:shd w:val="clear" w:color="auto" w:fill="auto"/>
          </w:tcPr>
          <w:p w:rsidR="00466B13" w:rsidRPr="00466B13" w:rsidRDefault="00466B13" w:rsidP="00F863FF">
            <w:pPr>
              <w:jc w:val="center"/>
              <w:rPr>
                <w:sz w:val="18"/>
                <w:lang w:val="es-ES"/>
              </w:rPr>
            </w:pP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Gastos de apoyo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190 490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190 490</w:t>
            </w:r>
          </w:p>
        </w:tc>
      </w:tr>
      <w:tr w:rsidR="00466B13" w:rsidRPr="00466B13" w:rsidTr="00FE2692">
        <w:tc>
          <w:tcPr>
            <w:tcW w:w="1154" w:type="pct"/>
            <w:gridSpan w:val="2"/>
            <w:vMerge w:val="restart"/>
            <w:shd w:val="clear" w:color="auto" w:fill="auto"/>
          </w:tcPr>
          <w:p w:rsidR="00466B13" w:rsidRPr="00466B13" w:rsidRDefault="00466B13" w:rsidP="00F863FF">
            <w:pPr>
              <w:jc w:val="left"/>
              <w:rPr>
                <w:sz w:val="18"/>
                <w:lang w:val="es-ES"/>
              </w:rPr>
            </w:pPr>
            <w:r w:rsidRPr="00466B13">
              <w:rPr>
                <w:sz w:val="18"/>
                <w:szCs w:val="18"/>
                <w:lang w:val="es-ES"/>
              </w:rPr>
              <w:t xml:space="preserve">Total de fondos solicitados para su </w:t>
            </w:r>
            <w:r w:rsidR="00D926B5">
              <w:rPr>
                <w:sz w:val="18"/>
                <w:szCs w:val="18"/>
                <w:lang w:val="es-ES"/>
              </w:rPr>
              <w:t>aprobación</w:t>
            </w:r>
            <w:r w:rsidRPr="00466B13">
              <w:rPr>
                <w:sz w:val="18"/>
                <w:szCs w:val="18"/>
                <w:lang w:val="es-ES"/>
              </w:rPr>
              <w:t xml:space="preserve"> en la </w:t>
            </w:r>
            <w:r w:rsidR="00D926B5">
              <w:rPr>
                <w:sz w:val="18"/>
                <w:szCs w:val="18"/>
                <w:lang w:val="es-ES"/>
              </w:rPr>
              <w:t>reunión</w:t>
            </w:r>
            <w:r w:rsidRPr="00466B13">
              <w:rPr>
                <w:sz w:val="18"/>
                <w:szCs w:val="18"/>
                <w:lang w:val="es-ES"/>
              </w:rPr>
              <w:t xml:space="preserve"> en curso ($ EUA)</w:t>
            </w: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Costos del proyecto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2 179 852*</w:t>
            </w:r>
          </w:p>
        </w:tc>
        <w:tc>
          <w:tcPr>
            <w:tcW w:w="540" w:type="pct"/>
            <w:shd w:val="clear" w:color="auto" w:fill="auto"/>
          </w:tcPr>
          <w:p w:rsidR="00466B13" w:rsidRPr="00466B13" w:rsidRDefault="00466B13" w:rsidP="00F863FF">
            <w:pPr>
              <w:jc w:val="right"/>
              <w:rPr>
                <w:sz w:val="18"/>
                <w:lang w:val="es-ES"/>
              </w:rPr>
            </w:pP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2 179 852</w:t>
            </w:r>
          </w:p>
        </w:tc>
      </w:tr>
      <w:tr w:rsidR="00466B13" w:rsidRPr="00466B13" w:rsidTr="00FE2692">
        <w:tc>
          <w:tcPr>
            <w:tcW w:w="1154" w:type="pct"/>
            <w:gridSpan w:val="2"/>
            <w:vMerge/>
            <w:shd w:val="clear" w:color="auto" w:fill="auto"/>
          </w:tcPr>
          <w:p w:rsidR="00466B13" w:rsidRPr="00466B13" w:rsidRDefault="00466B13" w:rsidP="00F863FF">
            <w:pPr>
              <w:jc w:val="center"/>
              <w:rPr>
                <w:sz w:val="18"/>
                <w:lang w:val="es-ES"/>
              </w:rPr>
            </w:pPr>
          </w:p>
        </w:tc>
        <w:tc>
          <w:tcPr>
            <w:tcW w:w="608" w:type="pct"/>
            <w:shd w:val="clear" w:color="auto" w:fill="auto"/>
          </w:tcPr>
          <w:p w:rsidR="00466B13" w:rsidRPr="00466B13" w:rsidRDefault="00466B13" w:rsidP="00F863FF">
            <w:pPr>
              <w:jc w:val="left"/>
              <w:rPr>
                <w:sz w:val="18"/>
                <w:lang w:val="es-ES"/>
              </w:rPr>
            </w:pPr>
            <w:r w:rsidRPr="00466B13">
              <w:rPr>
                <w:sz w:val="18"/>
                <w:szCs w:val="18"/>
                <w:lang w:val="es-ES"/>
              </w:rPr>
              <w:t>Gastos de apoyo</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0</w:t>
            </w:r>
          </w:p>
        </w:tc>
        <w:tc>
          <w:tcPr>
            <w:tcW w:w="540" w:type="pct"/>
            <w:shd w:val="clear" w:color="auto" w:fill="auto"/>
          </w:tcPr>
          <w:p w:rsidR="00466B13" w:rsidRPr="00466B13" w:rsidRDefault="00466B13" w:rsidP="00F863FF">
            <w:pPr>
              <w:jc w:val="right"/>
              <w:rPr>
                <w:sz w:val="18"/>
                <w:lang w:val="es-ES"/>
              </w:rPr>
            </w:pPr>
            <w:r w:rsidRPr="00466B13">
              <w:rPr>
                <w:sz w:val="18"/>
                <w:szCs w:val="18"/>
                <w:lang w:val="es-ES"/>
              </w:rPr>
              <w:t>164 566</w:t>
            </w:r>
          </w:p>
        </w:tc>
        <w:tc>
          <w:tcPr>
            <w:tcW w:w="540" w:type="pct"/>
            <w:shd w:val="clear" w:color="auto" w:fill="auto"/>
          </w:tcPr>
          <w:p w:rsidR="00466B13" w:rsidRPr="00466B13" w:rsidRDefault="00466B13" w:rsidP="00F863FF">
            <w:pPr>
              <w:jc w:val="right"/>
              <w:rPr>
                <w:sz w:val="18"/>
                <w:lang w:val="es-ES"/>
              </w:rPr>
            </w:pPr>
          </w:p>
        </w:tc>
        <w:tc>
          <w:tcPr>
            <w:tcW w:w="539" w:type="pct"/>
            <w:shd w:val="clear" w:color="auto" w:fill="auto"/>
          </w:tcPr>
          <w:p w:rsidR="00466B13" w:rsidRPr="00466B13" w:rsidRDefault="00466B13" w:rsidP="00F863FF">
            <w:pPr>
              <w:jc w:val="right"/>
              <w:rPr>
                <w:sz w:val="18"/>
                <w:lang w:val="es-ES"/>
              </w:rPr>
            </w:pPr>
            <w:r w:rsidRPr="00466B13">
              <w:rPr>
                <w:sz w:val="18"/>
                <w:szCs w:val="18"/>
                <w:lang w:val="es-ES"/>
              </w:rPr>
              <w:t>164 566</w:t>
            </w:r>
          </w:p>
        </w:tc>
      </w:tr>
    </w:tbl>
    <w:p w:rsidR="00466B13" w:rsidRPr="00466B13" w:rsidRDefault="00466B13" w:rsidP="00466B13">
      <w:pPr>
        <w:spacing w:after="60"/>
        <w:rPr>
          <w:sz w:val="18"/>
          <w:lang w:val="es-ES"/>
        </w:rPr>
      </w:pPr>
      <w:r w:rsidRPr="00466B13">
        <w:rPr>
          <w:sz w:val="18"/>
          <w:szCs w:val="18"/>
          <w:lang w:val="es-ES"/>
        </w:rPr>
        <w:t>*El segundo tramo debió presentarse en 2018.</w:t>
      </w:r>
    </w:p>
    <w:p w:rsidR="00466B13" w:rsidRPr="00466B13" w:rsidRDefault="00466B13" w:rsidP="00FE2692">
      <w:pPr>
        <w:spacing w:line="80" w:lineRule="exact"/>
        <w:jc w:val="center"/>
        <w:rPr>
          <w:sz w:val="18"/>
          <w:lang w:val="es-ES"/>
        </w:rPr>
      </w:pPr>
    </w:p>
    <w:tbl>
      <w:tblPr>
        <w:tblStyle w:val="TableGrid"/>
        <w:tblW w:w="5380" w:type="pct"/>
        <w:tblLook w:val="04A0" w:firstRow="1" w:lastRow="0" w:firstColumn="1" w:lastColumn="0" w:noHBand="0" w:noVBand="1"/>
      </w:tblPr>
      <w:tblGrid>
        <w:gridCol w:w="2805"/>
        <w:gridCol w:w="7256"/>
      </w:tblGrid>
      <w:tr w:rsidR="00466B13" w:rsidRPr="00466B13" w:rsidTr="00F863FF">
        <w:trPr>
          <w:trHeight w:val="240"/>
        </w:trPr>
        <w:tc>
          <w:tcPr>
            <w:tcW w:w="1394" w:type="pct"/>
            <w:shd w:val="clear" w:color="auto" w:fill="auto"/>
          </w:tcPr>
          <w:p w:rsidR="00466B13" w:rsidRPr="00466B13" w:rsidRDefault="00466B13" w:rsidP="00F863FF">
            <w:pPr>
              <w:spacing w:after="60"/>
              <w:jc w:val="left"/>
              <w:rPr>
                <w:b/>
                <w:sz w:val="18"/>
                <w:lang w:val="es-ES"/>
              </w:rPr>
            </w:pPr>
            <w:r w:rsidRPr="00466B13">
              <w:rPr>
                <w:b/>
                <w:bCs/>
                <w:sz w:val="18"/>
                <w:szCs w:val="18"/>
                <w:lang w:val="es-ES"/>
              </w:rPr>
              <w:t>Recomendación de la Secretaría</w:t>
            </w:r>
          </w:p>
        </w:tc>
        <w:tc>
          <w:tcPr>
            <w:tcW w:w="3606" w:type="pct"/>
            <w:shd w:val="clear" w:color="auto" w:fill="auto"/>
          </w:tcPr>
          <w:p w:rsidR="00466B13" w:rsidRPr="00466B13" w:rsidRDefault="00466B13" w:rsidP="00F863FF">
            <w:pPr>
              <w:spacing w:after="60"/>
              <w:jc w:val="center"/>
              <w:rPr>
                <w:sz w:val="18"/>
                <w:lang w:val="es-ES"/>
              </w:rPr>
            </w:pPr>
            <w:r w:rsidRPr="00466B13">
              <w:rPr>
                <w:sz w:val="18"/>
                <w:szCs w:val="18"/>
                <w:lang w:val="es-ES"/>
              </w:rPr>
              <w:t>Aprobación general</w:t>
            </w:r>
          </w:p>
        </w:tc>
      </w:tr>
    </w:tbl>
    <w:p w:rsidR="00466B13" w:rsidRDefault="00466B13" w:rsidP="00466B13">
      <w:pPr>
        <w:spacing w:after="240"/>
        <w:jc w:val="center"/>
        <w:rPr>
          <w:b/>
          <w:bCs/>
          <w:lang w:val="es-ES"/>
        </w:rPr>
      </w:pPr>
      <w:r w:rsidRPr="00466B13">
        <w:rPr>
          <w:b/>
          <w:bCs/>
          <w:lang w:val="es-ES"/>
        </w:rPr>
        <w:lastRenderedPageBreak/>
        <w:t>DESCRIPCIÓN DEL PROYECTO</w:t>
      </w:r>
    </w:p>
    <w:p w:rsidR="00FE2692" w:rsidRPr="00466B13" w:rsidRDefault="00FE2692" w:rsidP="00466B13">
      <w:pPr>
        <w:spacing w:after="240"/>
        <w:jc w:val="center"/>
        <w:rPr>
          <w:b/>
          <w:lang w:val="es-ES"/>
        </w:rPr>
      </w:pPr>
    </w:p>
    <w:p w:rsidR="00466B13" w:rsidRPr="00466B13" w:rsidRDefault="00466B13" w:rsidP="00466B13">
      <w:pPr>
        <w:pStyle w:val="Heading1"/>
        <w:rPr>
          <w:lang w:val="es-ES"/>
        </w:rPr>
      </w:pPr>
      <w:r w:rsidRPr="00466B13">
        <w:rPr>
          <w:lang w:val="es-ES"/>
        </w:rPr>
        <w:t xml:space="preserve">En nombre del Gobierno del Pakistán, la ONUDI, en calidad de organismo de </w:t>
      </w:r>
      <w:r>
        <w:rPr>
          <w:lang w:val="es-ES"/>
        </w:rPr>
        <w:t>ejecución</w:t>
      </w:r>
      <w:r w:rsidRPr="00466B13">
        <w:rPr>
          <w:lang w:val="es-ES"/>
        </w:rPr>
        <w:t xml:space="preserve"> principal, ha presentado una solicitud de </w:t>
      </w:r>
      <w:r>
        <w:rPr>
          <w:lang w:val="es-ES"/>
        </w:rPr>
        <w:t>financiación</w:t>
      </w:r>
      <w:r w:rsidRPr="00466B13">
        <w:rPr>
          <w:lang w:val="es-ES"/>
        </w:rPr>
        <w:t xml:space="preserve"> para el segundo tramo de la etapa II del plan de </w:t>
      </w:r>
      <w:r>
        <w:rPr>
          <w:lang w:val="es-ES"/>
        </w:rPr>
        <w:t>gestión</w:t>
      </w:r>
      <w:r w:rsidRPr="00466B13">
        <w:rPr>
          <w:lang w:val="es-ES"/>
        </w:rPr>
        <w:t xml:space="preserve"> de </w:t>
      </w:r>
      <w:r>
        <w:rPr>
          <w:lang w:val="es-ES"/>
        </w:rPr>
        <w:t>eliminación</w:t>
      </w:r>
      <w:r w:rsidRPr="00466B13">
        <w:rPr>
          <w:lang w:val="es-ES"/>
        </w:rPr>
        <w:t xml:space="preserve"> de HCFC, por un costo total de 2 344 418 $ EUA, que consta de 1 979 852 $ EUA, </w:t>
      </w:r>
      <w:r>
        <w:rPr>
          <w:lang w:val="es-ES"/>
        </w:rPr>
        <w:t>más</w:t>
      </w:r>
      <w:r w:rsidRPr="00466B13">
        <w:rPr>
          <w:lang w:val="es-ES"/>
        </w:rPr>
        <w:t xml:space="preserve"> gastos de apoyo al organismo de 138 590 $ EUA para la ONUDI; y 200 000 $ EUA, </w:t>
      </w:r>
      <w:r>
        <w:rPr>
          <w:lang w:val="es-ES"/>
        </w:rPr>
        <w:t>más</w:t>
      </w:r>
      <w:r w:rsidRPr="00466B13">
        <w:rPr>
          <w:lang w:val="es-ES"/>
        </w:rPr>
        <w:t xml:space="preserve"> gastos de apoyo al organismo de 25 976 $ EUA para el PNUMA</w:t>
      </w:r>
      <w:r w:rsidRPr="00466B13">
        <w:rPr>
          <w:rStyle w:val="FootnoteReference"/>
          <w:lang w:val="es-ES"/>
        </w:rPr>
        <w:footnoteReference w:id="1"/>
      </w:r>
      <w:r w:rsidR="006A6060">
        <w:rPr>
          <w:lang w:val="es-ES"/>
        </w:rPr>
        <w:t>.</w:t>
      </w:r>
      <w:r w:rsidRPr="00466B13">
        <w:rPr>
          <w:lang w:val="es-ES"/>
        </w:rPr>
        <w:t xml:space="preserve"> En la </w:t>
      </w:r>
      <w:r>
        <w:rPr>
          <w:lang w:val="es-ES"/>
        </w:rPr>
        <w:t>documentación</w:t>
      </w:r>
      <w:r w:rsidRPr="00466B13">
        <w:rPr>
          <w:lang w:val="es-ES"/>
        </w:rPr>
        <w:t xml:space="preserve"> presentada se incluye un informe sobre los progresos realizados en la </w:t>
      </w:r>
      <w:r>
        <w:rPr>
          <w:lang w:val="es-ES"/>
        </w:rPr>
        <w:t>ejecución</w:t>
      </w:r>
      <w:r w:rsidRPr="00466B13">
        <w:rPr>
          <w:lang w:val="es-ES"/>
        </w:rPr>
        <w:t xml:space="preserve"> del primer tramo, el informe de </w:t>
      </w:r>
      <w:r>
        <w:rPr>
          <w:lang w:val="es-ES"/>
        </w:rPr>
        <w:t>verificación</w:t>
      </w:r>
      <w:r w:rsidRPr="00466B13">
        <w:rPr>
          <w:lang w:val="es-ES"/>
        </w:rPr>
        <w:t xml:space="preserve"> del consumo de HCFC de 2016 a 2017 y el plan de </w:t>
      </w:r>
      <w:r>
        <w:rPr>
          <w:lang w:val="es-ES"/>
        </w:rPr>
        <w:t>ejecución</w:t>
      </w:r>
      <w:r w:rsidRPr="00466B13">
        <w:rPr>
          <w:lang w:val="es-ES"/>
        </w:rPr>
        <w:t xml:space="preserve"> del tramo para 201</w:t>
      </w:r>
      <w:r w:rsidR="006A6060">
        <w:rPr>
          <w:lang w:val="es-ES"/>
        </w:rPr>
        <w:t>9</w:t>
      </w:r>
      <w:r w:rsidRPr="00466B13">
        <w:rPr>
          <w:lang w:val="es-ES"/>
        </w:rPr>
        <w:t xml:space="preserve">-2020. </w:t>
      </w:r>
    </w:p>
    <w:p w:rsidR="00466B13" w:rsidRPr="00466B13" w:rsidRDefault="00466B13" w:rsidP="00466B13">
      <w:pPr>
        <w:pStyle w:val="Heading1"/>
        <w:numPr>
          <w:ilvl w:val="0"/>
          <w:numId w:val="0"/>
        </w:numPr>
        <w:rPr>
          <w:u w:val="single"/>
          <w:lang w:val="es-ES"/>
        </w:rPr>
      </w:pPr>
      <w:r w:rsidRPr="00466B13">
        <w:rPr>
          <w:u w:val="single"/>
          <w:lang w:val="es-ES"/>
        </w:rPr>
        <w:t>Informe sobre el consumo de HCFC</w:t>
      </w:r>
    </w:p>
    <w:p w:rsidR="00466B13" w:rsidRPr="00466B13" w:rsidRDefault="00466B13" w:rsidP="00466B13">
      <w:pPr>
        <w:pStyle w:val="Heading1"/>
        <w:rPr>
          <w:lang w:val="es-ES"/>
        </w:rPr>
      </w:pPr>
      <w:r w:rsidRPr="00466B13">
        <w:rPr>
          <w:lang w:val="es-ES"/>
        </w:rPr>
        <w:t>El Gobierno del Pakistán notificó un consumo de 206,82 toneladas PAO de HCFC en 2017, un 17% inferior al nivel básico de cumplimiento revisado de HCFC</w:t>
      </w:r>
      <w:r w:rsidR="006A6060">
        <w:rPr>
          <w:lang w:val="es-ES"/>
        </w:rPr>
        <w:t>,</w:t>
      </w:r>
      <w:r w:rsidRPr="00466B13">
        <w:rPr>
          <w:lang w:val="es-ES"/>
        </w:rPr>
        <w:t xml:space="preserve"> en 248,11 toneladas PAO</w:t>
      </w:r>
      <w:r w:rsidRPr="00466B13">
        <w:rPr>
          <w:rStyle w:val="FootnoteReference"/>
          <w:lang w:val="es-ES"/>
        </w:rPr>
        <w:footnoteReference w:id="2"/>
      </w:r>
      <w:r w:rsidR="006A6060">
        <w:rPr>
          <w:lang w:val="es-ES"/>
        </w:rPr>
        <w:t>,</w:t>
      </w:r>
      <w:r w:rsidRPr="00466B13">
        <w:rPr>
          <w:lang w:val="es-ES"/>
        </w:rPr>
        <w:t xml:space="preserve"> y un 7% inferior a la meta establecida en el Acuerdo con el Comité Ejecutivo para 2017.  En el Cuadro 1 </w:t>
      </w:r>
      <w:r w:rsidR="009230CB">
        <w:rPr>
          <w:lang w:val="es-ES"/>
        </w:rPr>
        <w:t>se indica</w:t>
      </w:r>
      <w:r w:rsidRPr="00466B13">
        <w:rPr>
          <w:lang w:val="es-ES"/>
        </w:rPr>
        <w:t xml:space="preserve"> el consumo de HCFC para 2014-2017.</w:t>
      </w:r>
    </w:p>
    <w:p w:rsidR="00466B13" w:rsidRPr="00466B13" w:rsidRDefault="00466B13" w:rsidP="00466B13">
      <w:pPr>
        <w:rPr>
          <w:b/>
          <w:lang w:val="es-ES"/>
        </w:rPr>
      </w:pPr>
      <w:r w:rsidRPr="00466B13">
        <w:rPr>
          <w:b/>
          <w:bCs/>
          <w:lang w:val="es-ES"/>
        </w:rPr>
        <w:t xml:space="preserve">Cuadro 1: Consumo de HCFC en el Pakistán (datos de 2014-2017, con arreglo al </w:t>
      </w:r>
      <w:r w:rsidR="0052096C">
        <w:rPr>
          <w:b/>
          <w:bCs/>
          <w:lang w:val="es-ES"/>
        </w:rPr>
        <w:t>Artículo</w:t>
      </w:r>
      <w:r w:rsidRPr="00466B13">
        <w:rPr>
          <w:b/>
          <w:bCs/>
          <w:lang w:val="es-ES"/>
        </w:rPr>
        <w:t xml:space="preserve"> 7)</w:t>
      </w:r>
    </w:p>
    <w:tbl>
      <w:tblPr>
        <w:tblW w:w="5000" w:type="pct"/>
        <w:tblLook w:val="04A0" w:firstRow="1" w:lastRow="0" w:firstColumn="1" w:lastColumn="0" w:noHBand="0" w:noVBand="1"/>
      </w:tblPr>
      <w:tblGrid>
        <w:gridCol w:w="3115"/>
        <w:gridCol w:w="1247"/>
        <w:gridCol w:w="1247"/>
        <w:gridCol w:w="1247"/>
        <w:gridCol w:w="1247"/>
        <w:gridCol w:w="1247"/>
      </w:tblGrid>
      <w:tr w:rsidR="00466B13" w:rsidRPr="00466B13" w:rsidTr="00F863FF">
        <w:trPr>
          <w:tblHeader/>
        </w:trPr>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b/>
                <w:bCs/>
                <w:color w:val="000000"/>
                <w:sz w:val="20"/>
                <w:szCs w:val="20"/>
                <w:lang w:val="es-ES"/>
              </w:rPr>
            </w:pPr>
            <w:r w:rsidRPr="00466B13">
              <w:rPr>
                <w:b/>
                <w:bCs/>
                <w:color w:val="000000"/>
                <w:sz w:val="20"/>
                <w:szCs w:val="20"/>
                <w:lang w:val="es-ES"/>
              </w:rPr>
              <w:t>HCFC</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r w:rsidRPr="00466B13">
              <w:rPr>
                <w:b/>
                <w:bCs/>
                <w:color w:val="000000"/>
                <w:sz w:val="20"/>
                <w:szCs w:val="20"/>
                <w:lang w:val="es-ES"/>
              </w:rPr>
              <w:t>2014</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r w:rsidRPr="00466B13">
              <w:rPr>
                <w:b/>
                <w:bCs/>
                <w:color w:val="000000"/>
                <w:sz w:val="20"/>
                <w:szCs w:val="20"/>
                <w:lang w:val="es-ES"/>
              </w:rPr>
              <w:t>2015</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r w:rsidRPr="00466B13">
              <w:rPr>
                <w:b/>
                <w:bCs/>
                <w:color w:val="000000"/>
                <w:sz w:val="20"/>
                <w:szCs w:val="20"/>
                <w:lang w:val="es-ES"/>
              </w:rPr>
              <w:t>2016</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center"/>
              <w:rPr>
                <w:b/>
                <w:bCs/>
                <w:color w:val="000000"/>
                <w:sz w:val="20"/>
                <w:szCs w:val="20"/>
                <w:lang w:val="es-ES"/>
              </w:rPr>
            </w:pPr>
            <w:r w:rsidRPr="00466B13">
              <w:rPr>
                <w:b/>
                <w:bCs/>
                <w:color w:val="000000"/>
                <w:sz w:val="20"/>
                <w:szCs w:val="20"/>
                <w:lang w:val="es-ES"/>
              </w:rPr>
              <w:t>2017</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r w:rsidRPr="00466B13">
              <w:rPr>
                <w:b/>
                <w:bCs/>
                <w:color w:val="000000"/>
                <w:sz w:val="20"/>
                <w:szCs w:val="20"/>
                <w:lang w:val="es-ES"/>
              </w:rPr>
              <w:t>Nivel básico</w:t>
            </w: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b/>
                <w:bCs/>
                <w:color w:val="000000"/>
                <w:sz w:val="20"/>
                <w:szCs w:val="20"/>
                <w:lang w:val="es-ES"/>
              </w:rPr>
            </w:pPr>
            <w:r w:rsidRPr="00466B13">
              <w:rPr>
                <w:b/>
                <w:bCs/>
                <w:color w:val="000000"/>
                <w:sz w:val="20"/>
                <w:szCs w:val="20"/>
                <w:lang w:val="es-ES"/>
              </w:rPr>
              <w:t>Toneladas métricas</w:t>
            </w:r>
          </w:p>
        </w:tc>
        <w:tc>
          <w:tcPr>
            <w:tcW w:w="667" w:type="pct"/>
            <w:tcBorders>
              <w:top w:val="nil"/>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p>
        </w:tc>
        <w:tc>
          <w:tcPr>
            <w:tcW w:w="667" w:type="pct"/>
            <w:tcBorders>
              <w:top w:val="nil"/>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p>
        </w:tc>
        <w:tc>
          <w:tcPr>
            <w:tcW w:w="667" w:type="pct"/>
            <w:tcBorders>
              <w:top w:val="nil"/>
              <w:left w:val="nil"/>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center"/>
              <w:rPr>
                <w:b/>
                <w:bCs/>
                <w:color w:val="000000"/>
                <w:sz w:val="20"/>
                <w:szCs w:val="20"/>
                <w:lang w:val="es-ES"/>
              </w:rPr>
            </w:pP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center"/>
              <w:rPr>
                <w:b/>
                <w:bCs/>
                <w:color w:val="000000"/>
                <w:sz w:val="20"/>
                <w:szCs w:val="20"/>
                <w:lang w:val="es-ES"/>
              </w:rPr>
            </w:pP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HCFC-22</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3.245,01</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2.562,39</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2.802,00</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2.696,84</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1.908,25</w:t>
            </w: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HCFC-123</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0.00</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0.00</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0.00</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2,09</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0.00</w:t>
            </w: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HCFC-141b</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546,50</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555,75</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552,89</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504,16</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1.259,10</w:t>
            </w: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HCFC-142b</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18,44</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sz w:val="20"/>
                <w:szCs w:val="20"/>
                <w:lang w:val="es-ES"/>
              </w:rPr>
            </w:pPr>
            <w:r w:rsidRPr="00466B13">
              <w:rPr>
                <w:sz w:val="20"/>
                <w:szCs w:val="20"/>
                <w:lang w:val="es-ES"/>
              </w:rPr>
              <w:t>16,42</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16,50</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46,02</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71,55</w:t>
            </w:r>
          </w:p>
        </w:tc>
      </w:tr>
      <w:tr w:rsidR="00466B13" w:rsidRPr="00466B13" w:rsidTr="00F863FF">
        <w:tc>
          <w:tcPr>
            <w:tcW w:w="1665"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466B13" w:rsidRPr="00466B13" w:rsidRDefault="00466B13" w:rsidP="00F863FF">
            <w:pPr>
              <w:jc w:val="left"/>
              <w:rPr>
                <w:rFonts w:eastAsiaTheme="minorHAnsi"/>
                <w:b/>
                <w:color w:val="000000"/>
                <w:sz w:val="20"/>
                <w:szCs w:val="20"/>
                <w:lang w:val="es-ES"/>
              </w:rPr>
            </w:pPr>
            <w:r w:rsidRPr="00466B13">
              <w:rPr>
                <w:b/>
                <w:bCs/>
                <w:color w:val="000000"/>
                <w:sz w:val="20"/>
                <w:szCs w:val="20"/>
                <w:lang w:val="es-ES"/>
              </w:rPr>
              <w:t>Total (tm)</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3.809,95</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3.134,56</w:t>
            </w:r>
          </w:p>
        </w:tc>
        <w:tc>
          <w:tcPr>
            <w:tcW w:w="667" w:type="pct"/>
            <w:tcBorders>
              <w:top w:val="nil"/>
              <w:left w:val="nil"/>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3.371,39</w:t>
            </w:r>
          </w:p>
        </w:tc>
        <w:tc>
          <w:tcPr>
            <w:tcW w:w="667" w:type="pct"/>
            <w:tcBorders>
              <w:top w:val="single" w:sz="4" w:space="0" w:color="auto"/>
              <w:left w:val="nil"/>
              <w:bottom w:val="single" w:sz="4" w:space="0" w:color="auto"/>
              <w:right w:val="single" w:sz="4" w:space="0" w:color="auto"/>
            </w:tcBorders>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3.249,11</w:t>
            </w:r>
          </w:p>
        </w:tc>
        <w:tc>
          <w:tcPr>
            <w:tcW w:w="667" w:type="pct"/>
            <w:tcBorders>
              <w:top w:val="nil"/>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3.238,90</w:t>
            </w: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6A6060" w:rsidRDefault="00466B13" w:rsidP="00F863FF">
            <w:pPr>
              <w:widowControl w:val="0"/>
              <w:jc w:val="left"/>
              <w:rPr>
                <w:b/>
                <w:bCs/>
                <w:color w:val="000000"/>
                <w:sz w:val="20"/>
                <w:szCs w:val="20"/>
                <w:lang w:val="es-ES"/>
              </w:rPr>
            </w:pPr>
            <w:r w:rsidRPr="006A6060">
              <w:rPr>
                <w:b/>
                <w:bCs/>
                <w:color w:val="000000"/>
                <w:sz w:val="20"/>
                <w:szCs w:val="20"/>
                <w:lang w:val="es-ES"/>
              </w:rPr>
              <w:t>(toneladas PAO)</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right"/>
              <w:rPr>
                <w:color w:val="000000"/>
                <w:sz w:val="20"/>
                <w:szCs w:val="20"/>
                <w:lang w:val="es-ES"/>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13" w:rsidRPr="00466B13" w:rsidRDefault="00466B13" w:rsidP="00F863FF">
            <w:pPr>
              <w:widowControl w:val="0"/>
              <w:jc w:val="right"/>
              <w:rPr>
                <w:color w:val="000000"/>
                <w:sz w:val="20"/>
                <w:szCs w:val="20"/>
                <w:lang w:val="es-ES"/>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HCFC-22</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eastAsia="en-CA"/>
              </w:rPr>
            </w:pPr>
            <w:r w:rsidRPr="00466B13">
              <w:rPr>
                <w:color w:val="000000"/>
                <w:sz w:val="20"/>
                <w:szCs w:val="20"/>
                <w:lang w:val="es-ES" w:eastAsia="en-CA"/>
              </w:rPr>
              <w:t>178,48</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140,93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154,11</w:t>
            </w: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148,33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104,95</w:t>
            </w: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HCFC-123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eastAsia="en-CA"/>
              </w:rPr>
            </w:pPr>
            <w:r w:rsidRPr="00466B13">
              <w:rPr>
                <w:color w:val="000000"/>
                <w:sz w:val="20"/>
                <w:szCs w:val="20"/>
                <w:lang w:val="es-ES" w:eastAsia="en-CA"/>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0.00</w:t>
            </w: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0.00</w:t>
            </w: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HCFC-141b</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eastAsia="en-CA"/>
              </w:rPr>
            </w:pPr>
            <w:r w:rsidRPr="00466B13">
              <w:rPr>
                <w:color w:val="000000"/>
                <w:sz w:val="20"/>
                <w:szCs w:val="20"/>
                <w:lang w:val="es-ES" w:eastAsia="en-CA"/>
              </w:rPr>
              <w:t>60,12</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61,13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60,82</w:t>
            </w: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55,46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138,50</w:t>
            </w: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66B13" w:rsidRPr="00466B13" w:rsidRDefault="00466B13" w:rsidP="00F863FF">
            <w:pPr>
              <w:widowControl w:val="0"/>
              <w:jc w:val="left"/>
              <w:rPr>
                <w:color w:val="000000"/>
                <w:sz w:val="20"/>
                <w:szCs w:val="20"/>
                <w:lang w:val="es-ES"/>
              </w:rPr>
            </w:pPr>
            <w:r w:rsidRPr="00466B13">
              <w:rPr>
                <w:color w:val="000000"/>
                <w:sz w:val="20"/>
                <w:szCs w:val="20"/>
                <w:lang w:val="es-ES"/>
              </w:rPr>
              <w:t>HCFC-142b</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eastAsia="en-CA"/>
              </w:rPr>
            </w:pPr>
            <w:r w:rsidRPr="00466B13">
              <w:rPr>
                <w:color w:val="000000"/>
                <w:sz w:val="20"/>
                <w:szCs w:val="20"/>
                <w:lang w:val="es-ES" w:eastAsia="en-CA"/>
              </w:rPr>
              <w:t>1,20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1,06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1,07</w:t>
            </w: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widowControl w:val="0"/>
              <w:jc w:val="right"/>
              <w:rPr>
                <w:color w:val="000000"/>
                <w:sz w:val="20"/>
                <w:szCs w:val="20"/>
                <w:lang w:val="es-ES"/>
              </w:rPr>
            </w:pPr>
            <w:r w:rsidRPr="00466B13">
              <w:rPr>
                <w:color w:val="000000"/>
                <w:sz w:val="20"/>
                <w:szCs w:val="20"/>
                <w:lang w:val="es-ES"/>
              </w:rPr>
              <w:t>2,99</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color w:val="000000"/>
                <w:sz w:val="20"/>
                <w:szCs w:val="20"/>
                <w:lang w:val="es-ES"/>
              </w:rPr>
            </w:pPr>
            <w:r w:rsidRPr="00466B13">
              <w:rPr>
                <w:color w:val="000000"/>
                <w:sz w:val="20"/>
                <w:szCs w:val="20"/>
                <w:lang w:val="es-ES"/>
              </w:rPr>
              <w:t>4,66</w:t>
            </w:r>
          </w:p>
        </w:tc>
      </w:tr>
      <w:tr w:rsidR="00466B13" w:rsidRPr="00466B13" w:rsidTr="00F863FF">
        <w:tc>
          <w:tcPr>
            <w:tcW w:w="166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466B13" w:rsidRPr="00466B13" w:rsidRDefault="00466B13" w:rsidP="00F863FF">
            <w:pPr>
              <w:jc w:val="left"/>
              <w:rPr>
                <w:rFonts w:eastAsiaTheme="minorHAnsi"/>
                <w:b/>
                <w:sz w:val="20"/>
                <w:szCs w:val="20"/>
                <w:lang w:val="es-ES"/>
              </w:rPr>
            </w:pPr>
            <w:r w:rsidRPr="00466B13">
              <w:rPr>
                <w:b/>
                <w:bCs/>
                <w:sz w:val="20"/>
                <w:szCs w:val="20"/>
                <w:lang w:val="es-ES"/>
              </w:rPr>
              <w:t>Total (toneladas PAO)</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eastAsia="en-CA"/>
              </w:rPr>
            </w:pPr>
            <w:r w:rsidRPr="00466B13">
              <w:rPr>
                <w:b/>
                <w:bCs/>
                <w:color w:val="000000"/>
                <w:sz w:val="20"/>
                <w:szCs w:val="20"/>
                <w:lang w:val="es-ES" w:eastAsia="en-CA"/>
              </w:rPr>
              <w:t>239,79</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203,13</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6B13" w:rsidRPr="00466B13" w:rsidRDefault="00466B13" w:rsidP="00F863FF">
            <w:pPr>
              <w:widowControl w:val="0"/>
              <w:jc w:val="right"/>
              <w:rPr>
                <w:b/>
                <w:color w:val="000000"/>
                <w:sz w:val="20"/>
                <w:szCs w:val="20"/>
                <w:lang w:val="es-ES"/>
              </w:rPr>
            </w:pPr>
            <w:r w:rsidRPr="00466B13">
              <w:rPr>
                <w:b/>
                <w:bCs/>
                <w:color w:val="000000"/>
                <w:sz w:val="20"/>
                <w:szCs w:val="20"/>
                <w:lang w:val="es-ES"/>
              </w:rPr>
              <w:t>216,00</w:t>
            </w:r>
          </w:p>
        </w:tc>
        <w:tc>
          <w:tcPr>
            <w:tcW w:w="667" w:type="pct"/>
            <w:tcBorders>
              <w:top w:val="single" w:sz="4" w:space="0" w:color="auto"/>
              <w:left w:val="single" w:sz="4" w:space="0" w:color="auto"/>
              <w:bottom w:val="single" w:sz="4" w:space="0" w:color="auto"/>
              <w:right w:val="single" w:sz="4" w:space="0" w:color="auto"/>
            </w:tcBorders>
          </w:tcPr>
          <w:p w:rsidR="00466B13" w:rsidRPr="00466B13" w:rsidRDefault="00466B13" w:rsidP="00F863FF">
            <w:pPr>
              <w:jc w:val="right"/>
              <w:rPr>
                <w:b/>
                <w:color w:val="000000"/>
                <w:sz w:val="20"/>
                <w:szCs w:val="20"/>
                <w:lang w:val="es-ES"/>
              </w:rPr>
            </w:pPr>
            <w:r w:rsidRPr="00466B13">
              <w:rPr>
                <w:b/>
                <w:bCs/>
                <w:color w:val="000000"/>
                <w:sz w:val="20"/>
                <w:szCs w:val="20"/>
                <w:lang w:val="es-ES"/>
              </w:rPr>
              <w:t>206,82</w:t>
            </w:r>
          </w:p>
        </w:tc>
        <w:tc>
          <w:tcPr>
            <w:tcW w:w="667" w:type="pct"/>
            <w:tcBorders>
              <w:top w:val="single" w:sz="4" w:space="0" w:color="auto"/>
              <w:left w:val="single" w:sz="4" w:space="0" w:color="auto"/>
              <w:bottom w:val="single" w:sz="4" w:space="0" w:color="auto"/>
              <w:right w:val="single" w:sz="4" w:space="0" w:color="auto"/>
            </w:tcBorders>
            <w:shd w:val="clear" w:color="auto" w:fill="auto"/>
            <w:noWrap/>
          </w:tcPr>
          <w:p w:rsidR="00466B13" w:rsidRPr="00466B13" w:rsidRDefault="00466B13" w:rsidP="00F863FF">
            <w:pPr>
              <w:jc w:val="right"/>
              <w:rPr>
                <w:rFonts w:eastAsiaTheme="minorHAnsi"/>
                <w:b/>
                <w:color w:val="000000"/>
                <w:sz w:val="20"/>
                <w:szCs w:val="20"/>
                <w:lang w:val="es-ES"/>
              </w:rPr>
            </w:pPr>
            <w:r w:rsidRPr="00466B13">
              <w:rPr>
                <w:b/>
                <w:bCs/>
                <w:color w:val="000000"/>
                <w:sz w:val="20"/>
                <w:szCs w:val="20"/>
                <w:lang w:val="es-ES"/>
              </w:rPr>
              <w:t>248,11</w:t>
            </w:r>
          </w:p>
        </w:tc>
      </w:tr>
    </w:tbl>
    <w:p w:rsidR="00466B13" w:rsidRPr="00466B13" w:rsidRDefault="00466B13" w:rsidP="00466B13">
      <w:pPr>
        <w:rPr>
          <w:lang w:val="es-ES"/>
        </w:rPr>
      </w:pPr>
    </w:p>
    <w:p w:rsidR="00466B13" w:rsidRPr="00466B13" w:rsidRDefault="00466B13" w:rsidP="00466B13">
      <w:pPr>
        <w:pStyle w:val="Heading1"/>
        <w:rPr>
          <w:lang w:val="es-ES"/>
        </w:rPr>
      </w:pPr>
      <w:r w:rsidRPr="00466B13">
        <w:rPr>
          <w:lang w:val="es-ES"/>
        </w:rPr>
        <w:t>Si bien el consumo total de HCFC fue disminuyendo, los cambios en el consumo en 2015, respecto de 2014, y en 2017, respecto de 2016, se atribuyeron a fluctuaciones normales en la oferta y la demanda de esas sustancias, teniendo en cuenta que dichos niveles de consumo estaban por debajo de los cupos de importaciones establecidos por el Gobierno.  El consumo de</w:t>
      </w:r>
      <w:r w:rsidR="002E4802">
        <w:rPr>
          <w:lang w:val="es-ES"/>
        </w:rPr>
        <w:t>l</w:t>
      </w:r>
      <w:r w:rsidRPr="00466B13">
        <w:rPr>
          <w:lang w:val="es-ES"/>
        </w:rPr>
        <w:t xml:space="preserve"> HCFC-142b aumentó debido a la creciente demanda de paneles aislantes de espuma de poliestireno extruido (XPS). El consumo de</w:t>
      </w:r>
      <w:r w:rsidR="002E4802">
        <w:rPr>
          <w:lang w:val="es-ES"/>
        </w:rPr>
        <w:t>l</w:t>
      </w:r>
      <w:r w:rsidRPr="00466B13">
        <w:rPr>
          <w:lang w:val="es-ES"/>
        </w:rPr>
        <w:t xml:space="preserve"> HCFC-123 notificado en 2017 se utilizó en el equipo de mantenimiento de refrigeración.  Se estimó que el consumo de HCFC </w:t>
      </w:r>
      <w:r w:rsidR="002E4802">
        <w:rPr>
          <w:lang w:val="es-ES"/>
        </w:rPr>
        <w:t>para</w:t>
      </w:r>
      <w:r w:rsidRPr="00466B13">
        <w:rPr>
          <w:lang w:val="es-ES"/>
        </w:rPr>
        <w:t xml:space="preserve"> 2018 no superaría las 210 toneladas PAO, similar al cupo asignado para 2017. </w:t>
      </w:r>
    </w:p>
    <w:p w:rsidR="00466B13" w:rsidRPr="00466B13" w:rsidRDefault="00466B13" w:rsidP="00466B13">
      <w:pPr>
        <w:keepNext/>
        <w:spacing w:after="240"/>
        <w:rPr>
          <w:i/>
          <w:lang w:val="es-ES"/>
        </w:rPr>
      </w:pPr>
      <w:r w:rsidRPr="00466B13">
        <w:rPr>
          <w:i/>
          <w:iCs/>
          <w:lang w:val="es-ES"/>
        </w:rPr>
        <w:t xml:space="preserve">Informe sobre la </w:t>
      </w:r>
      <w:r w:rsidR="0052096C">
        <w:rPr>
          <w:i/>
          <w:iCs/>
          <w:lang w:val="es-ES"/>
        </w:rPr>
        <w:t>ejecución</w:t>
      </w:r>
      <w:r w:rsidRPr="00466B13">
        <w:rPr>
          <w:i/>
          <w:iCs/>
          <w:lang w:val="es-ES"/>
        </w:rPr>
        <w:t xml:space="preserve"> del programa de </w:t>
      </w:r>
      <w:r w:rsidR="0052096C">
        <w:rPr>
          <w:i/>
          <w:iCs/>
          <w:lang w:val="es-ES"/>
        </w:rPr>
        <w:t>país</w:t>
      </w:r>
    </w:p>
    <w:p w:rsidR="00466B13" w:rsidRPr="00466B13" w:rsidRDefault="00466B13" w:rsidP="00466B13">
      <w:pPr>
        <w:pStyle w:val="Heading1"/>
        <w:rPr>
          <w:lang w:val="es-ES"/>
        </w:rPr>
      </w:pPr>
      <w:r w:rsidRPr="00466B13">
        <w:rPr>
          <w:lang w:val="es-ES"/>
        </w:rPr>
        <w:t xml:space="preserve">El Gobierno del Pakistán comunicó los datos </w:t>
      </w:r>
      <w:r w:rsidR="002E4802">
        <w:rPr>
          <w:lang w:val="es-ES"/>
        </w:rPr>
        <w:t>sobre el</w:t>
      </w:r>
      <w:r w:rsidRPr="00466B13">
        <w:rPr>
          <w:lang w:val="es-ES"/>
        </w:rPr>
        <w:t xml:space="preserve"> consumo de HCFC por sectores en el informe sobre la ejecución del programa de país </w:t>
      </w:r>
      <w:r w:rsidR="002E4802">
        <w:rPr>
          <w:lang w:val="es-ES"/>
        </w:rPr>
        <w:t>de</w:t>
      </w:r>
      <w:r w:rsidRPr="00466B13">
        <w:rPr>
          <w:lang w:val="es-ES"/>
        </w:rPr>
        <w:t xml:space="preserve"> 2017, que coinciden con los datos presentados con arreglo al Artículo 7 del Protocolo de Montreal.  El informe del programa de país de 2018 se presentará antes de mayo de 2019.</w:t>
      </w:r>
    </w:p>
    <w:p w:rsidR="00466B13" w:rsidRPr="00466B13" w:rsidRDefault="00466B13" w:rsidP="00466B13">
      <w:pPr>
        <w:keepNext/>
        <w:spacing w:after="240"/>
        <w:rPr>
          <w:i/>
          <w:lang w:val="es-ES"/>
        </w:rPr>
      </w:pPr>
      <w:r w:rsidRPr="00466B13">
        <w:rPr>
          <w:i/>
          <w:iCs/>
          <w:lang w:val="es-ES"/>
        </w:rPr>
        <w:lastRenderedPageBreak/>
        <w:t>Informe de verificación</w:t>
      </w:r>
    </w:p>
    <w:p w:rsidR="00466B13" w:rsidRPr="00466B13" w:rsidRDefault="00466B13" w:rsidP="00466B13">
      <w:pPr>
        <w:pStyle w:val="Heading1"/>
        <w:rPr>
          <w:lang w:val="es-ES"/>
        </w:rPr>
      </w:pPr>
      <w:r w:rsidRPr="00466B13">
        <w:rPr>
          <w:lang w:val="es-ES"/>
        </w:rPr>
        <w:t>En el informe de verificación sobre el consumo de HCFC se confirmó que el Gobierno estaba aplicando un sistema de</w:t>
      </w:r>
      <w:r w:rsidR="002E4802">
        <w:rPr>
          <w:lang w:val="es-ES"/>
        </w:rPr>
        <w:t xml:space="preserve"> concesión de</w:t>
      </w:r>
      <w:r w:rsidRPr="00466B13">
        <w:rPr>
          <w:lang w:val="es-ES"/>
        </w:rPr>
        <w:t xml:space="preserve"> licencia</w:t>
      </w:r>
      <w:r w:rsidR="002E4802">
        <w:rPr>
          <w:lang w:val="es-ES"/>
        </w:rPr>
        <w:t>s</w:t>
      </w:r>
      <w:r w:rsidRPr="00466B13">
        <w:rPr>
          <w:lang w:val="es-ES"/>
        </w:rPr>
        <w:t xml:space="preserve"> y de cupos para las importaciones y exportaciones de HCFC, y que el consumo total de HCFC entre 2016 y 2017 fue de 216 y 206,81 toneladas PAO, respectivamente.  En la verificación se llegó a la conclusión de que el Pakistán cumplía con las metas establecidas en su Acuerdo con el Comité Ejecutivo para 2016 y 2017, y que había reducido el uso de HCFC en el país por debajo de sus metas.  </w:t>
      </w:r>
    </w:p>
    <w:p w:rsidR="00466B13" w:rsidRPr="00466B13" w:rsidRDefault="00466B13" w:rsidP="00466B13">
      <w:pPr>
        <w:pStyle w:val="Heading1"/>
        <w:rPr>
          <w:lang w:val="es-ES"/>
        </w:rPr>
      </w:pPr>
      <w:r w:rsidRPr="00466B13">
        <w:rPr>
          <w:lang w:val="es-ES"/>
        </w:rPr>
        <w:t>En el informe no se incluyó la verificación del consumo para 2018, dado que est</w:t>
      </w:r>
      <w:r w:rsidR="002E4802">
        <w:rPr>
          <w:lang w:val="es-ES"/>
        </w:rPr>
        <w:t>o</w:t>
      </w:r>
      <w:r w:rsidRPr="00466B13">
        <w:rPr>
          <w:lang w:val="es-ES"/>
        </w:rPr>
        <w:t xml:space="preserve"> se </w:t>
      </w:r>
      <w:r w:rsidR="002E4802">
        <w:rPr>
          <w:lang w:val="es-ES"/>
        </w:rPr>
        <w:t>había encomendado</w:t>
      </w:r>
      <w:r w:rsidRPr="00466B13">
        <w:rPr>
          <w:lang w:val="es-ES"/>
        </w:rPr>
        <w:t xml:space="preserve"> en 2017, con el fin de apoyar la presentación del segundo tramo que debía presentarse en 2018. Aún no se dispone oficialmente de datos sobre el consumo para 2018, y se necesita la aprobación de alto nivel antes de presentarlos.  La ONUDI confirmó que el consumo para 2018 no excedería el cupo establecido para dicho año.   </w:t>
      </w:r>
    </w:p>
    <w:p w:rsidR="00466B13" w:rsidRPr="00466B13" w:rsidRDefault="00466B13" w:rsidP="00466B13">
      <w:pPr>
        <w:pStyle w:val="Heading1"/>
        <w:rPr>
          <w:lang w:val="es-ES"/>
        </w:rPr>
      </w:pPr>
      <w:r w:rsidRPr="00466B13">
        <w:rPr>
          <w:lang w:val="es-ES"/>
        </w:rPr>
        <w:t xml:space="preserve">En el informe se recomendó el uso continuo de códigos del Sistema Armonizado designado para los sustitutos </w:t>
      </w:r>
      <w:r w:rsidR="00C96E85">
        <w:rPr>
          <w:lang w:val="es-ES"/>
        </w:rPr>
        <w:t>fluorados</w:t>
      </w:r>
      <w:r w:rsidRPr="00466B13">
        <w:rPr>
          <w:lang w:val="es-ES"/>
        </w:rPr>
        <w:t xml:space="preserve"> de </w:t>
      </w:r>
      <w:r w:rsidR="00C96E85">
        <w:rPr>
          <w:lang w:val="es-ES"/>
        </w:rPr>
        <w:t>hidro</w:t>
      </w:r>
      <w:r w:rsidRPr="00466B13">
        <w:rPr>
          <w:lang w:val="es-ES"/>
        </w:rPr>
        <w:t xml:space="preserve">clorofluorocarburos (HCFC) y los CFC, más comúnmente comercializados, a fin de mejorar la recopilación de datos para la importación de SAO y sus mezclas. </w:t>
      </w:r>
    </w:p>
    <w:p w:rsidR="00466B13" w:rsidRPr="00466B13" w:rsidRDefault="00466B13" w:rsidP="00466B13">
      <w:pPr>
        <w:pStyle w:val="Heading1"/>
        <w:keepNext/>
        <w:numPr>
          <w:ilvl w:val="0"/>
          <w:numId w:val="0"/>
        </w:numPr>
        <w:rPr>
          <w:u w:val="single"/>
          <w:lang w:val="es-ES"/>
        </w:rPr>
      </w:pPr>
      <w:r w:rsidRPr="00466B13">
        <w:rPr>
          <w:u w:val="single"/>
          <w:lang w:val="es-ES"/>
        </w:rPr>
        <w:t>Informe sobre los progresos realizados en la ejecución del primer tramo del plan de gestión de eliminación de HCFC</w:t>
      </w:r>
    </w:p>
    <w:p w:rsidR="00466B13" w:rsidRPr="00854D07" w:rsidRDefault="00466B13" w:rsidP="00466B13">
      <w:pPr>
        <w:keepNext/>
        <w:spacing w:after="240"/>
        <w:rPr>
          <w:i/>
          <w:lang w:val="es-ES"/>
        </w:rPr>
      </w:pPr>
      <w:r w:rsidRPr="00854D07">
        <w:rPr>
          <w:i/>
          <w:lang w:val="es-ES"/>
        </w:rPr>
        <w:t>Marco jurídico</w:t>
      </w:r>
      <w:r w:rsidR="00854D07" w:rsidRPr="00854D07">
        <w:rPr>
          <w:i/>
          <w:lang w:val="es-ES"/>
        </w:rPr>
        <w:t xml:space="preserve"> </w:t>
      </w:r>
    </w:p>
    <w:p w:rsidR="00466B13" w:rsidRPr="00466B13" w:rsidRDefault="00466B13" w:rsidP="00466B13">
      <w:pPr>
        <w:pStyle w:val="Heading1"/>
        <w:rPr>
          <w:lang w:val="es-ES"/>
        </w:rPr>
      </w:pPr>
      <w:r w:rsidRPr="00466B13">
        <w:rPr>
          <w:lang w:val="es-ES"/>
        </w:rPr>
        <w:t xml:space="preserve">El sistema de </w:t>
      </w:r>
      <w:r w:rsidR="003D2B0A">
        <w:rPr>
          <w:lang w:val="es-ES"/>
        </w:rPr>
        <w:t>concesión</w:t>
      </w:r>
      <w:r w:rsidRPr="00466B13">
        <w:rPr>
          <w:lang w:val="es-ES"/>
        </w:rPr>
        <w:t xml:space="preserve"> de licencias y </w:t>
      </w:r>
      <w:r w:rsidR="00FF2A41">
        <w:rPr>
          <w:lang w:val="es-ES"/>
        </w:rPr>
        <w:t xml:space="preserve">de </w:t>
      </w:r>
      <w:r w:rsidRPr="00466B13">
        <w:rPr>
          <w:lang w:val="es-ES"/>
        </w:rPr>
        <w:t xml:space="preserve">cupos para las importaciones y exportaciones de HCFC sigue en funcionamiento desde 2013; se ha prohibido la importación de sustancias eliminadas anteriormente (esto es, CFC y </w:t>
      </w:r>
      <w:r w:rsidR="00C96E85">
        <w:rPr>
          <w:lang w:val="es-ES"/>
        </w:rPr>
        <w:t>halones</w:t>
      </w:r>
      <w:r w:rsidRPr="00466B13">
        <w:rPr>
          <w:lang w:val="es-ES"/>
        </w:rPr>
        <w:t>); se agregará el HCFC-142b a la lista de sustancias controladas, de conformidad con la norma SRO 634(1), las Normas Aduaneras del Pakistán</w:t>
      </w:r>
      <w:r w:rsidR="00F00DB0">
        <w:rPr>
          <w:lang w:val="es-ES"/>
        </w:rPr>
        <w:t>,</w:t>
      </w:r>
      <w:r w:rsidRPr="00466B13">
        <w:rPr>
          <w:lang w:val="es-ES"/>
        </w:rPr>
        <w:t xml:space="preserve"> actualizadas en 2014. El Gobierno también está examinando la aplicación de otras leyes, entre otras, una prohibición </w:t>
      </w:r>
      <w:r w:rsidR="00F00DB0">
        <w:rPr>
          <w:lang w:val="es-ES"/>
        </w:rPr>
        <w:t>a</w:t>
      </w:r>
      <w:r w:rsidRPr="00466B13">
        <w:rPr>
          <w:lang w:val="es-ES"/>
        </w:rPr>
        <w:t xml:space="preserve"> la importación de productos y equipos que utilizan o contienen HCFC y mezclas de HCFC, la desgravación fiscal de productos no derivados de HCFC e impuestos más elevados para los productos de HCFC</w:t>
      </w:r>
      <w:r w:rsidR="00F00DB0">
        <w:rPr>
          <w:lang w:val="es-ES"/>
        </w:rPr>
        <w:t>, entre otros</w:t>
      </w:r>
      <w:r w:rsidRPr="00466B13">
        <w:rPr>
          <w:lang w:val="es-ES"/>
        </w:rPr>
        <w:t xml:space="preserve">. El Gobierno también ha emprendido medidas para elaborar normas para la reducción de hidrofluorocarburos (HFC) y de mezclas de HFC, entre ellas, la inclusión de dichas sustancias en el sistema actual de cupos de importación.  </w:t>
      </w:r>
    </w:p>
    <w:p w:rsidR="00466B13" w:rsidRPr="00466B13" w:rsidRDefault="00466B13" w:rsidP="00466B13">
      <w:pPr>
        <w:pStyle w:val="Heading1"/>
        <w:rPr>
          <w:lang w:val="es-ES"/>
        </w:rPr>
      </w:pPr>
      <w:r w:rsidRPr="00466B13">
        <w:rPr>
          <w:lang w:val="es-ES"/>
        </w:rPr>
        <w:t xml:space="preserve">Se ha impartido capacitación a 23 funcionarios sobre la normativa para la prevención del comercio ilícito de SAO, y la manipulación y el almacenamiento de gases inflamables; se ha adquirido y se han distribuido ocho analizadores de refrigerantes a puertos de entrada principales; tres oficiales de aduanas participaron en un taller regional de capacitación organizado por el PNUMA sobre el perfil de riesgos para la determinación de los indicadores de riesgo asociados al comercio ilícito de SAO; y un oficial de aduanas participó en el diálogo transfronterizo sobre la coordinación y la conciliación de datos para el comercio de SAO, con homólogos del Afganistán y la República Islámica del Irán.   </w:t>
      </w:r>
    </w:p>
    <w:p w:rsidR="00466B13" w:rsidRPr="00466B13" w:rsidRDefault="00466B13" w:rsidP="00466B13">
      <w:pPr>
        <w:pStyle w:val="Heading1"/>
        <w:rPr>
          <w:lang w:val="es-ES"/>
        </w:rPr>
      </w:pPr>
      <w:r w:rsidRPr="00466B13">
        <w:rPr>
          <w:lang w:val="es-ES"/>
        </w:rPr>
        <w:t xml:space="preserve">El Organismo Nacional de Conservación de la Energía, en colaboración con la Dirección de Normas de Control de la Calidad del Pakistán (PSQCA), ha elaborado normas mínimas de rendimiento energético para acondicionadores de aire de ventana y con condensador separado (de 12.000 </w:t>
      </w:r>
      <w:r w:rsidRPr="00381A8F">
        <w:rPr>
          <w:bCs/>
          <w:lang w:val="es-ES"/>
        </w:rPr>
        <w:t>BTU</w:t>
      </w:r>
      <w:r w:rsidRPr="00466B13">
        <w:rPr>
          <w:lang w:val="es-ES"/>
        </w:rPr>
        <w:t xml:space="preserve"> a 48.000 BTU) y refrigeradores domésticos.  La Dirección de Normas de Control de la Calidad del Pakistán también ha adoptado normas pertinentes sobre la manipulación segura de refrigerantes para el sector de servicio y mantenimiento de equipos de refrigeración y aire acondicionado (RAC), de conformidad con las normas de </w:t>
      </w:r>
      <w:r w:rsidRPr="00466B13">
        <w:rPr>
          <w:lang w:val="es-ES"/>
        </w:rPr>
        <w:lastRenderedPageBreak/>
        <w:t>la Organización Internacional de Normalización (ISO).  Dichas normas (ISO-817</w:t>
      </w:r>
      <w:r w:rsidRPr="00466B13">
        <w:rPr>
          <w:rStyle w:val="FootnoteReference"/>
          <w:lang w:val="es-ES"/>
        </w:rPr>
        <w:footnoteReference w:id="3"/>
      </w:r>
      <w:r w:rsidRPr="00466B13">
        <w:rPr>
          <w:lang w:val="es-ES"/>
        </w:rPr>
        <w:t xml:space="preserve"> e ISO-5149</w:t>
      </w:r>
      <w:r w:rsidRPr="00466B13">
        <w:rPr>
          <w:rStyle w:val="FootnoteReference"/>
          <w:lang w:val="es-ES"/>
        </w:rPr>
        <w:footnoteReference w:id="4"/>
      </w:r>
      <w:r w:rsidRPr="00466B13">
        <w:rPr>
          <w:lang w:val="es-ES"/>
        </w:rPr>
        <w:t xml:space="preserve">) </w:t>
      </w:r>
      <w:r w:rsidR="00F00DB0">
        <w:rPr>
          <w:lang w:val="es-ES"/>
        </w:rPr>
        <w:t>se integrarán en el</w:t>
      </w:r>
      <w:r w:rsidRPr="00466B13">
        <w:rPr>
          <w:lang w:val="es-ES"/>
        </w:rPr>
        <w:t xml:space="preserve"> programa de capacitación para técnicos.  </w:t>
      </w:r>
    </w:p>
    <w:p w:rsidR="00466B13" w:rsidRPr="00466B13" w:rsidRDefault="00466B13" w:rsidP="00466B13">
      <w:pPr>
        <w:spacing w:after="240"/>
        <w:rPr>
          <w:i/>
          <w:lang w:val="es-ES"/>
        </w:rPr>
      </w:pPr>
      <w:r w:rsidRPr="00466B13">
        <w:rPr>
          <w:i/>
          <w:iCs/>
          <w:lang w:val="es-ES"/>
        </w:rPr>
        <w:t>Sector de fabricación de poliuretano</w:t>
      </w:r>
    </w:p>
    <w:p w:rsidR="00466B13" w:rsidRPr="00466B13" w:rsidRDefault="00466B13" w:rsidP="00466B13">
      <w:pPr>
        <w:pStyle w:val="Heading1"/>
        <w:rPr>
          <w:lang w:val="es-ES"/>
        </w:rPr>
      </w:pPr>
      <w:r w:rsidRPr="00466B13">
        <w:rPr>
          <w:lang w:val="es-ES"/>
        </w:rPr>
        <w:t xml:space="preserve">La etapa II del plan de gestión de eliminación de HCFC </w:t>
      </w:r>
      <w:r w:rsidR="00F00DB0">
        <w:rPr>
          <w:lang w:val="es-ES"/>
        </w:rPr>
        <w:t>abarcó</w:t>
      </w:r>
      <w:r w:rsidRPr="00466B13">
        <w:rPr>
          <w:lang w:val="es-ES"/>
        </w:rPr>
        <w:t xml:space="preserve"> las conversiones de siete empresas de fabricación de </w:t>
      </w:r>
      <w:r w:rsidR="00F00DB0">
        <w:rPr>
          <w:lang w:val="es-ES"/>
        </w:rPr>
        <w:t>termos</w:t>
      </w:r>
      <w:r w:rsidRPr="00466B13">
        <w:rPr>
          <w:lang w:val="es-ES"/>
        </w:rPr>
        <w:t xml:space="preserve"> de poliuretano para la eliminación de 34,06 toneladas PAO, y cuatro empresas de fabricación de paneles discontinuos, para la eliminación de 24,64 toneladas PAO.  Los contratos de las siete empresas de </w:t>
      </w:r>
      <w:r w:rsidR="00F00DB0">
        <w:rPr>
          <w:lang w:val="es-ES"/>
        </w:rPr>
        <w:t>termos</w:t>
      </w:r>
      <w:r w:rsidRPr="00466B13">
        <w:rPr>
          <w:lang w:val="es-ES"/>
        </w:rPr>
        <w:t xml:space="preserve"> se firmaron de acuerdo con los procedimientos de la ONUDI.  Se finalizó la adquisición de equipos (esto es, máquinas espumadoras </w:t>
      </w:r>
      <w:r w:rsidR="00E50D3D">
        <w:rPr>
          <w:lang w:val="es-ES"/>
        </w:rPr>
        <w:t>a pequeñas dosis</w:t>
      </w:r>
      <w:r w:rsidRPr="00466B13">
        <w:rPr>
          <w:lang w:val="es-ES"/>
        </w:rPr>
        <w:t xml:space="preserve"> de alta presión, incluidos paneles de control y enfriadores), y se suministraron; actualmente, se están instalando.  El proveedor de equipos se encargará de la ejecución, </w:t>
      </w:r>
      <w:r w:rsidR="00721636">
        <w:rPr>
          <w:lang w:val="es-ES"/>
        </w:rPr>
        <w:t xml:space="preserve">la </w:t>
      </w:r>
      <w:r w:rsidRPr="00466B13">
        <w:rPr>
          <w:lang w:val="es-ES"/>
        </w:rPr>
        <w:t xml:space="preserve">puesta en marcha y </w:t>
      </w:r>
      <w:r w:rsidR="00F00DB0">
        <w:rPr>
          <w:lang w:val="es-ES"/>
        </w:rPr>
        <w:t xml:space="preserve">la </w:t>
      </w:r>
      <w:r w:rsidRPr="00466B13">
        <w:rPr>
          <w:lang w:val="es-ES"/>
        </w:rPr>
        <w:t xml:space="preserve">capacitación antes de mayo de 2019. Se </w:t>
      </w:r>
      <w:r w:rsidR="00721636">
        <w:rPr>
          <w:lang w:val="es-ES"/>
        </w:rPr>
        <w:t>ha llevado</w:t>
      </w:r>
      <w:r w:rsidRPr="00466B13">
        <w:rPr>
          <w:lang w:val="es-ES"/>
        </w:rPr>
        <w:t xml:space="preserve"> a cabo el proceso de licitación para el equipo principal y los accesorios de las cuatro empresas de paneles discontinuos; la compra se retrasó por razones técnicas relacionadas con las especificaciones finales del equipo; se prevé su finalización antes del término del primer semestre de 2019.</w:t>
      </w:r>
    </w:p>
    <w:p w:rsidR="00466B13" w:rsidRPr="00466B13" w:rsidRDefault="00466B13" w:rsidP="00466B13">
      <w:pPr>
        <w:rPr>
          <w:i/>
          <w:lang w:val="es-ES"/>
        </w:rPr>
      </w:pPr>
      <w:r w:rsidRPr="00466B13">
        <w:rPr>
          <w:i/>
          <w:iCs/>
          <w:lang w:val="es-ES"/>
        </w:rPr>
        <w:t>Sector de espuma</w:t>
      </w:r>
      <w:r w:rsidR="00F00DB0">
        <w:rPr>
          <w:i/>
          <w:iCs/>
          <w:lang w:val="es-ES"/>
        </w:rPr>
        <w:t>s</w:t>
      </w:r>
      <w:r w:rsidRPr="00466B13">
        <w:rPr>
          <w:i/>
          <w:iCs/>
          <w:lang w:val="es-ES"/>
        </w:rPr>
        <w:t xml:space="preserve"> de poliestireno extruido</w:t>
      </w:r>
    </w:p>
    <w:p w:rsidR="00466B13" w:rsidRPr="00466B13" w:rsidRDefault="00466B13" w:rsidP="00466B13">
      <w:pPr>
        <w:rPr>
          <w:lang w:val="es-ES"/>
        </w:rPr>
      </w:pPr>
    </w:p>
    <w:p w:rsidR="00466B13" w:rsidRPr="00466B13" w:rsidRDefault="00466B13" w:rsidP="00466B13">
      <w:pPr>
        <w:pStyle w:val="Heading1"/>
        <w:rPr>
          <w:u w:val="single"/>
          <w:lang w:val="es-ES"/>
        </w:rPr>
      </w:pPr>
      <w:r w:rsidRPr="00466B13">
        <w:rPr>
          <w:lang w:val="es-ES"/>
        </w:rPr>
        <w:t>En consonancia con la decisión 76/39(f)</w:t>
      </w:r>
      <w:r w:rsidRPr="00466B13">
        <w:rPr>
          <w:rStyle w:val="FootnoteReference"/>
          <w:lang w:val="es-ES"/>
        </w:rPr>
        <w:footnoteReference w:id="5"/>
      </w:r>
      <w:r w:rsidRPr="00466B13">
        <w:rPr>
          <w:lang w:val="es-ES"/>
        </w:rPr>
        <w:t>, la ONUDI presentó también un proyecto para la eliminación de 76,68 toneladas métricas (4,68 toneladas PAO) de</w:t>
      </w:r>
      <w:r w:rsidR="00F00DB0">
        <w:rPr>
          <w:lang w:val="es-ES"/>
        </w:rPr>
        <w:t>l</w:t>
      </w:r>
      <w:r w:rsidRPr="00466B13">
        <w:rPr>
          <w:lang w:val="es-ES"/>
        </w:rPr>
        <w:t xml:space="preserve"> HCFC-142b y de</w:t>
      </w:r>
      <w:r w:rsidR="00F00DB0">
        <w:rPr>
          <w:lang w:val="es-ES"/>
        </w:rPr>
        <w:t>l</w:t>
      </w:r>
      <w:r w:rsidRPr="00466B13">
        <w:rPr>
          <w:lang w:val="es-ES"/>
        </w:rPr>
        <w:t xml:space="preserve"> HCFC-22, mediante la conversión de una empresa de espumas XPS (Symbol Industry)</w:t>
      </w:r>
      <w:r w:rsidRPr="00466B13">
        <w:rPr>
          <w:b/>
          <w:bCs/>
          <w:lang w:val="es-ES"/>
        </w:rPr>
        <w:t xml:space="preserve"> </w:t>
      </w:r>
      <w:r w:rsidRPr="00466B13">
        <w:rPr>
          <w:lang w:val="es-ES"/>
        </w:rPr>
        <w:t>a éter dimetílico, anhídrido carbónico (CO</w:t>
      </w:r>
      <w:r w:rsidRPr="00F00DB0">
        <w:rPr>
          <w:vertAlign w:val="subscript"/>
          <w:lang w:val="es-ES"/>
        </w:rPr>
        <w:t>2</w:t>
      </w:r>
      <w:r w:rsidRPr="00466B13">
        <w:rPr>
          <w:lang w:val="es-ES"/>
        </w:rPr>
        <w:t>) e hidrofluoroolefinas (HFO). El costo total del proyecto presentado ascendió a 871 527 $ EUA (costos adicionales de capital por valor de 694 700 $ EUA, y costos adicionales de explotación, por valor de 107 357 $ EUA), más gastos de apoyo para la ONUDI.  La relación costo-eficacia del proyecto presentado fue de $ EUA 11,36/kg</w:t>
      </w:r>
      <w:r w:rsidRPr="00466B13">
        <w:rPr>
          <w:rStyle w:val="FootnoteReference"/>
          <w:lang w:val="es-ES"/>
        </w:rPr>
        <w:footnoteReference w:id="6"/>
      </w:r>
      <w:r w:rsidR="00F00DB0">
        <w:rPr>
          <w:lang w:val="es-ES"/>
        </w:rPr>
        <w:t>.</w:t>
      </w:r>
    </w:p>
    <w:p w:rsidR="00466B13" w:rsidRPr="00466B13" w:rsidRDefault="00466B13" w:rsidP="00466B13">
      <w:pPr>
        <w:keepNext/>
        <w:spacing w:after="240"/>
        <w:rPr>
          <w:i/>
          <w:lang w:val="es-ES"/>
        </w:rPr>
      </w:pPr>
      <w:r w:rsidRPr="00466B13">
        <w:rPr>
          <w:i/>
          <w:iCs/>
          <w:lang w:val="es-ES"/>
        </w:rPr>
        <w:t>Sector de servicio y mantenimiento de equipos de refrigeración</w:t>
      </w:r>
    </w:p>
    <w:p w:rsidR="00466B13" w:rsidRPr="00466B13" w:rsidRDefault="00466B13" w:rsidP="00466B13">
      <w:pPr>
        <w:pStyle w:val="Heading1"/>
        <w:rPr>
          <w:lang w:val="es-ES"/>
        </w:rPr>
      </w:pPr>
      <w:r w:rsidRPr="00466B13">
        <w:rPr>
          <w:lang w:val="es-ES"/>
        </w:rPr>
        <w:t xml:space="preserve">Se </w:t>
      </w:r>
      <w:r w:rsidR="00F00DB0">
        <w:rPr>
          <w:lang w:val="es-ES"/>
        </w:rPr>
        <w:t>ha impartido</w:t>
      </w:r>
      <w:r w:rsidRPr="00466B13">
        <w:rPr>
          <w:lang w:val="es-ES"/>
        </w:rPr>
        <w:t xml:space="preserve"> capacitación sobre tecnologías incipientes y la manipulación segura y el almacenamiento de refrigerantes inflamables a 91 técnicos; se ha redactado el Código de Prácticas sobre manipulación de refrigerantes para técnicos de servicio y mantenimiento y talleres y, actualmente, lo está revisando un Comité Técnico; asimismo, se ha iniciado la adquisición de equipos y herramientas de capacitación (por ej., bombas de vacío, </w:t>
      </w:r>
      <w:r w:rsidR="009F699C">
        <w:rPr>
          <w:lang w:val="es-ES"/>
        </w:rPr>
        <w:t>unidades</w:t>
      </w:r>
      <w:r w:rsidRPr="00466B13">
        <w:rPr>
          <w:lang w:val="es-ES"/>
        </w:rPr>
        <w:t xml:space="preserve"> para </w:t>
      </w:r>
      <w:r w:rsidR="009F699C">
        <w:rPr>
          <w:lang w:val="es-ES"/>
        </w:rPr>
        <w:t xml:space="preserve">la </w:t>
      </w:r>
      <w:r w:rsidRPr="00466B13">
        <w:rPr>
          <w:lang w:val="es-ES"/>
        </w:rPr>
        <w:t xml:space="preserve">recuperación de fluido frigorífico, detectores de fugas para hidrocarburos) para la Comisión Nacional de Capacitación Profesional y Técnica. Se está revisando el programa de capacitación para técnicos de servicio y mantenimiento de equipos de refrigeración y aire acondicionado, a fin de incluir información sobre nuevos refrigerantes y tecnologías conexas, así como la manipulación segura de refrigerantes inflamables. La ejecución piloto del programa de certificación para técnicos se está poniendo en marcha actualmente, junto con la Comisión de Enseñanza Técnica de Sindh (SBTE), y </w:t>
      </w:r>
      <w:r w:rsidR="004C5009">
        <w:rPr>
          <w:lang w:val="es-ES"/>
        </w:rPr>
        <w:t>en relación</w:t>
      </w:r>
      <w:r w:rsidRPr="00466B13">
        <w:rPr>
          <w:lang w:val="es-ES"/>
        </w:rPr>
        <w:t xml:space="preserve"> con la revisión del programa de capacitación en servicio y mantenimiento de equipos de refrigeración y aire acondicionado (RAC). El sistema de certificación se ha concebido con el fin de adaptarlo al proceso nacional de ejecución del Marco para Calificaciones</w:t>
      </w:r>
      <w:r w:rsidR="009F699C">
        <w:rPr>
          <w:lang w:val="es-ES"/>
        </w:rPr>
        <w:t xml:space="preserve"> Profesionales</w:t>
      </w:r>
      <w:r w:rsidRPr="00466B13">
        <w:rPr>
          <w:lang w:val="es-ES"/>
        </w:rPr>
        <w:t xml:space="preserve">. </w:t>
      </w:r>
    </w:p>
    <w:p w:rsidR="00466B13" w:rsidRPr="00466B13" w:rsidRDefault="00466B13" w:rsidP="00466B13">
      <w:pPr>
        <w:pStyle w:val="Heading1"/>
        <w:rPr>
          <w:lang w:val="es-ES"/>
        </w:rPr>
      </w:pPr>
      <w:r w:rsidRPr="00466B13">
        <w:rPr>
          <w:lang w:val="es-ES"/>
        </w:rPr>
        <w:t xml:space="preserve">Con el fin de promover tecnologías alternativas al bajo potencial de calentamiento global y la manipulación y el almacenamiento de refrigerantes inflamables, se han llevado a cabo reuniones de </w:t>
      </w:r>
      <w:r w:rsidRPr="00466B13">
        <w:rPr>
          <w:lang w:val="es-ES"/>
        </w:rPr>
        <w:lastRenderedPageBreak/>
        <w:t xml:space="preserve">sensibilización; la Guía sobre refrigerantes inflamables del PNUMA se ha traducido al idioma local y se ha distribuido a los técnicos. </w:t>
      </w:r>
    </w:p>
    <w:p w:rsidR="00466B13" w:rsidRPr="00466B13" w:rsidRDefault="00466B13" w:rsidP="00466B13">
      <w:pPr>
        <w:spacing w:after="240"/>
        <w:rPr>
          <w:i/>
          <w:lang w:val="es-ES"/>
        </w:rPr>
      </w:pPr>
      <w:r w:rsidRPr="00466B13">
        <w:rPr>
          <w:i/>
          <w:iCs/>
          <w:lang w:val="es-ES"/>
        </w:rPr>
        <w:t xml:space="preserve">Dependencia de </w:t>
      </w:r>
      <w:r w:rsidR="00854D07">
        <w:rPr>
          <w:i/>
          <w:iCs/>
          <w:lang w:val="es-ES"/>
        </w:rPr>
        <w:t>ejecución</w:t>
      </w:r>
      <w:r w:rsidRPr="00466B13">
        <w:rPr>
          <w:i/>
          <w:iCs/>
          <w:lang w:val="es-ES"/>
        </w:rPr>
        <w:t xml:space="preserve"> y </w:t>
      </w:r>
      <w:r w:rsidR="00854D07">
        <w:rPr>
          <w:i/>
          <w:iCs/>
          <w:lang w:val="es-ES"/>
        </w:rPr>
        <w:t>supervisión</w:t>
      </w:r>
      <w:r w:rsidRPr="00466B13">
        <w:rPr>
          <w:i/>
          <w:iCs/>
          <w:lang w:val="es-ES"/>
        </w:rPr>
        <w:t xml:space="preserve"> de proyectos</w:t>
      </w:r>
    </w:p>
    <w:p w:rsidR="00466B13" w:rsidRPr="00466B13" w:rsidRDefault="00466B13" w:rsidP="00466B13">
      <w:pPr>
        <w:pStyle w:val="Heading1"/>
        <w:rPr>
          <w:lang w:val="es-ES"/>
        </w:rPr>
      </w:pPr>
      <w:r w:rsidRPr="00466B13">
        <w:rPr>
          <w:lang w:val="es-ES"/>
        </w:rPr>
        <w:t xml:space="preserve">La Dependencia Nacional del Ozono/Célula Nacional del Ozono, en el Ministerio de Cambio Climático, es la encargada de la gestión, coordinación, evaluación y supervisión del proyecto.  Asimismo, se encarga de facilitar la comunicación entre las principales partes interesadas y de aumentar la sensibilización sobre las cuestiones relativas a las SAO entre las instancias decisorias.  La Dependencia Nacional del Ozono contrató a un asesor para apoyar la ejecución de las actividades relacionadas con el componente del PNUMA en el plan de gestión de eliminación de HCFC. </w:t>
      </w:r>
    </w:p>
    <w:p w:rsidR="00466B13" w:rsidRPr="00466B13" w:rsidRDefault="00466B13" w:rsidP="00466B13">
      <w:pPr>
        <w:spacing w:after="240"/>
        <w:rPr>
          <w:u w:val="single"/>
          <w:lang w:val="es-ES"/>
        </w:rPr>
      </w:pPr>
      <w:r w:rsidRPr="00466B13">
        <w:rPr>
          <w:u w:val="single"/>
          <w:lang w:val="es-ES"/>
        </w:rPr>
        <w:t>Nivel de desembolso de los fondos</w:t>
      </w:r>
    </w:p>
    <w:p w:rsidR="00466B13" w:rsidRPr="00466B13" w:rsidRDefault="00466B13" w:rsidP="00466B13">
      <w:pPr>
        <w:pStyle w:val="Heading1"/>
        <w:rPr>
          <w:lang w:val="es-ES"/>
        </w:rPr>
      </w:pPr>
      <w:r w:rsidRPr="00466B13">
        <w:rPr>
          <w:lang w:val="es-ES"/>
        </w:rPr>
        <w:t xml:space="preserve">Desde marzo de 2019, de los 2 550 200 $ EUA aprobados hasta la fecha (2 350 200 $ EUA, para la ONUDI y 200 000 $ EUA, para el PNUMA), se han desembolsado 619 469 $ EUA (24%) (487 469 $ EUA, para la ONUDI y 132 000 $ EUA, para el PNUMA). El saldo de 1 930 731 $ EUA se desembolsará en </w:t>
      </w:r>
      <w:r w:rsidR="00E10FC0">
        <w:rPr>
          <w:lang w:val="es-ES"/>
        </w:rPr>
        <w:t xml:space="preserve">el período </w:t>
      </w:r>
      <w:r w:rsidRPr="00466B13">
        <w:rPr>
          <w:lang w:val="es-ES"/>
        </w:rPr>
        <w:t>2019-2020.</w:t>
      </w:r>
    </w:p>
    <w:p w:rsidR="00466B13" w:rsidRPr="00C62824" w:rsidRDefault="00466B13" w:rsidP="00466B13">
      <w:pPr>
        <w:spacing w:after="240"/>
        <w:rPr>
          <w:u w:val="single"/>
          <w:lang w:val="es-ES"/>
        </w:rPr>
      </w:pPr>
      <w:r w:rsidRPr="00C62824">
        <w:rPr>
          <w:u w:val="single"/>
          <w:lang w:val="es-ES"/>
        </w:rPr>
        <w:t xml:space="preserve">Plan de </w:t>
      </w:r>
      <w:r w:rsidR="00C62824">
        <w:rPr>
          <w:u w:val="single"/>
          <w:lang w:val="es-ES"/>
        </w:rPr>
        <w:t>ejecución</w:t>
      </w:r>
      <w:r w:rsidRPr="00C62824">
        <w:rPr>
          <w:u w:val="single"/>
          <w:lang w:val="es-ES"/>
        </w:rPr>
        <w:t xml:space="preserve"> del segundo tramo del plan de </w:t>
      </w:r>
      <w:r w:rsidR="00C62824">
        <w:rPr>
          <w:u w:val="single"/>
          <w:lang w:val="es-ES"/>
        </w:rPr>
        <w:t>gestión</w:t>
      </w:r>
      <w:r w:rsidRPr="00C62824">
        <w:rPr>
          <w:u w:val="single"/>
          <w:lang w:val="es-ES"/>
        </w:rPr>
        <w:t xml:space="preserve"> de </w:t>
      </w:r>
      <w:r w:rsidR="00C62824">
        <w:rPr>
          <w:u w:val="single"/>
          <w:lang w:val="es-ES"/>
        </w:rPr>
        <w:t>eliminación</w:t>
      </w:r>
      <w:r w:rsidRPr="00C62824">
        <w:rPr>
          <w:u w:val="single"/>
          <w:lang w:val="es-ES"/>
        </w:rPr>
        <w:t xml:space="preserve"> de HCFC</w:t>
      </w:r>
    </w:p>
    <w:p w:rsidR="00466B13" w:rsidRPr="00466B13" w:rsidRDefault="00466B13" w:rsidP="00466B13">
      <w:pPr>
        <w:pStyle w:val="Heading1"/>
        <w:rPr>
          <w:lang w:val="es-ES"/>
        </w:rPr>
      </w:pPr>
      <w:r w:rsidRPr="00466B13">
        <w:rPr>
          <w:lang w:val="es-ES"/>
        </w:rPr>
        <w:t>Entre junio de 2019 y diciembre de 2020</w:t>
      </w:r>
      <w:r w:rsidRPr="00466B13">
        <w:rPr>
          <w:rStyle w:val="FootnoteReference"/>
          <w:lang w:val="es-ES"/>
        </w:rPr>
        <w:footnoteReference w:id="7"/>
      </w:r>
      <w:r w:rsidR="009F699C">
        <w:rPr>
          <w:lang w:val="es-ES"/>
        </w:rPr>
        <w:t xml:space="preserve">, </w:t>
      </w:r>
      <w:r w:rsidR="009F699C" w:rsidRPr="00466B13">
        <w:rPr>
          <w:lang w:val="es-ES"/>
        </w:rPr>
        <w:t>se llevarán a cabo las actividades siguientes:</w:t>
      </w:r>
    </w:p>
    <w:p w:rsidR="00466B13" w:rsidRPr="00466B13" w:rsidRDefault="00466B13" w:rsidP="00466B13">
      <w:pPr>
        <w:pStyle w:val="Heading2"/>
        <w:keepNext/>
        <w:keepLines/>
        <w:rPr>
          <w:lang w:val="es-ES"/>
        </w:rPr>
      </w:pPr>
      <w:r w:rsidRPr="00466B13">
        <w:rPr>
          <w:i/>
          <w:iCs/>
          <w:lang w:val="es-ES"/>
        </w:rPr>
        <w:t xml:space="preserve">Sector de </w:t>
      </w:r>
      <w:r w:rsidR="004B2EAB">
        <w:rPr>
          <w:i/>
          <w:iCs/>
          <w:lang w:val="es-ES"/>
        </w:rPr>
        <w:t>fabricación</w:t>
      </w:r>
      <w:r w:rsidRPr="00466B13">
        <w:rPr>
          <w:i/>
          <w:iCs/>
          <w:lang w:val="es-ES"/>
        </w:rPr>
        <w:t xml:space="preserve"> de unidades de aire acondicionado</w:t>
      </w:r>
      <w:r w:rsidR="009F699C">
        <w:rPr>
          <w:i/>
          <w:iCs/>
          <w:lang w:val="es-ES"/>
        </w:rPr>
        <w:t>:</w:t>
      </w:r>
      <w:r w:rsidRPr="00466B13">
        <w:rPr>
          <w:lang w:val="es-ES"/>
        </w:rPr>
        <w:t xml:space="preserve"> Conversión de una empresa admisible en el sector de fabricación de unidades de aire acondicionado (Dawlance Industry), de</w:t>
      </w:r>
      <w:r w:rsidR="009F699C">
        <w:rPr>
          <w:lang w:val="es-ES"/>
        </w:rPr>
        <w:t>l</w:t>
      </w:r>
      <w:r w:rsidRPr="00466B13">
        <w:rPr>
          <w:lang w:val="es-ES"/>
        </w:rPr>
        <w:t xml:space="preserve"> HCFC-22 a la tecnología R-290 (ONUDI) (1 115 000 $ EUA);</w:t>
      </w:r>
    </w:p>
    <w:p w:rsidR="00466B13" w:rsidRPr="00466B13" w:rsidRDefault="00466B13" w:rsidP="00466B13">
      <w:pPr>
        <w:pStyle w:val="Heading2"/>
        <w:rPr>
          <w:lang w:val="es-ES"/>
        </w:rPr>
      </w:pPr>
      <w:r w:rsidRPr="00466B13">
        <w:rPr>
          <w:i/>
          <w:iCs/>
          <w:lang w:val="es-ES"/>
        </w:rPr>
        <w:t xml:space="preserve">Sector de </w:t>
      </w:r>
      <w:r w:rsidR="004B2EAB">
        <w:rPr>
          <w:i/>
          <w:iCs/>
          <w:lang w:val="es-ES"/>
        </w:rPr>
        <w:t>fabricación</w:t>
      </w:r>
      <w:r w:rsidRPr="00466B13">
        <w:rPr>
          <w:i/>
          <w:iCs/>
          <w:lang w:val="es-ES"/>
        </w:rPr>
        <w:t xml:space="preserve"> de espumas de poliuretano</w:t>
      </w:r>
      <w:r w:rsidR="009F699C">
        <w:rPr>
          <w:i/>
          <w:iCs/>
          <w:lang w:val="es-ES"/>
        </w:rPr>
        <w:t>:</w:t>
      </w:r>
      <w:r w:rsidRPr="00466B13">
        <w:rPr>
          <w:lang w:val="es-ES"/>
        </w:rPr>
        <w:t xml:space="preserve"> Finalización de la conversión de las siete empresas de termos; adquisición e instalación total de los equipos de las cuatro empresas de paneles discontinuos de poliuretano, con el propósito de finalizar la conversión (ONUDI) (570 352 $ EUA, más fondos del tramo anterior); </w:t>
      </w:r>
    </w:p>
    <w:p w:rsidR="00466B13" w:rsidRPr="00466B13" w:rsidRDefault="00466B13" w:rsidP="00466B13">
      <w:pPr>
        <w:pStyle w:val="Heading2"/>
        <w:rPr>
          <w:lang w:val="es-ES"/>
        </w:rPr>
      </w:pPr>
      <w:r w:rsidRPr="00466B13">
        <w:rPr>
          <w:i/>
          <w:iCs/>
          <w:lang w:val="es-ES"/>
        </w:rPr>
        <w:t>Sector de servicio y mantenimiento de equipos de refrigeración</w:t>
      </w:r>
      <w:r w:rsidR="009F699C">
        <w:rPr>
          <w:i/>
          <w:iCs/>
          <w:lang w:val="es-ES"/>
        </w:rPr>
        <w:t>:</w:t>
      </w:r>
      <w:r w:rsidRPr="00466B13">
        <w:rPr>
          <w:lang w:val="es-ES"/>
        </w:rPr>
        <w:t xml:space="preserve"> Capacitación de 100 oficiales de aduanas y agentes del orden sobre la prevención del comercio ilícito de SAO; capacitación de otros 500 técnicos sobre nuevas tecnologías, así como la manipulación segura y el almacenamiento de refrigerantes inflamables; dos talleres de programas de extensión y certificación en otras provincias (por ej., Khyber Pakhtunkhwa y Gilgit Baltistan); la traducción de una guía breve sobre refrigerantes inflamables a idiomas locales; talleres de consultas sobre la finalización del Código de Prácticas y el Procedimiento Operativo Estándar de los talleres de servicio y mantenimiento para la manipulación de refrigerantes inflamables; actividades de concienciación para el público y la industria pertinente sobre la manipulación segura y el uso de refrigerantes inflamables (PNUMA) (170 000 $ EUA, más fondos del tramo anterior); y</w:t>
      </w:r>
    </w:p>
    <w:p w:rsidR="00466B13" w:rsidRPr="00466B13" w:rsidRDefault="00466B13" w:rsidP="00466B13">
      <w:pPr>
        <w:pStyle w:val="Heading2"/>
        <w:rPr>
          <w:lang w:val="es-ES"/>
        </w:rPr>
      </w:pPr>
      <w:r w:rsidRPr="00466B13">
        <w:rPr>
          <w:lang w:val="es-ES"/>
        </w:rPr>
        <w:t>Coordinación, gestión y supervisión del proyecto (PNUMA, 30 000 $ EUA; y la ONUDI, 294 500 $ EUA).</w:t>
      </w:r>
      <w:r w:rsidR="00A55AEE">
        <w:rPr>
          <w:lang w:val="es-ES"/>
        </w:rPr>
        <w:t xml:space="preserve"> </w:t>
      </w:r>
    </w:p>
    <w:p w:rsidR="004B2EAB" w:rsidRDefault="004B2EAB" w:rsidP="00466B13">
      <w:pPr>
        <w:keepNext/>
        <w:spacing w:after="240"/>
        <w:jc w:val="center"/>
        <w:rPr>
          <w:b/>
          <w:bCs/>
          <w:lang w:val="es-ES"/>
        </w:rPr>
      </w:pPr>
    </w:p>
    <w:p w:rsidR="00466B13" w:rsidRPr="00466B13" w:rsidRDefault="00466B13" w:rsidP="00466B13">
      <w:pPr>
        <w:keepNext/>
        <w:spacing w:after="240"/>
        <w:jc w:val="center"/>
        <w:rPr>
          <w:b/>
          <w:lang w:val="es-ES"/>
        </w:rPr>
      </w:pPr>
      <w:r w:rsidRPr="00466B13">
        <w:rPr>
          <w:b/>
          <w:bCs/>
          <w:lang w:val="es-ES"/>
        </w:rPr>
        <w:t xml:space="preserve">OBSERVACIONES Y RECOMENDACIÓN DE LA SECRETARÍA </w:t>
      </w:r>
    </w:p>
    <w:p w:rsidR="00466B13" w:rsidRPr="00466B13" w:rsidRDefault="00466B13" w:rsidP="00466B13">
      <w:pPr>
        <w:keepNext/>
        <w:spacing w:after="240"/>
        <w:rPr>
          <w:b/>
          <w:lang w:val="es-ES"/>
        </w:rPr>
      </w:pPr>
      <w:r w:rsidRPr="00466B13">
        <w:rPr>
          <w:b/>
          <w:bCs/>
          <w:lang w:val="es-ES"/>
        </w:rPr>
        <w:t>OBSERVACIONES</w:t>
      </w:r>
    </w:p>
    <w:p w:rsidR="00466B13" w:rsidRPr="00466B13" w:rsidRDefault="00466B13" w:rsidP="00466B13">
      <w:pPr>
        <w:rPr>
          <w:u w:val="single"/>
          <w:lang w:val="es-ES"/>
        </w:rPr>
      </w:pPr>
      <w:r w:rsidRPr="00466B13">
        <w:rPr>
          <w:u w:val="single"/>
          <w:lang w:val="es-ES"/>
        </w:rPr>
        <w:t>Revisión del punto de partida y modificación al Acuerdo</w:t>
      </w:r>
    </w:p>
    <w:p w:rsidR="00466B13" w:rsidRPr="00466B13" w:rsidRDefault="00466B13" w:rsidP="00466B13">
      <w:pPr>
        <w:rPr>
          <w:u w:val="single"/>
          <w:lang w:val="es-ES"/>
        </w:rPr>
      </w:pPr>
    </w:p>
    <w:p w:rsidR="00466B13" w:rsidRPr="00466B13" w:rsidRDefault="00466B13" w:rsidP="00466B13">
      <w:pPr>
        <w:pStyle w:val="Heading1"/>
        <w:rPr>
          <w:lang w:val="es-ES"/>
        </w:rPr>
      </w:pPr>
      <w:r w:rsidRPr="00466B13">
        <w:rPr>
          <w:lang w:val="es-ES"/>
        </w:rPr>
        <w:t>La Secretaría tomó nota de que la Reunión de las Partes en el Protocolo de Montreal había revisado el nivel básico de cumplimiento de los HCFC del Pakistán</w:t>
      </w:r>
      <w:r w:rsidRPr="00466B13">
        <w:rPr>
          <w:rStyle w:val="FootnoteReference"/>
          <w:lang w:val="es-ES"/>
        </w:rPr>
        <w:footnoteReference w:id="8"/>
      </w:r>
      <w:r w:rsidRPr="00466B13">
        <w:rPr>
          <w:lang w:val="es-ES"/>
        </w:rPr>
        <w:t>, para incluir el HCFC-142b, como se indica en el Cuadro 2.</w:t>
      </w:r>
    </w:p>
    <w:p w:rsidR="00466B13" w:rsidRPr="00466B13" w:rsidRDefault="00466B13" w:rsidP="00466B13">
      <w:pPr>
        <w:rPr>
          <w:b/>
          <w:szCs w:val="20"/>
          <w:lang w:val="es-ES"/>
        </w:rPr>
      </w:pPr>
      <w:r w:rsidRPr="00466B13">
        <w:rPr>
          <w:b/>
          <w:bCs/>
          <w:lang w:val="es-ES"/>
        </w:rPr>
        <w:t>Cuadro 2: Revisión del nivel básico de cumplimiento del Pakistán</w:t>
      </w:r>
    </w:p>
    <w:tbl>
      <w:tblPr>
        <w:tblStyle w:val="TableGrid"/>
        <w:tblW w:w="5000" w:type="pct"/>
        <w:tblLook w:val="04A0" w:firstRow="1" w:lastRow="0" w:firstColumn="1" w:lastColumn="0" w:noHBand="0" w:noVBand="1"/>
      </w:tblPr>
      <w:tblGrid>
        <w:gridCol w:w="1875"/>
        <w:gridCol w:w="1440"/>
        <w:gridCol w:w="1311"/>
        <w:gridCol w:w="1182"/>
        <w:gridCol w:w="1182"/>
        <w:gridCol w:w="1182"/>
        <w:gridCol w:w="1178"/>
      </w:tblGrid>
      <w:tr w:rsidR="00466B13" w:rsidRPr="00BC2314" w:rsidTr="00F863FF">
        <w:trPr>
          <w:trHeight w:val="300"/>
        </w:trPr>
        <w:tc>
          <w:tcPr>
            <w:tcW w:w="1003" w:type="pct"/>
            <w:vMerge w:val="restart"/>
            <w:vAlign w:val="center"/>
            <w:hideMark/>
          </w:tcPr>
          <w:p w:rsidR="00466B13" w:rsidRPr="00466B13" w:rsidRDefault="00466B13" w:rsidP="00F863FF">
            <w:pPr>
              <w:jc w:val="center"/>
              <w:rPr>
                <w:b/>
                <w:iCs/>
                <w:sz w:val="20"/>
                <w:szCs w:val="20"/>
                <w:lang w:val="es-ES"/>
              </w:rPr>
            </w:pPr>
            <w:r w:rsidRPr="00466B13">
              <w:rPr>
                <w:b/>
                <w:bCs/>
                <w:iCs/>
                <w:sz w:val="20"/>
                <w:szCs w:val="20"/>
                <w:lang w:val="es-ES"/>
              </w:rPr>
              <w:t>Sustancia</w:t>
            </w:r>
          </w:p>
        </w:tc>
        <w:tc>
          <w:tcPr>
            <w:tcW w:w="2103" w:type="pct"/>
            <w:gridSpan w:val="3"/>
            <w:hideMark/>
          </w:tcPr>
          <w:p w:rsidR="00466B13" w:rsidRPr="00466B13" w:rsidRDefault="00466B13" w:rsidP="00F863FF">
            <w:pPr>
              <w:jc w:val="center"/>
              <w:rPr>
                <w:b/>
                <w:iCs/>
                <w:sz w:val="20"/>
                <w:szCs w:val="20"/>
                <w:lang w:val="es-ES"/>
              </w:rPr>
            </w:pPr>
            <w:r w:rsidRPr="00466B13">
              <w:rPr>
                <w:b/>
                <w:bCs/>
                <w:iCs/>
                <w:sz w:val="20"/>
                <w:szCs w:val="20"/>
                <w:lang w:val="es-ES"/>
              </w:rPr>
              <w:t>Nivel básico anterior (toneladas PAO)</w:t>
            </w:r>
          </w:p>
        </w:tc>
        <w:tc>
          <w:tcPr>
            <w:tcW w:w="1894" w:type="pct"/>
            <w:gridSpan w:val="3"/>
            <w:hideMark/>
          </w:tcPr>
          <w:p w:rsidR="00466B13" w:rsidRPr="00466B13" w:rsidRDefault="00466B13" w:rsidP="00F863FF">
            <w:pPr>
              <w:jc w:val="center"/>
              <w:rPr>
                <w:b/>
                <w:iCs/>
                <w:sz w:val="20"/>
                <w:szCs w:val="20"/>
                <w:lang w:val="es-ES"/>
              </w:rPr>
            </w:pPr>
            <w:r w:rsidRPr="00466B13">
              <w:rPr>
                <w:b/>
                <w:bCs/>
                <w:iCs/>
                <w:sz w:val="20"/>
                <w:szCs w:val="20"/>
                <w:lang w:val="es-ES"/>
              </w:rPr>
              <w:t>Nivel básico revisado (toneladas PAO)</w:t>
            </w:r>
          </w:p>
        </w:tc>
      </w:tr>
      <w:tr w:rsidR="00466B13" w:rsidRPr="00466B13" w:rsidTr="00F863FF">
        <w:trPr>
          <w:trHeight w:val="300"/>
        </w:trPr>
        <w:tc>
          <w:tcPr>
            <w:tcW w:w="1003" w:type="pct"/>
            <w:vMerge/>
            <w:hideMark/>
          </w:tcPr>
          <w:p w:rsidR="00466B13" w:rsidRPr="00466B13" w:rsidRDefault="00466B13" w:rsidP="00F863FF">
            <w:pPr>
              <w:rPr>
                <w:i/>
                <w:iCs/>
                <w:sz w:val="20"/>
                <w:szCs w:val="20"/>
                <w:lang w:val="es-ES"/>
              </w:rPr>
            </w:pPr>
          </w:p>
        </w:tc>
        <w:tc>
          <w:tcPr>
            <w:tcW w:w="770" w:type="pct"/>
            <w:hideMark/>
          </w:tcPr>
          <w:p w:rsidR="00466B13" w:rsidRPr="00466B13" w:rsidRDefault="00466B13" w:rsidP="00F863FF">
            <w:pPr>
              <w:jc w:val="center"/>
              <w:rPr>
                <w:b/>
                <w:iCs/>
                <w:sz w:val="20"/>
                <w:szCs w:val="20"/>
                <w:lang w:val="es-ES"/>
              </w:rPr>
            </w:pPr>
            <w:r w:rsidRPr="00466B13">
              <w:rPr>
                <w:b/>
                <w:bCs/>
                <w:iCs/>
                <w:sz w:val="20"/>
                <w:szCs w:val="20"/>
                <w:lang w:val="es-ES"/>
              </w:rPr>
              <w:t>2009</w:t>
            </w:r>
          </w:p>
        </w:tc>
        <w:tc>
          <w:tcPr>
            <w:tcW w:w="701" w:type="pct"/>
            <w:hideMark/>
          </w:tcPr>
          <w:p w:rsidR="00466B13" w:rsidRPr="00466B13" w:rsidRDefault="00466B13" w:rsidP="00F863FF">
            <w:pPr>
              <w:jc w:val="center"/>
              <w:rPr>
                <w:b/>
                <w:iCs/>
                <w:sz w:val="20"/>
                <w:szCs w:val="20"/>
                <w:lang w:val="es-ES"/>
              </w:rPr>
            </w:pPr>
            <w:r w:rsidRPr="00466B13">
              <w:rPr>
                <w:b/>
                <w:bCs/>
                <w:iCs/>
                <w:sz w:val="20"/>
                <w:szCs w:val="20"/>
                <w:lang w:val="es-ES"/>
              </w:rPr>
              <w:t>2010</w:t>
            </w:r>
          </w:p>
        </w:tc>
        <w:tc>
          <w:tcPr>
            <w:tcW w:w="632" w:type="pct"/>
            <w:hideMark/>
          </w:tcPr>
          <w:p w:rsidR="00466B13" w:rsidRPr="00466B13" w:rsidRDefault="00466B13" w:rsidP="00F863FF">
            <w:pPr>
              <w:jc w:val="center"/>
              <w:rPr>
                <w:b/>
                <w:iCs/>
                <w:sz w:val="20"/>
                <w:szCs w:val="20"/>
                <w:lang w:val="es-ES"/>
              </w:rPr>
            </w:pPr>
            <w:r w:rsidRPr="00466B13">
              <w:rPr>
                <w:b/>
                <w:bCs/>
                <w:iCs/>
                <w:sz w:val="20"/>
                <w:szCs w:val="20"/>
                <w:lang w:val="es-ES"/>
              </w:rPr>
              <w:t>Nivel básico</w:t>
            </w:r>
          </w:p>
        </w:tc>
        <w:tc>
          <w:tcPr>
            <w:tcW w:w="632" w:type="pct"/>
            <w:hideMark/>
          </w:tcPr>
          <w:p w:rsidR="00466B13" w:rsidRPr="00466B13" w:rsidRDefault="00466B13" w:rsidP="00F863FF">
            <w:pPr>
              <w:jc w:val="center"/>
              <w:rPr>
                <w:b/>
                <w:iCs/>
                <w:sz w:val="20"/>
                <w:szCs w:val="20"/>
                <w:lang w:val="es-ES"/>
              </w:rPr>
            </w:pPr>
            <w:r w:rsidRPr="00466B13">
              <w:rPr>
                <w:b/>
                <w:bCs/>
                <w:iCs/>
                <w:sz w:val="20"/>
                <w:szCs w:val="20"/>
                <w:lang w:val="es-ES"/>
              </w:rPr>
              <w:t>2009</w:t>
            </w:r>
          </w:p>
        </w:tc>
        <w:tc>
          <w:tcPr>
            <w:tcW w:w="632" w:type="pct"/>
            <w:hideMark/>
          </w:tcPr>
          <w:p w:rsidR="00466B13" w:rsidRPr="00466B13" w:rsidRDefault="00466B13" w:rsidP="00F863FF">
            <w:pPr>
              <w:jc w:val="center"/>
              <w:rPr>
                <w:b/>
                <w:iCs/>
                <w:sz w:val="20"/>
                <w:szCs w:val="20"/>
                <w:lang w:val="es-ES"/>
              </w:rPr>
            </w:pPr>
            <w:r w:rsidRPr="00466B13">
              <w:rPr>
                <w:b/>
                <w:bCs/>
                <w:iCs/>
                <w:sz w:val="20"/>
                <w:szCs w:val="20"/>
                <w:lang w:val="es-ES"/>
              </w:rPr>
              <w:t>2010</w:t>
            </w:r>
          </w:p>
        </w:tc>
        <w:tc>
          <w:tcPr>
            <w:tcW w:w="630" w:type="pct"/>
            <w:hideMark/>
          </w:tcPr>
          <w:p w:rsidR="00466B13" w:rsidRPr="00466B13" w:rsidRDefault="00466B13" w:rsidP="00F863FF">
            <w:pPr>
              <w:jc w:val="center"/>
              <w:rPr>
                <w:b/>
                <w:iCs/>
                <w:sz w:val="20"/>
                <w:szCs w:val="20"/>
                <w:lang w:val="es-ES"/>
              </w:rPr>
            </w:pPr>
            <w:r w:rsidRPr="00466B13">
              <w:rPr>
                <w:b/>
                <w:bCs/>
                <w:iCs/>
                <w:sz w:val="20"/>
                <w:szCs w:val="20"/>
                <w:lang w:val="es-ES"/>
              </w:rPr>
              <w:t>Nivel básico</w:t>
            </w:r>
          </w:p>
        </w:tc>
      </w:tr>
      <w:tr w:rsidR="00466B13" w:rsidRPr="00466B13" w:rsidTr="00F863FF">
        <w:trPr>
          <w:trHeight w:val="300"/>
        </w:trPr>
        <w:tc>
          <w:tcPr>
            <w:tcW w:w="1003" w:type="pct"/>
            <w:hideMark/>
          </w:tcPr>
          <w:p w:rsidR="00466B13" w:rsidRPr="00466B13" w:rsidRDefault="00466B13" w:rsidP="00F863FF">
            <w:pPr>
              <w:rPr>
                <w:sz w:val="20"/>
                <w:szCs w:val="20"/>
                <w:lang w:val="es-ES"/>
              </w:rPr>
            </w:pPr>
            <w:r w:rsidRPr="00466B13">
              <w:rPr>
                <w:sz w:val="20"/>
                <w:szCs w:val="20"/>
                <w:lang w:val="es-ES"/>
              </w:rPr>
              <w:t>HCFC-141b</w:t>
            </w:r>
          </w:p>
        </w:tc>
        <w:tc>
          <w:tcPr>
            <w:tcW w:w="770" w:type="pct"/>
            <w:hideMark/>
          </w:tcPr>
          <w:p w:rsidR="00466B13" w:rsidRPr="00466B13" w:rsidRDefault="00466B13" w:rsidP="00F863FF">
            <w:pPr>
              <w:jc w:val="right"/>
              <w:rPr>
                <w:sz w:val="20"/>
                <w:szCs w:val="20"/>
                <w:lang w:val="es-ES"/>
              </w:rPr>
            </w:pPr>
            <w:r w:rsidRPr="00466B13">
              <w:rPr>
                <w:sz w:val="20"/>
                <w:szCs w:val="20"/>
                <w:lang w:val="es-ES"/>
              </w:rPr>
              <w:t>134,2</w:t>
            </w:r>
          </w:p>
        </w:tc>
        <w:tc>
          <w:tcPr>
            <w:tcW w:w="701" w:type="pct"/>
            <w:hideMark/>
          </w:tcPr>
          <w:p w:rsidR="00466B13" w:rsidRPr="00466B13" w:rsidRDefault="00466B13" w:rsidP="00F863FF">
            <w:pPr>
              <w:jc w:val="right"/>
              <w:rPr>
                <w:sz w:val="20"/>
                <w:szCs w:val="20"/>
                <w:lang w:val="es-ES"/>
              </w:rPr>
            </w:pPr>
            <w:r w:rsidRPr="00466B13">
              <w:rPr>
                <w:sz w:val="20"/>
                <w:szCs w:val="20"/>
                <w:lang w:val="es-ES"/>
              </w:rPr>
              <w:t>142,8</w:t>
            </w:r>
          </w:p>
        </w:tc>
        <w:tc>
          <w:tcPr>
            <w:tcW w:w="632" w:type="pct"/>
            <w:hideMark/>
          </w:tcPr>
          <w:p w:rsidR="00466B13" w:rsidRPr="00466B13" w:rsidRDefault="00466B13" w:rsidP="00F863FF">
            <w:pPr>
              <w:jc w:val="right"/>
              <w:rPr>
                <w:sz w:val="20"/>
                <w:szCs w:val="20"/>
                <w:lang w:val="es-ES"/>
              </w:rPr>
            </w:pPr>
            <w:r w:rsidRPr="00466B13">
              <w:rPr>
                <w:sz w:val="20"/>
                <w:szCs w:val="20"/>
                <w:lang w:val="es-ES"/>
              </w:rPr>
              <w:t>138,50</w:t>
            </w:r>
          </w:p>
        </w:tc>
        <w:tc>
          <w:tcPr>
            <w:tcW w:w="632" w:type="pct"/>
            <w:hideMark/>
          </w:tcPr>
          <w:p w:rsidR="00466B13" w:rsidRPr="00466B13" w:rsidRDefault="00466B13" w:rsidP="00F863FF">
            <w:pPr>
              <w:jc w:val="right"/>
              <w:rPr>
                <w:sz w:val="20"/>
                <w:szCs w:val="20"/>
                <w:lang w:val="es-ES"/>
              </w:rPr>
            </w:pPr>
            <w:r w:rsidRPr="00466B13">
              <w:rPr>
                <w:sz w:val="20"/>
                <w:szCs w:val="20"/>
                <w:lang w:val="es-ES"/>
              </w:rPr>
              <w:t>134,2</w:t>
            </w:r>
          </w:p>
        </w:tc>
        <w:tc>
          <w:tcPr>
            <w:tcW w:w="632" w:type="pct"/>
            <w:hideMark/>
          </w:tcPr>
          <w:p w:rsidR="00466B13" w:rsidRPr="00466B13" w:rsidRDefault="00466B13" w:rsidP="00F863FF">
            <w:pPr>
              <w:jc w:val="right"/>
              <w:rPr>
                <w:sz w:val="20"/>
                <w:szCs w:val="20"/>
                <w:lang w:val="es-ES"/>
              </w:rPr>
            </w:pPr>
            <w:r w:rsidRPr="00466B13">
              <w:rPr>
                <w:sz w:val="20"/>
                <w:szCs w:val="20"/>
                <w:lang w:val="es-ES"/>
              </w:rPr>
              <w:t>142,8</w:t>
            </w:r>
          </w:p>
        </w:tc>
        <w:tc>
          <w:tcPr>
            <w:tcW w:w="630" w:type="pct"/>
            <w:hideMark/>
          </w:tcPr>
          <w:p w:rsidR="00466B13" w:rsidRPr="00466B13" w:rsidRDefault="00466B13" w:rsidP="00F863FF">
            <w:pPr>
              <w:jc w:val="right"/>
              <w:rPr>
                <w:sz w:val="20"/>
                <w:szCs w:val="20"/>
                <w:lang w:val="es-ES"/>
              </w:rPr>
            </w:pPr>
            <w:r w:rsidRPr="00466B13">
              <w:rPr>
                <w:sz w:val="20"/>
                <w:szCs w:val="20"/>
                <w:lang w:val="es-ES"/>
              </w:rPr>
              <w:t>138,50</w:t>
            </w:r>
          </w:p>
        </w:tc>
      </w:tr>
      <w:tr w:rsidR="00466B13" w:rsidRPr="00466B13" w:rsidTr="00F863FF">
        <w:trPr>
          <w:trHeight w:val="290"/>
        </w:trPr>
        <w:tc>
          <w:tcPr>
            <w:tcW w:w="1003" w:type="pct"/>
            <w:hideMark/>
          </w:tcPr>
          <w:p w:rsidR="00466B13" w:rsidRPr="00466B13" w:rsidRDefault="00466B13" w:rsidP="00F863FF">
            <w:pPr>
              <w:rPr>
                <w:sz w:val="20"/>
                <w:szCs w:val="20"/>
                <w:lang w:val="es-ES"/>
              </w:rPr>
            </w:pPr>
            <w:r w:rsidRPr="00466B13">
              <w:rPr>
                <w:sz w:val="20"/>
                <w:szCs w:val="20"/>
                <w:lang w:val="es-ES"/>
              </w:rPr>
              <w:t>HCFC-142b</w:t>
            </w:r>
          </w:p>
        </w:tc>
        <w:tc>
          <w:tcPr>
            <w:tcW w:w="770" w:type="pct"/>
            <w:hideMark/>
          </w:tcPr>
          <w:p w:rsidR="00466B13" w:rsidRPr="00466B13" w:rsidRDefault="00466B13" w:rsidP="00F863FF">
            <w:pPr>
              <w:jc w:val="right"/>
              <w:rPr>
                <w:sz w:val="20"/>
                <w:szCs w:val="20"/>
                <w:lang w:val="es-ES"/>
              </w:rPr>
            </w:pPr>
            <w:r w:rsidRPr="00466B13">
              <w:rPr>
                <w:sz w:val="20"/>
                <w:szCs w:val="20"/>
                <w:lang w:val="es-ES"/>
              </w:rPr>
              <w:t>-</w:t>
            </w:r>
          </w:p>
        </w:tc>
        <w:tc>
          <w:tcPr>
            <w:tcW w:w="701" w:type="pct"/>
            <w:hideMark/>
          </w:tcPr>
          <w:p w:rsidR="00466B13" w:rsidRPr="00466B13" w:rsidRDefault="00466B13" w:rsidP="00F863FF">
            <w:pPr>
              <w:jc w:val="right"/>
              <w:rPr>
                <w:sz w:val="20"/>
                <w:szCs w:val="20"/>
                <w:lang w:val="es-ES"/>
              </w:rPr>
            </w:pPr>
            <w:r w:rsidRPr="00466B13">
              <w:rPr>
                <w:sz w:val="20"/>
                <w:szCs w:val="20"/>
                <w:lang w:val="es-ES"/>
              </w:rPr>
              <w:t>-</w:t>
            </w:r>
          </w:p>
        </w:tc>
        <w:tc>
          <w:tcPr>
            <w:tcW w:w="632" w:type="pct"/>
            <w:hideMark/>
          </w:tcPr>
          <w:p w:rsidR="00466B13" w:rsidRPr="00466B13" w:rsidRDefault="00466B13" w:rsidP="00F863FF">
            <w:pPr>
              <w:jc w:val="right"/>
              <w:rPr>
                <w:sz w:val="20"/>
                <w:szCs w:val="20"/>
                <w:lang w:val="es-ES"/>
              </w:rPr>
            </w:pPr>
            <w:r w:rsidRPr="00466B13">
              <w:rPr>
                <w:sz w:val="20"/>
                <w:szCs w:val="20"/>
                <w:lang w:val="es-ES"/>
              </w:rPr>
              <w:t>-</w:t>
            </w:r>
          </w:p>
        </w:tc>
        <w:tc>
          <w:tcPr>
            <w:tcW w:w="632" w:type="pct"/>
            <w:hideMark/>
          </w:tcPr>
          <w:p w:rsidR="00466B13" w:rsidRPr="00466B13" w:rsidRDefault="00466B13" w:rsidP="00F863FF">
            <w:pPr>
              <w:jc w:val="right"/>
              <w:rPr>
                <w:sz w:val="20"/>
                <w:szCs w:val="20"/>
                <w:lang w:val="es-ES"/>
              </w:rPr>
            </w:pPr>
            <w:r w:rsidRPr="00466B13">
              <w:rPr>
                <w:sz w:val="20"/>
                <w:szCs w:val="20"/>
                <w:lang w:val="es-ES"/>
              </w:rPr>
              <w:t>4,62</w:t>
            </w:r>
          </w:p>
        </w:tc>
        <w:tc>
          <w:tcPr>
            <w:tcW w:w="632" w:type="pct"/>
            <w:hideMark/>
          </w:tcPr>
          <w:p w:rsidR="00466B13" w:rsidRPr="00466B13" w:rsidRDefault="00466B13" w:rsidP="00F863FF">
            <w:pPr>
              <w:jc w:val="right"/>
              <w:rPr>
                <w:sz w:val="20"/>
                <w:szCs w:val="20"/>
                <w:lang w:val="es-ES"/>
              </w:rPr>
            </w:pPr>
            <w:r w:rsidRPr="00466B13">
              <w:rPr>
                <w:sz w:val="20"/>
                <w:szCs w:val="20"/>
                <w:lang w:val="es-ES"/>
              </w:rPr>
              <w:t>4,68</w:t>
            </w:r>
          </w:p>
        </w:tc>
        <w:tc>
          <w:tcPr>
            <w:tcW w:w="630" w:type="pct"/>
            <w:hideMark/>
          </w:tcPr>
          <w:p w:rsidR="00466B13" w:rsidRPr="00466B13" w:rsidRDefault="00466B13" w:rsidP="00F863FF">
            <w:pPr>
              <w:jc w:val="right"/>
              <w:rPr>
                <w:sz w:val="20"/>
                <w:szCs w:val="20"/>
                <w:lang w:val="es-ES"/>
              </w:rPr>
            </w:pPr>
            <w:r w:rsidRPr="00466B13">
              <w:rPr>
                <w:sz w:val="20"/>
                <w:szCs w:val="20"/>
                <w:lang w:val="es-ES"/>
              </w:rPr>
              <w:t>4,65</w:t>
            </w:r>
          </w:p>
        </w:tc>
      </w:tr>
      <w:tr w:rsidR="00466B13" w:rsidRPr="00466B13" w:rsidTr="00F863FF">
        <w:trPr>
          <w:trHeight w:val="300"/>
        </w:trPr>
        <w:tc>
          <w:tcPr>
            <w:tcW w:w="1003" w:type="pct"/>
            <w:hideMark/>
          </w:tcPr>
          <w:p w:rsidR="00466B13" w:rsidRPr="00466B13" w:rsidRDefault="00466B13" w:rsidP="00F863FF">
            <w:pPr>
              <w:rPr>
                <w:sz w:val="20"/>
                <w:szCs w:val="20"/>
                <w:lang w:val="es-ES"/>
              </w:rPr>
            </w:pPr>
            <w:r w:rsidRPr="00466B13">
              <w:rPr>
                <w:sz w:val="20"/>
                <w:szCs w:val="20"/>
                <w:lang w:val="es-ES"/>
              </w:rPr>
              <w:t>HCFC-22</w:t>
            </w:r>
          </w:p>
        </w:tc>
        <w:tc>
          <w:tcPr>
            <w:tcW w:w="770" w:type="pct"/>
            <w:hideMark/>
          </w:tcPr>
          <w:p w:rsidR="00466B13" w:rsidRPr="00466B13" w:rsidRDefault="00466B13" w:rsidP="00F863FF">
            <w:pPr>
              <w:jc w:val="right"/>
              <w:rPr>
                <w:sz w:val="20"/>
                <w:szCs w:val="20"/>
                <w:lang w:val="es-ES"/>
              </w:rPr>
            </w:pPr>
            <w:r w:rsidRPr="00466B13">
              <w:rPr>
                <w:sz w:val="20"/>
                <w:szCs w:val="20"/>
                <w:lang w:val="es-ES"/>
              </w:rPr>
              <w:t>105,6</w:t>
            </w:r>
          </w:p>
        </w:tc>
        <w:tc>
          <w:tcPr>
            <w:tcW w:w="701" w:type="pct"/>
            <w:hideMark/>
          </w:tcPr>
          <w:p w:rsidR="00466B13" w:rsidRPr="00466B13" w:rsidRDefault="00466B13" w:rsidP="00F863FF">
            <w:pPr>
              <w:jc w:val="right"/>
              <w:rPr>
                <w:sz w:val="20"/>
                <w:szCs w:val="20"/>
                <w:lang w:val="es-ES"/>
              </w:rPr>
            </w:pPr>
            <w:r w:rsidRPr="00466B13">
              <w:rPr>
                <w:sz w:val="20"/>
                <w:szCs w:val="20"/>
                <w:lang w:val="es-ES"/>
              </w:rPr>
              <w:t>112,2</w:t>
            </w:r>
          </w:p>
        </w:tc>
        <w:tc>
          <w:tcPr>
            <w:tcW w:w="632" w:type="pct"/>
            <w:hideMark/>
          </w:tcPr>
          <w:p w:rsidR="00466B13" w:rsidRPr="00466B13" w:rsidRDefault="00466B13" w:rsidP="00F863FF">
            <w:pPr>
              <w:jc w:val="right"/>
              <w:rPr>
                <w:sz w:val="20"/>
                <w:szCs w:val="20"/>
                <w:lang w:val="es-ES"/>
              </w:rPr>
            </w:pPr>
            <w:r w:rsidRPr="00466B13">
              <w:rPr>
                <w:sz w:val="20"/>
                <w:szCs w:val="20"/>
                <w:lang w:val="es-ES"/>
              </w:rPr>
              <w:t>108,90</w:t>
            </w:r>
          </w:p>
        </w:tc>
        <w:tc>
          <w:tcPr>
            <w:tcW w:w="632" w:type="pct"/>
            <w:hideMark/>
          </w:tcPr>
          <w:p w:rsidR="00466B13" w:rsidRPr="00466B13" w:rsidRDefault="00466B13" w:rsidP="00F863FF">
            <w:pPr>
              <w:jc w:val="right"/>
              <w:rPr>
                <w:sz w:val="20"/>
                <w:szCs w:val="20"/>
                <w:lang w:val="es-ES"/>
              </w:rPr>
            </w:pPr>
            <w:r w:rsidRPr="00466B13">
              <w:rPr>
                <w:sz w:val="20"/>
                <w:szCs w:val="20"/>
                <w:lang w:val="es-ES"/>
              </w:rPr>
              <w:t>101,69</w:t>
            </w:r>
          </w:p>
        </w:tc>
        <w:tc>
          <w:tcPr>
            <w:tcW w:w="632" w:type="pct"/>
            <w:hideMark/>
          </w:tcPr>
          <w:p w:rsidR="00466B13" w:rsidRPr="00466B13" w:rsidRDefault="00466B13" w:rsidP="00F863FF">
            <w:pPr>
              <w:jc w:val="right"/>
              <w:rPr>
                <w:sz w:val="20"/>
                <w:szCs w:val="20"/>
                <w:lang w:val="es-ES"/>
              </w:rPr>
            </w:pPr>
            <w:r w:rsidRPr="00466B13">
              <w:rPr>
                <w:sz w:val="20"/>
                <w:szCs w:val="20"/>
                <w:lang w:val="es-ES"/>
              </w:rPr>
              <w:t>108,22</w:t>
            </w:r>
          </w:p>
        </w:tc>
        <w:tc>
          <w:tcPr>
            <w:tcW w:w="630" w:type="pct"/>
            <w:hideMark/>
          </w:tcPr>
          <w:p w:rsidR="00466B13" w:rsidRPr="00466B13" w:rsidRDefault="00466B13" w:rsidP="00F863FF">
            <w:pPr>
              <w:jc w:val="right"/>
              <w:rPr>
                <w:sz w:val="20"/>
                <w:szCs w:val="20"/>
                <w:lang w:val="es-ES"/>
              </w:rPr>
            </w:pPr>
            <w:r w:rsidRPr="00466B13">
              <w:rPr>
                <w:sz w:val="20"/>
                <w:szCs w:val="20"/>
                <w:lang w:val="es-ES"/>
              </w:rPr>
              <w:t>104,96</w:t>
            </w:r>
          </w:p>
        </w:tc>
      </w:tr>
      <w:tr w:rsidR="00466B13" w:rsidRPr="00466B13" w:rsidTr="00F863FF">
        <w:trPr>
          <w:trHeight w:val="300"/>
        </w:trPr>
        <w:tc>
          <w:tcPr>
            <w:tcW w:w="1003" w:type="pct"/>
            <w:hideMark/>
          </w:tcPr>
          <w:p w:rsidR="00466B13" w:rsidRPr="00466B13" w:rsidRDefault="00466B13" w:rsidP="00F863FF">
            <w:pPr>
              <w:rPr>
                <w:b/>
                <w:bCs/>
                <w:sz w:val="20"/>
                <w:szCs w:val="20"/>
                <w:lang w:val="es-ES"/>
              </w:rPr>
            </w:pPr>
            <w:r w:rsidRPr="00466B13">
              <w:rPr>
                <w:b/>
                <w:bCs/>
                <w:sz w:val="20"/>
                <w:szCs w:val="20"/>
                <w:lang w:val="es-ES"/>
              </w:rPr>
              <w:t>Total</w:t>
            </w:r>
          </w:p>
        </w:tc>
        <w:tc>
          <w:tcPr>
            <w:tcW w:w="770" w:type="pct"/>
            <w:hideMark/>
          </w:tcPr>
          <w:p w:rsidR="00466B13" w:rsidRPr="00466B13" w:rsidRDefault="00466B13" w:rsidP="00F863FF">
            <w:pPr>
              <w:jc w:val="right"/>
              <w:rPr>
                <w:b/>
                <w:bCs/>
                <w:sz w:val="20"/>
                <w:szCs w:val="20"/>
                <w:lang w:val="es-ES"/>
              </w:rPr>
            </w:pPr>
            <w:r w:rsidRPr="00466B13">
              <w:rPr>
                <w:b/>
                <w:bCs/>
                <w:sz w:val="20"/>
                <w:szCs w:val="20"/>
                <w:lang w:val="es-ES"/>
              </w:rPr>
              <w:t>239,8</w:t>
            </w:r>
          </w:p>
        </w:tc>
        <w:tc>
          <w:tcPr>
            <w:tcW w:w="701" w:type="pct"/>
            <w:hideMark/>
          </w:tcPr>
          <w:p w:rsidR="00466B13" w:rsidRPr="00466B13" w:rsidRDefault="00466B13" w:rsidP="00F863FF">
            <w:pPr>
              <w:jc w:val="right"/>
              <w:rPr>
                <w:b/>
                <w:bCs/>
                <w:sz w:val="20"/>
                <w:szCs w:val="20"/>
                <w:lang w:val="es-ES"/>
              </w:rPr>
            </w:pPr>
            <w:r w:rsidRPr="00466B13">
              <w:rPr>
                <w:b/>
                <w:bCs/>
                <w:sz w:val="20"/>
                <w:szCs w:val="20"/>
                <w:lang w:val="es-ES"/>
              </w:rPr>
              <w:t>255</w:t>
            </w:r>
          </w:p>
        </w:tc>
        <w:tc>
          <w:tcPr>
            <w:tcW w:w="632" w:type="pct"/>
            <w:hideMark/>
          </w:tcPr>
          <w:p w:rsidR="00466B13" w:rsidRPr="00466B13" w:rsidRDefault="00466B13" w:rsidP="00F863FF">
            <w:pPr>
              <w:jc w:val="right"/>
              <w:rPr>
                <w:b/>
                <w:bCs/>
                <w:sz w:val="20"/>
                <w:szCs w:val="20"/>
                <w:lang w:val="es-ES"/>
              </w:rPr>
            </w:pPr>
            <w:r w:rsidRPr="00466B13">
              <w:rPr>
                <w:b/>
                <w:bCs/>
                <w:sz w:val="20"/>
                <w:szCs w:val="20"/>
                <w:lang w:val="es-ES"/>
              </w:rPr>
              <w:t>247,4</w:t>
            </w:r>
          </w:p>
        </w:tc>
        <w:tc>
          <w:tcPr>
            <w:tcW w:w="632" w:type="pct"/>
            <w:hideMark/>
          </w:tcPr>
          <w:p w:rsidR="00466B13" w:rsidRPr="00466B13" w:rsidRDefault="00466B13" w:rsidP="00F863FF">
            <w:pPr>
              <w:jc w:val="right"/>
              <w:rPr>
                <w:b/>
                <w:bCs/>
                <w:sz w:val="20"/>
                <w:szCs w:val="20"/>
                <w:lang w:val="es-ES"/>
              </w:rPr>
            </w:pPr>
            <w:r w:rsidRPr="00466B13">
              <w:rPr>
                <w:b/>
                <w:bCs/>
                <w:sz w:val="20"/>
                <w:szCs w:val="20"/>
                <w:lang w:val="es-ES"/>
              </w:rPr>
              <w:t>240,51</w:t>
            </w:r>
          </w:p>
        </w:tc>
        <w:tc>
          <w:tcPr>
            <w:tcW w:w="632" w:type="pct"/>
            <w:hideMark/>
          </w:tcPr>
          <w:p w:rsidR="00466B13" w:rsidRPr="00466B13" w:rsidRDefault="00466B13" w:rsidP="00F863FF">
            <w:pPr>
              <w:jc w:val="right"/>
              <w:rPr>
                <w:b/>
                <w:bCs/>
                <w:sz w:val="20"/>
                <w:szCs w:val="20"/>
                <w:lang w:val="es-ES"/>
              </w:rPr>
            </w:pPr>
            <w:r w:rsidRPr="00466B13">
              <w:rPr>
                <w:b/>
                <w:bCs/>
                <w:sz w:val="20"/>
                <w:szCs w:val="20"/>
                <w:lang w:val="es-ES"/>
              </w:rPr>
              <w:t>255,7</w:t>
            </w:r>
          </w:p>
        </w:tc>
        <w:tc>
          <w:tcPr>
            <w:tcW w:w="630" w:type="pct"/>
            <w:hideMark/>
          </w:tcPr>
          <w:p w:rsidR="00466B13" w:rsidRPr="00466B13" w:rsidRDefault="00466B13" w:rsidP="00F863FF">
            <w:pPr>
              <w:jc w:val="right"/>
              <w:rPr>
                <w:b/>
                <w:bCs/>
                <w:sz w:val="20"/>
                <w:szCs w:val="20"/>
                <w:lang w:val="es-ES"/>
              </w:rPr>
            </w:pPr>
            <w:r w:rsidRPr="00466B13">
              <w:rPr>
                <w:b/>
                <w:bCs/>
                <w:sz w:val="20"/>
                <w:szCs w:val="20"/>
                <w:lang w:val="es-ES"/>
              </w:rPr>
              <w:t>248,11</w:t>
            </w:r>
          </w:p>
        </w:tc>
      </w:tr>
    </w:tbl>
    <w:p w:rsidR="00466B13" w:rsidRPr="00466B13" w:rsidRDefault="00466B13" w:rsidP="00466B13">
      <w:pPr>
        <w:rPr>
          <w:lang w:val="es-ES"/>
        </w:rPr>
      </w:pPr>
    </w:p>
    <w:p w:rsidR="00466B13" w:rsidRPr="00466B13" w:rsidRDefault="00466B13" w:rsidP="00466B13">
      <w:pPr>
        <w:pStyle w:val="Heading1"/>
        <w:rPr>
          <w:u w:val="single"/>
          <w:lang w:val="es-ES"/>
        </w:rPr>
      </w:pPr>
      <w:r w:rsidRPr="00466B13">
        <w:rPr>
          <w:lang w:val="es-ES"/>
        </w:rPr>
        <w:t xml:space="preserve">Dado que el Gobierno del Pakistán </w:t>
      </w:r>
      <w:r w:rsidR="00A55AEE">
        <w:rPr>
          <w:lang w:val="es-ES"/>
        </w:rPr>
        <w:t>ha seleccionado</w:t>
      </w:r>
      <w:r w:rsidRPr="00466B13">
        <w:rPr>
          <w:lang w:val="es-ES"/>
        </w:rPr>
        <w:t xml:space="preserve"> el nivel básico de cumplimiento como punto de partida para la reducción acumula</w:t>
      </w:r>
      <w:r w:rsidR="009F699C">
        <w:rPr>
          <w:lang w:val="es-ES"/>
        </w:rPr>
        <w:t>tiva</w:t>
      </w:r>
      <w:r w:rsidRPr="00466B13">
        <w:rPr>
          <w:lang w:val="es-ES"/>
        </w:rPr>
        <w:t xml:space="preserve"> del consumo de HCFC, es necesario efectuar una revisión del Acuerdo entre el Gobierno y el Comité Ejecutivo.  Por consiguiente, en el Anexo I al presente documento se indican las modificaciones necesarias al Acuerdo.  El Acuerdo actualizado completo se anexará al informe de la 83ª reunión.  </w:t>
      </w:r>
    </w:p>
    <w:p w:rsidR="00466B13" w:rsidRPr="00466B13" w:rsidRDefault="00466B13" w:rsidP="00466B13">
      <w:pPr>
        <w:pStyle w:val="Heading1"/>
        <w:keepNext/>
        <w:numPr>
          <w:ilvl w:val="0"/>
          <w:numId w:val="0"/>
        </w:numPr>
        <w:rPr>
          <w:u w:val="single"/>
          <w:lang w:val="es-ES"/>
        </w:rPr>
      </w:pPr>
      <w:r w:rsidRPr="00466B13">
        <w:rPr>
          <w:u w:val="single"/>
          <w:lang w:val="es-ES"/>
        </w:rPr>
        <w:t>Informe sobre los progresos realizados en la ejecución del primer tramo del plan de gestión de eliminación de HCFC</w:t>
      </w:r>
    </w:p>
    <w:p w:rsidR="00466B13" w:rsidRPr="009F699C" w:rsidRDefault="00466B13" w:rsidP="00466B13">
      <w:pPr>
        <w:keepNext/>
        <w:rPr>
          <w:i/>
          <w:lang w:val="es-ES"/>
        </w:rPr>
      </w:pPr>
      <w:r w:rsidRPr="009F699C">
        <w:rPr>
          <w:i/>
          <w:lang w:val="es-ES"/>
        </w:rPr>
        <w:t>Marco jurídico</w:t>
      </w:r>
    </w:p>
    <w:p w:rsidR="00466B13" w:rsidRPr="00466B13" w:rsidRDefault="00466B13" w:rsidP="00466B13">
      <w:pPr>
        <w:keepNext/>
        <w:rPr>
          <w:lang w:val="es-ES"/>
        </w:rPr>
      </w:pPr>
    </w:p>
    <w:p w:rsidR="00466B13" w:rsidRPr="00466B13" w:rsidRDefault="00466B13" w:rsidP="00466B13">
      <w:pPr>
        <w:pStyle w:val="Heading1"/>
        <w:rPr>
          <w:lang w:val="es-ES"/>
        </w:rPr>
      </w:pPr>
      <w:r w:rsidRPr="00466B13">
        <w:rPr>
          <w:lang w:val="es-ES"/>
        </w:rPr>
        <w:t xml:space="preserve">El Gobierno del Pakistán ya ha emitido cupos de importación </w:t>
      </w:r>
      <w:r w:rsidR="009F699C">
        <w:rPr>
          <w:lang w:val="es-ES"/>
        </w:rPr>
        <w:t>de</w:t>
      </w:r>
      <w:r w:rsidRPr="00466B13">
        <w:rPr>
          <w:lang w:val="es-ES"/>
        </w:rPr>
        <w:t xml:space="preserve"> HCFC para 2019, </w:t>
      </w:r>
      <w:r w:rsidR="009F699C">
        <w:rPr>
          <w:lang w:val="es-ES"/>
        </w:rPr>
        <w:t>en</w:t>
      </w:r>
      <w:r w:rsidRPr="00466B13">
        <w:rPr>
          <w:lang w:val="es-ES"/>
        </w:rPr>
        <w:t xml:space="preserve"> 210 toneladas PAO, inferior a las metas de control establecidas en el Protocolo de Montreal. </w:t>
      </w:r>
    </w:p>
    <w:p w:rsidR="00466B13" w:rsidRPr="00466B13" w:rsidRDefault="00466B13" w:rsidP="00466B13">
      <w:pPr>
        <w:keepNext/>
        <w:rPr>
          <w:i/>
          <w:lang w:val="es-ES"/>
        </w:rPr>
      </w:pPr>
      <w:r w:rsidRPr="00466B13">
        <w:rPr>
          <w:i/>
          <w:iCs/>
          <w:lang w:val="es-ES"/>
        </w:rPr>
        <w:t xml:space="preserve">Sector de </w:t>
      </w:r>
      <w:r w:rsidR="002A6CF4">
        <w:rPr>
          <w:i/>
          <w:iCs/>
          <w:lang w:val="es-ES"/>
        </w:rPr>
        <w:t>fabricación</w:t>
      </w:r>
      <w:r w:rsidRPr="00466B13">
        <w:rPr>
          <w:i/>
          <w:iCs/>
          <w:lang w:val="es-ES"/>
        </w:rPr>
        <w:t xml:space="preserve"> de espumas de poliuretano</w:t>
      </w:r>
    </w:p>
    <w:p w:rsidR="00466B13" w:rsidRPr="00466B13" w:rsidRDefault="00466B13" w:rsidP="00466B13">
      <w:pPr>
        <w:keepNext/>
        <w:rPr>
          <w:lang w:val="es-ES"/>
        </w:rPr>
      </w:pPr>
    </w:p>
    <w:p w:rsidR="00466B13" w:rsidRPr="00466B13" w:rsidRDefault="00466B13" w:rsidP="00466B13">
      <w:pPr>
        <w:pStyle w:val="Heading1"/>
        <w:rPr>
          <w:i/>
          <w:u w:val="single"/>
          <w:lang w:val="es-ES"/>
        </w:rPr>
      </w:pPr>
      <w:r w:rsidRPr="00466B13">
        <w:rPr>
          <w:lang w:val="es-ES"/>
        </w:rPr>
        <w:t xml:space="preserve">La UNIDO explicó que el retraso en la ejecución de los proyectos de espumas de poliuretano obedecía a un cambio en la Dependencia Nacional del Ozono, que exigía otras consultas para describir el proceso de selección de la tecnología y las empresas admisibles.  Esta cuestión se había resuelto, y la conversión de los proyectos de espumas está en curso. </w:t>
      </w:r>
    </w:p>
    <w:p w:rsidR="00466B13" w:rsidRPr="00466B13" w:rsidRDefault="00466B13" w:rsidP="00466B13">
      <w:pPr>
        <w:pStyle w:val="Heading1"/>
        <w:rPr>
          <w:i/>
          <w:u w:val="single"/>
          <w:lang w:val="es-ES"/>
        </w:rPr>
      </w:pPr>
      <w:r w:rsidRPr="00466B13">
        <w:rPr>
          <w:lang w:val="es-ES"/>
        </w:rPr>
        <w:t>En cuanto a los limitados progresos realizados en materia de conversión de las empresas de espumas fabricantes de paneles discontinuos, la ONUDI aclaró que el proceso de licitación había tomado más tiempo del previsto originalmente; no obstante, se han recibido licitaciones; el personal técnico de las empresas beneficiarias las está evaluando, y se prevé su finalización para junio de 2019. Asimismo, se prevé la conversión de las empresas para mediados de 2020. La ONUDI había señalado igualmente que el Gobierno era consciente de su compromiso de reducir el consumo de HCFC en</w:t>
      </w:r>
      <w:r w:rsidR="009F699C">
        <w:rPr>
          <w:lang w:val="es-ES"/>
        </w:rPr>
        <w:t xml:space="preserve"> un</w:t>
      </w:r>
      <w:r w:rsidRPr="00466B13">
        <w:rPr>
          <w:lang w:val="es-ES"/>
        </w:rPr>
        <w:t xml:space="preserve"> 50% del nivel básico para 2020, y que haría todo lo posible para garantizar la finalización de dichos proyectos de inversión. </w:t>
      </w:r>
    </w:p>
    <w:p w:rsidR="00466B13" w:rsidRPr="00466B13" w:rsidRDefault="00466B13" w:rsidP="00466B13">
      <w:pPr>
        <w:pStyle w:val="Heading1"/>
        <w:rPr>
          <w:lang w:val="es-ES"/>
        </w:rPr>
      </w:pPr>
      <w:r w:rsidRPr="00466B13">
        <w:rPr>
          <w:lang w:val="es-ES"/>
        </w:rPr>
        <w:lastRenderedPageBreak/>
        <w:t>Al analizar la información proporcionada sobre desembolsos de fondos, la Secretaría tomó nota de que no se había hecho ninguna asignación para cada una de las empresas beneficiarias, si bien se había notificado una cuantía acumulativa.   De acuerdo con la ONUDI, dado que estas son res</w:t>
      </w:r>
      <w:r w:rsidR="00807A02">
        <w:rPr>
          <w:lang w:val="es-ES"/>
        </w:rPr>
        <w:t xml:space="preserve">ponsables de la adquisición de </w:t>
      </w:r>
      <w:r w:rsidRPr="00466B13">
        <w:rPr>
          <w:lang w:val="es-ES"/>
        </w:rPr>
        <w:t>equipos, su desembolso interno y proceso financiero requ</w:t>
      </w:r>
      <w:r w:rsidR="009F699C">
        <w:rPr>
          <w:lang w:val="es-ES"/>
        </w:rPr>
        <w:t>iere</w:t>
      </w:r>
      <w:r w:rsidRPr="00466B13">
        <w:rPr>
          <w:lang w:val="es-ES"/>
        </w:rPr>
        <w:t xml:space="preserve">n la acumulación de esos costos.  La financiación suministrada directamente a las empresas se utilizará únicamente para aquellas actividades que deberán realizar ellas mismas (esto es, obras públicas, conexión a tierra). La Secretaría recordó a la ONUDI que garantizara que el capital y los costos de explotación de las conversiones de las empresas debían coincidir con lo aprobado para cada empresa, y que notificara al Comité Ejecutivo en consecuencia.  </w:t>
      </w:r>
    </w:p>
    <w:p w:rsidR="00466B13" w:rsidRPr="00466B13" w:rsidRDefault="00466B13" w:rsidP="00466B13">
      <w:pPr>
        <w:rPr>
          <w:i/>
          <w:lang w:val="es-ES"/>
        </w:rPr>
      </w:pPr>
      <w:r w:rsidRPr="00466B13">
        <w:rPr>
          <w:i/>
          <w:iCs/>
          <w:lang w:val="es-ES"/>
        </w:rPr>
        <w:t>Sector de servicio y mantenimiento de equipos de refrigeración</w:t>
      </w:r>
    </w:p>
    <w:p w:rsidR="00466B13" w:rsidRPr="00466B13" w:rsidRDefault="00466B13" w:rsidP="00466B13">
      <w:pPr>
        <w:rPr>
          <w:lang w:val="es-ES"/>
        </w:rPr>
      </w:pPr>
    </w:p>
    <w:p w:rsidR="00466B13" w:rsidRPr="00466B13" w:rsidRDefault="00466B13" w:rsidP="00466B13">
      <w:pPr>
        <w:pStyle w:val="Heading1"/>
        <w:rPr>
          <w:lang w:val="es-ES"/>
        </w:rPr>
      </w:pPr>
      <w:r w:rsidRPr="00466B13">
        <w:rPr>
          <w:lang w:val="es-ES"/>
        </w:rPr>
        <w:t xml:space="preserve">Por lo que respecta a los analizadores de refrigerantes y su suministro, se explicó que las unidades previstas </w:t>
      </w:r>
      <w:r w:rsidR="009F699C">
        <w:rPr>
          <w:lang w:val="es-ES"/>
        </w:rPr>
        <w:t xml:space="preserve">para </w:t>
      </w:r>
      <w:r w:rsidRPr="00466B13">
        <w:rPr>
          <w:lang w:val="es-ES"/>
        </w:rPr>
        <w:t xml:space="preserve">el primer tramo se suministrarían solamente hacia fines de 2019, y que el PNUMA utilizaba aquellos analizadores que se habían adquirido como parte de la etapa I en la capacitación de oficiales de aduanas.  La capacitación de oficiales de aduanas se centraría en la ejecución eficaz de los códigos </w:t>
      </w:r>
      <w:r w:rsidR="00646E9D">
        <w:rPr>
          <w:lang w:val="es-ES"/>
        </w:rPr>
        <w:t>del Sistema Armonizado</w:t>
      </w:r>
      <w:r w:rsidRPr="00466B13">
        <w:rPr>
          <w:b/>
          <w:bCs/>
          <w:lang w:val="es-ES"/>
        </w:rPr>
        <w:t xml:space="preserve">, </w:t>
      </w:r>
      <w:r w:rsidRPr="00466B13">
        <w:rPr>
          <w:lang w:val="es-ES"/>
        </w:rPr>
        <w:t>con el fin de mejorar la recopilación de da</w:t>
      </w:r>
      <w:r w:rsidR="00807A02">
        <w:rPr>
          <w:lang w:val="es-ES"/>
        </w:rPr>
        <w:t xml:space="preserve">tos para la importación de SAO </w:t>
      </w:r>
      <w:r w:rsidRPr="00466B13">
        <w:rPr>
          <w:lang w:val="es-ES"/>
        </w:rPr>
        <w:t>y sus mezclas, de conformidad con las recomendaciones del informe de verificación sobre el consumo de HCFC.</w:t>
      </w:r>
    </w:p>
    <w:p w:rsidR="00466B13" w:rsidRPr="00466B13" w:rsidRDefault="00466B13" w:rsidP="00466B13">
      <w:pPr>
        <w:pStyle w:val="Heading1"/>
        <w:rPr>
          <w:lang w:val="es-ES"/>
        </w:rPr>
      </w:pPr>
      <w:r w:rsidRPr="00466B13">
        <w:rPr>
          <w:lang w:val="es-ES"/>
        </w:rPr>
        <w:t>La Secretaría preguntó también sobre los progresos realizados en relación con el componente de promoción de tecnologías alternativas, señalando que solamente se había informado acerca de la traducción del material al idioma local.  El PNUMA explicó que la Dependencia Nacional del Ozono, en cooperación con la Asociación de Refrigeración del Pakistán</w:t>
      </w:r>
      <w:r w:rsidR="003F1AA7">
        <w:rPr>
          <w:lang w:val="es-ES"/>
        </w:rPr>
        <w:t>,</w:t>
      </w:r>
      <w:r w:rsidRPr="00466B13">
        <w:rPr>
          <w:lang w:val="es-ES"/>
        </w:rPr>
        <w:t xml:space="preserve"> había celebrado talleres como parte de la Conferencia Anual de Calefacción, Ventilación, Refrigeración y Acondicionamiento de Aire, que incluía el establecimiento de un puesto de información con el fin de difundir material de extensión sobre las actividades nacionales de eliminación de HCFC.</w:t>
      </w:r>
    </w:p>
    <w:p w:rsidR="00466B13" w:rsidRPr="00466B13" w:rsidRDefault="00466B13" w:rsidP="00466B13">
      <w:pPr>
        <w:pStyle w:val="Heading1"/>
        <w:rPr>
          <w:lang w:val="es-ES"/>
        </w:rPr>
      </w:pPr>
      <w:r w:rsidRPr="00466B13">
        <w:rPr>
          <w:lang w:val="es-ES"/>
        </w:rPr>
        <w:t xml:space="preserve">En cuanto a la sostenibilidad del programa de capacitación, el PNUMA hizo hincapié en que los vínculos institucionales con las escuelas de formación profesional y el Consejo de Educación permitirían garantizar que estos se </w:t>
      </w:r>
      <w:r w:rsidR="00380B92">
        <w:rPr>
          <w:lang w:val="es-ES"/>
        </w:rPr>
        <w:t>reflejasen</w:t>
      </w:r>
      <w:r w:rsidRPr="00466B13">
        <w:rPr>
          <w:lang w:val="es-ES"/>
        </w:rPr>
        <w:t xml:space="preserve"> en los programas regulares.  </w:t>
      </w:r>
    </w:p>
    <w:p w:rsidR="00466B13" w:rsidRPr="00466B13" w:rsidRDefault="00466B13" w:rsidP="00466B13">
      <w:pPr>
        <w:keepNext/>
        <w:rPr>
          <w:u w:val="single"/>
          <w:lang w:val="es-ES"/>
        </w:rPr>
      </w:pPr>
      <w:r w:rsidRPr="00466B13">
        <w:rPr>
          <w:u w:val="single"/>
          <w:lang w:val="es-ES"/>
        </w:rPr>
        <w:t xml:space="preserve">Sector de espumas </w:t>
      </w:r>
      <w:r w:rsidR="0015431A">
        <w:rPr>
          <w:u w:val="single"/>
          <w:lang w:val="es-ES"/>
        </w:rPr>
        <w:t>de poliestireno extruido</w:t>
      </w:r>
    </w:p>
    <w:p w:rsidR="00466B13" w:rsidRPr="00466B13" w:rsidRDefault="00466B13" w:rsidP="00466B13">
      <w:pPr>
        <w:keepNext/>
        <w:rPr>
          <w:u w:val="single"/>
          <w:lang w:val="es-ES"/>
        </w:rPr>
      </w:pPr>
    </w:p>
    <w:p w:rsidR="00466B13" w:rsidRPr="00466B13" w:rsidRDefault="00466B13" w:rsidP="00466B13">
      <w:pPr>
        <w:pStyle w:val="Heading1"/>
        <w:keepNext/>
        <w:rPr>
          <w:lang w:val="es-ES"/>
        </w:rPr>
      </w:pPr>
      <w:r w:rsidRPr="00466B13">
        <w:rPr>
          <w:lang w:val="es-ES"/>
        </w:rPr>
        <w:t>La Secretaría realizó un examen riguroso de la propuesta de proyecto de conversión de Symbol Industry, del HCFC-142b/HCFC-22 (relación 60:40) a CO</w:t>
      </w:r>
      <w:r w:rsidRPr="00466B13">
        <w:rPr>
          <w:vertAlign w:val="subscript"/>
          <w:lang w:val="es-ES"/>
        </w:rPr>
        <w:t>2</w:t>
      </w:r>
      <w:r w:rsidRPr="00466B13">
        <w:rPr>
          <w:lang w:val="es-ES"/>
        </w:rPr>
        <w:t>/</w:t>
      </w:r>
      <w:r w:rsidR="002A6CF4">
        <w:rPr>
          <w:lang w:val="es-ES"/>
        </w:rPr>
        <w:t>eter</w:t>
      </w:r>
      <w:r w:rsidRPr="00466B13">
        <w:rPr>
          <w:lang w:val="es-ES"/>
        </w:rPr>
        <w:t xml:space="preserve"> </w:t>
      </w:r>
      <w:r w:rsidR="002A6CF4">
        <w:rPr>
          <w:lang w:val="es-ES"/>
        </w:rPr>
        <w:t>dimetílico</w:t>
      </w:r>
      <w:r w:rsidRPr="00466B13">
        <w:rPr>
          <w:lang w:val="es-ES"/>
        </w:rPr>
        <w:t>/hidrofluoroolefinas. En resumen, tras el examen se observó que: el consumo del HCFC-142b de la empresa y su consiguiente producción al parecer</w:t>
      </w:r>
      <w:r w:rsidR="00820E10">
        <w:rPr>
          <w:lang w:val="es-ES"/>
        </w:rPr>
        <w:t xml:space="preserve"> se había notificado</w:t>
      </w:r>
      <w:r w:rsidRPr="00466B13">
        <w:rPr>
          <w:lang w:val="es-ES"/>
        </w:rPr>
        <w:t xml:space="preserve"> </w:t>
      </w:r>
      <w:r w:rsidR="00820E10">
        <w:rPr>
          <w:lang w:val="es-ES"/>
        </w:rPr>
        <w:t>sobre la</w:t>
      </w:r>
      <w:r w:rsidRPr="00466B13">
        <w:rPr>
          <w:lang w:val="es-ES"/>
        </w:rPr>
        <w:t xml:space="preserve"> base </w:t>
      </w:r>
      <w:r w:rsidR="00820E10">
        <w:rPr>
          <w:lang w:val="es-ES"/>
        </w:rPr>
        <w:t>d</w:t>
      </w:r>
      <w:r w:rsidRPr="00466B13">
        <w:rPr>
          <w:lang w:val="es-ES"/>
        </w:rPr>
        <w:t xml:space="preserve">el nivel básico de consumo del HCFC-142b revisado; la relación costo-eficacia del proyecto presentado fue superior al umbral de relación costo-eficacia establecido para el sector de espumas </w:t>
      </w:r>
      <w:r w:rsidR="00757EB1">
        <w:rPr>
          <w:lang w:val="es-ES"/>
        </w:rPr>
        <w:t>de poliestireno extruido</w:t>
      </w:r>
      <w:r w:rsidRPr="00466B13">
        <w:rPr>
          <w:lang w:val="es-ES"/>
        </w:rPr>
        <w:t xml:space="preserve">; es probable que la tecnología seleccionada (esto es, hidrofluoroolefinas) no esté disponible en el mercado </w:t>
      </w:r>
      <w:r w:rsidR="00B43F25">
        <w:rPr>
          <w:lang w:val="es-ES"/>
        </w:rPr>
        <w:t>d</w:t>
      </w:r>
      <w:r w:rsidRPr="00466B13">
        <w:rPr>
          <w:lang w:val="es-ES"/>
        </w:rPr>
        <w:t>el país cuando se produzca la conversión de la empresa</w:t>
      </w:r>
      <w:r w:rsidRPr="00466B13">
        <w:rPr>
          <w:rStyle w:val="FootnoteReference"/>
          <w:lang w:val="es-ES"/>
        </w:rPr>
        <w:footnoteReference w:id="9"/>
      </w:r>
      <w:r w:rsidRPr="00466B13">
        <w:rPr>
          <w:lang w:val="es-ES"/>
        </w:rPr>
        <w:t xml:space="preserve">; el componente de costos de capital no coincidió claramente con el equipo de base descrito, y estos fueron más elevados que los costos de productos similares en proyectos aprobados; y no se proporcionaron estimaciones de costos adicionales de explotación. </w:t>
      </w:r>
    </w:p>
    <w:p w:rsidR="00466B13" w:rsidRPr="00466B13" w:rsidRDefault="00466B13" w:rsidP="00466B13">
      <w:pPr>
        <w:pStyle w:val="Heading1"/>
        <w:rPr>
          <w:lang w:val="es-ES"/>
        </w:rPr>
      </w:pPr>
      <w:r w:rsidRPr="00466B13">
        <w:rPr>
          <w:lang w:val="es-ES"/>
        </w:rPr>
        <w:t xml:space="preserve">En los debates entablados entre la ONUDI y la Secretaría se examinó, entre otras cosas, la necesidad de todo el equipo solicitado, especialmente la sustitución de la línea extrusora; el costo de los elementos relacionados con la seguridad; y la asistencia técnica y las pruebas.  La Secretaría propuso ajustes a los costos de capital, coherentes con proyectos XPS aprobados similares, y teniendo en cuenta las necesidades específicas de Symbol Industry. </w:t>
      </w:r>
    </w:p>
    <w:p w:rsidR="00466B13" w:rsidRPr="00466B13" w:rsidRDefault="00466B13" w:rsidP="00466B13">
      <w:pPr>
        <w:pStyle w:val="Heading1"/>
        <w:rPr>
          <w:lang w:val="es-ES"/>
        </w:rPr>
      </w:pPr>
      <w:r w:rsidRPr="00466B13">
        <w:rPr>
          <w:lang w:val="es-ES"/>
        </w:rPr>
        <w:lastRenderedPageBreak/>
        <w:t xml:space="preserve">En cuanto a los costos adicionales de explotación, la Secretaría tomó nota de que la solicitud se refería a un nivel máximo de 1,4/kg $ EUA, sin los cálculos justificativos; cuando se proporcionó información adicional sobre los cálculos, se observó que los costos de los componentes del sistema eran superiores a los proyectos XPS aprobados </w:t>
      </w:r>
      <w:r w:rsidR="002A6CF4">
        <w:rPr>
          <w:lang w:val="es-ES"/>
        </w:rPr>
        <w:t>anteriormente</w:t>
      </w:r>
      <w:r w:rsidRPr="00466B13">
        <w:rPr>
          <w:lang w:val="es-ES"/>
        </w:rPr>
        <w:t xml:space="preserve"> (por ej., el costo de hidrofluoroolefinas ascendía a 20/kg $ EUA, mientras que en otros proyectos, ascendía a 10/kg $ EUA).  </w:t>
      </w:r>
    </w:p>
    <w:p w:rsidR="00466B13" w:rsidRPr="00466B13" w:rsidRDefault="00466B13" w:rsidP="00466B13">
      <w:pPr>
        <w:pStyle w:val="Heading1"/>
        <w:rPr>
          <w:lang w:val="es-ES"/>
        </w:rPr>
      </w:pPr>
      <w:r w:rsidRPr="00466B13">
        <w:rPr>
          <w:lang w:val="es-ES"/>
        </w:rPr>
        <w:t xml:space="preserve">Pese a consultas exhaustivas, la ONUDI y la Secretaría no pudieron llegar a un acuerdo sobre el costo adicional admisible total del proyecto para el plazo de negociación del proyecto; por consiguiente, se pidió a la ONUDI que presentara nuevamente la propuesta a la 84ª reunión.   La Secretaría tomó nota además de que, aplazar la presentación del presente proyecto a una reunión futura no afectaría al cumplimiento del Pakistán, dado que el Gobierno ya había convenido en reducir el consumo de HCFC en un 50% de su nivel básico para 2020, mediante las actividades abarcadas en las etapas I y II del plan de gestión de eliminación de los HCFC (y no incluía la conversión del plan sectorial XPS).  </w:t>
      </w:r>
    </w:p>
    <w:p w:rsidR="00466B13" w:rsidRPr="00466B13" w:rsidRDefault="00466B13" w:rsidP="00466B13">
      <w:pPr>
        <w:keepNext/>
        <w:rPr>
          <w:u w:val="single"/>
          <w:lang w:val="es-ES"/>
        </w:rPr>
      </w:pPr>
      <w:r w:rsidRPr="00466B13">
        <w:rPr>
          <w:u w:val="single"/>
          <w:lang w:val="es-ES"/>
        </w:rPr>
        <w:t>Conclusión</w:t>
      </w:r>
    </w:p>
    <w:p w:rsidR="00466B13" w:rsidRPr="00466B13" w:rsidRDefault="00466B13" w:rsidP="00466B13">
      <w:pPr>
        <w:keepNext/>
        <w:rPr>
          <w:lang w:val="es-ES"/>
        </w:rPr>
      </w:pPr>
    </w:p>
    <w:p w:rsidR="00466B13" w:rsidRPr="00466B13" w:rsidRDefault="00466B13" w:rsidP="00466B13">
      <w:pPr>
        <w:pStyle w:val="Heading1"/>
        <w:rPr>
          <w:lang w:val="es-ES"/>
        </w:rPr>
      </w:pPr>
      <w:r w:rsidRPr="00466B13">
        <w:rPr>
          <w:lang w:val="es-ES"/>
        </w:rPr>
        <w:t xml:space="preserve">El Gobierno del Pakistán cumple con </w:t>
      </w:r>
      <w:r w:rsidR="00B43F25">
        <w:rPr>
          <w:lang w:val="es-ES"/>
        </w:rPr>
        <w:t xml:space="preserve">lo estipulado en </w:t>
      </w:r>
      <w:r w:rsidRPr="00466B13">
        <w:rPr>
          <w:lang w:val="es-ES"/>
        </w:rPr>
        <w:t xml:space="preserve">el Protocolo de Montreal y su Acuerdo con el Comité Ejecutivo. El consumo de HCFC en 2017 representaba un 17% por debajo del nivel básico de cumplimiento, y un 7% por debajo de los límites establecidos en el Acuerdo para ese año.  El nivel de desembolso es del 24%. Se ha impartido capacitación sobre tecnologías incipientes y la manipulación segura y el almacenamiento de refrigerantes inflamables, y actualmente se está elaborando un código de conducta de buenas prácticas de servicio y mantenimiento de la refrigeración. Los retrasos en la conversión de empresas de espumas de poliuretano se han recuperado, y se prevé su finalización próximamente.  Las actividades de conversión de las empresas de termos están en curso, y se ha procedido a la adquisición e instalación de equipos. Las actividades previstas </w:t>
      </w:r>
      <w:r w:rsidR="00B43F25">
        <w:rPr>
          <w:lang w:val="es-ES"/>
        </w:rPr>
        <w:t>para</w:t>
      </w:r>
      <w:r w:rsidRPr="00466B13">
        <w:rPr>
          <w:lang w:val="es-ES"/>
        </w:rPr>
        <w:t xml:space="preserve"> el segundo tramo, entre ellas, la capacitación de oficiales de aduanas y de agentes del orden, los avances en la conversión de once empresas de espumas de poliuretano y una empresa de fabricación de unidades de aire acondicionado, la capacitación de 500 técnicos en refrigeración y el establecimiento del plan de certificación para técnicos, permitirá garantizar la sostenibilidad de la eliminación de HCFC. </w:t>
      </w:r>
    </w:p>
    <w:p w:rsidR="00466B13" w:rsidRPr="00466B13" w:rsidRDefault="00466B13" w:rsidP="00466B13">
      <w:pPr>
        <w:keepNext/>
        <w:keepLines/>
        <w:rPr>
          <w:lang w:val="es-ES"/>
        </w:rPr>
      </w:pPr>
      <w:r w:rsidRPr="00466B13">
        <w:rPr>
          <w:b/>
          <w:bCs/>
          <w:lang w:val="es-ES"/>
        </w:rPr>
        <w:t>RECOMENDACIÓN</w:t>
      </w:r>
    </w:p>
    <w:p w:rsidR="00466B13" w:rsidRPr="00466B13" w:rsidRDefault="00466B13" w:rsidP="00466B13">
      <w:pPr>
        <w:keepNext/>
        <w:keepLines/>
        <w:rPr>
          <w:lang w:val="es-ES"/>
        </w:rPr>
      </w:pPr>
    </w:p>
    <w:p w:rsidR="00466B13" w:rsidRPr="00466B13" w:rsidRDefault="00466B13" w:rsidP="00466B13">
      <w:pPr>
        <w:pStyle w:val="Heading1"/>
        <w:keepNext/>
        <w:keepLines/>
        <w:rPr>
          <w:lang w:val="es-ES"/>
        </w:rPr>
      </w:pPr>
      <w:r w:rsidRPr="00466B13">
        <w:rPr>
          <w:lang w:val="es-ES"/>
        </w:rPr>
        <w:t xml:space="preserve">La Secretaría del Fondo recomienda al Comité Ejecutivo que tome note de: </w:t>
      </w:r>
    </w:p>
    <w:p w:rsidR="00466B13" w:rsidRPr="00466B13" w:rsidRDefault="00466B13" w:rsidP="00466B13">
      <w:pPr>
        <w:pStyle w:val="Heading2"/>
        <w:keepNext/>
        <w:keepLines/>
        <w:rPr>
          <w:lang w:val="es-ES"/>
        </w:rPr>
      </w:pPr>
      <w:r w:rsidRPr="00466B13">
        <w:rPr>
          <w:lang w:val="es-ES"/>
        </w:rPr>
        <w:t xml:space="preserve">el informe sobre los progresos realizados en la </w:t>
      </w:r>
      <w:r w:rsidR="002A6CF4">
        <w:rPr>
          <w:lang w:val="es-ES"/>
        </w:rPr>
        <w:t>ejecución</w:t>
      </w:r>
      <w:r w:rsidRPr="00466B13">
        <w:rPr>
          <w:lang w:val="es-ES"/>
        </w:rPr>
        <w:t xml:space="preserve"> del primer tramo de la etapa II del plan de gestión de eliminación de HCFC en el Pakistán;</w:t>
      </w:r>
    </w:p>
    <w:p w:rsidR="00FE2692" w:rsidRDefault="00466B13" w:rsidP="00466B13">
      <w:pPr>
        <w:pStyle w:val="Heading2"/>
        <w:rPr>
          <w:lang w:val="es-ES"/>
        </w:rPr>
      </w:pPr>
      <w:r w:rsidRPr="00466B13">
        <w:rPr>
          <w:lang w:val="es-ES"/>
        </w:rPr>
        <w:t>que la Secretaría del Fondo ha actualizado el Acuerdo entre el Gobierno del Pakistán y el Comité Ejecutivo, como figura en el Anexo I al presente documento, específicamente en: el párrafo 1, Apéndices 1-A y 2-A, a fin de reflejar el nivel básico del país de 248,11 toneladas PAO, con arreglo al Artículo 7 del Protocolo de Montreal, y que se ha agregado un nuevo párrafo 16, con el propósito de señalar que el Acuerdo actualizado sustituye al Acuerdo alcanzado en la 76ª reunión; y</w:t>
      </w:r>
    </w:p>
    <w:p w:rsidR="00FE2692" w:rsidRDefault="00FE2692">
      <w:pPr>
        <w:jc w:val="left"/>
        <w:rPr>
          <w:lang w:val="es-ES"/>
        </w:rPr>
      </w:pPr>
      <w:r>
        <w:rPr>
          <w:lang w:val="es-ES"/>
        </w:rPr>
        <w:br w:type="page"/>
      </w:r>
    </w:p>
    <w:p w:rsidR="00466B13" w:rsidRPr="00466B13" w:rsidRDefault="00466B13" w:rsidP="00FE2692">
      <w:pPr>
        <w:pStyle w:val="Heading2"/>
        <w:numPr>
          <w:ilvl w:val="0"/>
          <w:numId w:val="0"/>
        </w:numPr>
        <w:ind w:left="1440"/>
        <w:rPr>
          <w:lang w:val="es-ES"/>
        </w:rPr>
      </w:pPr>
    </w:p>
    <w:p w:rsidR="00466B13" w:rsidRPr="00466B13" w:rsidRDefault="00466B13" w:rsidP="00466B13">
      <w:pPr>
        <w:pStyle w:val="Heading1"/>
        <w:rPr>
          <w:lang w:val="es-ES"/>
        </w:rPr>
      </w:pPr>
      <w:r w:rsidRPr="00466B13">
        <w:rPr>
          <w:lang w:val="es-ES"/>
        </w:rPr>
        <w:t>La Secretaría del Fondo recomienda además la aprobación general del segundo tramo de la etapa II del plan de gestión de eliminación de HCFC del Pakistán, así como el plan de ejecución del tramo para 2019-202</w:t>
      </w:r>
      <w:r w:rsidR="00B43F25">
        <w:rPr>
          <w:lang w:val="es-ES"/>
        </w:rPr>
        <w:t>0</w:t>
      </w:r>
      <w:r w:rsidRPr="00466B13">
        <w:rPr>
          <w:lang w:val="es-ES"/>
        </w:rPr>
        <w:t xml:space="preserve"> correspondiente, al nivel de financiación indicado en el Cuadro siguiente: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466B13" w:rsidRPr="00466B13" w:rsidTr="00F863FF">
        <w:tc>
          <w:tcPr>
            <w:tcW w:w="540" w:type="dxa"/>
          </w:tcPr>
          <w:p w:rsidR="00466B13" w:rsidRPr="00466B13" w:rsidRDefault="00466B13" w:rsidP="00F863FF">
            <w:pPr>
              <w:jc w:val="center"/>
              <w:rPr>
                <w:b/>
                <w:bCs/>
                <w:sz w:val="20"/>
                <w:szCs w:val="20"/>
                <w:lang w:val="es-ES"/>
              </w:rPr>
            </w:pPr>
          </w:p>
        </w:tc>
        <w:tc>
          <w:tcPr>
            <w:tcW w:w="4320" w:type="dxa"/>
          </w:tcPr>
          <w:p w:rsidR="00466B13" w:rsidRPr="0090507E" w:rsidRDefault="00466B13" w:rsidP="00F863FF">
            <w:pPr>
              <w:jc w:val="center"/>
              <w:rPr>
                <w:b/>
                <w:bCs/>
                <w:sz w:val="20"/>
                <w:szCs w:val="20"/>
                <w:lang w:val="es-ES"/>
              </w:rPr>
            </w:pPr>
            <w:r w:rsidRPr="0090507E">
              <w:rPr>
                <w:b/>
                <w:bCs/>
                <w:sz w:val="20"/>
                <w:szCs w:val="20"/>
                <w:lang w:val="es-ES"/>
              </w:rPr>
              <w:t>Título del proyecto</w:t>
            </w:r>
          </w:p>
        </w:tc>
        <w:tc>
          <w:tcPr>
            <w:tcW w:w="1461" w:type="dxa"/>
            <w:tcMar>
              <w:left w:w="29" w:type="dxa"/>
              <w:right w:w="29" w:type="dxa"/>
            </w:tcMar>
          </w:tcPr>
          <w:p w:rsidR="00466B13" w:rsidRPr="0090507E" w:rsidRDefault="00466B13" w:rsidP="00F863FF">
            <w:pPr>
              <w:jc w:val="center"/>
              <w:rPr>
                <w:b/>
                <w:bCs/>
                <w:sz w:val="20"/>
                <w:szCs w:val="20"/>
                <w:lang w:val="es-ES"/>
              </w:rPr>
            </w:pPr>
            <w:r w:rsidRPr="0090507E">
              <w:rPr>
                <w:b/>
                <w:bCs/>
                <w:sz w:val="20"/>
                <w:szCs w:val="20"/>
                <w:lang w:val="es-ES"/>
              </w:rPr>
              <w:t>Financiación del proyecto ($ EUA)</w:t>
            </w:r>
          </w:p>
        </w:tc>
        <w:tc>
          <w:tcPr>
            <w:tcW w:w="1461" w:type="dxa"/>
            <w:tcMar>
              <w:left w:w="29" w:type="dxa"/>
              <w:right w:w="29" w:type="dxa"/>
            </w:tcMar>
          </w:tcPr>
          <w:p w:rsidR="00466B13" w:rsidRPr="0090507E" w:rsidRDefault="00466B13" w:rsidP="00F863FF">
            <w:pPr>
              <w:jc w:val="center"/>
              <w:rPr>
                <w:b/>
                <w:bCs/>
                <w:sz w:val="20"/>
                <w:szCs w:val="20"/>
                <w:lang w:val="es-ES"/>
              </w:rPr>
            </w:pPr>
            <w:r w:rsidRPr="0090507E">
              <w:rPr>
                <w:b/>
                <w:bCs/>
                <w:sz w:val="20"/>
                <w:szCs w:val="20"/>
                <w:lang w:val="es-ES"/>
              </w:rPr>
              <w:t xml:space="preserve">Gastos de apoyo ($ EUA) </w:t>
            </w:r>
          </w:p>
        </w:tc>
        <w:tc>
          <w:tcPr>
            <w:tcW w:w="1461" w:type="dxa"/>
            <w:tcMar>
              <w:left w:w="29" w:type="dxa"/>
              <w:right w:w="29" w:type="dxa"/>
            </w:tcMar>
          </w:tcPr>
          <w:p w:rsidR="00466B13" w:rsidRPr="0090507E" w:rsidRDefault="00466B13" w:rsidP="00F863FF">
            <w:pPr>
              <w:jc w:val="center"/>
              <w:rPr>
                <w:b/>
                <w:bCs/>
                <w:sz w:val="20"/>
                <w:szCs w:val="20"/>
                <w:lang w:val="es-ES"/>
              </w:rPr>
            </w:pPr>
            <w:r w:rsidRPr="0090507E">
              <w:rPr>
                <w:b/>
                <w:bCs/>
                <w:sz w:val="20"/>
                <w:szCs w:val="20"/>
                <w:lang w:val="es-ES"/>
              </w:rPr>
              <w:t>Organismo de ejecución</w:t>
            </w:r>
          </w:p>
        </w:tc>
      </w:tr>
      <w:tr w:rsidR="00466B13" w:rsidRPr="00466B13" w:rsidTr="00F863FF">
        <w:tc>
          <w:tcPr>
            <w:tcW w:w="540" w:type="dxa"/>
          </w:tcPr>
          <w:p w:rsidR="00466B13" w:rsidRPr="00466B13" w:rsidRDefault="00466B13" w:rsidP="00F863FF">
            <w:pPr>
              <w:rPr>
                <w:sz w:val="20"/>
                <w:szCs w:val="20"/>
                <w:lang w:val="es-ES"/>
              </w:rPr>
            </w:pPr>
            <w:r w:rsidRPr="00466B13">
              <w:rPr>
                <w:sz w:val="20"/>
                <w:szCs w:val="20"/>
                <w:lang w:val="es-ES"/>
              </w:rPr>
              <w:t>a)</w:t>
            </w:r>
          </w:p>
        </w:tc>
        <w:tc>
          <w:tcPr>
            <w:tcW w:w="4320" w:type="dxa"/>
          </w:tcPr>
          <w:p w:rsidR="00466B13" w:rsidRPr="00466B13" w:rsidRDefault="00466B13" w:rsidP="00F863FF">
            <w:pPr>
              <w:rPr>
                <w:sz w:val="20"/>
                <w:szCs w:val="20"/>
                <w:lang w:val="es-ES"/>
              </w:rPr>
            </w:pPr>
            <w:r w:rsidRPr="00466B13">
              <w:rPr>
                <w:sz w:val="20"/>
                <w:szCs w:val="20"/>
                <w:lang w:val="es-ES"/>
              </w:rPr>
              <w:t xml:space="preserve">Plan de </w:t>
            </w:r>
            <w:r w:rsidR="002A6CF4">
              <w:rPr>
                <w:sz w:val="20"/>
                <w:szCs w:val="20"/>
                <w:lang w:val="es-ES"/>
              </w:rPr>
              <w:t>gestión</w:t>
            </w:r>
            <w:r w:rsidRPr="00466B13">
              <w:rPr>
                <w:sz w:val="20"/>
                <w:szCs w:val="20"/>
                <w:lang w:val="es-ES"/>
              </w:rPr>
              <w:t xml:space="preserve"> de </w:t>
            </w:r>
            <w:r w:rsidR="002A6CF4">
              <w:rPr>
                <w:sz w:val="20"/>
                <w:szCs w:val="20"/>
                <w:lang w:val="es-ES"/>
              </w:rPr>
              <w:t>eliminación</w:t>
            </w:r>
            <w:r w:rsidRPr="00466B13">
              <w:rPr>
                <w:sz w:val="20"/>
                <w:szCs w:val="20"/>
                <w:lang w:val="es-ES"/>
              </w:rPr>
              <w:t xml:space="preserve"> de HCFC (etapa II, segundo tramo)</w:t>
            </w:r>
          </w:p>
        </w:tc>
        <w:tc>
          <w:tcPr>
            <w:tcW w:w="1461" w:type="dxa"/>
          </w:tcPr>
          <w:p w:rsidR="00466B13" w:rsidRPr="00466B13" w:rsidRDefault="00466B13" w:rsidP="00F863FF">
            <w:pPr>
              <w:jc w:val="right"/>
              <w:rPr>
                <w:sz w:val="20"/>
                <w:szCs w:val="20"/>
                <w:lang w:val="es-ES"/>
              </w:rPr>
            </w:pPr>
            <w:r w:rsidRPr="00466B13">
              <w:rPr>
                <w:sz w:val="20"/>
                <w:szCs w:val="20"/>
                <w:lang w:val="es-ES"/>
              </w:rPr>
              <w:t>1 979 852</w:t>
            </w:r>
          </w:p>
        </w:tc>
        <w:tc>
          <w:tcPr>
            <w:tcW w:w="1461" w:type="dxa"/>
          </w:tcPr>
          <w:p w:rsidR="00466B13" w:rsidRPr="00466B13" w:rsidRDefault="00466B13" w:rsidP="00F863FF">
            <w:pPr>
              <w:jc w:val="right"/>
              <w:rPr>
                <w:sz w:val="20"/>
                <w:szCs w:val="20"/>
                <w:lang w:val="es-ES"/>
              </w:rPr>
            </w:pPr>
            <w:r w:rsidRPr="00466B13">
              <w:rPr>
                <w:sz w:val="20"/>
                <w:szCs w:val="20"/>
                <w:lang w:val="es-ES"/>
              </w:rPr>
              <w:t xml:space="preserve">138 590 </w:t>
            </w:r>
          </w:p>
        </w:tc>
        <w:tc>
          <w:tcPr>
            <w:tcW w:w="1461" w:type="dxa"/>
          </w:tcPr>
          <w:p w:rsidR="00466B13" w:rsidRPr="00466B13" w:rsidRDefault="00466B13" w:rsidP="00F863FF">
            <w:pPr>
              <w:jc w:val="center"/>
              <w:rPr>
                <w:sz w:val="20"/>
                <w:szCs w:val="20"/>
                <w:lang w:val="es-ES"/>
              </w:rPr>
            </w:pPr>
            <w:r w:rsidRPr="00466B13">
              <w:rPr>
                <w:sz w:val="20"/>
                <w:szCs w:val="20"/>
                <w:lang w:val="es-ES"/>
              </w:rPr>
              <w:t>ONUDI</w:t>
            </w:r>
          </w:p>
        </w:tc>
      </w:tr>
      <w:tr w:rsidR="00466B13" w:rsidRPr="00466B13" w:rsidTr="00F863FF">
        <w:tc>
          <w:tcPr>
            <w:tcW w:w="540" w:type="dxa"/>
          </w:tcPr>
          <w:p w:rsidR="00466B13" w:rsidRPr="00466B13" w:rsidRDefault="00466B13" w:rsidP="00F863FF">
            <w:pPr>
              <w:rPr>
                <w:sz w:val="20"/>
                <w:szCs w:val="20"/>
                <w:lang w:val="es-ES"/>
              </w:rPr>
            </w:pPr>
            <w:r w:rsidRPr="00466B13">
              <w:rPr>
                <w:sz w:val="20"/>
                <w:szCs w:val="20"/>
                <w:lang w:val="es-ES"/>
              </w:rPr>
              <w:t>b)</w:t>
            </w:r>
          </w:p>
        </w:tc>
        <w:tc>
          <w:tcPr>
            <w:tcW w:w="4320" w:type="dxa"/>
          </w:tcPr>
          <w:p w:rsidR="00466B13" w:rsidRPr="00466B13" w:rsidRDefault="00466B13" w:rsidP="00F863FF">
            <w:pPr>
              <w:rPr>
                <w:sz w:val="20"/>
                <w:szCs w:val="20"/>
                <w:lang w:val="es-ES"/>
              </w:rPr>
            </w:pPr>
            <w:r w:rsidRPr="00466B13">
              <w:rPr>
                <w:sz w:val="20"/>
                <w:szCs w:val="20"/>
                <w:lang w:val="es-ES"/>
              </w:rPr>
              <w:t xml:space="preserve">Plan de </w:t>
            </w:r>
            <w:r w:rsidR="002A6CF4">
              <w:rPr>
                <w:sz w:val="20"/>
                <w:szCs w:val="20"/>
                <w:lang w:val="es-ES"/>
              </w:rPr>
              <w:t>gestión</w:t>
            </w:r>
            <w:r w:rsidRPr="00466B13">
              <w:rPr>
                <w:sz w:val="20"/>
                <w:szCs w:val="20"/>
                <w:lang w:val="es-ES"/>
              </w:rPr>
              <w:t xml:space="preserve"> de </w:t>
            </w:r>
            <w:r w:rsidR="002A6CF4">
              <w:rPr>
                <w:sz w:val="20"/>
                <w:szCs w:val="20"/>
                <w:lang w:val="es-ES"/>
              </w:rPr>
              <w:t>eliminación</w:t>
            </w:r>
            <w:r w:rsidRPr="00466B13">
              <w:rPr>
                <w:sz w:val="20"/>
                <w:szCs w:val="20"/>
                <w:lang w:val="es-ES"/>
              </w:rPr>
              <w:t xml:space="preserve"> de HCFC (etapa II, segundo tramo)</w:t>
            </w:r>
          </w:p>
        </w:tc>
        <w:tc>
          <w:tcPr>
            <w:tcW w:w="1461" w:type="dxa"/>
          </w:tcPr>
          <w:p w:rsidR="00466B13" w:rsidRPr="00466B13" w:rsidRDefault="00466B13" w:rsidP="00F863FF">
            <w:pPr>
              <w:jc w:val="right"/>
              <w:rPr>
                <w:sz w:val="20"/>
                <w:szCs w:val="20"/>
                <w:lang w:val="es-ES"/>
              </w:rPr>
            </w:pPr>
            <w:r w:rsidRPr="00466B13">
              <w:rPr>
                <w:sz w:val="20"/>
                <w:szCs w:val="20"/>
                <w:lang w:val="es-ES"/>
              </w:rPr>
              <w:t>200 000</w:t>
            </w:r>
          </w:p>
        </w:tc>
        <w:tc>
          <w:tcPr>
            <w:tcW w:w="1461" w:type="dxa"/>
          </w:tcPr>
          <w:p w:rsidR="00466B13" w:rsidRPr="00466B13" w:rsidRDefault="00466B13" w:rsidP="00F863FF">
            <w:pPr>
              <w:jc w:val="right"/>
              <w:rPr>
                <w:sz w:val="20"/>
                <w:szCs w:val="20"/>
                <w:lang w:val="es-ES"/>
              </w:rPr>
            </w:pPr>
            <w:r w:rsidRPr="00466B13">
              <w:rPr>
                <w:sz w:val="20"/>
                <w:szCs w:val="20"/>
                <w:lang w:val="es-ES"/>
              </w:rPr>
              <w:t>25 976</w:t>
            </w:r>
          </w:p>
        </w:tc>
        <w:tc>
          <w:tcPr>
            <w:tcW w:w="1461" w:type="dxa"/>
          </w:tcPr>
          <w:p w:rsidR="00466B13" w:rsidRPr="00466B13" w:rsidRDefault="00466B13" w:rsidP="00F863FF">
            <w:pPr>
              <w:jc w:val="center"/>
              <w:rPr>
                <w:sz w:val="20"/>
                <w:szCs w:val="20"/>
                <w:lang w:val="es-ES"/>
              </w:rPr>
            </w:pPr>
            <w:r w:rsidRPr="00466B13">
              <w:rPr>
                <w:sz w:val="20"/>
                <w:szCs w:val="20"/>
                <w:lang w:val="es-ES"/>
              </w:rPr>
              <w:t>PNUMA</w:t>
            </w:r>
          </w:p>
        </w:tc>
      </w:tr>
    </w:tbl>
    <w:p w:rsidR="00466B13" w:rsidRPr="00466B13" w:rsidRDefault="00466B13" w:rsidP="00466B13">
      <w:pPr>
        <w:pStyle w:val="Heading2"/>
        <w:keepNext/>
        <w:widowControl/>
        <w:numPr>
          <w:ilvl w:val="0"/>
          <w:numId w:val="0"/>
        </w:numPr>
        <w:rPr>
          <w:lang w:val="es-ES"/>
        </w:rPr>
      </w:pPr>
    </w:p>
    <w:p w:rsidR="00466B13" w:rsidRPr="00466B13" w:rsidRDefault="00466B13" w:rsidP="00466B13">
      <w:pPr>
        <w:pStyle w:val="Heading2"/>
        <w:keepNext/>
        <w:widowControl/>
        <w:numPr>
          <w:ilvl w:val="0"/>
          <w:numId w:val="0"/>
        </w:numPr>
        <w:rPr>
          <w:lang w:val="es-ES"/>
        </w:rPr>
        <w:sectPr w:rsidR="00466B13" w:rsidRPr="00466B13" w:rsidSect="00F863FF">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66B13" w:rsidRPr="00466B13" w:rsidRDefault="00466B13" w:rsidP="00466B13">
      <w:pPr>
        <w:jc w:val="center"/>
        <w:rPr>
          <w:b/>
          <w:lang w:val="es-ES"/>
        </w:rPr>
      </w:pPr>
      <w:r w:rsidRPr="00466B13">
        <w:rPr>
          <w:b/>
          <w:bCs/>
          <w:lang w:val="es-ES"/>
        </w:rPr>
        <w:lastRenderedPageBreak/>
        <w:t>Anexo I</w:t>
      </w:r>
    </w:p>
    <w:p w:rsidR="00466B13" w:rsidRPr="00466B13" w:rsidRDefault="00466B13" w:rsidP="00466B13">
      <w:pPr>
        <w:jc w:val="center"/>
        <w:rPr>
          <w:lang w:val="es-ES"/>
        </w:rPr>
      </w:pPr>
    </w:p>
    <w:p w:rsidR="00466B13" w:rsidRPr="00466B13" w:rsidRDefault="00466B13" w:rsidP="00466B13">
      <w:pPr>
        <w:jc w:val="center"/>
        <w:rPr>
          <w:b/>
          <w:lang w:val="es-ES"/>
        </w:rPr>
      </w:pPr>
      <w:r w:rsidRPr="00466B13">
        <w:rPr>
          <w:b/>
          <w:bCs/>
          <w:lang w:val="es-ES"/>
        </w:rPr>
        <w:t xml:space="preserve">TEXTO QUE DEBERÁ INCLUIRSE EN EL ACUERDO ACTUALIZADO ENTRE EL GOBIERNO DEL PAKISTÁN Y EL COMITÉ EJECUTIVO DEL FONDO MULTILATERAL PARA LA REDUCCIÓN DEL CONSUMO DE HIDROCLOROFLUOROCARBUROS, DE CONFORMIDAD CON LA ETAPA II DEL PLAN DE GESTIÓN DE ELIMINACIÓN DE HCFC  </w:t>
      </w:r>
    </w:p>
    <w:p w:rsidR="00466B13" w:rsidRPr="00466B13" w:rsidRDefault="00466B13" w:rsidP="00466B13">
      <w:pPr>
        <w:jc w:val="center"/>
        <w:rPr>
          <w:lang w:val="es-ES"/>
        </w:rPr>
      </w:pPr>
      <w:r w:rsidRPr="00466B13">
        <w:rPr>
          <w:lang w:val="es-ES"/>
        </w:rPr>
        <w:t>(Los cambios pertinentes figuran en negrita para facilitar su consulta)</w:t>
      </w:r>
    </w:p>
    <w:p w:rsidR="00466B13" w:rsidRPr="00466B13" w:rsidRDefault="00466B13" w:rsidP="00466B13">
      <w:pPr>
        <w:rPr>
          <w:lang w:val="es-ES"/>
        </w:rPr>
      </w:pPr>
    </w:p>
    <w:p w:rsidR="00466B13" w:rsidRPr="00466B13" w:rsidRDefault="00466B13" w:rsidP="00466B13">
      <w:pPr>
        <w:pStyle w:val="Heading1"/>
        <w:numPr>
          <w:ilvl w:val="0"/>
          <w:numId w:val="22"/>
        </w:numPr>
        <w:rPr>
          <w:lang w:val="es-ES"/>
        </w:rPr>
      </w:pPr>
      <w:r w:rsidRPr="00466B13">
        <w:rPr>
          <w:lang w:val="es-ES"/>
        </w:rPr>
        <w:t xml:space="preserve">El presente Acuerdo representa el entendimiento al que han llegado el Gobierno del Pakistán (el “País”) y el Comité Ejecutivo para reducir el uso controlado de sustancias que agotan la capa de ozono (SAO), estipulado en el Apéndice 1-A (“Las Sustancias”) a un nivel sostenido de </w:t>
      </w:r>
      <w:r w:rsidRPr="00466B13">
        <w:rPr>
          <w:b/>
          <w:bCs/>
          <w:lang w:val="es-ES"/>
        </w:rPr>
        <w:t>124,06</w:t>
      </w:r>
      <w:r w:rsidRPr="00466B13">
        <w:rPr>
          <w:lang w:val="es-ES"/>
        </w:rPr>
        <w:t xml:space="preserve"> toneladas PAO, con entrada en vigor el 1 de enero de 2020, de conformidad con el programa del Protocolo de Montreal.</w:t>
      </w:r>
    </w:p>
    <w:p w:rsidR="00466B13" w:rsidRPr="0090507E" w:rsidRDefault="00466B13" w:rsidP="00466B13">
      <w:pPr>
        <w:pStyle w:val="Heading1"/>
        <w:numPr>
          <w:ilvl w:val="0"/>
          <w:numId w:val="0"/>
        </w:numPr>
        <w:rPr>
          <w:b/>
          <w:lang w:val="es-ES"/>
        </w:rPr>
      </w:pPr>
      <w:r w:rsidRPr="0090507E">
        <w:rPr>
          <w:b/>
          <w:lang w:val="es-ES"/>
        </w:rPr>
        <w:t>16.</w:t>
      </w:r>
      <w:r w:rsidRPr="0090507E">
        <w:rPr>
          <w:b/>
          <w:lang w:val="es-ES"/>
        </w:rPr>
        <w:tab/>
        <w:t xml:space="preserve">El presente Acuerdo actualizado sustituye al Acuerdo alcanzado entre el Gobierno del Pakistán y el Comité Ejecutivo en la 76ª reunión del Comité Ejecutivo. </w:t>
      </w:r>
    </w:p>
    <w:p w:rsidR="00466B13" w:rsidRPr="00466B13" w:rsidRDefault="00466B13" w:rsidP="00466B13">
      <w:pPr>
        <w:pStyle w:val="Heading1"/>
        <w:numPr>
          <w:ilvl w:val="0"/>
          <w:numId w:val="0"/>
        </w:numPr>
        <w:rPr>
          <w:b/>
          <w:lang w:val="es-ES"/>
        </w:rPr>
      </w:pPr>
      <w:r w:rsidRPr="00466B13">
        <w:rPr>
          <w:b/>
          <w:bCs/>
          <w:lang w:val="es-ES"/>
        </w:rPr>
        <w:t>APÉNDICE 1-A</w:t>
      </w:r>
      <w:r w:rsidR="003767CE">
        <w:rPr>
          <w:b/>
          <w:bCs/>
          <w:lang w:val="es-ES"/>
        </w:rPr>
        <w:t>:</w:t>
      </w:r>
      <w:r w:rsidRPr="00466B13">
        <w:rPr>
          <w:b/>
          <w:bCs/>
          <w:lang w:val="es-ES"/>
        </w:rPr>
        <w:t xml:space="preserve"> LAS SUSTANCIAS</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804"/>
        <w:gridCol w:w="842"/>
        <w:gridCol w:w="4383"/>
      </w:tblGrid>
      <w:tr w:rsidR="00466B13" w:rsidRPr="00FE2692" w:rsidTr="00F863FF">
        <w:tc>
          <w:tcPr>
            <w:tcW w:w="3304" w:type="dxa"/>
          </w:tcPr>
          <w:p w:rsidR="00466B13" w:rsidRPr="00466B13" w:rsidRDefault="00466B13" w:rsidP="00F863FF">
            <w:pPr>
              <w:jc w:val="center"/>
              <w:rPr>
                <w:sz w:val="20"/>
                <w:szCs w:val="20"/>
                <w:lang w:val="es-ES"/>
              </w:rPr>
            </w:pPr>
            <w:r w:rsidRPr="00466B13">
              <w:rPr>
                <w:sz w:val="20"/>
                <w:szCs w:val="20"/>
                <w:lang w:val="es-ES"/>
              </w:rPr>
              <w:t>Sustancia</w:t>
            </w:r>
          </w:p>
        </w:tc>
        <w:tc>
          <w:tcPr>
            <w:tcW w:w="804" w:type="dxa"/>
          </w:tcPr>
          <w:p w:rsidR="00466B13" w:rsidRPr="00466B13" w:rsidRDefault="00466B13" w:rsidP="00F863FF">
            <w:pPr>
              <w:jc w:val="center"/>
              <w:rPr>
                <w:sz w:val="20"/>
                <w:szCs w:val="20"/>
                <w:lang w:val="es-ES"/>
              </w:rPr>
            </w:pPr>
            <w:r w:rsidRPr="00466B13">
              <w:rPr>
                <w:sz w:val="20"/>
                <w:szCs w:val="20"/>
                <w:lang w:val="es-ES"/>
              </w:rPr>
              <w:t>Anexo</w:t>
            </w:r>
          </w:p>
        </w:tc>
        <w:tc>
          <w:tcPr>
            <w:tcW w:w="842" w:type="dxa"/>
          </w:tcPr>
          <w:p w:rsidR="00466B13" w:rsidRPr="00466B13" w:rsidRDefault="00466B13" w:rsidP="00F863FF">
            <w:pPr>
              <w:jc w:val="center"/>
              <w:rPr>
                <w:sz w:val="20"/>
                <w:szCs w:val="20"/>
                <w:lang w:val="es-ES"/>
              </w:rPr>
            </w:pPr>
            <w:r w:rsidRPr="00466B13">
              <w:rPr>
                <w:sz w:val="20"/>
                <w:szCs w:val="20"/>
                <w:lang w:val="es-ES"/>
              </w:rPr>
              <w:t>Grupo</w:t>
            </w:r>
          </w:p>
        </w:tc>
        <w:tc>
          <w:tcPr>
            <w:tcW w:w="4383" w:type="dxa"/>
            <w:tcBorders>
              <w:bottom w:val="single" w:sz="4" w:space="0" w:color="auto"/>
            </w:tcBorders>
          </w:tcPr>
          <w:p w:rsidR="00466B13" w:rsidRPr="00466B13" w:rsidRDefault="00466B13" w:rsidP="00F863FF">
            <w:pPr>
              <w:jc w:val="center"/>
              <w:rPr>
                <w:sz w:val="20"/>
                <w:szCs w:val="20"/>
                <w:lang w:val="es-ES"/>
              </w:rPr>
            </w:pPr>
            <w:r w:rsidRPr="00466B13">
              <w:rPr>
                <w:sz w:val="20"/>
                <w:szCs w:val="20"/>
                <w:lang w:val="es-ES"/>
              </w:rPr>
              <w:t xml:space="preserve">Punto de partida para las reducciones </w:t>
            </w:r>
            <w:r w:rsidR="00AF3E14">
              <w:rPr>
                <w:sz w:val="20"/>
                <w:szCs w:val="20"/>
                <w:lang w:val="es-ES"/>
              </w:rPr>
              <w:t>acumulativas</w:t>
            </w:r>
            <w:r w:rsidR="00B3018B">
              <w:rPr>
                <w:sz w:val="20"/>
                <w:szCs w:val="20"/>
                <w:lang w:val="es-ES"/>
              </w:rPr>
              <w:t xml:space="preserve"> </w:t>
            </w:r>
            <w:r w:rsidRPr="00466B13">
              <w:rPr>
                <w:sz w:val="20"/>
                <w:szCs w:val="20"/>
                <w:lang w:val="es-ES"/>
              </w:rPr>
              <w:t xml:space="preserve"> del consumo (toneladas PAO)</w:t>
            </w:r>
          </w:p>
        </w:tc>
      </w:tr>
      <w:tr w:rsidR="00466B13" w:rsidRPr="00466B13" w:rsidTr="00F863FF">
        <w:tc>
          <w:tcPr>
            <w:tcW w:w="3304" w:type="dxa"/>
          </w:tcPr>
          <w:p w:rsidR="00466B13" w:rsidRPr="00466B13" w:rsidRDefault="00466B13" w:rsidP="00F863FF">
            <w:pPr>
              <w:keepNext/>
              <w:rPr>
                <w:sz w:val="20"/>
                <w:szCs w:val="20"/>
                <w:lang w:val="es-ES"/>
              </w:rPr>
            </w:pPr>
            <w:r w:rsidRPr="00466B13">
              <w:rPr>
                <w:sz w:val="20"/>
                <w:szCs w:val="20"/>
                <w:lang w:val="es-ES"/>
              </w:rPr>
              <w:t>HCFC-22</w:t>
            </w:r>
          </w:p>
        </w:tc>
        <w:tc>
          <w:tcPr>
            <w:tcW w:w="804" w:type="dxa"/>
          </w:tcPr>
          <w:p w:rsidR="00466B13" w:rsidRPr="00466B13" w:rsidRDefault="00466B13" w:rsidP="00F863FF">
            <w:pPr>
              <w:keepNext/>
              <w:rPr>
                <w:sz w:val="20"/>
                <w:szCs w:val="20"/>
                <w:lang w:val="es-ES"/>
              </w:rPr>
            </w:pPr>
            <w:r w:rsidRPr="00466B13">
              <w:rPr>
                <w:sz w:val="20"/>
                <w:szCs w:val="20"/>
                <w:lang w:val="es-ES"/>
              </w:rPr>
              <w:t>C</w:t>
            </w:r>
          </w:p>
        </w:tc>
        <w:tc>
          <w:tcPr>
            <w:tcW w:w="842" w:type="dxa"/>
          </w:tcPr>
          <w:p w:rsidR="00466B13" w:rsidRPr="00466B13" w:rsidRDefault="00466B13" w:rsidP="00F863FF">
            <w:pPr>
              <w:rPr>
                <w:sz w:val="20"/>
                <w:szCs w:val="20"/>
                <w:lang w:val="es-ES"/>
              </w:rPr>
            </w:pPr>
            <w:r w:rsidRPr="00466B13">
              <w:rPr>
                <w:sz w:val="20"/>
                <w:szCs w:val="20"/>
                <w:lang w:val="es-ES"/>
              </w:rPr>
              <w:t>I</w:t>
            </w:r>
          </w:p>
        </w:tc>
        <w:tc>
          <w:tcPr>
            <w:tcW w:w="4383" w:type="dxa"/>
            <w:shd w:val="clear" w:color="auto" w:fill="auto"/>
          </w:tcPr>
          <w:p w:rsidR="00466B13" w:rsidRPr="00466B13" w:rsidRDefault="00466B13" w:rsidP="00F863FF">
            <w:pPr>
              <w:widowControl w:val="0"/>
              <w:autoSpaceDE w:val="0"/>
              <w:autoSpaceDN w:val="0"/>
              <w:adjustRightInd w:val="0"/>
              <w:ind w:left="102" w:right="-20"/>
              <w:jc w:val="right"/>
              <w:rPr>
                <w:b/>
                <w:sz w:val="20"/>
                <w:szCs w:val="20"/>
                <w:lang w:val="es-ES"/>
              </w:rPr>
            </w:pPr>
            <w:r w:rsidRPr="00466B13">
              <w:rPr>
                <w:b/>
                <w:bCs/>
                <w:sz w:val="20"/>
                <w:szCs w:val="20"/>
                <w:lang w:val="es-ES"/>
              </w:rPr>
              <w:t>104,96</w:t>
            </w:r>
          </w:p>
        </w:tc>
      </w:tr>
      <w:tr w:rsidR="00466B13" w:rsidRPr="00466B13" w:rsidTr="00F863FF">
        <w:tblPrEx>
          <w:tblLook w:val="0000" w:firstRow="0" w:lastRow="0" w:firstColumn="0" w:lastColumn="0" w:noHBand="0" w:noVBand="0"/>
        </w:tblPrEx>
        <w:tc>
          <w:tcPr>
            <w:tcW w:w="3304" w:type="dxa"/>
          </w:tcPr>
          <w:p w:rsidR="00466B13" w:rsidRPr="00466B13" w:rsidRDefault="00466B13" w:rsidP="00F863FF">
            <w:pPr>
              <w:rPr>
                <w:sz w:val="20"/>
                <w:lang w:val="es-ES"/>
              </w:rPr>
            </w:pPr>
            <w:r w:rsidRPr="00466B13">
              <w:rPr>
                <w:sz w:val="20"/>
                <w:szCs w:val="20"/>
                <w:lang w:val="es-ES"/>
              </w:rPr>
              <w:t>HCFC-141b</w:t>
            </w:r>
          </w:p>
        </w:tc>
        <w:tc>
          <w:tcPr>
            <w:tcW w:w="804" w:type="dxa"/>
          </w:tcPr>
          <w:p w:rsidR="00466B13" w:rsidRPr="00466B13" w:rsidRDefault="00466B13" w:rsidP="00F863FF">
            <w:pPr>
              <w:rPr>
                <w:sz w:val="20"/>
                <w:lang w:val="es-ES"/>
              </w:rPr>
            </w:pPr>
            <w:r w:rsidRPr="00466B13">
              <w:rPr>
                <w:sz w:val="20"/>
                <w:szCs w:val="20"/>
                <w:lang w:val="es-ES"/>
              </w:rPr>
              <w:t>C</w:t>
            </w:r>
          </w:p>
        </w:tc>
        <w:tc>
          <w:tcPr>
            <w:tcW w:w="842" w:type="dxa"/>
            <w:shd w:val="clear" w:color="auto" w:fill="auto"/>
          </w:tcPr>
          <w:p w:rsidR="00466B13" w:rsidRPr="00466B13" w:rsidRDefault="00466B13" w:rsidP="00F863FF">
            <w:pPr>
              <w:rPr>
                <w:sz w:val="20"/>
                <w:lang w:val="es-ES"/>
              </w:rPr>
            </w:pPr>
            <w:r w:rsidRPr="00466B13">
              <w:rPr>
                <w:sz w:val="20"/>
                <w:szCs w:val="20"/>
                <w:lang w:val="es-ES"/>
              </w:rPr>
              <w:t>I</w:t>
            </w:r>
          </w:p>
        </w:tc>
        <w:tc>
          <w:tcPr>
            <w:tcW w:w="4383" w:type="dxa"/>
            <w:shd w:val="clear" w:color="auto" w:fill="auto"/>
          </w:tcPr>
          <w:p w:rsidR="00466B13" w:rsidRPr="00466B13" w:rsidRDefault="00466B13" w:rsidP="00F863FF">
            <w:pPr>
              <w:widowControl w:val="0"/>
              <w:autoSpaceDE w:val="0"/>
              <w:autoSpaceDN w:val="0"/>
              <w:adjustRightInd w:val="0"/>
              <w:ind w:left="102" w:right="-20"/>
              <w:jc w:val="right"/>
              <w:rPr>
                <w:sz w:val="20"/>
                <w:szCs w:val="20"/>
                <w:lang w:val="es-ES"/>
              </w:rPr>
            </w:pPr>
            <w:r w:rsidRPr="00466B13">
              <w:rPr>
                <w:sz w:val="20"/>
                <w:szCs w:val="20"/>
                <w:lang w:val="es-ES"/>
              </w:rPr>
              <w:t>138,50</w:t>
            </w:r>
          </w:p>
        </w:tc>
      </w:tr>
      <w:tr w:rsidR="00466B13" w:rsidRPr="00466B13" w:rsidTr="00F863FF">
        <w:tblPrEx>
          <w:tblLook w:val="0000" w:firstRow="0" w:lastRow="0" w:firstColumn="0" w:lastColumn="0" w:noHBand="0" w:noVBand="0"/>
        </w:tblPrEx>
        <w:tc>
          <w:tcPr>
            <w:tcW w:w="3304" w:type="dxa"/>
          </w:tcPr>
          <w:p w:rsidR="00466B13" w:rsidRPr="00466B13" w:rsidRDefault="00466B13" w:rsidP="00F863FF">
            <w:pPr>
              <w:rPr>
                <w:b/>
                <w:sz w:val="20"/>
                <w:lang w:val="es-ES"/>
              </w:rPr>
            </w:pPr>
            <w:r w:rsidRPr="00466B13">
              <w:rPr>
                <w:b/>
                <w:bCs/>
                <w:sz w:val="20"/>
                <w:szCs w:val="20"/>
                <w:lang w:val="es-ES"/>
              </w:rPr>
              <w:t>HCFC-142b</w:t>
            </w:r>
          </w:p>
        </w:tc>
        <w:tc>
          <w:tcPr>
            <w:tcW w:w="804" w:type="dxa"/>
          </w:tcPr>
          <w:p w:rsidR="00466B13" w:rsidRPr="0090507E" w:rsidRDefault="00466B13" w:rsidP="00F863FF">
            <w:pPr>
              <w:rPr>
                <w:b/>
                <w:sz w:val="20"/>
                <w:lang w:val="es-ES"/>
              </w:rPr>
            </w:pPr>
            <w:r w:rsidRPr="0090507E">
              <w:rPr>
                <w:b/>
                <w:sz w:val="20"/>
                <w:szCs w:val="20"/>
                <w:lang w:val="es-ES"/>
              </w:rPr>
              <w:t>C</w:t>
            </w:r>
          </w:p>
        </w:tc>
        <w:tc>
          <w:tcPr>
            <w:tcW w:w="842" w:type="dxa"/>
            <w:shd w:val="clear" w:color="auto" w:fill="auto"/>
          </w:tcPr>
          <w:p w:rsidR="00466B13" w:rsidRPr="0090507E" w:rsidRDefault="00466B13" w:rsidP="00F863FF">
            <w:pPr>
              <w:rPr>
                <w:b/>
                <w:sz w:val="20"/>
                <w:lang w:val="es-ES"/>
              </w:rPr>
            </w:pPr>
            <w:r w:rsidRPr="0090507E">
              <w:rPr>
                <w:b/>
                <w:sz w:val="20"/>
                <w:szCs w:val="20"/>
                <w:lang w:val="es-ES"/>
              </w:rPr>
              <w:t>I</w:t>
            </w:r>
          </w:p>
        </w:tc>
        <w:tc>
          <w:tcPr>
            <w:tcW w:w="4383" w:type="dxa"/>
            <w:shd w:val="clear" w:color="auto" w:fill="auto"/>
          </w:tcPr>
          <w:p w:rsidR="00466B13" w:rsidRPr="00466B13" w:rsidRDefault="00466B13" w:rsidP="00F863FF">
            <w:pPr>
              <w:widowControl w:val="0"/>
              <w:autoSpaceDE w:val="0"/>
              <w:autoSpaceDN w:val="0"/>
              <w:adjustRightInd w:val="0"/>
              <w:ind w:left="102" w:right="-20"/>
              <w:jc w:val="right"/>
              <w:rPr>
                <w:b/>
                <w:sz w:val="20"/>
                <w:szCs w:val="20"/>
                <w:lang w:val="es-ES"/>
              </w:rPr>
            </w:pPr>
            <w:r w:rsidRPr="00466B13">
              <w:rPr>
                <w:b/>
                <w:bCs/>
                <w:sz w:val="20"/>
                <w:szCs w:val="20"/>
                <w:lang w:val="es-ES"/>
              </w:rPr>
              <w:t>4,65</w:t>
            </w:r>
          </w:p>
        </w:tc>
      </w:tr>
      <w:tr w:rsidR="00466B13" w:rsidRPr="00466B13" w:rsidTr="00F863FF">
        <w:tc>
          <w:tcPr>
            <w:tcW w:w="3304" w:type="dxa"/>
          </w:tcPr>
          <w:p w:rsidR="00466B13" w:rsidRPr="00466B13" w:rsidRDefault="00466B13" w:rsidP="00F863FF">
            <w:pPr>
              <w:widowControl w:val="0"/>
              <w:autoSpaceDE w:val="0"/>
              <w:autoSpaceDN w:val="0"/>
              <w:adjustRightInd w:val="0"/>
              <w:rPr>
                <w:color w:val="000000"/>
                <w:sz w:val="20"/>
                <w:szCs w:val="24"/>
                <w:lang w:val="es-ES"/>
              </w:rPr>
            </w:pPr>
            <w:r w:rsidRPr="00466B13">
              <w:rPr>
                <w:color w:val="000000"/>
                <w:sz w:val="20"/>
                <w:szCs w:val="20"/>
                <w:lang w:val="es-ES"/>
              </w:rPr>
              <w:t>Total</w:t>
            </w:r>
          </w:p>
        </w:tc>
        <w:tc>
          <w:tcPr>
            <w:tcW w:w="804" w:type="dxa"/>
          </w:tcPr>
          <w:p w:rsidR="00466B13" w:rsidRPr="00466B13" w:rsidRDefault="00466B13" w:rsidP="00F863FF">
            <w:pPr>
              <w:widowControl w:val="0"/>
              <w:autoSpaceDE w:val="0"/>
              <w:autoSpaceDN w:val="0"/>
              <w:adjustRightInd w:val="0"/>
              <w:rPr>
                <w:color w:val="000000"/>
                <w:sz w:val="20"/>
                <w:szCs w:val="24"/>
                <w:lang w:val="es-ES"/>
              </w:rPr>
            </w:pPr>
            <w:r w:rsidRPr="00466B13">
              <w:rPr>
                <w:color w:val="000000"/>
                <w:sz w:val="20"/>
                <w:szCs w:val="20"/>
                <w:lang w:val="es-ES"/>
              </w:rPr>
              <w:t>C</w:t>
            </w:r>
          </w:p>
        </w:tc>
        <w:tc>
          <w:tcPr>
            <w:tcW w:w="842" w:type="dxa"/>
          </w:tcPr>
          <w:p w:rsidR="00466B13" w:rsidRPr="00466B13" w:rsidRDefault="00466B13" w:rsidP="00F863FF">
            <w:pPr>
              <w:widowControl w:val="0"/>
              <w:autoSpaceDE w:val="0"/>
              <w:autoSpaceDN w:val="0"/>
              <w:adjustRightInd w:val="0"/>
              <w:rPr>
                <w:color w:val="000000"/>
                <w:sz w:val="20"/>
                <w:szCs w:val="24"/>
                <w:lang w:val="es-ES"/>
              </w:rPr>
            </w:pPr>
            <w:r w:rsidRPr="00466B13">
              <w:rPr>
                <w:color w:val="000000"/>
                <w:sz w:val="20"/>
                <w:szCs w:val="20"/>
                <w:lang w:val="es-ES"/>
              </w:rPr>
              <w:t>I</w:t>
            </w:r>
          </w:p>
        </w:tc>
        <w:tc>
          <w:tcPr>
            <w:tcW w:w="4383" w:type="dxa"/>
            <w:shd w:val="clear" w:color="auto" w:fill="auto"/>
          </w:tcPr>
          <w:p w:rsidR="00466B13" w:rsidRPr="00466B13" w:rsidRDefault="00466B13" w:rsidP="00F863FF">
            <w:pPr>
              <w:widowControl w:val="0"/>
              <w:autoSpaceDE w:val="0"/>
              <w:autoSpaceDN w:val="0"/>
              <w:adjustRightInd w:val="0"/>
              <w:jc w:val="right"/>
              <w:rPr>
                <w:b/>
                <w:color w:val="000000"/>
                <w:sz w:val="20"/>
                <w:szCs w:val="20"/>
                <w:lang w:val="es-ES"/>
              </w:rPr>
            </w:pPr>
            <w:r w:rsidRPr="00466B13">
              <w:rPr>
                <w:b/>
                <w:bCs/>
                <w:color w:val="000000"/>
                <w:sz w:val="20"/>
                <w:szCs w:val="20"/>
                <w:lang w:val="es-ES"/>
              </w:rPr>
              <w:t>248,11</w:t>
            </w:r>
          </w:p>
        </w:tc>
      </w:tr>
    </w:tbl>
    <w:p w:rsidR="00466B13" w:rsidRPr="00466B13" w:rsidRDefault="00466B13" w:rsidP="00466B13">
      <w:pPr>
        <w:keepNext/>
        <w:keepLines/>
        <w:rPr>
          <w:lang w:val="es-ES"/>
        </w:rPr>
      </w:pPr>
    </w:p>
    <w:p w:rsidR="00466B13" w:rsidRPr="00466B13" w:rsidRDefault="00466B13" w:rsidP="00466B13">
      <w:pPr>
        <w:keepNext/>
        <w:keepLines/>
        <w:spacing w:after="240"/>
        <w:rPr>
          <w:b/>
          <w:lang w:val="es-ES"/>
        </w:rPr>
      </w:pPr>
      <w:r w:rsidRPr="00466B13">
        <w:rPr>
          <w:b/>
          <w:bCs/>
          <w:lang w:val="es-ES"/>
        </w:rPr>
        <w:t>APÉNDICE 2-A</w:t>
      </w:r>
      <w:r w:rsidR="003767CE">
        <w:rPr>
          <w:b/>
          <w:bCs/>
          <w:lang w:val="es-ES"/>
        </w:rPr>
        <w:t>:</w:t>
      </w:r>
      <w:r w:rsidRPr="00466B13">
        <w:rPr>
          <w:b/>
          <w:bCs/>
          <w:lang w:val="es-ES"/>
        </w:rPr>
        <w:t xml:space="preserve"> OBJETIVOS Y FINANCIACIÓN</w:t>
      </w:r>
    </w:p>
    <w:tbl>
      <w:tblPr>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102"/>
        <w:gridCol w:w="1149"/>
        <w:gridCol w:w="849"/>
        <w:gridCol w:w="1135"/>
        <w:gridCol w:w="851"/>
        <w:gridCol w:w="996"/>
        <w:gridCol w:w="1133"/>
      </w:tblGrid>
      <w:tr w:rsidR="000C622C" w:rsidRPr="00466B13" w:rsidTr="003767CE">
        <w:trPr>
          <w:cantSplit/>
          <w:trHeight w:val="98"/>
          <w:tblHeader/>
          <w:jc w:val="center"/>
        </w:trPr>
        <w:tc>
          <w:tcPr>
            <w:tcW w:w="355"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Fila</w:t>
            </w:r>
          </w:p>
        </w:tc>
        <w:tc>
          <w:tcPr>
            <w:tcW w:w="1564"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Detalles</w:t>
            </w:r>
          </w:p>
        </w:tc>
        <w:tc>
          <w:tcPr>
            <w:tcW w:w="579"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2016</w:t>
            </w:r>
          </w:p>
        </w:tc>
        <w:tc>
          <w:tcPr>
            <w:tcW w:w="428"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2017</w:t>
            </w:r>
          </w:p>
        </w:tc>
        <w:tc>
          <w:tcPr>
            <w:tcW w:w="572"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2018</w:t>
            </w:r>
          </w:p>
        </w:tc>
        <w:tc>
          <w:tcPr>
            <w:tcW w:w="429"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2019</w:t>
            </w:r>
          </w:p>
        </w:tc>
        <w:tc>
          <w:tcPr>
            <w:tcW w:w="501"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2020</w:t>
            </w:r>
          </w:p>
        </w:tc>
        <w:tc>
          <w:tcPr>
            <w:tcW w:w="571" w:type="pct"/>
            <w:shd w:val="clear" w:color="auto" w:fill="auto"/>
            <w:hideMark/>
          </w:tcPr>
          <w:p w:rsidR="00466B13" w:rsidRPr="00466B13" w:rsidRDefault="00466B13" w:rsidP="00F863FF">
            <w:pPr>
              <w:keepNext/>
              <w:keepLines/>
              <w:jc w:val="center"/>
              <w:rPr>
                <w:b/>
                <w:bCs/>
                <w:color w:val="000000"/>
                <w:sz w:val="20"/>
                <w:szCs w:val="20"/>
                <w:lang w:val="es-ES" w:eastAsia="en-CA"/>
              </w:rPr>
            </w:pPr>
            <w:r w:rsidRPr="00466B13">
              <w:rPr>
                <w:b/>
                <w:bCs/>
                <w:color w:val="000000"/>
                <w:sz w:val="20"/>
                <w:szCs w:val="20"/>
                <w:lang w:val="es-ES" w:eastAsia="en-CA"/>
              </w:rPr>
              <w:t>Total</w:t>
            </w:r>
          </w:p>
        </w:tc>
      </w:tr>
      <w:tr w:rsidR="000C622C" w:rsidRPr="00466B13" w:rsidTr="003767CE">
        <w:trPr>
          <w:trHeight w:val="408"/>
          <w:jc w:val="center"/>
        </w:trPr>
        <w:tc>
          <w:tcPr>
            <w:tcW w:w="355" w:type="pct"/>
            <w:shd w:val="clear" w:color="auto" w:fill="auto"/>
            <w:hideMark/>
          </w:tcPr>
          <w:p w:rsidR="00466B13" w:rsidRPr="00466B13" w:rsidRDefault="00466B13" w:rsidP="00F863FF">
            <w:pPr>
              <w:keepNext/>
              <w:keepLines/>
              <w:rPr>
                <w:color w:val="000000"/>
                <w:sz w:val="20"/>
                <w:szCs w:val="20"/>
                <w:lang w:val="es-ES" w:eastAsia="en-CA"/>
              </w:rPr>
            </w:pPr>
            <w:r w:rsidRPr="00466B13">
              <w:rPr>
                <w:color w:val="000000"/>
                <w:sz w:val="20"/>
                <w:szCs w:val="20"/>
                <w:lang w:val="es-ES" w:eastAsia="en-CA"/>
              </w:rPr>
              <w:t>1.1</w:t>
            </w:r>
          </w:p>
        </w:tc>
        <w:tc>
          <w:tcPr>
            <w:tcW w:w="1564" w:type="pct"/>
            <w:shd w:val="clear" w:color="auto" w:fill="auto"/>
            <w:hideMark/>
          </w:tcPr>
          <w:p w:rsidR="00466B13" w:rsidRPr="00466B13" w:rsidRDefault="00466B13" w:rsidP="00F863FF">
            <w:pPr>
              <w:keepNext/>
              <w:keepLines/>
              <w:rPr>
                <w:color w:val="000000"/>
                <w:sz w:val="20"/>
                <w:szCs w:val="20"/>
                <w:lang w:val="es-ES" w:eastAsia="en-CA"/>
              </w:rPr>
            </w:pPr>
            <w:r w:rsidRPr="00466B13">
              <w:rPr>
                <w:color w:val="000000"/>
                <w:sz w:val="20"/>
                <w:szCs w:val="20"/>
                <w:lang w:val="es-ES" w:eastAsia="en-CA"/>
              </w:rPr>
              <w:t>Calendario de reducción del Protocolo de Montreal para sustancias del Grupo I del Anexo C (toneladas PAO)</w:t>
            </w:r>
          </w:p>
        </w:tc>
        <w:tc>
          <w:tcPr>
            <w:tcW w:w="579" w:type="pct"/>
            <w:shd w:val="clear" w:color="auto" w:fill="auto"/>
          </w:tcPr>
          <w:p w:rsidR="00466B13" w:rsidRPr="00466B13" w:rsidRDefault="00466B13" w:rsidP="00F863FF">
            <w:pPr>
              <w:jc w:val="right"/>
              <w:rPr>
                <w:b/>
                <w:color w:val="000000"/>
                <w:sz w:val="20"/>
                <w:szCs w:val="20"/>
                <w:lang w:val="es-ES"/>
              </w:rPr>
            </w:pPr>
            <w:r w:rsidRPr="00466B13">
              <w:rPr>
                <w:b/>
                <w:bCs/>
                <w:color w:val="000000"/>
                <w:sz w:val="20"/>
                <w:szCs w:val="20"/>
                <w:lang w:val="es-ES"/>
              </w:rPr>
              <w:t>223,30</w:t>
            </w:r>
          </w:p>
        </w:tc>
        <w:tc>
          <w:tcPr>
            <w:tcW w:w="428"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572"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429"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501" w:type="pct"/>
            <w:shd w:val="clear" w:color="auto" w:fill="auto"/>
          </w:tcPr>
          <w:p w:rsidR="00466B13" w:rsidRPr="00466B13" w:rsidRDefault="00466B13" w:rsidP="00F863FF">
            <w:pPr>
              <w:jc w:val="right"/>
              <w:rPr>
                <w:b/>
                <w:color w:val="000000"/>
                <w:sz w:val="20"/>
                <w:szCs w:val="20"/>
                <w:lang w:val="es-ES"/>
              </w:rPr>
            </w:pPr>
            <w:r w:rsidRPr="00466B13">
              <w:rPr>
                <w:b/>
                <w:bCs/>
                <w:color w:val="000000"/>
                <w:sz w:val="20"/>
                <w:szCs w:val="20"/>
                <w:lang w:val="es-ES"/>
              </w:rPr>
              <w:t>161,27</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n/a</w:t>
            </w:r>
          </w:p>
        </w:tc>
      </w:tr>
      <w:tr w:rsidR="000C622C" w:rsidRPr="00466B13" w:rsidTr="003767CE">
        <w:trPr>
          <w:trHeight w:val="408"/>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1.2</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Consumo total máximo permisible para sustancias del Grupo I del Anexo C (toneladas PAO)</w:t>
            </w:r>
          </w:p>
        </w:tc>
        <w:tc>
          <w:tcPr>
            <w:tcW w:w="579" w:type="pct"/>
            <w:shd w:val="clear" w:color="auto" w:fill="auto"/>
          </w:tcPr>
          <w:p w:rsidR="00466B13" w:rsidRPr="00466B13" w:rsidRDefault="00466B13" w:rsidP="00F863FF">
            <w:pPr>
              <w:jc w:val="right"/>
              <w:rPr>
                <w:b/>
                <w:color w:val="000000"/>
                <w:sz w:val="20"/>
                <w:szCs w:val="20"/>
                <w:lang w:val="es-ES"/>
              </w:rPr>
            </w:pPr>
            <w:r w:rsidRPr="00466B13">
              <w:rPr>
                <w:b/>
                <w:bCs/>
                <w:color w:val="000000"/>
                <w:sz w:val="20"/>
                <w:szCs w:val="20"/>
                <w:lang w:val="es-ES"/>
              </w:rPr>
              <w:t>223,30</w:t>
            </w:r>
          </w:p>
        </w:tc>
        <w:tc>
          <w:tcPr>
            <w:tcW w:w="428"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572"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429" w:type="pct"/>
            <w:shd w:val="clear" w:color="auto" w:fill="auto"/>
          </w:tcPr>
          <w:p w:rsidR="00466B13" w:rsidRPr="00466B13" w:rsidRDefault="00466B13" w:rsidP="00F863FF">
            <w:pPr>
              <w:jc w:val="right"/>
              <w:rPr>
                <w:b/>
                <w:lang w:val="es-ES"/>
              </w:rPr>
            </w:pPr>
            <w:r w:rsidRPr="00466B13">
              <w:rPr>
                <w:b/>
                <w:bCs/>
                <w:color w:val="000000"/>
                <w:sz w:val="20"/>
                <w:szCs w:val="20"/>
                <w:lang w:val="es-ES"/>
              </w:rPr>
              <w:t>223,30</w:t>
            </w:r>
          </w:p>
        </w:tc>
        <w:tc>
          <w:tcPr>
            <w:tcW w:w="501" w:type="pct"/>
            <w:shd w:val="clear" w:color="auto" w:fill="auto"/>
          </w:tcPr>
          <w:p w:rsidR="00466B13" w:rsidRPr="00466B13" w:rsidRDefault="00466B13" w:rsidP="00F863FF">
            <w:pPr>
              <w:jc w:val="right"/>
              <w:rPr>
                <w:b/>
                <w:color w:val="000000"/>
                <w:sz w:val="20"/>
                <w:szCs w:val="20"/>
                <w:lang w:val="es-ES"/>
              </w:rPr>
            </w:pPr>
            <w:r w:rsidRPr="00466B13">
              <w:rPr>
                <w:b/>
                <w:bCs/>
                <w:color w:val="000000"/>
                <w:sz w:val="20"/>
                <w:szCs w:val="20"/>
                <w:lang w:val="es-ES"/>
              </w:rPr>
              <w:t>124</w:t>
            </w:r>
            <w:r w:rsidR="00173EE0">
              <w:rPr>
                <w:b/>
                <w:bCs/>
                <w:color w:val="000000"/>
                <w:sz w:val="20"/>
                <w:szCs w:val="20"/>
                <w:lang w:val="es-ES"/>
              </w:rPr>
              <w:t>,</w:t>
            </w:r>
            <w:r w:rsidRPr="00466B13">
              <w:rPr>
                <w:b/>
                <w:bCs/>
                <w:color w:val="000000"/>
                <w:sz w:val="20"/>
                <w:szCs w:val="20"/>
                <w:lang w:val="es-ES"/>
              </w:rPr>
              <w:t>06</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n/a</w:t>
            </w:r>
          </w:p>
        </w:tc>
      </w:tr>
      <w:tr w:rsidR="000C622C" w:rsidRPr="00466B13" w:rsidTr="003767CE">
        <w:trPr>
          <w:trHeight w:val="116"/>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2.1</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Financiación acordada para el organismo de ejecución principal (ONUDI)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2 350 200</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1 979 852</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446 720</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4 776 772</w:t>
            </w:r>
          </w:p>
        </w:tc>
      </w:tr>
      <w:tr w:rsidR="000C622C" w:rsidRPr="00466B13" w:rsidTr="003767CE">
        <w:trPr>
          <w:trHeight w:val="56"/>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2.2</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Gastos de apoyo al organismo de ejecución principal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164 514</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138 590</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31 270</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334 374</w:t>
            </w:r>
          </w:p>
        </w:tc>
      </w:tr>
      <w:tr w:rsidR="000C622C" w:rsidRPr="00466B13" w:rsidTr="003767CE">
        <w:trPr>
          <w:trHeight w:val="161"/>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2.3</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 xml:space="preserve">Financiación </w:t>
            </w:r>
            <w:r w:rsidR="00446B8B">
              <w:rPr>
                <w:color w:val="000000"/>
                <w:sz w:val="20"/>
                <w:szCs w:val="20"/>
                <w:lang w:val="es-ES" w:eastAsia="en-CA"/>
              </w:rPr>
              <w:t xml:space="preserve">acordada </w:t>
            </w:r>
            <w:r w:rsidRPr="00466B13">
              <w:rPr>
                <w:color w:val="000000"/>
                <w:sz w:val="20"/>
                <w:szCs w:val="20"/>
                <w:lang w:val="es-ES" w:eastAsia="en-CA"/>
              </w:rPr>
              <w:t>para el organismo de ejecución cooperante (PNUMA)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200 000</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200 000</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103 000</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503 000</w:t>
            </w:r>
          </w:p>
        </w:tc>
      </w:tr>
      <w:tr w:rsidR="000C622C" w:rsidRPr="00466B13" w:rsidTr="003767CE">
        <w:trPr>
          <w:trHeight w:val="60"/>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2.4</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Gastos de apoyo al organismo de ejecución cooperante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25 976</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25 976</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13 378</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65 330</w:t>
            </w:r>
          </w:p>
        </w:tc>
      </w:tr>
      <w:tr w:rsidR="000C622C" w:rsidRPr="00466B13" w:rsidTr="003767CE">
        <w:trPr>
          <w:trHeight w:val="62"/>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3.1</w:t>
            </w:r>
          </w:p>
        </w:tc>
        <w:tc>
          <w:tcPr>
            <w:tcW w:w="1564" w:type="pct"/>
            <w:shd w:val="clear" w:color="auto" w:fill="auto"/>
            <w:hideMark/>
          </w:tcPr>
          <w:p w:rsidR="00466B13" w:rsidRPr="00466B13" w:rsidRDefault="0090507E" w:rsidP="00F863FF">
            <w:pPr>
              <w:rPr>
                <w:color w:val="000000"/>
                <w:sz w:val="20"/>
                <w:szCs w:val="20"/>
                <w:lang w:val="es-ES" w:eastAsia="en-CA"/>
              </w:rPr>
            </w:pPr>
            <w:r>
              <w:rPr>
                <w:color w:val="000000"/>
                <w:sz w:val="20"/>
                <w:szCs w:val="20"/>
                <w:lang w:val="es-ES" w:eastAsia="en-CA"/>
              </w:rPr>
              <w:t>Financiación</w:t>
            </w:r>
            <w:r w:rsidR="00466B13" w:rsidRPr="00466B13">
              <w:rPr>
                <w:color w:val="000000"/>
                <w:sz w:val="20"/>
                <w:szCs w:val="20"/>
                <w:lang w:val="es-ES" w:eastAsia="en-CA"/>
              </w:rPr>
              <w:t xml:space="preserve"> total acordada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2 550 200</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2 179 852</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549 720</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5 279 772</w:t>
            </w:r>
          </w:p>
        </w:tc>
      </w:tr>
      <w:tr w:rsidR="000C622C" w:rsidRPr="00466B13" w:rsidTr="003767CE">
        <w:trPr>
          <w:trHeight w:val="62"/>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3.2</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Total de gastos de apoyo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190 490</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164 566</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44 648</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399 704</w:t>
            </w:r>
          </w:p>
        </w:tc>
      </w:tr>
      <w:tr w:rsidR="000C622C" w:rsidRPr="00466B13" w:rsidTr="003767CE">
        <w:trPr>
          <w:trHeight w:val="53"/>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3.3</w:t>
            </w:r>
          </w:p>
        </w:tc>
        <w:tc>
          <w:tcPr>
            <w:tcW w:w="1564"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Total de costos acordados ($ EUA)</w:t>
            </w:r>
          </w:p>
        </w:tc>
        <w:tc>
          <w:tcPr>
            <w:tcW w:w="57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2 740 690</w:t>
            </w:r>
          </w:p>
        </w:tc>
        <w:tc>
          <w:tcPr>
            <w:tcW w:w="428"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72"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2 344 418</w:t>
            </w:r>
          </w:p>
        </w:tc>
        <w:tc>
          <w:tcPr>
            <w:tcW w:w="429"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0</w:t>
            </w:r>
          </w:p>
        </w:tc>
        <w:tc>
          <w:tcPr>
            <w:tcW w:w="50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594 368</w:t>
            </w:r>
          </w:p>
        </w:tc>
        <w:tc>
          <w:tcPr>
            <w:tcW w:w="571" w:type="pct"/>
            <w:shd w:val="clear" w:color="auto" w:fill="auto"/>
          </w:tcPr>
          <w:p w:rsidR="00466B13" w:rsidRPr="00466B13" w:rsidRDefault="00466B13" w:rsidP="00F863FF">
            <w:pPr>
              <w:jc w:val="right"/>
              <w:rPr>
                <w:color w:val="000000"/>
                <w:sz w:val="20"/>
                <w:szCs w:val="20"/>
                <w:lang w:val="es-ES"/>
              </w:rPr>
            </w:pPr>
            <w:r w:rsidRPr="00466B13">
              <w:rPr>
                <w:color w:val="000000"/>
                <w:sz w:val="20"/>
                <w:szCs w:val="20"/>
                <w:lang w:val="es-ES"/>
              </w:rPr>
              <w:t>5 679 476</w:t>
            </w:r>
          </w:p>
        </w:tc>
      </w:tr>
      <w:tr w:rsidR="00466B13" w:rsidRPr="00466B13" w:rsidTr="003767CE">
        <w:trPr>
          <w:trHeight w:val="53"/>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4.1.1</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Eliminación total del HCFC-22 acordada, que se deberá alcanzar de conformidad con el presente Acuerdo (toneladas PAO)</w:t>
            </w:r>
          </w:p>
        </w:tc>
        <w:tc>
          <w:tcPr>
            <w:tcW w:w="571" w:type="pct"/>
            <w:shd w:val="clear" w:color="auto" w:fill="auto"/>
            <w:vAlign w:val="bottom"/>
          </w:tcPr>
          <w:p w:rsidR="00466B13" w:rsidRPr="00466B13" w:rsidRDefault="00466B13" w:rsidP="00F863FF">
            <w:pPr>
              <w:jc w:val="right"/>
              <w:rPr>
                <w:color w:val="000000"/>
                <w:sz w:val="20"/>
                <w:szCs w:val="20"/>
                <w:lang w:val="es-ES"/>
              </w:rPr>
            </w:pPr>
            <w:r w:rsidRPr="00466B13">
              <w:rPr>
                <w:color w:val="000000"/>
                <w:sz w:val="20"/>
                <w:szCs w:val="20"/>
                <w:lang w:val="es-ES"/>
              </w:rPr>
              <w:t>14,29</w:t>
            </w:r>
          </w:p>
        </w:tc>
      </w:tr>
      <w:tr w:rsidR="00466B13" w:rsidRPr="00466B13" w:rsidTr="003767CE">
        <w:trPr>
          <w:trHeight w:val="116"/>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4.1.2</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Eliminación del HCFC-22, que se deberá alcanzar en los proyectos aprobados anteriormente (toneladas PAO)</w:t>
            </w:r>
          </w:p>
        </w:tc>
        <w:tc>
          <w:tcPr>
            <w:tcW w:w="571" w:type="pct"/>
            <w:shd w:val="clear" w:color="auto" w:fill="auto"/>
            <w:vAlign w:val="bottom"/>
          </w:tcPr>
          <w:p w:rsidR="00466B13" w:rsidRPr="00466B13" w:rsidRDefault="00466B13" w:rsidP="00F863FF">
            <w:pPr>
              <w:jc w:val="right"/>
              <w:rPr>
                <w:color w:val="000000"/>
                <w:sz w:val="20"/>
                <w:szCs w:val="20"/>
                <w:lang w:val="es-ES"/>
              </w:rPr>
            </w:pPr>
            <w:r w:rsidRPr="00466B13">
              <w:rPr>
                <w:color w:val="000000"/>
                <w:sz w:val="20"/>
                <w:szCs w:val="20"/>
                <w:lang w:val="es-ES"/>
              </w:rPr>
              <w:t>7,40</w:t>
            </w:r>
          </w:p>
        </w:tc>
      </w:tr>
      <w:tr w:rsidR="00466B13" w:rsidRPr="00466B13" w:rsidTr="003767CE">
        <w:trPr>
          <w:trHeight w:val="98"/>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4.1.3</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 xml:space="preserve">Consumo admisible </w:t>
            </w:r>
            <w:r w:rsidR="00446B8B">
              <w:rPr>
                <w:color w:val="000000"/>
                <w:sz w:val="20"/>
                <w:szCs w:val="20"/>
                <w:lang w:val="es-ES" w:eastAsia="en-CA"/>
              </w:rPr>
              <w:t>restante</w:t>
            </w:r>
            <w:r w:rsidRPr="00466B13">
              <w:rPr>
                <w:color w:val="000000"/>
                <w:sz w:val="20"/>
                <w:szCs w:val="20"/>
                <w:lang w:val="es-ES" w:eastAsia="en-CA"/>
              </w:rPr>
              <w:t xml:space="preserve"> de</w:t>
            </w:r>
            <w:r w:rsidR="00446B8B">
              <w:rPr>
                <w:color w:val="000000"/>
                <w:sz w:val="20"/>
                <w:szCs w:val="20"/>
                <w:lang w:val="es-ES" w:eastAsia="en-CA"/>
              </w:rPr>
              <w:t>l</w:t>
            </w:r>
            <w:r w:rsidRPr="00466B13">
              <w:rPr>
                <w:color w:val="000000"/>
                <w:sz w:val="20"/>
                <w:szCs w:val="20"/>
                <w:lang w:val="es-ES" w:eastAsia="en-CA"/>
              </w:rPr>
              <w:t xml:space="preserve"> HCFC-22 (toneladas PAO)</w:t>
            </w:r>
          </w:p>
        </w:tc>
        <w:tc>
          <w:tcPr>
            <w:tcW w:w="571" w:type="pct"/>
            <w:shd w:val="clear" w:color="auto" w:fill="auto"/>
            <w:vAlign w:val="bottom"/>
          </w:tcPr>
          <w:p w:rsidR="00466B13" w:rsidRPr="00466B13" w:rsidRDefault="00466B13" w:rsidP="00F863FF">
            <w:pPr>
              <w:jc w:val="right"/>
              <w:rPr>
                <w:b/>
                <w:color w:val="000000"/>
                <w:sz w:val="20"/>
                <w:szCs w:val="20"/>
                <w:lang w:val="es-ES"/>
              </w:rPr>
            </w:pPr>
            <w:r w:rsidRPr="00466B13">
              <w:rPr>
                <w:b/>
                <w:bCs/>
                <w:color w:val="000000"/>
                <w:sz w:val="20"/>
                <w:szCs w:val="20"/>
                <w:lang w:val="es-ES"/>
              </w:rPr>
              <w:t>83,27</w:t>
            </w:r>
          </w:p>
        </w:tc>
      </w:tr>
      <w:tr w:rsidR="00466B13" w:rsidRPr="00466B13" w:rsidTr="003767CE">
        <w:trPr>
          <w:trHeight w:val="89"/>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lastRenderedPageBreak/>
              <w:t>4.2.1</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Eliminación total del HCFC-141b acordada, que se deberá alcanzar de conformidad con el presente Acuerdo (toneladas PAO)</w:t>
            </w:r>
          </w:p>
        </w:tc>
        <w:tc>
          <w:tcPr>
            <w:tcW w:w="571" w:type="pct"/>
            <w:shd w:val="clear" w:color="auto" w:fill="auto"/>
            <w:vAlign w:val="bottom"/>
          </w:tcPr>
          <w:p w:rsidR="00466B13" w:rsidRPr="00466B13" w:rsidRDefault="00466B13" w:rsidP="00F863FF">
            <w:pPr>
              <w:jc w:val="right"/>
              <w:rPr>
                <w:color w:val="000000"/>
                <w:sz w:val="20"/>
                <w:szCs w:val="20"/>
                <w:lang w:val="es-ES"/>
              </w:rPr>
            </w:pPr>
            <w:r w:rsidRPr="00466B13">
              <w:rPr>
                <w:color w:val="000000"/>
                <w:sz w:val="20"/>
                <w:szCs w:val="20"/>
                <w:lang w:val="es-ES"/>
              </w:rPr>
              <w:t>58,69</w:t>
            </w:r>
          </w:p>
        </w:tc>
      </w:tr>
      <w:tr w:rsidR="00466B13" w:rsidRPr="00466B13" w:rsidTr="003767CE">
        <w:trPr>
          <w:trHeight w:val="71"/>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4.2.2</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Eliminación del HCFC-141b, que se deberá alcanzar en los proyectos aprobados anteriormente (toneladas PAO)</w:t>
            </w:r>
          </w:p>
        </w:tc>
        <w:tc>
          <w:tcPr>
            <w:tcW w:w="571" w:type="pct"/>
            <w:shd w:val="clear" w:color="auto" w:fill="auto"/>
            <w:vAlign w:val="bottom"/>
          </w:tcPr>
          <w:p w:rsidR="00466B13" w:rsidRPr="00466B13" w:rsidRDefault="00466B13" w:rsidP="00F863FF">
            <w:pPr>
              <w:jc w:val="right"/>
              <w:rPr>
                <w:color w:val="000000"/>
                <w:sz w:val="20"/>
                <w:szCs w:val="20"/>
                <w:lang w:val="es-ES"/>
              </w:rPr>
            </w:pPr>
            <w:r w:rsidRPr="00466B13">
              <w:rPr>
                <w:color w:val="000000"/>
                <w:sz w:val="20"/>
                <w:szCs w:val="20"/>
                <w:lang w:val="es-ES"/>
              </w:rPr>
              <w:t>71,70</w:t>
            </w:r>
          </w:p>
        </w:tc>
      </w:tr>
      <w:tr w:rsidR="00466B13" w:rsidRPr="00466B13" w:rsidTr="003767CE">
        <w:trPr>
          <w:trHeight w:val="134"/>
          <w:jc w:val="center"/>
        </w:trPr>
        <w:tc>
          <w:tcPr>
            <w:tcW w:w="355" w:type="pct"/>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4.2.3</w:t>
            </w:r>
          </w:p>
        </w:tc>
        <w:tc>
          <w:tcPr>
            <w:tcW w:w="4074" w:type="pct"/>
            <w:gridSpan w:val="6"/>
            <w:shd w:val="clear" w:color="auto" w:fill="auto"/>
            <w:hideMark/>
          </w:tcPr>
          <w:p w:rsidR="00466B13" w:rsidRPr="00466B13" w:rsidRDefault="00466B13" w:rsidP="00F863FF">
            <w:pPr>
              <w:rPr>
                <w:color w:val="000000"/>
                <w:sz w:val="20"/>
                <w:szCs w:val="20"/>
                <w:lang w:val="es-ES" w:eastAsia="en-CA"/>
              </w:rPr>
            </w:pPr>
            <w:r w:rsidRPr="00466B13">
              <w:rPr>
                <w:color w:val="000000"/>
                <w:sz w:val="20"/>
                <w:szCs w:val="20"/>
                <w:lang w:val="es-ES" w:eastAsia="en-CA"/>
              </w:rPr>
              <w:t>Consumo admisible r</w:t>
            </w:r>
            <w:r w:rsidR="00446B8B">
              <w:rPr>
                <w:color w:val="000000"/>
                <w:sz w:val="20"/>
                <w:szCs w:val="20"/>
                <w:lang w:val="es-ES" w:eastAsia="en-CA"/>
              </w:rPr>
              <w:t>estante</w:t>
            </w:r>
            <w:r w:rsidRPr="00466B13">
              <w:rPr>
                <w:color w:val="000000"/>
                <w:sz w:val="20"/>
                <w:szCs w:val="20"/>
                <w:lang w:val="es-ES" w:eastAsia="en-CA"/>
              </w:rPr>
              <w:t xml:space="preserve"> del HCFC-141b (toneladas PAO)</w:t>
            </w:r>
          </w:p>
        </w:tc>
        <w:tc>
          <w:tcPr>
            <w:tcW w:w="571" w:type="pct"/>
            <w:shd w:val="clear" w:color="auto" w:fill="auto"/>
            <w:vAlign w:val="bottom"/>
          </w:tcPr>
          <w:p w:rsidR="00466B13" w:rsidRPr="00466B13" w:rsidRDefault="00466B13" w:rsidP="00F863FF">
            <w:pPr>
              <w:jc w:val="right"/>
              <w:rPr>
                <w:color w:val="000000"/>
                <w:sz w:val="20"/>
                <w:szCs w:val="20"/>
                <w:lang w:val="es-ES"/>
              </w:rPr>
            </w:pPr>
            <w:r w:rsidRPr="00466B13">
              <w:rPr>
                <w:color w:val="000000"/>
                <w:sz w:val="20"/>
                <w:szCs w:val="20"/>
                <w:lang w:val="es-ES"/>
              </w:rPr>
              <w:t>8,11</w:t>
            </w:r>
          </w:p>
        </w:tc>
      </w:tr>
      <w:tr w:rsidR="00466B13" w:rsidRPr="00466B13" w:rsidTr="003767CE">
        <w:trPr>
          <w:trHeight w:val="134"/>
          <w:jc w:val="center"/>
        </w:trPr>
        <w:tc>
          <w:tcPr>
            <w:tcW w:w="355" w:type="pct"/>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4.3.1</w:t>
            </w:r>
          </w:p>
        </w:tc>
        <w:tc>
          <w:tcPr>
            <w:tcW w:w="4074" w:type="pct"/>
            <w:gridSpan w:val="6"/>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Eliminación total del HCFC-142b acordada, que se deberá alcanzar de conformidad con el presente Acuerdo (toneladas PAO)</w:t>
            </w:r>
          </w:p>
        </w:tc>
        <w:tc>
          <w:tcPr>
            <w:tcW w:w="571" w:type="pct"/>
            <w:shd w:val="clear" w:color="auto" w:fill="auto"/>
            <w:vAlign w:val="bottom"/>
          </w:tcPr>
          <w:p w:rsidR="00466B13" w:rsidRPr="00466B13" w:rsidRDefault="00466B13" w:rsidP="00F863FF">
            <w:pPr>
              <w:jc w:val="right"/>
              <w:rPr>
                <w:b/>
                <w:color w:val="000000"/>
                <w:sz w:val="20"/>
                <w:szCs w:val="20"/>
                <w:lang w:val="es-ES"/>
              </w:rPr>
            </w:pPr>
            <w:r w:rsidRPr="00466B13">
              <w:rPr>
                <w:b/>
                <w:bCs/>
                <w:color w:val="000000"/>
                <w:sz w:val="20"/>
                <w:szCs w:val="20"/>
                <w:lang w:val="es-ES"/>
              </w:rPr>
              <w:t>0,00</w:t>
            </w:r>
          </w:p>
        </w:tc>
      </w:tr>
      <w:tr w:rsidR="00466B13" w:rsidRPr="00466B13" w:rsidTr="003767CE">
        <w:trPr>
          <w:trHeight w:val="134"/>
          <w:jc w:val="center"/>
        </w:trPr>
        <w:tc>
          <w:tcPr>
            <w:tcW w:w="355" w:type="pct"/>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4.3.2</w:t>
            </w:r>
          </w:p>
        </w:tc>
        <w:tc>
          <w:tcPr>
            <w:tcW w:w="4074" w:type="pct"/>
            <w:gridSpan w:val="6"/>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Eliminación del HCFC-142b, que se deberá alcanzar en los proyectos aprobados anteriormente (toneladas PAO)</w:t>
            </w:r>
          </w:p>
        </w:tc>
        <w:tc>
          <w:tcPr>
            <w:tcW w:w="571" w:type="pct"/>
            <w:shd w:val="clear" w:color="auto" w:fill="auto"/>
            <w:vAlign w:val="bottom"/>
          </w:tcPr>
          <w:p w:rsidR="00466B13" w:rsidRPr="00466B13" w:rsidRDefault="00466B13" w:rsidP="00F863FF">
            <w:pPr>
              <w:jc w:val="right"/>
              <w:rPr>
                <w:b/>
                <w:color w:val="000000"/>
                <w:sz w:val="20"/>
                <w:szCs w:val="20"/>
                <w:lang w:val="es-ES"/>
              </w:rPr>
            </w:pPr>
            <w:r w:rsidRPr="00466B13">
              <w:rPr>
                <w:b/>
                <w:bCs/>
                <w:color w:val="000000"/>
                <w:sz w:val="20"/>
                <w:szCs w:val="20"/>
                <w:lang w:val="es-ES"/>
              </w:rPr>
              <w:t>0,00</w:t>
            </w:r>
          </w:p>
        </w:tc>
      </w:tr>
      <w:tr w:rsidR="00466B13" w:rsidRPr="00466B13" w:rsidTr="003767CE">
        <w:trPr>
          <w:trHeight w:val="134"/>
          <w:jc w:val="center"/>
        </w:trPr>
        <w:tc>
          <w:tcPr>
            <w:tcW w:w="355" w:type="pct"/>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4.3.3</w:t>
            </w:r>
          </w:p>
        </w:tc>
        <w:tc>
          <w:tcPr>
            <w:tcW w:w="4074" w:type="pct"/>
            <w:gridSpan w:val="6"/>
            <w:shd w:val="clear" w:color="auto" w:fill="auto"/>
          </w:tcPr>
          <w:p w:rsidR="00466B13" w:rsidRPr="00466B13" w:rsidRDefault="00466B13" w:rsidP="00F863FF">
            <w:pPr>
              <w:rPr>
                <w:b/>
                <w:color w:val="000000"/>
                <w:sz w:val="20"/>
                <w:szCs w:val="20"/>
                <w:lang w:val="es-ES" w:eastAsia="en-CA"/>
              </w:rPr>
            </w:pPr>
            <w:r w:rsidRPr="00466B13">
              <w:rPr>
                <w:b/>
                <w:bCs/>
                <w:color w:val="000000"/>
                <w:sz w:val="20"/>
                <w:szCs w:val="20"/>
                <w:lang w:val="es-ES" w:eastAsia="en-CA"/>
              </w:rPr>
              <w:t>Consumo admisible re</w:t>
            </w:r>
            <w:r w:rsidR="00446B8B">
              <w:rPr>
                <w:b/>
                <w:bCs/>
                <w:color w:val="000000"/>
                <w:sz w:val="20"/>
                <w:szCs w:val="20"/>
                <w:lang w:val="es-ES" w:eastAsia="en-CA"/>
              </w:rPr>
              <w:t>stan</w:t>
            </w:r>
            <w:r w:rsidRPr="00466B13">
              <w:rPr>
                <w:b/>
                <w:bCs/>
                <w:color w:val="000000"/>
                <w:sz w:val="20"/>
                <w:szCs w:val="20"/>
                <w:lang w:val="es-ES" w:eastAsia="en-CA"/>
              </w:rPr>
              <w:t>te del HCFC</w:t>
            </w:r>
            <w:r w:rsidRPr="00466B13">
              <w:rPr>
                <w:b/>
                <w:bCs/>
                <w:color w:val="000000"/>
                <w:sz w:val="20"/>
                <w:szCs w:val="20"/>
                <w:lang w:val="es-ES" w:eastAsia="en-CA"/>
              </w:rPr>
              <w:noBreakHyphen/>
              <w:t>142b (toneladas PAO)</w:t>
            </w:r>
          </w:p>
        </w:tc>
        <w:tc>
          <w:tcPr>
            <w:tcW w:w="571" w:type="pct"/>
            <w:shd w:val="clear" w:color="auto" w:fill="auto"/>
            <w:vAlign w:val="bottom"/>
          </w:tcPr>
          <w:p w:rsidR="00466B13" w:rsidRPr="00466B13" w:rsidRDefault="00466B13" w:rsidP="00F863FF">
            <w:pPr>
              <w:jc w:val="right"/>
              <w:rPr>
                <w:b/>
                <w:color w:val="000000"/>
                <w:sz w:val="20"/>
                <w:szCs w:val="20"/>
                <w:lang w:val="es-ES"/>
              </w:rPr>
            </w:pPr>
            <w:r w:rsidRPr="00466B13">
              <w:rPr>
                <w:b/>
                <w:bCs/>
                <w:color w:val="000000"/>
                <w:sz w:val="20"/>
                <w:szCs w:val="20"/>
                <w:lang w:val="es-ES"/>
              </w:rPr>
              <w:t>4,65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66B13" w:rsidRPr="00466B13" w:rsidTr="00F863FF">
        <w:tc>
          <w:tcPr>
            <w:tcW w:w="1871" w:type="dxa"/>
          </w:tcPr>
          <w:p w:rsidR="00466B13" w:rsidRPr="00466B13" w:rsidRDefault="00466B13" w:rsidP="00F863FF">
            <w:pPr>
              <w:tabs>
                <w:tab w:val="left" w:pos="8280"/>
              </w:tabs>
              <w:rPr>
                <w:lang w:val="es-ES"/>
              </w:rPr>
            </w:pPr>
          </w:p>
        </w:tc>
        <w:tc>
          <w:tcPr>
            <w:tcW w:w="1872" w:type="dxa"/>
          </w:tcPr>
          <w:p w:rsidR="00466B13" w:rsidRPr="00466B13" w:rsidRDefault="00466B13" w:rsidP="00F863FF">
            <w:pPr>
              <w:tabs>
                <w:tab w:val="left" w:pos="8280"/>
              </w:tabs>
              <w:rPr>
                <w:lang w:val="es-ES"/>
              </w:rPr>
            </w:pPr>
          </w:p>
        </w:tc>
        <w:tc>
          <w:tcPr>
            <w:tcW w:w="1872" w:type="dxa"/>
            <w:tcBorders>
              <w:bottom w:val="single" w:sz="4" w:space="0" w:color="auto"/>
            </w:tcBorders>
          </w:tcPr>
          <w:p w:rsidR="00466B13" w:rsidRPr="00466B13" w:rsidRDefault="00466B13" w:rsidP="00F863FF">
            <w:pPr>
              <w:tabs>
                <w:tab w:val="left" w:pos="8280"/>
              </w:tabs>
              <w:rPr>
                <w:lang w:val="es-ES"/>
              </w:rPr>
            </w:pPr>
          </w:p>
        </w:tc>
        <w:tc>
          <w:tcPr>
            <w:tcW w:w="1872" w:type="dxa"/>
          </w:tcPr>
          <w:p w:rsidR="00466B13" w:rsidRPr="00466B13" w:rsidRDefault="00466B13" w:rsidP="00F863FF">
            <w:pPr>
              <w:tabs>
                <w:tab w:val="left" w:pos="8280"/>
              </w:tabs>
              <w:rPr>
                <w:lang w:val="es-ES"/>
              </w:rPr>
            </w:pPr>
          </w:p>
        </w:tc>
        <w:tc>
          <w:tcPr>
            <w:tcW w:w="1873" w:type="dxa"/>
          </w:tcPr>
          <w:p w:rsidR="00466B13" w:rsidRPr="00466B13" w:rsidRDefault="00466B13" w:rsidP="00F863FF">
            <w:pPr>
              <w:tabs>
                <w:tab w:val="left" w:pos="8280"/>
              </w:tabs>
              <w:rPr>
                <w:lang w:val="es-ES"/>
              </w:rPr>
            </w:pPr>
          </w:p>
        </w:tc>
      </w:tr>
    </w:tbl>
    <w:p w:rsidR="00466B13" w:rsidRPr="00466B13" w:rsidRDefault="00466B13" w:rsidP="00466B13">
      <w:pPr>
        <w:tabs>
          <w:tab w:val="left" w:pos="8280"/>
        </w:tabs>
        <w:rPr>
          <w:lang w:val="es-ES"/>
        </w:rPr>
      </w:pPr>
    </w:p>
    <w:p w:rsidR="0087455A" w:rsidRPr="00466B13" w:rsidRDefault="0087455A">
      <w:pPr>
        <w:jc w:val="center"/>
        <w:rPr>
          <w:b/>
          <w:bCs/>
          <w:lang w:val="es-ES"/>
        </w:rPr>
      </w:pPr>
    </w:p>
    <w:sectPr w:rsidR="0087455A" w:rsidRPr="00466B1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26" w:rsidRDefault="00846A26">
      <w:r>
        <w:separator/>
      </w:r>
    </w:p>
  </w:endnote>
  <w:endnote w:type="continuationSeparator" w:id="0">
    <w:p w:rsidR="00846A26" w:rsidRDefault="008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Pr="0033525D" w:rsidRDefault="00F863FF">
    <w:pPr>
      <w:jc w:val="center"/>
    </w:pPr>
    <w:r>
      <w:fldChar w:fldCharType="begin"/>
    </w:r>
    <w:r>
      <w:instrText xml:space="preserve"> PAGE </w:instrText>
    </w:r>
    <w:r>
      <w:fldChar w:fldCharType="separate"/>
    </w:r>
    <w:r w:rsidR="00BC2314">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Pr="0033525D" w:rsidRDefault="00F863FF">
    <w:pPr>
      <w:jc w:val="center"/>
    </w:pPr>
    <w:r>
      <w:fldChar w:fldCharType="begin"/>
    </w:r>
    <w:r>
      <w:instrText xml:space="preserve"> PAGE </w:instrText>
    </w:r>
    <w:r>
      <w:fldChar w:fldCharType="separate"/>
    </w:r>
    <w:r w:rsidR="00BC2314">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Pr="00BC2314" w:rsidRDefault="00F863FF" w:rsidP="00F863FF">
    <w:pPr>
      <w:pBdr>
        <w:top w:val="single" w:sz="4" w:space="1" w:color="auto"/>
        <w:left w:val="single" w:sz="4" w:space="4" w:color="auto"/>
        <w:bottom w:val="single" w:sz="4" w:space="1" w:color="auto"/>
        <w:right w:val="single" w:sz="4" w:space="4" w:color="auto"/>
      </w:pBdr>
      <w:jc w:val="center"/>
      <w:rPr>
        <w:sz w:val="16"/>
        <w:szCs w:val="16"/>
        <w:lang w:val="es-ES"/>
      </w:rPr>
    </w:pPr>
    <w:r w:rsidRPr="00BC2314">
      <w:rPr>
        <w:sz w:val="16"/>
        <w:szCs w:val="16"/>
        <w:lang w:val="es-ES_tradnl"/>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rsidR="00F863FF" w:rsidRPr="00466B13" w:rsidRDefault="00F863FF" w:rsidP="00F863FF">
    <w:pPr>
      <w:pBdr>
        <w:top w:val="single" w:sz="4" w:space="1" w:color="auto"/>
        <w:left w:val="single" w:sz="4" w:space="4" w:color="auto"/>
        <w:bottom w:val="single" w:sz="4" w:space="1" w:color="auto"/>
        <w:right w:val="single" w:sz="4" w:space="4" w:color="auto"/>
      </w:pBdr>
      <w:jc w:val="center"/>
      <w:rPr>
        <w:sz w:val="18"/>
        <w:szCs w:val="18"/>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F863FF" w:rsidRDefault="00F863FF">
        <w:pPr>
          <w:pStyle w:val="Footer"/>
          <w:jc w:val="center"/>
        </w:pPr>
        <w:r>
          <w:fldChar w:fldCharType="begin"/>
        </w:r>
        <w:r>
          <w:instrText xml:space="preserve"> PAGE   \* MERGEFORMAT </w:instrText>
        </w:r>
        <w:r>
          <w:fldChar w:fldCharType="separate"/>
        </w:r>
        <w:r w:rsidR="00BC2314">
          <w:rPr>
            <w:noProof/>
          </w:rPr>
          <w:t>1</w:t>
        </w:r>
        <w:r>
          <w:rPr>
            <w:noProof/>
          </w:rPr>
          <w:fldChar w:fldCharType="end"/>
        </w:r>
      </w:p>
    </w:sdtContent>
  </w:sdt>
  <w:p w:rsidR="00F863FF" w:rsidRDefault="00F863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26" w:rsidRDefault="00846A26">
      <w:r>
        <w:separator/>
      </w:r>
    </w:p>
  </w:footnote>
  <w:footnote w:type="continuationSeparator" w:id="0">
    <w:p w:rsidR="00846A26" w:rsidRDefault="00846A26">
      <w:r>
        <w:continuationSeparator/>
      </w:r>
    </w:p>
  </w:footnote>
  <w:footnote w:id="1">
    <w:p w:rsidR="00F863FF" w:rsidRPr="00466B13" w:rsidRDefault="00F863FF" w:rsidP="00466B13">
      <w:pPr>
        <w:pStyle w:val="FootnoteText"/>
        <w:rPr>
          <w:lang w:val="es-ES"/>
        </w:rPr>
      </w:pPr>
      <w:r w:rsidRPr="00FE3307">
        <w:rPr>
          <w:rStyle w:val="FootnoteReference"/>
        </w:rPr>
        <w:footnoteRef/>
      </w:r>
      <w:r>
        <w:rPr>
          <w:lang w:val="es-ES_tradnl"/>
        </w:rPr>
        <w:t xml:space="preserve">De acuerdo con la carta de fecha 13 de marzo de 2019 del Ministerio de Cambio Climático del Pakistán, dirigida a la ONUDI. </w:t>
      </w:r>
    </w:p>
  </w:footnote>
  <w:footnote w:id="2">
    <w:p w:rsidR="00F863FF" w:rsidRPr="00466B13" w:rsidRDefault="00F863FF" w:rsidP="00466B13">
      <w:pPr>
        <w:pStyle w:val="FootnoteText"/>
        <w:rPr>
          <w:lang w:val="es-ES"/>
        </w:rPr>
      </w:pPr>
      <w:r>
        <w:rPr>
          <w:rStyle w:val="FootnoteReference"/>
        </w:rPr>
        <w:footnoteRef/>
      </w:r>
      <w:r>
        <w:rPr>
          <w:lang w:val="es-ES_tradnl"/>
        </w:rPr>
        <w:t xml:space="preserve"> Los datos sobre el consumo de HCFC para los años de referencia 2009 y 2010 se revisaron para incluir el consumo de</w:t>
      </w:r>
      <w:r w:rsidR="002E4802">
        <w:rPr>
          <w:lang w:val="es-ES_tradnl"/>
        </w:rPr>
        <w:t>l</w:t>
      </w:r>
      <w:r>
        <w:rPr>
          <w:lang w:val="es-ES_tradnl"/>
        </w:rPr>
        <w:t xml:space="preserve"> HCFC-142b en el sector de fabricación de espumas (decisión XXIX/16).</w:t>
      </w:r>
    </w:p>
  </w:footnote>
  <w:footnote w:id="3">
    <w:p w:rsidR="00F863FF" w:rsidRPr="00466B13" w:rsidRDefault="00F863FF" w:rsidP="00466B13">
      <w:pPr>
        <w:pStyle w:val="FootnoteText"/>
        <w:rPr>
          <w:lang w:val="es-ES"/>
        </w:rPr>
      </w:pPr>
      <w:r>
        <w:rPr>
          <w:rStyle w:val="FootnoteReference"/>
        </w:rPr>
        <w:footnoteRef/>
      </w:r>
      <w:r>
        <w:rPr>
          <w:lang w:val="es-ES_tradnl"/>
        </w:rPr>
        <w:t xml:space="preserve"> ISO 817:2014: Refrigerantes – Designación y clasificación de seguridad.</w:t>
      </w:r>
    </w:p>
  </w:footnote>
  <w:footnote w:id="4">
    <w:p w:rsidR="00F863FF" w:rsidRPr="00466B13" w:rsidRDefault="00F863FF" w:rsidP="00466B13">
      <w:pPr>
        <w:pStyle w:val="FootnoteText"/>
        <w:rPr>
          <w:lang w:val="es-ES"/>
        </w:rPr>
      </w:pPr>
      <w:r>
        <w:rPr>
          <w:rStyle w:val="FootnoteReference"/>
        </w:rPr>
        <w:footnoteRef/>
      </w:r>
      <w:r>
        <w:rPr>
          <w:b/>
          <w:bCs/>
          <w:lang w:val="es-ES_tradnl"/>
        </w:rPr>
        <w:t xml:space="preserve"> </w:t>
      </w:r>
      <w:r>
        <w:rPr>
          <w:lang w:val="es-ES_tradnl"/>
        </w:rPr>
        <w:t xml:space="preserve">ISO 5149-1:2014: Sistemas de refrigeración y bombas de calor. Requisitos de seguridad y medioambientales. </w:t>
      </w:r>
    </w:p>
  </w:footnote>
  <w:footnote w:id="5">
    <w:p w:rsidR="00F863FF" w:rsidRPr="00466B13" w:rsidRDefault="00F863FF" w:rsidP="00466B13">
      <w:pPr>
        <w:pStyle w:val="FootnoteText"/>
        <w:rPr>
          <w:lang w:val="es-ES"/>
        </w:rPr>
      </w:pPr>
      <w:r>
        <w:rPr>
          <w:rStyle w:val="FootnoteReference"/>
        </w:rPr>
        <w:footnoteRef/>
      </w:r>
      <w:r>
        <w:rPr>
          <w:lang w:val="es-ES_tradnl"/>
        </w:rPr>
        <w:t xml:space="preserve">El Comité Ejecutivo decidió tomar nota de que, durante la ejecución de la etapa II del plan de gestión de eliminación de HCFC, el Gobierno del Pakistán pudo presentar un proyecto de inversión para la eliminación del uso del HCFC-142b en el sector de fabricación de espumas XPS, con la condición de que se revisara el consumo básico del país para incluir el HCFC-142b y que la aprobara la Reunión de las Partes. </w:t>
      </w:r>
    </w:p>
  </w:footnote>
  <w:footnote w:id="6">
    <w:p w:rsidR="00F863FF" w:rsidRPr="00466B13" w:rsidRDefault="00F863FF" w:rsidP="00466B13">
      <w:pPr>
        <w:pStyle w:val="FootnoteText"/>
        <w:rPr>
          <w:lang w:val="es-ES"/>
        </w:rPr>
      </w:pPr>
      <w:r>
        <w:rPr>
          <w:rStyle w:val="FootnoteReference"/>
        </w:rPr>
        <w:footnoteRef/>
      </w:r>
      <w:r>
        <w:rPr>
          <w:lang w:val="es-ES_tradnl"/>
        </w:rPr>
        <w:t>El umbral de la relación costo-eficacia establecido por el Comité Ejecutivo para el sector de espumas XPS es $ EUA 10,27/kg.</w:t>
      </w:r>
    </w:p>
  </w:footnote>
  <w:footnote w:id="7">
    <w:p w:rsidR="00F863FF" w:rsidRPr="00466B13" w:rsidRDefault="00F863FF" w:rsidP="00466B13">
      <w:pPr>
        <w:pStyle w:val="FootnoteText"/>
        <w:rPr>
          <w:lang w:val="es-ES"/>
        </w:rPr>
      </w:pPr>
      <w:r>
        <w:rPr>
          <w:rStyle w:val="FootnoteReference"/>
        </w:rPr>
        <w:footnoteRef/>
      </w:r>
      <w:r>
        <w:rPr>
          <w:lang w:val="es-ES_tradnl"/>
        </w:rPr>
        <w:t xml:space="preserve">El saldo restante del tramo anterior se utilizará </w:t>
      </w:r>
      <w:r w:rsidR="004B2EAB">
        <w:rPr>
          <w:lang w:val="es-ES_tradnl"/>
        </w:rPr>
        <w:t>además</w:t>
      </w:r>
      <w:r>
        <w:rPr>
          <w:lang w:val="es-ES_tradnl"/>
        </w:rPr>
        <w:t xml:space="preserve"> de los fondos solicitados.</w:t>
      </w:r>
    </w:p>
  </w:footnote>
  <w:footnote w:id="8">
    <w:p w:rsidR="00F863FF" w:rsidRPr="00466B13" w:rsidRDefault="00F863FF" w:rsidP="00466B13">
      <w:pPr>
        <w:pStyle w:val="FootnoteText"/>
        <w:rPr>
          <w:lang w:val="es-ES"/>
        </w:rPr>
      </w:pPr>
      <w:r>
        <w:rPr>
          <w:rStyle w:val="FootnoteReference"/>
        </w:rPr>
        <w:footnoteRef/>
      </w:r>
      <w:r>
        <w:rPr>
          <w:lang w:val="es-ES_tradnl"/>
        </w:rPr>
        <w:t xml:space="preserve"> Decisión XXIX/16</w:t>
      </w:r>
      <w:r w:rsidR="002A6CF4">
        <w:rPr>
          <w:lang w:val="es-ES_tradnl"/>
        </w:rPr>
        <w:t>.</w:t>
      </w:r>
    </w:p>
  </w:footnote>
  <w:footnote w:id="9">
    <w:p w:rsidR="00F863FF" w:rsidRPr="00466B13" w:rsidRDefault="00F863FF" w:rsidP="00466B13">
      <w:pPr>
        <w:pStyle w:val="FootnoteText"/>
        <w:rPr>
          <w:lang w:val="es-ES"/>
        </w:rPr>
      </w:pPr>
      <w:r>
        <w:rPr>
          <w:rStyle w:val="FootnoteReference"/>
        </w:rPr>
        <w:footnoteRef/>
      </w:r>
      <w:r>
        <w:rPr>
          <w:lang w:val="es-ES_tradnl"/>
        </w:rPr>
        <w:t xml:space="preserve"> Decisiones 74/20(a) y 77/35(a)(v).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Pr="0033525D" w:rsidRDefault="00BC2314">
    <w:r>
      <w:fldChar w:fldCharType="begin"/>
    </w:r>
    <w:r>
      <w:instrText xml:space="preserve"> DOCPROPERTY "Document number"  \* MERGEFORMAT </w:instrText>
    </w:r>
    <w:r>
      <w:fldChar w:fldCharType="separate"/>
    </w:r>
    <w:r w:rsidR="00AF0003" w:rsidRPr="00AF0003">
      <w:rPr>
        <w:lang w:val="es-ES_tradnl"/>
      </w:rPr>
      <w:t>UNEP/OzL.Pro/ExCom/83/</w:t>
    </w:r>
    <w:r w:rsidR="0048224D">
      <w:rPr>
        <w:lang w:val="es-ES_tradnl"/>
      </w:rPr>
      <w:t>34</w:t>
    </w:r>
    <w:r>
      <w:rPr>
        <w:lang w:val="es-ES_tradnl"/>
      </w:rPr>
      <w:fldChar w:fldCharType="end"/>
    </w:r>
  </w:p>
  <w:p w:rsidR="00F863FF" w:rsidRPr="0033525D" w:rsidRDefault="00F863FF"/>
  <w:p w:rsidR="00F863FF" w:rsidRPr="0033525D" w:rsidRDefault="00F863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Pr="0033525D" w:rsidRDefault="00BC2314">
    <w:pPr>
      <w:jc w:val="right"/>
    </w:pPr>
    <w:r>
      <w:fldChar w:fldCharType="begin"/>
    </w:r>
    <w:r>
      <w:instrText xml:space="preserve"> DOCPROPERTY "Document number"  \* MERGEFORMAT </w:instrText>
    </w:r>
    <w:r>
      <w:fldChar w:fldCharType="separate"/>
    </w:r>
    <w:r w:rsidR="00AF0003" w:rsidRPr="00AF0003">
      <w:rPr>
        <w:lang w:val="es-ES_tradnl"/>
      </w:rPr>
      <w:t>UNEP/OzL.Pro/ExCom/83/</w:t>
    </w:r>
    <w:r w:rsidR="009230CB">
      <w:rPr>
        <w:lang w:val="es-ES_tradnl"/>
      </w:rPr>
      <w:t>34</w:t>
    </w:r>
    <w:r>
      <w:rPr>
        <w:lang w:val="es-ES_tradnl"/>
      </w:rPr>
      <w:fldChar w:fldCharType="end"/>
    </w:r>
  </w:p>
  <w:p w:rsidR="00F863FF" w:rsidRPr="0033525D" w:rsidRDefault="00F863FF"/>
  <w:p w:rsidR="00F863FF" w:rsidRPr="0033525D" w:rsidRDefault="00F863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FF" w:rsidRDefault="00BC2314">
    <w:pPr>
      <w:jc w:val="right"/>
    </w:pPr>
    <w:r>
      <w:fldChar w:fldCharType="begin"/>
    </w:r>
    <w:r>
      <w:instrText xml:space="preserve"> DOCPROPERTY "Document number"  \* MERGEFORMAT </w:instrText>
    </w:r>
    <w:r>
      <w:fldChar w:fldCharType="separate"/>
    </w:r>
    <w:r w:rsidR="00AF0003">
      <w:t>UNEP/OzL.Pro/ExCom/83/</w:t>
    </w:r>
    <w:r w:rsidR="00BF5D40">
      <w:t>34</w:t>
    </w:r>
    <w:r>
      <w:fldChar w:fldCharType="end"/>
    </w:r>
  </w:p>
  <w:p w:rsidR="00F863FF" w:rsidRDefault="00F863FF"/>
  <w:p w:rsidR="00F863FF" w:rsidRDefault="00F863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63C1258"/>
    <w:lvl w:ilvl="0">
      <w:start w:val="1"/>
      <w:numFmt w:val="decimal"/>
      <w:pStyle w:val="Heading1"/>
      <w:lvlText w:val="%1."/>
      <w:lvlJc w:val="left"/>
      <w:pPr>
        <w:tabs>
          <w:tab w:val="num" w:pos="142"/>
        </w:tabs>
        <w:ind w:left="142"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ECE23D88">
      <w:start w:val="1"/>
      <w:numFmt w:val="bullet"/>
      <w:lvlText w:val=""/>
      <w:lvlJc w:val="left"/>
      <w:pPr>
        <w:ind w:left="720" w:hanging="360"/>
      </w:pPr>
      <w:rPr>
        <w:rFonts w:ascii="Symbol" w:hAnsi="Symbol" w:hint="default"/>
      </w:rPr>
    </w:lvl>
    <w:lvl w:ilvl="1" w:tplc="E670E76A" w:tentative="1">
      <w:start w:val="1"/>
      <w:numFmt w:val="bullet"/>
      <w:lvlText w:val="o"/>
      <w:lvlJc w:val="left"/>
      <w:pPr>
        <w:ind w:left="1440" w:hanging="360"/>
      </w:pPr>
      <w:rPr>
        <w:rFonts w:ascii="Courier New" w:hAnsi="Courier New" w:cs="Courier New" w:hint="default"/>
      </w:rPr>
    </w:lvl>
    <w:lvl w:ilvl="2" w:tplc="6C78ADAA" w:tentative="1">
      <w:start w:val="1"/>
      <w:numFmt w:val="bullet"/>
      <w:lvlText w:val=""/>
      <w:lvlJc w:val="left"/>
      <w:pPr>
        <w:ind w:left="2160" w:hanging="360"/>
      </w:pPr>
      <w:rPr>
        <w:rFonts w:ascii="Wingdings" w:hAnsi="Wingdings" w:hint="default"/>
      </w:rPr>
    </w:lvl>
    <w:lvl w:ilvl="3" w:tplc="CB366684" w:tentative="1">
      <w:start w:val="1"/>
      <w:numFmt w:val="bullet"/>
      <w:lvlText w:val=""/>
      <w:lvlJc w:val="left"/>
      <w:pPr>
        <w:ind w:left="2880" w:hanging="360"/>
      </w:pPr>
      <w:rPr>
        <w:rFonts w:ascii="Symbol" w:hAnsi="Symbol" w:hint="default"/>
      </w:rPr>
    </w:lvl>
    <w:lvl w:ilvl="4" w:tplc="4C76C02A" w:tentative="1">
      <w:start w:val="1"/>
      <w:numFmt w:val="bullet"/>
      <w:lvlText w:val="o"/>
      <w:lvlJc w:val="left"/>
      <w:pPr>
        <w:ind w:left="3600" w:hanging="360"/>
      </w:pPr>
      <w:rPr>
        <w:rFonts w:ascii="Courier New" w:hAnsi="Courier New" w:cs="Courier New" w:hint="default"/>
      </w:rPr>
    </w:lvl>
    <w:lvl w:ilvl="5" w:tplc="8B1084AE" w:tentative="1">
      <w:start w:val="1"/>
      <w:numFmt w:val="bullet"/>
      <w:lvlText w:val=""/>
      <w:lvlJc w:val="left"/>
      <w:pPr>
        <w:ind w:left="4320" w:hanging="360"/>
      </w:pPr>
      <w:rPr>
        <w:rFonts w:ascii="Wingdings" w:hAnsi="Wingdings" w:hint="default"/>
      </w:rPr>
    </w:lvl>
    <w:lvl w:ilvl="6" w:tplc="7C1E2E5A" w:tentative="1">
      <w:start w:val="1"/>
      <w:numFmt w:val="bullet"/>
      <w:lvlText w:val=""/>
      <w:lvlJc w:val="left"/>
      <w:pPr>
        <w:ind w:left="5040" w:hanging="360"/>
      </w:pPr>
      <w:rPr>
        <w:rFonts w:ascii="Symbol" w:hAnsi="Symbol" w:hint="default"/>
      </w:rPr>
    </w:lvl>
    <w:lvl w:ilvl="7" w:tplc="7C182192" w:tentative="1">
      <w:start w:val="1"/>
      <w:numFmt w:val="bullet"/>
      <w:lvlText w:val="o"/>
      <w:lvlJc w:val="left"/>
      <w:pPr>
        <w:ind w:left="5760" w:hanging="360"/>
      </w:pPr>
      <w:rPr>
        <w:rFonts w:ascii="Courier New" w:hAnsi="Courier New" w:cs="Courier New" w:hint="default"/>
      </w:rPr>
    </w:lvl>
    <w:lvl w:ilvl="8" w:tplc="5C161E7C"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3"/>
    <w:rsid w:val="00056C8D"/>
    <w:rsid w:val="000C622C"/>
    <w:rsid w:val="00106F6E"/>
    <w:rsid w:val="00114CAA"/>
    <w:rsid w:val="00151B26"/>
    <w:rsid w:val="0015431A"/>
    <w:rsid w:val="00173EE0"/>
    <w:rsid w:val="001C2D22"/>
    <w:rsid w:val="001E39C8"/>
    <w:rsid w:val="001F3B8E"/>
    <w:rsid w:val="00235D4C"/>
    <w:rsid w:val="0024162E"/>
    <w:rsid w:val="002A6CF4"/>
    <w:rsid w:val="002E4802"/>
    <w:rsid w:val="003117FC"/>
    <w:rsid w:val="003767CE"/>
    <w:rsid w:val="00380B92"/>
    <w:rsid w:val="00381A8F"/>
    <w:rsid w:val="003A25CA"/>
    <w:rsid w:val="003B7115"/>
    <w:rsid w:val="003D2B0A"/>
    <w:rsid w:val="003F1AA7"/>
    <w:rsid w:val="00446B8B"/>
    <w:rsid w:val="00455352"/>
    <w:rsid w:val="00466B13"/>
    <w:rsid w:val="0048224D"/>
    <w:rsid w:val="004B2EAB"/>
    <w:rsid w:val="004C5009"/>
    <w:rsid w:val="005156B9"/>
    <w:rsid w:val="0052096C"/>
    <w:rsid w:val="00646E9D"/>
    <w:rsid w:val="006A6060"/>
    <w:rsid w:val="00721636"/>
    <w:rsid w:val="007519FC"/>
    <w:rsid w:val="00755041"/>
    <w:rsid w:val="00757EB1"/>
    <w:rsid w:val="00807A02"/>
    <w:rsid w:val="00820E10"/>
    <w:rsid w:val="00846A26"/>
    <w:rsid w:val="00854D07"/>
    <w:rsid w:val="0087455A"/>
    <w:rsid w:val="0090507E"/>
    <w:rsid w:val="009230CB"/>
    <w:rsid w:val="009F699C"/>
    <w:rsid w:val="00A55AEE"/>
    <w:rsid w:val="00A63D8B"/>
    <w:rsid w:val="00A76C09"/>
    <w:rsid w:val="00AB56E5"/>
    <w:rsid w:val="00AF0003"/>
    <w:rsid w:val="00AF3E14"/>
    <w:rsid w:val="00B3018B"/>
    <w:rsid w:val="00B43F25"/>
    <w:rsid w:val="00B95673"/>
    <w:rsid w:val="00BC2314"/>
    <w:rsid w:val="00BF5D40"/>
    <w:rsid w:val="00C14E67"/>
    <w:rsid w:val="00C32F80"/>
    <w:rsid w:val="00C62824"/>
    <w:rsid w:val="00C96E85"/>
    <w:rsid w:val="00D926B5"/>
    <w:rsid w:val="00DB795B"/>
    <w:rsid w:val="00E10FC0"/>
    <w:rsid w:val="00E17F97"/>
    <w:rsid w:val="00E50D3D"/>
    <w:rsid w:val="00E72D39"/>
    <w:rsid w:val="00E86A94"/>
    <w:rsid w:val="00F00DB0"/>
    <w:rsid w:val="00F25F7C"/>
    <w:rsid w:val="00F863FF"/>
    <w:rsid w:val="00FE2692"/>
    <w:rsid w:val="00FE7E5E"/>
    <w:rsid w:val="00FF2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3C62E-F984-8246-AA46-90CC51BE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pPr>
      <w:widowControl w:val="0"/>
      <w:numPr>
        <w:ilvl w:val="1"/>
        <w:numId w:val="1"/>
      </w:numPr>
      <w:spacing w:after="240"/>
      <w:outlineLvl w:val="1"/>
    </w:pPr>
  </w:style>
  <w:style w:type="paragraph" w:styleId="Heading3">
    <w:name w:val="heading 3"/>
    <w:aliases w:val="Char,Char Char,Char Char Char,Char Char Char Char,Char Char Char1,Char Char1,Char Char1 Char,Char Char2,Heading 3 Char,Heading 3 Char Char,Heading 3 Char Char Char,Heading 3 Char Char1 Char,Heading 3 Char1,Heading 3 Char1 Char,Heading 3 Char2"/>
    <w:basedOn w:val="Normal"/>
    <w:next w:val="Normal"/>
    <w:qFormat/>
    <w:pPr>
      <w:widowControl w:val="0"/>
      <w:numPr>
        <w:ilvl w:val="2"/>
        <w:numId w:val="1"/>
      </w:numPr>
      <w:spacing w:after="240"/>
      <w:outlineLvl w:val="2"/>
    </w:pPr>
  </w:style>
  <w:style w:type="paragraph" w:styleId="Heading4">
    <w:name w:val="heading 4"/>
    <w:aliases w:val="Heading 11,Heading 41,Título 41,heading 4,para 4"/>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466B13"/>
    <w:pPr>
      <w:ind w:left="720"/>
      <w:contextualSpacing/>
    </w:pPr>
  </w:style>
  <w:style w:type="paragraph" w:styleId="FootnoteText">
    <w:name w:val="footnote text"/>
    <w:basedOn w:val="Normal"/>
    <w:link w:val="FootnoteTextChar"/>
    <w:uiPriority w:val="99"/>
    <w:semiHidden/>
    <w:unhideWhenUsed/>
    <w:rsid w:val="00466B13"/>
    <w:rPr>
      <w:sz w:val="20"/>
      <w:szCs w:val="20"/>
    </w:rPr>
  </w:style>
  <w:style w:type="character" w:customStyle="1" w:styleId="FootnoteTextChar">
    <w:name w:val="Footnote Text Char"/>
    <w:basedOn w:val="DefaultParagraphFont"/>
    <w:link w:val="FootnoteText"/>
    <w:uiPriority w:val="99"/>
    <w:semiHidden/>
    <w:rsid w:val="00466B13"/>
    <w:rPr>
      <w:lang w:val="en-GB"/>
    </w:rPr>
  </w:style>
  <w:style w:type="character" w:styleId="FootnoteReference">
    <w:name w:val="footnote reference"/>
    <w:basedOn w:val="DefaultParagraphFont"/>
    <w:uiPriority w:val="99"/>
    <w:semiHidden/>
    <w:unhideWhenUsed/>
    <w:rsid w:val="00466B13"/>
    <w:rPr>
      <w:vertAlign w:val="superscript"/>
    </w:rPr>
  </w:style>
  <w:style w:type="character" w:customStyle="1" w:styleId="HeaderChar">
    <w:name w:val="Header Char"/>
    <w:basedOn w:val="DefaultParagraphFont"/>
    <w:link w:val="Header"/>
    <w:uiPriority w:val="99"/>
    <w:rsid w:val="00466B1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UNEP/OzL.Pro/ExCom/83/34</Document_x0020_Number>
  </documentManagement>
</p:properties>
</file>

<file path=customXml/itemProps1.xml><?xml version="1.0" encoding="utf-8"?>
<ds:datastoreItem xmlns:ds="http://schemas.openxmlformats.org/officeDocument/2006/customXml" ds:itemID="{D0DCBE5F-717F-49BE-8C01-ABEA7B8D0E18}"/>
</file>

<file path=customXml/itemProps2.xml><?xml version="1.0" encoding="utf-8"?>
<ds:datastoreItem xmlns:ds="http://schemas.openxmlformats.org/officeDocument/2006/customXml" ds:itemID="{A7B46ABF-E11F-4968-9FAF-58C65BEA9554}"/>
</file>

<file path=customXml/itemProps3.xml><?xml version="1.0" encoding="utf-8"?>
<ds:datastoreItem xmlns:ds="http://schemas.openxmlformats.org/officeDocument/2006/customXml" ds:itemID="{737621D3-ABA6-4CF9-A2AD-483F66684189}"/>
</file>

<file path=customXml/itemProps4.xml><?xml version="1.0" encoding="utf-8"?>
<ds:datastoreItem xmlns:ds="http://schemas.openxmlformats.org/officeDocument/2006/customXml" ds:itemID="{65F32C1B-3522-4B76-9B39-88AC908FB4AE}"/>
</file>

<file path=docProps/app.xml><?xml version="1.0" encoding="utf-8"?>
<Properties xmlns="http://schemas.openxmlformats.org/officeDocument/2006/extended-properties" xmlns:vt="http://schemas.openxmlformats.org/officeDocument/2006/docPropsVTypes">
  <Template>normal</Template>
  <TotalTime>116</TotalTime>
  <Pages>12</Pages>
  <Words>4658</Words>
  <Characters>24230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Propuesta de proyecto: Pakistán</vt:lpstr>
    </vt:vector>
  </TitlesOfParts>
  <Company>UNMFS</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Pakistán</dc:title>
  <dc:creator>C R</dc:creator>
  <cp:lastModifiedBy>HBE</cp:lastModifiedBy>
  <cp:revision>54</cp:revision>
  <cp:lastPrinted>2019-05-07T18:53:00Z</cp:lastPrinted>
  <dcterms:created xsi:type="dcterms:W3CDTF">2019-05-02T10:07:00Z</dcterms:created>
  <dcterms:modified xsi:type="dcterms:W3CDTF">2019-05-22T18:59:00Z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UNEP/OzL.Pro/ExCom/83/34</vt:lpwstr>
  </property>
  <property fmtid="{D5CDD505-2E9C-101B-9397-08002B2CF9AE}" pid="3" name="Revision date">
    <vt:lpwstr>5/3/2019</vt:lpwstr>
  </property>
  <property fmtid="{D5CDD505-2E9C-101B-9397-08002B2CF9AE}" pid="4" name="ContentTypeId">
    <vt:lpwstr>0x010100AA786487C9FB6F4EBDAE4F9BF2BADC67</vt:lpwstr>
  </property>
</Properties>
</file>