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34" w:type="dxa"/>
        <w:tblLayout w:type="fixed"/>
        <w:tblLook w:val="0000" w:firstRow="0" w:lastRow="0" w:firstColumn="0" w:lastColumn="0" w:noHBand="0" w:noVBand="0"/>
      </w:tblPr>
      <w:tblGrid>
        <w:gridCol w:w="1456"/>
        <w:gridCol w:w="3963"/>
        <w:gridCol w:w="4112"/>
      </w:tblGrid>
      <w:tr w:rsidR="0087455A" w:rsidRPr="008F4B68" w:rsidTr="009511E2">
        <w:trPr>
          <w:trHeight w:val="598"/>
        </w:trPr>
        <w:tc>
          <w:tcPr>
            <w:tcW w:w="5419" w:type="dxa"/>
            <w:gridSpan w:val="2"/>
            <w:tcBorders>
              <w:bottom w:val="single" w:sz="18" w:space="0" w:color="auto"/>
            </w:tcBorders>
          </w:tcPr>
          <w:p w:rsidR="0087455A" w:rsidRPr="008F4B68" w:rsidRDefault="0024162E">
            <w:pPr>
              <w:rPr>
                <w:rFonts w:ascii="Univers" w:hAnsi="Univers"/>
                <w:b/>
                <w:sz w:val="28"/>
                <w:szCs w:val="28"/>
                <w:lang w:val="es-ES"/>
              </w:rPr>
            </w:pPr>
            <w:bookmarkStart w:id="0" w:name="_GoBack"/>
            <w:bookmarkEnd w:id="0"/>
            <w:r w:rsidRPr="008F4B68">
              <w:rPr>
                <w:rFonts w:ascii="Univers" w:hAnsi="Univers"/>
                <w:b/>
                <w:sz w:val="28"/>
                <w:szCs w:val="28"/>
                <w:lang w:val="es-ES"/>
              </w:rPr>
              <w:t>NACIONES</w:t>
            </w:r>
          </w:p>
          <w:p w:rsidR="0087455A" w:rsidRPr="008F4B68" w:rsidRDefault="0024162E">
            <w:pPr>
              <w:rPr>
                <w:rFonts w:ascii="Univers" w:hAnsi="Univers"/>
                <w:b/>
                <w:sz w:val="28"/>
                <w:szCs w:val="28"/>
                <w:lang w:val="es-ES"/>
              </w:rPr>
            </w:pPr>
            <w:r w:rsidRPr="008F4B68">
              <w:rPr>
                <w:rFonts w:ascii="Univers" w:hAnsi="Univers"/>
                <w:b/>
                <w:sz w:val="28"/>
                <w:szCs w:val="28"/>
                <w:lang w:val="es-ES"/>
              </w:rPr>
              <w:t>UNIDAS</w:t>
            </w:r>
          </w:p>
        </w:tc>
        <w:tc>
          <w:tcPr>
            <w:tcW w:w="4112" w:type="dxa"/>
            <w:tcBorders>
              <w:bottom w:val="single" w:sz="18" w:space="0" w:color="auto"/>
            </w:tcBorders>
          </w:tcPr>
          <w:p w:rsidR="0087455A" w:rsidRPr="008F4B68" w:rsidRDefault="0024162E">
            <w:pPr>
              <w:jc w:val="right"/>
              <w:rPr>
                <w:rFonts w:asciiTheme="minorBidi" w:hAnsiTheme="minorBidi" w:cstheme="minorBidi"/>
                <w:sz w:val="52"/>
                <w:szCs w:val="52"/>
                <w:lang w:val="es-ES"/>
              </w:rPr>
            </w:pPr>
            <w:r w:rsidRPr="008F4B68">
              <w:rPr>
                <w:rFonts w:asciiTheme="minorBidi" w:hAnsiTheme="minorBidi" w:cstheme="minorBidi"/>
                <w:b/>
                <w:sz w:val="72"/>
                <w:lang w:val="es-ES"/>
              </w:rPr>
              <w:t>EP</w:t>
            </w:r>
          </w:p>
        </w:tc>
      </w:tr>
      <w:tr w:rsidR="0087455A" w:rsidRPr="008F4B68" w:rsidTr="00951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0"/>
        </w:trPr>
        <w:tc>
          <w:tcPr>
            <w:tcW w:w="1456" w:type="dxa"/>
            <w:tcBorders>
              <w:top w:val="nil"/>
              <w:left w:val="nil"/>
              <w:bottom w:val="single" w:sz="36" w:space="0" w:color="auto"/>
              <w:right w:val="nil"/>
            </w:tcBorders>
          </w:tcPr>
          <w:p w:rsidR="0087455A" w:rsidRPr="008F4B68" w:rsidRDefault="0024162E">
            <w:pPr>
              <w:spacing w:before="120"/>
              <w:rPr>
                <w:lang w:val="es-ES"/>
              </w:rPr>
            </w:pPr>
            <w:r w:rsidRPr="008F4B68">
              <w:rPr>
                <w:noProof/>
                <w:lang w:val="en-CA" w:eastAsia="en-CA"/>
              </w:rPr>
              <w:drawing>
                <wp:anchor distT="0" distB="0" distL="114300" distR="114300" simplePos="0" relativeHeight="251657216" behindDoc="0" locked="0" layoutInCell="1" allowOverlap="1" wp14:anchorId="3A67F4A9" wp14:editId="4121C7A5">
                  <wp:simplePos x="0" y="0"/>
                  <wp:positionH relativeFrom="column">
                    <wp:posOffset>46465</wp:posOffset>
                  </wp:positionH>
                  <wp:positionV relativeFrom="paragraph">
                    <wp:posOffset>876631</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8F4B68">
              <w:rPr>
                <w:noProof/>
                <w:lang w:val="en-CA" w:eastAsia="en-CA"/>
              </w:rPr>
              <w:drawing>
                <wp:anchor distT="0" distB="0" distL="114300" distR="114300" simplePos="0" relativeHeight="251660288" behindDoc="1" locked="0" layoutInCell="0" allowOverlap="1" wp14:anchorId="47F4CD06" wp14:editId="156A2EFB">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963" w:type="dxa"/>
            <w:tcBorders>
              <w:top w:val="nil"/>
              <w:left w:val="nil"/>
              <w:bottom w:val="single" w:sz="36" w:space="0" w:color="auto"/>
              <w:right w:val="nil"/>
            </w:tcBorders>
          </w:tcPr>
          <w:p w:rsidR="0087455A" w:rsidRPr="008F4B68"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rsidR="0087455A" w:rsidRPr="008F4B6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F4B68">
              <w:rPr>
                <w:rFonts w:ascii="Univers" w:hAnsi="Univers"/>
                <w:b/>
                <w:sz w:val="32"/>
                <w:lang w:val="es-ES"/>
              </w:rPr>
              <w:t>Programa de las</w:t>
            </w:r>
          </w:p>
          <w:p w:rsidR="0087455A" w:rsidRPr="008F4B6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F4B68">
              <w:rPr>
                <w:rFonts w:ascii="Univers" w:hAnsi="Univers"/>
                <w:b/>
                <w:sz w:val="32"/>
                <w:lang w:val="es-ES"/>
              </w:rPr>
              <w:t>Naciones Unidas</w:t>
            </w:r>
          </w:p>
          <w:p w:rsidR="0087455A" w:rsidRPr="008F4B6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F4B68">
              <w:rPr>
                <w:rFonts w:ascii="Univers" w:hAnsi="Univers"/>
                <w:b/>
                <w:sz w:val="32"/>
                <w:lang w:val="es-ES"/>
              </w:rPr>
              <w:t>para el Medio Ambiente</w:t>
            </w:r>
          </w:p>
          <w:p w:rsidR="0087455A" w:rsidRPr="008F4B68"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rsidR="0087455A" w:rsidRPr="008F4B68" w:rsidRDefault="0087455A">
            <w:pPr>
              <w:spacing w:before="720"/>
              <w:ind w:left="158"/>
              <w:rPr>
                <w:lang w:val="es-ES"/>
              </w:rPr>
            </w:pPr>
          </w:p>
        </w:tc>
        <w:tc>
          <w:tcPr>
            <w:tcW w:w="4112" w:type="dxa"/>
            <w:tcBorders>
              <w:top w:val="nil"/>
              <w:left w:val="nil"/>
              <w:bottom w:val="single" w:sz="36" w:space="0" w:color="auto"/>
              <w:right w:val="nil"/>
            </w:tcBorders>
          </w:tcPr>
          <w:p w:rsidR="0087455A" w:rsidRPr="008F4B68" w:rsidRDefault="0087455A">
            <w:pPr>
              <w:rPr>
                <w:lang w:val="es-ES"/>
              </w:rPr>
            </w:pPr>
          </w:p>
          <w:p w:rsidR="0087455A" w:rsidRPr="008F4B68" w:rsidRDefault="0024162E">
            <w:pPr>
              <w:rPr>
                <w:lang w:val="es-ES"/>
              </w:rPr>
            </w:pPr>
            <w:r w:rsidRPr="008F4B68">
              <w:rPr>
                <w:lang w:val="es-ES"/>
              </w:rPr>
              <w:t>Distr.</w:t>
            </w:r>
          </w:p>
          <w:p w:rsidR="0087455A" w:rsidRPr="008F4B68" w:rsidRDefault="0024162E">
            <w:pPr>
              <w:rPr>
                <w:lang w:val="es-ES"/>
              </w:rPr>
            </w:pPr>
            <w:r w:rsidRPr="008F4B68">
              <w:rPr>
                <w:lang w:val="es-ES"/>
              </w:rPr>
              <w:t>GENERAL</w:t>
            </w:r>
          </w:p>
          <w:p w:rsidR="0087455A" w:rsidRPr="008F4B68" w:rsidRDefault="0087455A">
            <w:pPr>
              <w:rPr>
                <w:lang w:val="es-ES"/>
              </w:rPr>
            </w:pPr>
          </w:p>
          <w:p w:rsidR="0087455A" w:rsidRPr="008F4B68" w:rsidRDefault="0024162E">
            <w:pPr>
              <w:rPr>
                <w:lang w:val="es-ES"/>
              </w:rPr>
            </w:pPr>
            <w:r w:rsidRPr="008F4B68">
              <w:rPr>
                <w:lang w:val="es-ES"/>
              </w:rPr>
              <w:fldChar w:fldCharType="begin"/>
            </w:r>
            <w:r w:rsidRPr="008F4B68">
              <w:rPr>
                <w:lang w:val="es-ES"/>
              </w:rPr>
              <w:instrText xml:space="preserve"> DOCPROPERTY "Document number"  \* MERGEFORMAT </w:instrText>
            </w:r>
            <w:r w:rsidRPr="008F4B68">
              <w:rPr>
                <w:lang w:val="es-ES"/>
              </w:rPr>
              <w:fldChar w:fldCharType="separate"/>
            </w:r>
            <w:r w:rsidR="009511E2">
              <w:rPr>
                <w:lang w:val="es-ES"/>
              </w:rPr>
              <w:t>UNEP/OzL.Pro/ExCom/83/39</w:t>
            </w:r>
            <w:r w:rsidRPr="008F4B68">
              <w:rPr>
                <w:lang w:val="es-ES"/>
              </w:rPr>
              <w:fldChar w:fldCharType="end"/>
            </w:r>
          </w:p>
          <w:p w:rsidR="0087455A" w:rsidRPr="008F4B68" w:rsidRDefault="001148A7" w:rsidP="001C2D22">
            <w:pPr>
              <w:rPr>
                <w:caps/>
                <w:lang w:val="es-ES"/>
              </w:rPr>
            </w:pPr>
            <w:r w:rsidRPr="008F4B68">
              <w:rPr>
                <w:caps/>
                <w:lang w:val="es-ES"/>
              </w:rPr>
              <w:t>4</w:t>
            </w:r>
            <w:r w:rsidR="00114CAA" w:rsidRPr="008F4B68">
              <w:rPr>
                <w:caps/>
                <w:lang w:val="es-ES"/>
              </w:rPr>
              <w:t xml:space="preserve"> </w:t>
            </w:r>
            <w:r w:rsidR="00114CAA" w:rsidRPr="008F4B68">
              <w:rPr>
                <w:lang w:val="es-ES"/>
              </w:rPr>
              <w:t xml:space="preserve">de </w:t>
            </w:r>
            <w:r w:rsidR="001C2D22" w:rsidRPr="008F4B68">
              <w:rPr>
                <w:lang w:val="es-ES"/>
              </w:rPr>
              <w:t>mayo</w:t>
            </w:r>
            <w:r w:rsidR="00114CAA" w:rsidRPr="008F4B68">
              <w:rPr>
                <w:lang w:val="es-ES"/>
              </w:rPr>
              <w:t xml:space="preserve"> de </w:t>
            </w:r>
            <w:r w:rsidR="001C2D22" w:rsidRPr="008F4B68">
              <w:rPr>
                <w:caps/>
                <w:lang w:val="es-ES"/>
              </w:rPr>
              <w:t>2019</w:t>
            </w:r>
          </w:p>
          <w:p w:rsidR="00114CAA" w:rsidRPr="008F4B68" w:rsidRDefault="00114CAA">
            <w:pPr>
              <w:rPr>
                <w:caps/>
                <w:lang w:val="es-ES"/>
              </w:rPr>
            </w:pPr>
          </w:p>
          <w:p w:rsidR="0087455A" w:rsidRPr="008F4B68" w:rsidRDefault="0024162E">
            <w:pPr>
              <w:rPr>
                <w:lang w:val="es-ES"/>
              </w:rPr>
            </w:pPr>
            <w:r w:rsidRPr="008F4B68">
              <w:rPr>
                <w:lang w:val="es-ES"/>
              </w:rPr>
              <w:t xml:space="preserve">ESPAÑOL </w:t>
            </w:r>
          </w:p>
          <w:p w:rsidR="0087455A" w:rsidRPr="008F4B68" w:rsidRDefault="0024162E">
            <w:pPr>
              <w:rPr>
                <w:lang w:val="es-ES"/>
              </w:rPr>
            </w:pPr>
            <w:r w:rsidRPr="008F4B68">
              <w:rPr>
                <w:lang w:val="es-ES"/>
              </w:rPr>
              <w:t>ORIGINAL: INGLÉS</w:t>
            </w:r>
          </w:p>
        </w:tc>
      </w:tr>
    </w:tbl>
    <w:p w:rsidR="009511E2" w:rsidRPr="009511E2" w:rsidRDefault="009511E2">
      <w:pPr>
        <w:jc w:val="left"/>
        <w:rPr>
          <w:sz w:val="10"/>
          <w:szCs w:val="10"/>
          <w:lang w:val="es-ES"/>
        </w:rPr>
      </w:pPr>
    </w:p>
    <w:p w:rsidR="0087455A" w:rsidRPr="008F4B68" w:rsidRDefault="0024162E">
      <w:pPr>
        <w:jc w:val="left"/>
        <w:rPr>
          <w:lang w:val="es-ES"/>
        </w:rPr>
      </w:pPr>
      <w:r w:rsidRPr="008F4B68">
        <w:rPr>
          <w:lang w:val="es-ES"/>
        </w:rPr>
        <w:t>COMITÉ EJECUTIVO DEL FONDO MULTILATERAL</w:t>
      </w:r>
      <w:r w:rsidRPr="008F4B68">
        <w:rPr>
          <w:lang w:val="es-ES"/>
        </w:rPr>
        <w:br/>
        <w:t xml:space="preserve">  PARA LA APLICACIÓN DEL</w:t>
      </w:r>
      <w:r w:rsidRPr="008F4B68">
        <w:rPr>
          <w:lang w:val="es-ES"/>
        </w:rPr>
        <w:br/>
        <w:t xml:space="preserve">  PROTOCOLO DE MONTREAL</w:t>
      </w:r>
    </w:p>
    <w:p w:rsidR="00106F6E" w:rsidRPr="008F4B68" w:rsidRDefault="00106F6E" w:rsidP="001C2D22">
      <w:pPr>
        <w:jc w:val="left"/>
        <w:rPr>
          <w:lang w:val="es-ES"/>
        </w:rPr>
      </w:pPr>
      <w:r w:rsidRPr="008F4B68">
        <w:rPr>
          <w:lang w:val="es-ES"/>
        </w:rPr>
        <w:t xml:space="preserve">Octogésima </w:t>
      </w:r>
      <w:r w:rsidR="001C2D22" w:rsidRPr="008F4B68">
        <w:rPr>
          <w:lang w:val="es-ES"/>
        </w:rPr>
        <w:t>tercera</w:t>
      </w:r>
      <w:r w:rsidRPr="008F4B68">
        <w:rPr>
          <w:lang w:val="es-ES"/>
        </w:rPr>
        <w:t xml:space="preserve"> Reunión</w:t>
      </w:r>
      <w:r w:rsidRPr="008F4B68">
        <w:rPr>
          <w:lang w:val="es-ES"/>
        </w:rPr>
        <w:br/>
        <w:t xml:space="preserve">Montreal, </w:t>
      </w:r>
      <w:r w:rsidR="001C2D22" w:rsidRPr="008F4B68">
        <w:rPr>
          <w:lang w:val="es-ES"/>
        </w:rPr>
        <w:t>27</w:t>
      </w:r>
      <w:r w:rsidRPr="008F4B68">
        <w:rPr>
          <w:lang w:val="es-ES"/>
        </w:rPr>
        <w:t xml:space="preserve"> – </w:t>
      </w:r>
      <w:r w:rsidR="001C2D22" w:rsidRPr="008F4B68">
        <w:rPr>
          <w:lang w:val="es-ES"/>
        </w:rPr>
        <w:t>31</w:t>
      </w:r>
      <w:r w:rsidRPr="008F4B68">
        <w:rPr>
          <w:lang w:val="es-ES"/>
        </w:rPr>
        <w:t xml:space="preserve"> de </w:t>
      </w:r>
      <w:r w:rsidR="001C2D22" w:rsidRPr="008F4B68">
        <w:rPr>
          <w:lang w:val="es-ES"/>
        </w:rPr>
        <w:t>mayo de 2019</w:t>
      </w:r>
    </w:p>
    <w:p w:rsidR="00106F6E" w:rsidRPr="008F4B68" w:rsidRDefault="00106F6E" w:rsidP="00106F6E">
      <w:pPr>
        <w:jc w:val="left"/>
        <w:rPr>
          <w:lang w:val="es-ES"/>
        </w:rPr>
      </w:pPr>
    </w:p>
    <w:p w:rsidR="0087455A" w:rsidRPr="008F4B68" w:rsidRDefault="001148A7" w:rsidP="001148A7">
      <w:pPr>
        <w:autoSpaceDE w:val="0"/>
        <w:autoSpaceDN w:val="0"/>
        <w:adjustRightInd w:val="0"/>
        <w:jc w:val="center"/>
        <w:rPr>
          <w:b/>
          <w:lang w:val="es-ES"/>
        </w:rPr>
      </w:pPr>
      <w:r w:rsidRPr="008F4B68">
        <w:rPr>
          <w:b/>
          <w:lang w:val="es-ES"/>
        </w:rPr>
        <w:t>EXAMEN DEL RÉGIMEN DE COSTOS ADMINISTRATIVOS: ANÁLISIS, POR PAÍS, SOBRE LAS DEPENDENCIAS DE GESTIÓN DE PROYECTO, LOS PROYECTOS DE FORTALECIMIENTO INSTITUCIONAL Y LOS ORGANISMOS DE EJECUCIÓN, INCLUIDAS ACTIVIDADES Y FINANCIACIÓN EN EL MARCO DEL PROGRAMA DE ASISTENCIA AL CUMPLIMIENTO, LOS COSTOS DE UNIDAD CENTRAL Y OTROS ELEMENTOS DEL RÉGIMEN DE COSTOS ADMINISTRATIVOS, E INFORMACIÓN SOBRE LA VERIFICACIÓN INDEPENDIENTE A NIVEL NACIONAL (DECISIÓN 82/82 b))</w:t>
      </w:r>
    </w:p>
    <w:p w:rsidR="00CF2D8C" w:rsidRPr="008F4B68" w:rsidRDefault="00CF2D8C" w:rsidP="001148A7">
      <w:pPr>
        <w:spacing w:after="120"/>
        <w:jc w:val="left"/>
        <w:rPr>
          <w:b/>
          <w:lang w:val="es-ES"/>
        </w:rPr>
      </w:pPr>
    </w:p>
    <w:p w:rsidR="001148A7" w:rsidRPr="008F4B68" w:rsidRDefault="00CF2D8C" w:rsidP="001148A7">
      <w:pPr>
        <w:spacing w:after="120"/>
        <w:jc w:val="left"/>
        <w:rPr>
          <w:b/>
          <w:lang w:val="es-ES"/>
        </w:rPr>
      </w:pPr>
      <w:r w:rsidRPr="008F4B68">
        <w:rPr>
          <w:b/>
          <w:lang w:val="es-ES"/>
        </w:rPr>
        <w:t>Antecedentes</w:t>
      </w:r>
    </w:p>
    <w:p w:rsidR="001148A7" w:rsidRPr="008F4B68" w:rsidRDefault="00CF2D8C" w:rsidP="001148A7">
      <w:pPr>
        <w:pStyle w:val="Heading1"/>
        <w:rPr>
          <w:lang w:val="es-ES"/>
        </w:rPr>
      </w:pPr>
      <w:r w:rsidRPr="008F4B68">
        <w:rPr>
          <w:lang w:val="es-ES"/>
        </w:rPr>
        <w:t>En su </w:t>
      </w:r>
      <w:r w:rsidR="001148A7" w:rsidRPr="008F4B68">
        <w:rPr>
          <w:lang w:val="es-ES"/>
        </w:rPr>
        <w:t>79</w:t>
      </w:r>
      <w:r w:rsidRPr="008F4B68">
        <w:rPr>
          <w:lang w:val="es-ES"/>
        </w:rPr>
        <w:t>ª reunión, el</w:t>
      </w:r>
      <w:r w:rsidR="001148A7" w:rsidRPr="008F4B68">
        <w:rPr>
          <w:lang w:val="es-ES"/>
        </w:rPr>
        <w:t xml:space="preserve"> </w:t>
      </w:r>
      <w:r w:rsidRPr="008F4B68">
        <w:rPr>
          <w:lang w:val="es-ES"/>
        </w:rPr>
        <w:t>Comité Ejecutivo sopesó, conforme a la decisión </w:t>
      </w:r>
      <w:r w:rsidR="001148A7" w:rsidRPr="008F4B68">
        <w:rPr>
          <w:lang w:val="es-ES"/>
        </w:rPr>
        <w:t>75/69</w:t>
      </w:r>
      <w:r w:rsidRPr="008F4B68">
        <w:rPr>
          <w:lang w:val="es-ES"/>
        </w:rPr>
        <w:t> b), </w:t>
      </w:r>
      <w:r w:rsidR="001148A7" w:rsidRPr="008F4B68">
        <w:rPr>
          <w:lang w:val="es-ES"/>
        </w:rPr>
        <w:t>c)</w:t>
      </w:r>
      <w:r w:rsidRPr="008F4B68">
        <w:rPr>
          <w:lang w:val="es-ES"/>
        </w:rPr>
        <w:t> y </w:t>
      </w:r>
      <w:r w:rsidR="001148A7" w:rsidRPr="008F4B68">
        <w:rPr>
          <w:lang w:val="es-ES"/>
        </w:rPr>
        <w:t xml:space="preserve">d), </w:t>
      </w:r>
      <w:r w:rsidRPr="008F4B68">
        <w:rPr>
          <w:lang w:val="es-ES"/>
        </w:rPr>
        <w:t>elaborar un documento en el que se examinara el régimen de costos administrativos del Fondo Multilateral y el presupuesto de financiación de sus dependencias con objeto de servir para evalua</w:t>
      </w:r>
      <w:r w:rsidR="00E926A9">
        <w:rPr>
          <w:lang w:val="es-ES"/>
        </w:rPr>
        <w:t>r</w:t>
      </w:r>
      <w:r w:rsidRPr="008F4B68">
        <w:rPr>
          <w:lang w:val="es-ES"/>
        </w:rPr>
        <w:t xml:space="preserve"> los costos administrativos para el trienio </w:t>
      </w:r>
      <w:r w:rsidR="001148A7" w:rsidRPr="008F4B68">
        <w:rPr>
          <w:lang w:val="es-ES"/>
        </w:rPr>
        <w:t>2018-2020</w:t>
      </w:r>
      <w:r w:rsidR="001148A7" w:rsidRPr="008F4B68">
        <w:rPr>
          <w:rStyle w:val="FootnoteReference"/>
          <w:lang w:val="es-ES"/>
        </w:rPr>
        <w:footnoteReference w:id="1"/>
      </w:r>
      <w:r w:rsidR="001148A7" w:rsidRPr="008F4B68">
        <w:rPr>
          <w:lang w:val="es-ES"/>
        </w:rPr>
        <w:t xml:space="preserve">. </w:t>
      </w:r>
    </w:p>
    <w:p w:rsidR="001148A7" w:rsidRPr="008F4B68" w:rsidRDefault="0017132A" w:rsidP="001148A7">
      <w:pPr>
        <w:pStyle w:val="Heading1"/>
        <w:rPr>
          <w:lang w:val="es-ES"/>
        </w:rPr>
      </w:pPr>
      <w:r w:rsidRPr="008F4B68">
        <w:rPr>
          <w:lang w:val="es-ES"/>
        </w:rPr>
        <w:t>Tras ello, el</w:t>
      </w:r>
      <w:r w:rsidR="001148A7" w:rsidRPr="008F4B68">
        <w:rPr>
          <w:lang w:val="es-ES"/>
        </w:rPr>
        <w:t xml:space="preserve"> </w:t>
      </w:r>
      <w:r w:rsidR="00CF2D8C" w:rsidRPr="008F4B68">
        <w:rPr>
          <w:lang w:val="es-ES"/>
        </w:rPr>
        <w:t xml:space="preserve">Comité Ejecutivo </w:t>
      </w:r>
      <w:r w:rsidRPr="008F4B68">
        <w:rPr>
          <w:lang w:val="es-ES"/>
        </w:rPr>
        <w:t>pidió a la Secretaría que, entre otras cosas, redactara para la </w:t>
      </w:r>
      <w:r w:rsidR="001148A7" w:rsidRPr="008F4B68">
        <w:rPr>
          <w:lang w:val="es-ES"/>
        </w:rPr>
        <w:t>82</w:t>
      </w:r>
      <w:r w:rsidRPr="008F4B68">
        <w:rPr>
          <w:lang w:val="es-ES"/>
        </w:rPr>
        <w:t>ª reunión un documento sobre las obligaciones y costos relacionados con las dependencias de gestión de proyectos</w:t>
      </w:r>
      <w:r w:rsidR="001148A7" w:rsidRPr="008F4B68">
        <w:rPr>
          <w:lang w:val="es-ES"/>
        </w:rPr>
        <w:t xml:space="preserve">, </w:t>
      </w:r>
      <w:r w:rsidRPr="008F4B68">
        <w:rPr>
          <w:lang w:val="es-ES"/>
        </w:rPr>
        <w:t>analizando cómo tales costos y obligaciones se relacion</w:t>
      </w:r>
      <w:r w:rsidR="00E926A9">
        <w:rPr>
          <w:lang w:val="es-ES"/>
        </w:rPr>
        <w:t>an</w:t>
      </w:r>
      <w:r w:rsidRPr="008F4B68">
        <w:rPr>
          <w:lang w:val="es-ES"/>
        </w:rPr>
        <w:t xml:space="preserve"> con: </w:t>
      </w:r>
      <w:r w:rsidR="006645CE" w:rsidRPr="008F4B68">
        <w:rPr>
          <w:lang w:val="es-ES"/>
        </w:rPr>
        <w:t>el fortalecimiento institucional (FI); el Programa de Asistencia al Cumplimiento del PNUMA; los fondos para la preparación de proyectos; los gastos de apoyo a las actividades de ejecución de proyectos y de verificación;</w:t>
      </w:r>
      <w:r w:rsidR="001148A7" w:rsidRPr="008F4B68">
        <w:rPr>
          <w:lang w:val="es-ES"/>
        </w:rPr>
        <w:t xml:space="preserve"> </w:t>
      </w:r>
      <w:r w:rsidR="006645CE" w:rsidRPr="008F4B68">
        <w:rPr>
          <w:lang w:val="es-ES"/>
        </w:rPr>
        <w:t xml:space="preserve">así como el grado en el que los organismos </w:t>
      </w:r>
      <w:r w:rsidR="00E926A9">
        <w:rPr>
          <w:lang w:val="es-ES"/>
        </w:rPr>
        <w:t>d</w:t>
      </w:r>
      <w:r w:rsidR="006645CE" w:rsidRPr="008F4B68">
        <w:rPr>
          <w:lang w:val="es-ES"/>
        </w:rPr>
        <w:t xml:space="preserve">elegan obligaciones administrativas </w:t>
      </w:r>
      <w:r w:rsidR="00E926A9">
        <w:rPr>
          <w:lang w:val="es-ES"/>
        </w:rPr>
        <w:t>en</w:t>
      </w:r>
      <w:r w:rsidR="006645CE" w:rsidRPr="008F4B68">
        <w:rPr>
          <w:lang w:val="es-ES"/>
        </w:rPr>
        <w:t xml:space="preserve"> otras instituciones</w:t>
      </w:r>
      <w:r w:rsidR="001148A7" w:rsidRPr="008F4B68">
        <w:rPr>
          <w:lang w:val="es-ES"/>
        </w:rPr>
        <w:t xml:space="preserve"> (decisi</w:t>
      </w:r>
      <w:r w:rsidR="006645CE" w:rsidRPr="008F4B68">
        <w:rPr>
          <w:lang w:val="es-ES"/>
        </w:rPr>
        <w:t>ó</w:t>
      </w:r>
      <w:r w:rsidR="001148A7" w:rsidRPr="008F4B68">
        <w:rPr>
          <w:lang w:val="es-ES"/>
        </w:rPr>
        <w:t>n 79/41</w:t>
      </w:r>
      <w:r w:rsidR="00E926A9">
        <w:rPr>
          <w:lang w:val="es-ES"/>
        </w:rPr>
        <w:t> </w:t>
      </w:r>
      <w:r w:rsidR="001148A7" w:rsidRPr="008F4B68">
        <w:rPr>
          <w:lang w:val="es-ES"/>
        </w:rPr>
        <w:t xml:space="preserve">f)). </w:t>
      </w:r>
    </w:p>
    <w:p w:rsidR="001148A7" w:rsidRPr="008F4B68" w:rsidRDefault="006645CE" w:rsidP="001148A7">
      <w:pPr>
        <w:pStyle w:val="Heading1"/>
        <w:rPr>
          <w:lang w:val="es-ES"/>
        </w:rPr>
      </w:pPr>
      <w:r w:rsidRPr="008F4B68">
        <w:rPr>
          <w:lang w:val="es-ES"/>
        </w:rPr>
        <w:t>Como respuesta a la decisión</w:t>
      </w:r>
      <w:r w:rsidR="00E926A9">
        <w:rPr>
          <w:lang w:val="es-ES"/>
        </w:rPr>
        <w:t> </w:t>
      </w:r>
      <w:r w:rsidR="001148A7" w:rsidRPr="008F4B68">
        <w:rPr>
          <w:lang w:val="es-ES"/>
        </w:rPr>
        <w:t>79/41</w:t>
      </w:r>
      <w:r w:rsidRPr="008F4B68">
        <w:rPr>
          <w:lang w:val="es-ES"/>
        </w:rPr>
        <w:t> f), la Secretaría presentó un documento</w:t>
      </w:r>
      <w:r w:rsidR="001148A7" w:rsidRPr="008F4B68">
        <w:rPr>
          <w:rStyle w:val="FootnoteReference"/>
          <w:lang w:val="es-ES"/>
        </w:rPr>
        <w:footnoteReference w:id="2"/>
      </w:r>
      <w:r w:rsidR="001148A7" w:rsidRPr="008F4B68">
        <w:rPr>
          <w:lang w:val="es-ES"/>
        </w:rPr>
        <w:t xml:space="preserve"> </w:t>
      </w:r>
      <w:r w:rsidRPr="008F4B68">
        <w:rPr>
          <w:lang w:val="es-ES"/>
        </w:rPr>
        <w:t>a la </w:t>
      </w:r>
      <w:r w:rsidR="001148A7" w:rsidRPr="008F4B68">
        <w:rPr>
          <w:lang w:val="es-ES"/>
        </w:rPr>
        <w:t>82</w:t>
      </w:r>
      <w:r w:rsidR="009511E2">
        <w:rPr>
          <w:lang w:val="es-ES"/>
        </w:rPr>
        <w:t>ª reunión en el </w:t>
      </w:r>
      <w:r w:rsidRPr="008F4B68">
        <w:rPr>
          <w:lang w:val="es-ES"/>
        </w:rPr>
        <w:t>que se recogía un análisis de las obligaciones y costos relacionados con las dependencias de gestión de proyectos y el grado en el que los o</w:t>
      </w:r>
      <w:r w:rsidR="00E926A9">
        <w:rPr>
          <w:lang w:val="es-ES"/>
        </w:rPr>
        <w:t>rganismos d</w:t>
      </w:r>
      <w:r w:rsidRPr="008F4B68">
        <w:rPr>
          <w:lang w:val="es-ES"/>
        </w:rPr>
        <w:t>elega</w:t>
      </w:r>
      <w:r w:rsidR="00E926A9">
        <w:rPr>
          <w:lang w:val="es-ES"/>
        </w:rPr>
        <w:t>n obligaciones administrativas en</w:t>
      </w:r>
      <w:r w:rsidRPr="008F4B68">
        <w:rPr>
          <w:lang w:val="es-ES"/>
        </w:rPr>
        <w:t xml:space="preserve"> otras instituciones</w:t>
      </w:r>
      <w:r w:rsidR="001148A7" w:rsidRPr="008F4B68">
        <w:rPr>
          <w:lang w:val="es-ES"/>
        </w:rPr>
        <w:t>.</w:t>
      </w:r>
    </w:p>
    <w:p w:rsidR="0087455A" w:rsidRPr="008F4B68" w:rsidRDefault="0087455A">
      <w:pPr>
        <w:pStyle w:val="StyleHeader4Para4Left0Firstline0"/>
        <w:numPr>
          <w:ilvl w:val="0"/>
          <w:numId w:val="0"/>
        </w:numPr>
        <w:rPr>
          <w:lang w:val="es-ES"/>
        </w:rPr>
      </w:pPr>
    </w:p>
    <w:p w:rsidR="001148A7" w:rsidRPr="008F4B68" w:rsidRDefault="009E012F" w:rsidP="001148A7">
      <w:pPr>
        <w:pStyle w:val="Heading1"/>
        <w:rPr>
          <w:lang w:val="es-ES"/>
        </w:rPr>
      </w:pPr>
      <w:r w:rsidRPr="008F4B68">
        <w:rPr>
          <w:lang w:val="es-ES"/>
        </w:rPr>
        <w:lastRenderedPageBreak/>
        <w:t>En las deliberaciones que siguieron</w:t>
      </w:r>
      <w:r w:rsidR="001148A7" w:rsidRPr="008F4B68">
        <w:rPr>
          <w:rStyle w:val="FootnoteReference"/>
          <w:lang w:val="es-ES"/>
        </w:rPr>
        <w:footnoteReference w:id="3"/>
      </w:r>
      <w:r w:rsidR="00E926A9">
        <w:rPr>
          <w:lang w:val="es-ES"/>
        </w:rPr>
        <w:t>,</w:t>
      </w:r>
      <w:r w:rsidR="001148A7" w:rsidRPr="008F4B68">
        <w:rPr>
          <w:lang w:val="es-ES"/>
        </w:rPr>
        <w:t xml:space="preserve"> </w:t>
      </w:r>
      <w:r w:rsidRPr="008F4B68">
        <w:rPr>
          <w:lang w:val="es-ES"/>
        </w:rPr>
        <w:t>los miembros expresaron su aprecio por el documento, que favorecía la comprensión de aspectos relacionados con las dependencias de gestión de proyectos, en particular sobre la falta de un uso sistemático del Apéndice 5-A de los Acuerdos del Comité Ejecutivo sobre la ejecución de los planes de gestión de eliminación de HCFC para describir y definir claramente las funciones y responsabilidades de las dependencias de gestión de proyectos y las dependencias nacionales del ozono (DNO). No obstante</w:t>
      </w:r>
      <w:r w:rsidR="001148A7" w:rsidRPr="008F4B68">
        <w:rPr>
          <w:lang w:val="es-ES"/>
        </w:rPr>
        <w:t xml:space="preserve">, </w:t>
      </w:r>
      <w:r w:rsidRPr="008F4B68">
        <w:rPr>
          <w:lang w:val="es-ES"/>
        </w:rPr>
        <w:t xml:space="preserve">el </w:t>
      </w:r>
      <w:r w:rsidR="00CF2D8C" w:rsidRPr="008F4B68">
        <w:rPr>
          <w:lang w:val="es-ES"/>
        </w:rPr>
        <w:t xml:space="preserve">Comité Ejecutivo </w:t>
      </w:r>
      <w:r w:rsidRPr="008F4B68">
        <w:rPr>
          <w:lang w:val="es-ES"/>
        </w:rPr>
        <w:t>pidió información adicional que permitiera comprender con claridad la diferencia entre las respectivas funciones y responsabilidades de la dependencia de gestión de proyectos y la DNO. Se sugirió que se preparase un análisis complementario más detallado sobre: la función de la dependencia de gestión de proyectos en relación con la DNO en la recopilación y presentación de datos con arreglo al artículo 7 del Protocolo</w:t>
      </w:r>
      <w:r w:rsidR="001148A7" w:rsidRPr="008F4B68">
        <w:rPr>
          <w:lang w:val="es-ES"/>
        </w:rPr>
        <w:t xml:space="preserve">; </w:t>
      </w:r>
      <w:r w:rsidRPr="008F4B68">
        <w:rPr>
          <w:lang w:val="es-ES"/>
        </w:rPr>
        <w:t>datos financieros sobre la financiación de las dependencias de gestión de proyectos en comparación con la financiación para el fortalecimiento institucional de las DNO, por país; el grado de armonización en la interacción entre las dependencias de gestión de proyectos y las DNO en el apoyo a la ejecución del PGEH;</w:t>
      </w:r>
      <w:r w:rsidR="001148A7" w:rsidRPr="008F4B68">
        <w:rPr>
          <w:lang w:val="es-ES"/>
        </w:rPr>
        <w:t xml:space="preserve"> </w:t>
      </w:r>
      <w:r w:rsidRPr="008F4B68">
        <w:rPr>
          <w:lang w:val="es-ES"/>
        </w:rPr>
        <w:t>y que también proporcionara información sobre las funciones y responsabilidades de las dependencias de gestión de proyectos, las DNO y los organismos de ejecución; y el proceso de verificación y los costos conexos, como aportes para las futuras deliberaciones acerca de supervisión, verificación y presentación de informes sobre la ejecución de las actividades de eliminación de SAO.</w:t>
      </w:r>
      <w:r w:rsidR="001148A7" w:rsidRPr="008F4B68">
        <w:rPr>
          <w:lang w:val="es-ES"/>
        </w:rPr>
        <w:t xml:space="preserve"> </w:t>
      </w:r>
    </w:p>
    <w:p w:rsidR="001148A7" w:rsidRPr="008F4B68" w:rsidRDefault="00287B90" w:rsidP="001148A7">
      <w:pPr>
        <w:pStyle w:val="Heading1"/>
        <w:rPr>
          <w:lang w:val="es-ES"/>
        </w:rPr>
      </w:pPr>
      <w:r w:rsidRPr="008F4B68">
        <w:rPr>
          <w:lang w:val="es-ES"/>
        </w:rPr>
        <w:t>El</w:t>
      </w:r>
      <w:r w:rsidR="001148A7" w:rsidRPr="008F4B68">
        <w:rPr>
          <w:lang w:val="es-ES"/>
        </w:rPr>
        <w:t xml:space="preserve"> </w:t>
      </w:r>
      <w:r w:rsidR="00CF2D8C" w:rsidRPr="008F4B68">
        <w:rPr>
          <w:lang w:val="es-ES"/>
        </w:rPr>
        <w:t xml:space="preserve">Comité Ejecutivo </w:t>
      </w:r>
      <w:r w:rsidRPr="008F4B68">
        <w:rPr>
          <w:lang w:val="es-ES"/>
        </w:rPr>
        <w:t xml:space="preserve">pidió posteriormente a la Secretaría, entre otras cosas, que </w:t>
      </w:r>
      <w:r w:rsidR="007A435F" w:rsidRPr="008F4B68">
        <w:rPr>
          <w:lang w:val="es-ES"/>
        </w:rPr>
        <w:t>preparase para la 83ª reunión, en consulta con los organismos de ejecución, un documento en el que se proporcion</w:t>
      </w:r>
      <w:r w:rsidR="00E926A9">
        <w:rPr>
          <w:lang w:val="es-ES"/>
        </w:rPr>
        <w:t>ase</w:t>
      </w:r>
      <w:r w:rsidR="007A435F" w:rsidRPr="008F4B68">
        <w:rPr>
          <w:lang w:val="es-ES"/>
        </w:rPr>
        <w:t xml:space="preserve"> un análisis detallado, por país, sobre las dependencias de gestión de proyecto, los proyectos de fortalecimiento institucional y los organismos de ejecución, inclusive en relación con lo siguiente: actividades y financiación en el marco del Programa de Asistencia al Cumplimiento del PNUMA; los costos de unidad central del PNUD, la ONUDI y el Banco Mundial y otros elementos del régimen de costos administrativos; e información sobre la verificación independiente a nivel nacional</w:t>
      </w:r>
      <w:r w:rsidR="001148A7" w:rsidRPr="008F4B68">
        <w:rPr>
          <w:lang w:val="es-ES"/>
        </w:rPr>
        <w:t>; (decisi</w:t>
      </w:r>
      <w:r w:rsidR="007A435F" w:rsidRPr="008F4B68">
        <w:rPr>
          <w:lang w:val="es-ES"/>
        </w:rPr>
        <w:t>ó</w:t>
      </w:r>
      <w:r w:rsidR="001148A7" w:rsidRPr="008F4B68">
        <w:rPr>
          <w:lang w:val="es-ES"/>
        </w:rPr>
        <w:t>n 82/82b)).</w:t>
      </w:r>
    </w:p>
    <w:p w:rsidR="001148A7" w:rsidRPr="008F4B68" w:rsidRDefault="007A435F" w:rsidP="001148A7">
      <w:pPr>
        <w:pStyle w:val="Heading1"/>
        <w:rPr>
          <w:lang w:val="es-ES"/>
        </w:rPr>
      </w:pPr>
      <w:r w:rsidRPr="008F4B68">
        <w:rPr>
          <w:lang w:val="es-ES"/>
        </w:rPr>
        <w:t xml:space="preserve">La </w:t>
      </w:r>
      <w:r w:rsidR="006645CE" w:rsidRPr="008F4B68">
        <w:rPr>
          <w:lang w:val="es-ES"/>
        </w:rPr>
        <w:t>Secretaría</w:t>
      </w:r>
      <w:r w:rsidR="001148A7" w:rsidRPr="008F4B68">
        <w:rPr>
          <w:lang w:val="es-ES"/>
        </w:rPr>
        <w:t xml:space="preserve"> ha</w:t>
      </w:r>
      <w:r w:rsidRPr="008F4B68">
        <w:rPr>
          <w:lang w:val="es-ES"/>
        </w:rPr>
        <w:t xml:space="preserve"> preparado el presente documento de conformidad con la </w:t>
      </w:r>
      <w:r w:rsidR="001148A7" w:rsidRPr="008F4B68">
        <w:rPr>
          <w:lang w:val="es-ES"/>
        </w:rPr>
        <w:t>decisi</w:t>
      </w:r>
      <w:r w:rsidRPr="008F4B68">
        <w:rPr>
          <w:lang w:val="es-ES"/>
        </w:rPr>
        <w:t>ó</w:t>
      </w:r>
      <w:r w:rsidR="001148A7" w:rsidRPr="008F4B68">
        <w:rPr>
          <w:lang w:val="es-ES"/>
        </w:rPr>
        <w:t>n</w:t>
      </w:r>
      <w:r w:rsidRPr="008F4B68">
        <w:rPr>
          <w:lang w:val="es-ES"/>
        </w:rPr>
        <w:t> </w:t>
      </w:r>
      <w:r w:rsidR="001148A7" w:rsidRPr="008F4B68">
        <w:rPr>
          <w:lang w:val="es-ES"/>
        </w:rPr>
        <w:t>82/82</w:t>
      </w:r>
      <w:r w:rsidRPr="008F4B68">
        <w:rPr>
          <w:lang w:val="es-ES"/>
        </w:rPr>
        <w:t> </w:t>
      </w:r>
      <w:r w:rsidR="001148A7" w:rsidRPr="008F4B68">
        <w:rPr>
          <w:lang w:val="es-ES"/>
        </w:rPr>
        <w:t>b)).</w:t>
      </w:r>
    </w:p>
    <w:p w:rsidR="001148A7" w:rsidRPr="008F4B68" w:rsidRDefault="007A435F" w:rsidP="001148A7">
      <w:pPr>
        <w:pStyle w:val="Heading1"/>
        <w:numPr>
          <w:ilvl w:val="0"/>
          <w:numId w:val="0"/>
        </w:numPr>
        <w:rPr>
          <w:lang w:val="es-ES"/>
        </w:rPr>
      </w:pPr>
      <w:r w:rsidRPr="008F4B68">
        <w:rPr>
          <w:u w:val="single"/>
          <w:lang w:val="es-ES"/>
        </w:rPr>
        <w:t>Ámbito del documento</w:t>
      </w:r>
    </w:p>
    <w:p w:rsidR="001148A7" w:rsidRPr="008F4B68" w:rsidRDefault="00A035B3" w:rsidP="001148A7">
      <w:pPr>
        <w:pStyle w:val="Heading1"/>
        <w:rPr>
          <w:lang w:val="es-ES"/>
        </w:rPr>
      </w:pPr>
      <w:r w:rsidRPr="008F4B68">
        <w:rPr>
          <w:lang w:val="es-ES"/>
        </w:rPr>
        <w:t xml:space="preserve">Este documento recoge un análisis adicional de la información que figura en el documento </w:t>
      </w:r>
      <w:r w:rsidR="001148A7" w:rsidRPr="008F4B68">
        <w:rPr>
          <w:szCs w:val="24"/>
          <w:lang w:val="es-ES"/>
        </w:rPr>
        <w:t xml:space="preserve">UNEP/OzL.Pro/ExCom/82/63, </w:t>
      </w:r>
      <w:r w:rsidRPr="008F4B68">
        <w:rPr>
          <w:szCs w:val="24"/>
          <w:lang w:val="es-ES"/>
        </w:rPr>
        <w:t xml:space="preserve">en concreto los elementos que se incluyen en la </w:t>
      </w:r>
      <w:r w:rsidRPr="008F4B68">
        <w:rPr>
          <w:lang w:val="es-ES"/>
        </w:rPr>
        <w:t>decisión </w:t>
      </w:r>
      <w:r w:rsidR="001148A7" w:rsidRPr="008F4B68">
        <w:rPr>
          <w:lang w:val="es-ES"/>
        </w:rPr>
        <w:t>82/82</w:t>
      </w:r>
      <w:r w:rsidRPr="008F4B68">
        <w:rPr>
          <w:lang w:val="es-ES"/>
        </w:rPr>
        <w:t> </w:t>
      </w:r>
      <w:r w:rsidR="001148A7" w:rsidRPr="008F4B68">
        <w:rPr>
          <w:lang w:val="es-ES"/>
        </w:rPr>
        <w:t xml:space="preserve">b), </w:t>
      </w:r>
      <w:r w:rsidRPr="008F4B68">
        <w:rPr>
          <w:lang w:val="es-ES"/>
        </w:rPr>
        <w:t>y una descripción de las obligaciones y costos en que se incurre en la ejecución de las actividades respaldadas por el Fondo</w:t>
      </w:r>
      <w:r w:rsidR="001148A7" w:rsidRPr="008F4B68">
        <w:rPr>
          <w:lang w:val="es-ES"/>
        </w:rPr>
        <w:t xml:space="preserve">. </w:t>
      </w:r>
      <w:r w:rsidRPr="008F4B68">
        <w:rPr>
          <w:lang w:val="es-ES"/>
        </w:rPr>
        <w:t xml:space="preserve"> El documento presenta un análisis, por país, fundamentándose en la información recolectada del </w:t>
      </w:r>
      <w:r w:rsidR="009A1284" w:rsidRPr="008F4B68">
        <w:rPr>
          <w:lang w:val="es-ES"/>
        </w:rPr>
        <w:t xml:space="preserve">examen </w:t>
      </w:r>
      <w:r w:rsidRPr="008F4B68">
        <w:rPr>
          <w:lang w:val="es-ES"/>
        </w:rPr>
        <w:t>de la etapa</w:t>
      </w:r>
      <w:r w:rsidR="009A1284" w:rsidRPr="008F4B68">
        <w:rPr>
          <w:lang w:val="es-ES"/>
        </w:rPr>
        <w:t> </w:t>
      </w:r>
      <w:r w:rsidR="001148A7" w:rsidRPr="008F4B68">
        <w:rPr>
          <w:lang w:val="es-ES"/>
        </w:rPr>
        <w:t xml:space="preserve">I </w:t>
      </w:r>
      <w:r w:rsidR="009A1284" w:rsidRPr="008F4B68">
        <w:rPr>
          <w:lang w:val="es-ES"/>
        </w:rPr>
        <w:t xml:space="preserve">de los planes de gestión de eliminación de </w:t>
      </w:r>
      <w:r w:rsidR="001148A7" w:rsidRPr="008F4B68">
        <w:rPr>
          <w:lang w:val="es-ES"/>
        </w:rPr>
        <w:t>HCFC (</w:t>
      </w:r>
      <w:r w:rsidR="009A1284" w:rsidRPr="008F4B68">
        <w:rPr>
          <w:lang w:val="es-ES"/>
        </w:rPr>
        <w:t>PGEH</w:t>
      </w:r>
      <w:r w:rsidR="001148A7" w:rsidRPr="008F4B68">
        <w:rPr>
          <w:lang w:val="es-ES"/>
        </w:rPr>
        <w:t xml:space="preserve">), </w:t>
      </w:r>
      <w:r w:rsidR="009A1284" w:rsidRPr="008F4B68">
        <w:rPr>
          <w:lang w:val="es-ES"/>
        </w:rPr>
        <w:t>solicitudes para FI</w:t>
      </w:r>
      <w:r w:rsidR="001148A7" w:rsidRPr="008F4B68">
        <w:rPr>
          <w:lang w:val="es-ES"/>
        </w:rPr>
        <w:t xml:space="preserve">. </w:t>
      </w:r>
      <w:r w:rsidR="009A1284" w:rsidRPr="008F4B68">
        <w:rPr>
          <w:lang w:val="es-ES"/>
        </w:rPr>
        <w:t xml:space="preserve"> Dicho análisis se fundamenta en un gran número de políticas-normativas y decisiones conexas a los elementos que se incluyen en la </w:t>
      </w:r>
      <w:r w:rsidRPr="008F4B68">
        <w:rPr>
          <w:lang w:val="es-ES"/>
        </w:rPr>
        <w:t>decisión </w:t>
      </w:r>
      <w:r w:rsidR="001148A7" w:rsidRPr="008F4B68">
        <w:rPr>
          <w:lang w:val="es-ES"/>
        </w:rPr>
        <w:t>82/82</w:t>
      </w:r>
      <w:r w:rsidR="009A1284" w:rsidRPr="008F4B68">
        <w:rPr>
          <w:lang w:val="es-ES"/>
        </w:rPr>
        <w:t> </w:t>
      </w:r>
      <w:r w:rsidR="001148A7" w:rsidRPr="008F4B68">
        <w:rPr>
          <w:lang w:val="es-ES"/>
        </w:rPr>
        <w:t xml:space="preserve">b), </w:t>
      </w:r>
      <w:r w:rsidR="009A1284" w:rsidRPr="008F4B68">
        <w:rPr>
          <w:lang w:val="es-ES"/>
        </w:rPr>
        <w:t>a saber,</w:t>
      </w:r>
      <w:r w:rsidR="001148A7" w:rsidRPr="008F4B68">
        <w:rPr>
          <w:lang w:val="es-ES"/>
        </w:rPr>
        <w:t xml:space="preserve"> </w:t>
      </w:r>
      <w:r w:rsidR="009A1284" w:rsidRPr="008F4B68">
        <w:rPr>
          <w:lang w:val="es-ES"/>
        </w:rPr>
        <w:t xml:space="preserve">las dependencias de gestión de proyectos, los proyectos de FI, los organismos de ejecución </w:t>
      </w:r>
      <w:r w:rsidR="001148A7" w:rsidRPr="008F4B68">
        <w:rPr>
          <w:lang w:val="es-ES"/>
        </w:rPr>
        <w:t>(inclu</w:t>
      </w:r>
      <w:r w:rsidR="009A1284" w:rsidRPr="008F4B68">
        <w:rPr>
          <w:lang w:val="es-ES"/>
        </w:rPr>
        <w:t>yendo al Programa de Asistencia al Cumplimiento del PNUMA y las dependencias centrales del PNUD</w:t>
      </w:r>
      <w:r w:rsidR="001148A7" w:rsidRPr="008F4B68">
        <w:rPr>
          <w:lang w:val="es-ES"/>
        </w:rPr>
        <w:t xml:space="preserve">, </w:t>
      </w:r>
      <w:r w:rsidR="009A1284" w:rsidRPr="008F4B68">
        <w:rPr>
          <w:lang w:val="es-ES"/>
        </w:rPr>
        <w:t>la ONUDI y el Banco Mundial</w:t>
      </w:r>
      <w:r w:rsidR="001148A7" w:rsidRPr="008F4B68">
        <w:rPr>
          <w:lang w:val="es-ES"/>
        </w:rPr>
        <w:t xml:space="preserve">), </w:t>
      </w:r>
      <w:r w:rsidR="009A1284" w:rsidRPr="008F4B68">
        <w:rPr>
          <w:lang w:val="es-ES"/>
        </w:rPr>
        <w:t>otros elementos del régimen de costos administrativos del Fondo</w:t>
      </w:r>
      <w:r w:rsidR="001148A7" w:rsidRPr="008F4B68">
        <w:rPr>
          <w:lang w:val="es-ES"/>
        </w:rPr>
        <w:t xml:space="preserve">, </w:t>
      </w:r>
      <w:r w:rsidR="009A1284" w:rsidRPr="008F4B68">
        <w:rPr>
          <w:lang w:val="es-ES"/>
        </w:rPr>
        <w:t xml:space="preserve">y las </w:t>
      </w:r>
      <w:r w:rsidR="009511E2">
        <w:rPr>
          <w:lang w:val="es-ES"/>
        </w:rPr>
        <w:t>verificaciones acometidas en el </w:t>
      </w:r>
      <w:r w:rsidR="009A1284" w:rsidRPr="008F4B68">
        <w:rPr>
          <w:lang w:val="es-ES"/>
        </w:rPr>
        <w:t>marco de los PGEH</w:t>
      </w:r>
      <w:r w:rsidR="001148A7" w:rsidRPr="008F4B68">
        <w:rPr>
          <w:lang w:val="es-ES"/>
        </w:rPr>
        <w:t>.</w:t>
      </w:r>
    </w:p>
    <w:p w:rsidR="001148A7" w:rsidRPr="008F4B68" w:rsidRDefault="009A1284" w:rsidP="001148A7">
      <w:pPr>
        <w:pStyle w:val="Heading1"/>
        <w:rPr>
          <w:szCs w:val="24"/>
          <w:lang w:val="es-ES"/>
        </w:rPr>
      </w:pPr>
      <w:r w:rsidRPr="008F4B68">
        <w:rPr>
          <w:lang w:val="es-ES"/>
        </w:rPr>
        <w:t xml:space="preserve">El presente documento se fundamenta también en las deliberaciones mantenidas con organismos bilaterales y de ejecución, tanto en las reuniones </w:t>
      </w:r>
      <w:r w:rsidR="001F739A" w:rsidRPr="008F4B68">
        <w:rPr>
          <w:lang w:val="es-ES"/>
        </w:rPr>
        <w:t>de coordinación entre organismos</w:t>
      </w:r>
      <w:r w:rsidR="001148A7" w:rsidRPr="008F4B68">
        <w:rPr>
          <w:lang w:val="es-ES"/>
        </w:rPr>
        <w:t xml:space="preserve">, </w:t>
      </w:r>
      <w:r w:rsidR="001F739A" w:rsidRPr="008F4B68">
        <w:rPr>
          <w:lang w:val="es-ES"/>
        </w:rPr>
        <w:t xml:space="preserve">incluida la más reciente celebrada en marzo de </w:t>
      </w:r>
      <w:r w:rsidR="001148A7" w:rsidRPr="008F4B68">
        <w:rPr>
          <w:lang w:val="es-ES"/>
        </w:rPr>
        <w:t xml:space="preserve">2019, </w:t>
      </w:r>
      <w:r w:rsidRPr="008F4B68">
        <w:rPr>
          <w:lang w:val="es-ES"/>
        </w:rPr>
        <w:t>como bilateralmente con cada uno de los organismos</w:t>
      </w:r>
      <w:r w:rsidR="001148A7" w:rsidRPr="008F4B68">
        <w:rPr>
          <w:lang w:val="es-ES"/>
        </w:rPr>
        <w:t xml:space="preserve">. </w:t>
      </w:r>
      <w:r w:rsidR="009511E2">
        <w:rPr>
          <w:lang w:val="es-ES"/>
        </w:rPr>
        <w:t xml:space="preserve"> El </w:t>
      </w:r>
      <w:r w:rsidR="001F739A" w:rsidRPr="008F4B68">
        <w:rPr>
          <w:lang w:val="es-ES"/>
        </w:rPr>
        <w:t xml:space="preserve">documento incorpora </w:t>
      </w:r>
      <w:r w:rsidR="009E5024" w:rsidRPr="008F4B68">
        <w:rPr>
          <w:lang w:val="es-ES"/>
        </w:rPr>
        <w:t xml:space="preserve">valiosísima </w:t>
      </w:r>
      <w:r w:rsidR="001F739A" w:rsidRPr="008F4B68">
        <w:rPr>
          <w:lang w:val="es-ES"/>
        </w:rPr>
        <w:t xml:space="preserve">información que facilitaron los organismos de ejecución en el pasado y específicamente para </w:t>
      </w:r>
      <w:r w:rsidR="00B43DF4" w:rsidRPr="008F4B68">
        <w:rPr>
          <w:lang w:val="es-ES"/>
        </w:rPr>
        <w:t>el</w:t>
      </w:r>
      <w:r w:rsidR="001F739A" w:rsidRPr="008F4B68">
        <w:rPr>
          <w:lang w:val="es-ES"/>
        </w:rPr>
        <w:t xml:space="preserve"> presente documento</w:t>
      </w:r>
      <w:r w:rsidR="001148A7" w:rsidRPr="008F4B68">
        <w:rPr>
          <w:lang w:val="es-ES"/>
        </w:rPr>
        <w:t xml:space="preserve">. </w:t>
      </w:r>
      <w:r w:rsidR="001F739A" w:rsidRPr="008F4B68">
        <w:rPr>
          <w:lang w:val="es-ES"/>
        </w:rPr>
        <w:t xml:space="preserve"> La información se recoge resumida en el anexo I del presente documento</w:t>
      </w:r>
      <w:r w:rsidR="001148A7" w:rsidRPr="008F4B68">
        <w:rPr>
          <w:lang w:val="es-ES"/>
        </w:rPr>
        <w:t xml:space="preserve">. </w:t>
      </w:r>
      <w:r w:rsidR="001F739A" w:rsidRPr="008F4B68">
        <w:rPr>
          <w:lang w:val="es-ES"/>
        </w:rPr>
        <w:t xml:space="preserve"> La </w:t>
      </w:r>
      <w:r w:rsidR="006645CE" w:rsidRPr="008F4B68">
        <w:rPr>
          <w:lang w:val="es-ES"/>
        </w:rPr>
        <w:t>Secretaría</w:t>
      </w:r>
      <w:r w:rsidR="001148A7" w:rsidRPr="008F4B68">
        <w:rPr>
          <w:lang w:val="es-ES"/>
        </w:rPr>
        <w:t xml:space="preserve"> </w:t>
      </w:r>
      <w:r w:rsidR="001F739A" w:rsidRPr="008F4B68">
        <w:rPr>
          <w:lang w:val="es-ES"/>
        </w:rPr>
        <w:t>toma nota, con reconocimiento, de las provechosas deliberaciones mantenidas con los organismos y de la información que los mismos han aportado</w:t>
      </w:r>
      <w:r w:rsidR="001148A7" w:rsidRPr="008F4B68">
        <w:rPr>
          <w:lang w:val="es-ES"/>
        </w:rPr>
        <w:t xml:space="preserve">. </w:t>
      </w:r>
    </w:p>
    <w:p w:rsidR="001148A7" w:rsidRPr="008F4B68" w:rsidRDefault="001F739A" w:rsidP="001148A7">
      <w:pPr>
        <w:pStyle w:val="Heading1"/>
        <w:numPr>
          <w:ilvl w:val="0"/>
          <w:numId w:val="0"/>
        </w:numPr>
        <w:rPr>
          <w:b/>
          <w:lang w:val="es-ES"/>
        </w:rPr>
      </w:pPr>
      <w:r w:rsidRPr="008F4B68">
        <w:rPr>
          <w:b/>
          <w:lang w:val="es-ES"/>
        </w:rPr>
        <w:lastRenderedPageBreak/>
        <w:t xml:space="preserve">Obligaciones y costos relacionados con la </w:t>
      </w:r>
      <w:r w:rsidR="00A035B3" w:rsidRPr="008F4B68">
        <w:rPr>
          <w:b/>
          <w:lang w:val="es-ES"/>
        </w:rPr>
        <w:t>decisión </w:t>
      </w:r>
      <w:r w:rsidR="001148A7" w:rsidRPr="008F4B68">
        <w:rPr>
          <w:b/>
          <w:lang w:val="es-ES"/>
        </w:rPr>
        <w:t>82/82</w:t>
      </w:r>
      <w:r w:rsidRPr="008F4B68">
        <w:rPr>
          <w:b/>
          <w:lang w:val="es-ES"/>
        </w:rPr>
        <w:t> </w:t>
      </w:r>
      <w:r w:rsidR="001148A7" w:rsidRPr="008F4B68">
        <w:rPr>
          <w:b/>
          <w:lang w:val="es-ES"/>
        </w:rPr>
        <w:t>b)</w:t>
      </w:r>
    </w:p>
    <w:p w:rsidR="001148A7" w:rsidRPr="008F4B68" w:rsidRDefault="009E5024" w:rsidP="001148A7">
      <w:pPr>
        <w:pStyle w:val="Heading1"/>
        <w:rPr>
          <w:lang w:val="es-ES"/>
        </w:rPr>
      </w:pPr>
      <w:r w:rsidRPr="008F4B68">
        <w:rPr>
          <w:lang w:val="es-ES"/>
        </w:rPr>
        <w:t>Desde las fechas fundacionales del Fondo Multilateral e</w:t>
      </w:r>
      <w:r w:rsidR="001148A7" w:rsidRPr="008F4B68">
        <w:rPr>
          <w:lang w:val="es-ES"/>
        </w:rPr>
        <w:t xml:space="preserve">n 1991, </w:t>
      </w:r>
      <w:r w:rsidRPr="008F4B68">
        <w:rPr>
          <w:lang w:val="es-ES"/>
        </w:rPr>
        <w:t xml:space="preserve">el </w:t>
      </w:r>
      <w:r w:rsidR="00CF2D8C" w:rsidRPr="008F4B68">
        <w:rPr>
          <w:lang w:val="es-ES"/>
        </w:rPr>
        <w:t xml:space="preserve">Comité </w:t>
      </w:r>
      <w:r w:rsidRPr="008F4B68">
        <w:rPr>
          <w:lang w:val="es-ES"/>
        </w:rPr>
        <w:t>ha venido someti</w:t>
      </w:r>
      <w:r w:rsidR="00F17F7A">
        <w:rPr>
          <w:lang w:val="es-ES"/>
        </w:rPr>
        <w:t>en</w:t>
      </w:r>
      <w:r w:rsidRPr="008F4B68">
        <w:rPr>
          <w:lang w:val="es-ES"/>
        </w:rPr>
        <w:t>do a examen los costos administrativos de dicho Fondo</w:t>
      </w:r>
      <w:r w:rsidR="001148A7" w:rsidRPr="008F4B68">
        <w:rPr>
          <w:lang w:val="es-ES"/>
        </w:rPr>
        <w:t xml:space="preserve">. </w:t>
      </w:r>
      <w:r w:rsidRPr="008F4B68">
        <w:rPr>
          <w:lang w:val="es-ES"/>
        </w:rPr>
        <w:t xml:space="preserve"> En su </w:t>
      </w:r>
      <w:r w:rsidR="001148A7" w:rsidRPr="008F4B68">
        <w:rPr>
          <w:lang w:val="es-ES"/>
        </w:rPr>
        <w:t>26</w:t>
      </w:r>
      <w:r w:rsidRPr="008F4B68">
        <w:rPr>
          <w:vertAlign w:val="superscript"/>
          <w:lang w:val="es-ES"/>
        </w:rPr>
        <w:t>ª </w:t>
      </w:r>
      <w:r w:rsidRPr="008F4B68">
        <w:rPr>
          <w:lang w:val="es-ES"/>
        </w:rPr>
        <w:t>reunión</w:t>
      </w:r>
      <w:r w:rsidR="001148A7" w:rsidRPr="008F4B68">
        <w:rPr>
          <w:lang w:val="es-ES"/>
        </w:rPr>
        <w:t xml:space="preserve">, </w:t>
      </w:r>
      <w:r w:rsidRPr="008F4B68">
        <w:rPr>
          <w:lang w:val="es-ES"/>
        </w:rPr>
        <w:t xml:space="preserve">el </w:t>
      </w:r>
      <w:r w:rsidR="00CF2D8C" w:rsidRPr="008F4B68">
        <w:rPr>
          <w:lang w:val="es-ES"/>
        </w:rPr>
        <w:t xml:space="preserve">Comité Ejecutivo </w:t>
      </w:r>
      <w:r w:rsidRPr="008F4B68">
        <w:rPr>
          <w:lang w:val="es-ES"/>
        </w:rPr>
        <w:t xml:space="preserve">aprobó la definición de costos administrativos y la composición de los componentes admisibles </w:t>
      </w:r>
      <w:r w:rsidR="00F17F7A">
        <w:rPr>
          <w:lang w:val="es-ES"/>
        </w:rPr>
        <w:t xml:space="preserve">de </w:t>
      </w:r>
      <w:r w:rsidRPr="008F4B68">
        <w:rPr>
          <w:lang w:val="es-ES"/>
        </w:rPr>
        <w:t xml:space="preserve">financiación </w:t>
      </w:r>
      <w:r w:rsidR="00F17F7A">
        <w:rPr>
          <w:lang w:val="es-ES"/>
        </w:rPr>
        <w:t xml:space="preserve">para </w:t>
      </w:r>
      <w:r w:rsidR="007F0A40" w:rsidRPr="008F4B68">
        <w:rPr>
          <w:lang w:val="es-ES"/>
        </w:rPr>
        <w:t xml:space="preserve">poder solicitar el reembolso de tales costos, diferenciándoles de los costos del proyecto conexos a la ejecución y gestión del mismo </w:t>
      </w:r>
      <w:r w:rsidR="001148A7" w:rsidRPr="008F4B68">
        <w:rPr>
          <w:lang w:val="es-ES"/>
        </w:rPr>
        <w:t>(</w:t>
      </w:r>
      <w:r w:rsidR="00A035B3" w:rsidRPr="008F4B68">
        <w:rPr>
          <w:lang w:val="es-ES"/>
        </w:rPr>
        <w:t>decisión </w:t>
      </w:r>
      <w:r w:rsidR="001148A7" w:rsidRPr="008F4B68">
        <w:rPr>
          <w:lang w:val="es-ES"/>
        </w:rPr>
        <w:t xml:space="preserve">26/41). </w:t>
      </w:r>
      <w:r w:rsidR="007F0A40" w:rsidRPr="008F4B68">
        <w:rPr>
          <w:lang w:val="es-ES"/>
        </w:rPr>
        <w:t xml:space="preserve"> En </w:t>
      </w:r>
      <w:r w:rsidR="001148A7" w:rsidRPr="008F4B68">
        <w:rPr>
          <w:lang w:val="es-ES"/>
        </w:rPr>
        <w:t xml:space="preserve">2001-2002, </w:t>
      </w:r>
      <w:r w:rsidR="007F0A40" w:rsidRPr="008F4B68">
        <w:rPr>
          <w:lang w:val="es-ES"/>
        </w:rPr>
        <w:t>en el contexto de la planificación estratégica del Fondo Multilateral</w:t>
      </w:r>
      <w:r w:rsidR="001148A7" w:rsidRPr="008F4B68">
        <w:rPr>
          <w:lang w:val="es-ES"/>
        </w:rPr>
        <w:t xml:space="preserve">, </w:t>
      </w:r>
      <w:r w:rsidR="007F0A40" w:rsidRPr="008F4B68">
        <w:rPr>
          <w:lang w:val="es-ES"/>
        </w:rPr>
        <w:t xml:space="preserve">el </w:t>
      </w:r>
      <w:r w:rsidR="00CF2D8C" w:rsidRPr="008F4B68">
        <w:rPr>
          <w:lang w:val="es-ES"/>
        </w:rPr>
        <w:t xml:space="preserve">Comité Ejecutivo </w:t>
      </w:r>
      <w:r w:rsidR="007F0A40" w:rsidRPr="008F4B68">
        <w:rPr>
          <w:lang w:val="es-ES"/>
        </w:rPr>
        <w:t xml:space="preserve">adoptó el planteamiento dirigido por el país, aprobándose mediante la </w:t>
      </w:r>
      <w:r w:rsidR="00A035B3" w:rsidRPr="008F4B68">
        <w:rPr>
          <w:lang w:val="es-ES"/>
        </w:rPr>
        <w:t>decisión </w:t>
      </w:r>
      <w:r w:rsidR="001148A7" w:rsidRPr="008F4B68">
        <w:rPr>
          <w:lang w:val="es-ES"/>
        </w:rPr>
        <w:t>35/5 </w:t>
      </w:r>
      <w:r w:rsidR="007F0A40" w:rsidRPr="008F4B68">
        <w:rPr>
          <w:lang w:val="es-ES"/>
        </w:rPr>
        <w:t>la creación del Programa de Asistencia al Cumplimiento (</w:t>
      </w:r>
      <w:r w:rsidR="001148A7" w:rsidRPr="008F4B68">
        <w:rPr>
          <w:lang w:val="es-ES"/>
        </w:rPr>
        <w:t>CAP</w:t>
      </w:r>
      <w:r w:rsidR="001148A7" w:rsidRPr="008F4B68">
        <w:rPr>
          <w:rStyle w:val="FootnoteReference"/>
          <w:lang w:val="es-ES"/>
        </w:rPr>
        <w:footnoteReference w:id="4"/>
      </w:r>
      <w:r w:rsidR="007F0A40" w:rsidRPr="008F4B68">
        <w:rPr>
          <w:lang w:val="es-ES"/>
        </w:rPr>
        <w:t>)</w:t>
      </w:r>
      <w:r w:rsidR="001148A7" w:rsidRPr="008F4B68">
        <w:rPr>
          <w:lang w:val="es-ES"/>
        </w:rPr>
        <w:t xml:space="preserve">, </w:t>
      </w:r>
      <w:r w:rsidR="007F0A40" w:rsidRPr="008F4B68">
        <w:rPr>
          <w:lang w:val="es-ES"/>
        </w:rPr>
        <w:t xml:space="preserve">y acordó facilitar costos </w:t>
      </w:r>
      <w:r w:rsidR="00E250D7" w:rsidRPr="008F4B68">
        <w:rPr>
          <w:lang w:val="es-ES"/>
        </w:rPr>
        <w:t xml:space="preserve">incurridos </w:t>
      </w:r>
      <w:r w:rsidR="007F0A40" w:rsidRPr="008F4B68">
        <w:rPr>
          <w:lang w:val="es-ES"/>
        </w:rPr>
        <w:t xml:space="preserve">por </w:t>
      </w:r>
      <w:r w:rsidR="00E250D7" w:rsidRPr="008F4B68">
        <w:rPr>
          <w:lang w:val="es-ES"/>
        </w:rPr>
        <w:t xml:space="preserve">la </w:t>
      </w:r>
      <w:r w:rsidR="007F0A40" w:rsidRPr="008F4B68">
        <w:rPr>
          <w:lang w:val="es-ES"/>
        </w:rPr>
        <w:t xml:space="preserve">dependencia central </w:t>
      </w:r>
      <w:r w:rsidR="00E250D7" w:rsidRPr="008F4B68">
        <w:rPr>
          <w:lang w:val="es-ES"/>
        </w:rPr>
        <w:t xml:space="preserve">al PNUD, a la </w:t>
      </w:r>
      <w:r w:rsidR="009A1284" w:rsidRPr="008F4B68">
        <w:rPr>
          <w:lang w:val="es-ES"/>
        </w:rPr>
        <w:t>ONUDI</w:t>
      </w:r>
      <w:r w:rsidR="00E250D7" w:rsidRPr="008F4B68">
        <w:rPr>
          <w:lang w:val="es-ES"/>
        </w:rPr>
        <w:t xml:space="preserve"> y al Banco Mundial</w:t>
      </w:r>
      <w:r w:rsidR="001148A7" w:rsidRPr="008F4B68">
        <w:rPr>
          <w:lang w:val="es-ES"/>
        </w:rPr>
        <w:t xml:space="preserve">, </w:t>
      </w:r>
      <w:r w:rsidR="00E250D7" w:rsidRPr="008F4B68">
        <w:rPr>
          <w:lang w:val="es-ES"/>
        </w:rPr>
        <w:t>tras reducir el régimen proporcional de ajuste de los gastos de apoyo al organismo</w:t>
      </w:r>
      <w:r w:rsidR="001148A7" w:rsidRPr="008F4B68">
        <w:rPr>
          <w:lang w:val="es-ES"/>
        </w:rPr>
        <w:t>.</w:t>
      </w:r>
      <w:r w:rsidR="001148A7" w:rsidRPr="008F4B68">
        <w:rPr>
          <w:rStyle w:val="FootnoteReference"/>
          <w:lang w:val="es-ES"/>
        </w:rPr>
        <w:footnoteReference w:id="5"/>
      </w:r>
      <w:r w:rsidR="001148A7" w:rsidRPr="008F4B68">
        <w:rPr>
          <w:lang w:val="es-ES"/>
        </w:rPr>
        <w:t xml:space="preserve">  </w:t>
      </w:r>
    </w:p>
    <w:p w:rsidR="001148A7" w:rsidRPr="008F4B68" w:rsidRDefault="00E250D7" w:rsidP="001148A7">
      <w:pPr>
        <w:pStyle w:val="Heading1"/>
        <w:rPr>
          <w:lang w:val="es-ES"/>
        </w:rPr>
      </w:pPr>
      <w:r w:rsidRPr="008F4B68">
        <w:rPr>
          <w:lang w:val="es-ES"/>
        </w:rPr>
        <w:t xml:space="preserve">Desde </w:t>
      </w:r>
      <w:r w:rsidR="006A5484" w:rsidRPr="008F4B68">
        <w:rPr>
          <w:lang w:val="es-ES"/>
        </w:rPr>
        <w:t xml:space="preserve">las fechas en las que se aprobaron los dos primeros </w:t>
      </w:r>
      <w:r w:rsidR="009A1284" w:rsidRPr="008F4B68">
        <w:rPr>
          <w:lang w:val="es-ES"/>
        </w:rPr>
        <w:t>PGEH</w:t>
      </w:r>
      <w:r w:rsidR="006A5484" w:rsidRPr="008F4B68">
        <w:rPr>
          <w:lang w:val="es-ES"/>
        </w:rPr>
        <w:t xml:space="preserve"> en la </w:t>
      </w:r>
      <w:r w:rsidR="001148A7" w:rsidRPr="008F4B68">
        <w:rPr>
          <w:lang w:val="es-ES"/>
        </w:rPr>
        <w:t>60</w:t>
      </w:r>
      <w:r w:rsidR="009E5024" w:rsidRPr="008F4B68">
        <w:rPr>
          <w:vertAlign w:val="superscript"/>
          <w:lang w:val="es-ES"/>
        </w:rPr>
        <w:t>ª </w:t>
      </w:r>
      <w:r w:rsidR="009E5024" w:rsidRPr="008F4B68">
        <w:rPr>
          <w:lang w:val="es-ES"/>
        </w:rPr>
        <w:t>reunión</w:t>
      </w:r>
      <w:r w:rsidR="001148A7" w:rsidRPr="008F4B68">
        <w:rPr>
          <w:lang w:val="es-ES"/>
        </w:rPr>
        <w:t xml:space="preserve">, </w:t>
      </w:r>
      <w:r w:rsidR="006A5484" w:rsidRPr="008F4B68">
        <w:rPr>
          <w:lang w:val="es-ES"/>
        </w:rPr>
        <w:t>las funciones y responsabilidades de las Oficinas Nacionales del Ozono</w:t>
      </w:r>
      <w:r w:rsidR="001148A7" w:rsidRPr="008F4B68">
        <w:rPr>
          <w:lang w:val="es-ES"/>
        </w:rPr>
        <w:t xml:space="preserve">, </w:t>
      </w:r>
      <w:r w:rsidR="006A5484" w:rsidRPr="008F4B68">
        <w:rPr>
          <w:lang w:val="es-ES"/>
        </w:rPr>
        <w:t>las Dependencias de ejecución y supervisión del proyecto</w:t>
      </w:r>
      <w:r w:rsidR="001148A7" w:rsidRPr="008F4B68">
        <w:rPr>
          <w:lang w:val="es-ES"/>
        </w:rPr>
        <w:t xml:space="preserve"> </w:t>
      </w:r>
      <w:r w:rsidR="006A5484" w:rsidRPr="008F4B68">
        <w:rPr>
          <w:lang w:val="es-ES"/>
        </w:rPr>
        <w:t>y los organismos bilaterales y de ejecución</w:t>
      </w:r>
      <w:r w:rsidR="001148A7" w:rsidRPr="008F4B68">
        <w:rPr>
          <w:lang w:val="es-ES"/>
        </w:rPr>
        <w:t xml:space="preserve"> </w:t>
      </w:r>
      <w:r w:rsidR="006A5484" w:rsidRPr="008F4B68">
        <w:rPr>
          <w:lang w:val="es-ES"/>
        </w:rPr>
        <w:t>han aumentado</w:t>
      </w:r>
      <w:r w:rsidR="001148A7" w:rsidRPr="008F4B68">
        <w:rPr>
          <w:lang w:val="es-ES"/>
        </w:rPr>
        <w:t xml:space="preserve">. </w:t>
      </w:r>
      <w:r w:rsidR="006A5484" w:rsidRPr="008F4B68">
        <w:rPr>
          <w:lang w:val="es-ES"/>
        </w:rPr>
        <w:t xml:space="preserve"> Además de aprobar los tramos de los </w:t>
      </w:r>
      <w:r w:rsidR="009A1284" w:rsidRPr="008F4B68">
        <w:rPr>
          <w:lang w:val="es-ES"/>
        </w:rPr>
        <w:t>PGEH</w:t>
      </w:r>
      <w:r w:rsidR="001148A7" w:rsidRPr="008F4B68">
        <w:rPr>
          <w:lang w:val="es-ES"/>
        </w:rPr>
        <w:t xml:space="preserve"> </w:t>
      </w:r>
      <w:r w:rsidR="006A5484" w:rsidRPr="008F4B68">
        <w:rPr>
          <w:lang w:val="es-ES"/>
        </w:rPr>
        <w:t>que incluyan financiación destinada a las Dependencias de ejecución y supervisión del proyecto</w:t>
      </w:r>
      <w:r w:rsidR="001148A7" w:rsidRPr="008F4B68">
        <w:rPr>
          <w:lang w:val="es-ES"/>
        </w:rPr>
        <w:t xml:space="preserve">, </w:t>
      </w:r>
      <w:r w:rsidR="006A5484" w:rsidRPr="008F4B68">
        <w:rPr>
          <w:lang w:val="es-ES"/>
        </w:rPr>
        <w:t xml:space="preserve">el </w:t>
      </w:r>
      <w:r w:rsidR="00CF2D8C" w:rsidRPr="008F4B68">
        <w:rPr>
          <w:lang w:val="es-ES"/>
        </w:rPr>
        <w:t xml:space="preserve">Comité Ejecutivo </w:t>
      </w:r>
      <w:r w:rsidR="006A5484" w:rsidRPr="008F4B68">
        <w:rPr>
          <w:lang w:val="es-ES"/>
        </w:rPr>
        <w:t xml:space="preserve">aprobó por separado la financiación para preparar las nuevas etapas de </w:t>
      </w:r>
      <w:r w:rsidR="009A1284" w:rsidRPr="008F4B68">
        <w:rPr>
          <w:lang w:val="es-ES"/>
        </w:rPr>
        <w:t>los PGEH</w:t>
      </w:r>
      <w:r w:rsidR="001148A7" w:rsidRPr="008F4B68">
        <w:rPr>
          <w:lang w:val="es-ES"/>
        </w:rPr>
        <w:t xml:space="preserve">; </w:t>
      </w:r>
      <w:r w:rsidR="00D43837" w:rsidRPr="008F4B68">
        <w:rPr>
          <w:lang w:val="es-ES"/>
        </w:rPr>
        <w:t xml:space="preserve">la preparación de la verificación del consumo de </w:t>
      </w:r>
      <w:r w:rsidR="001148A7" w:rsidRPr="008F4B68">
        <w:rPr>
          <w:lang w:val="es-ES"/>
        </w:rPr>
        <w:t xml:space="preserve">HCFC </w:t>
      </w:r>
      <w:r w:rsidR="00D43837" w:rsidRPr="008F4B68">
        <w:rPr>
          <w:lang w:val="es-ES"/>
        </w:rPr>
        <w:t>en países de bajo consumo</w:t>
      </w:r>
      <w:r w:rsidR="001148A7" w:rsidRPr="008F4B68">
        <w:rPr>
          <w:lang w:val="es-ES"/>
        </w:rPr>
        <w:t xml:space="preserve">; </w:t>
      </w:r>
      <w:r w:rsidR="00D43837" w:rsidRPr="008F4B68">
        <w:rPr>
          <w:lang w:val="es-ES"/>
        </w:rPr>
        <w:t xml:space="preserve">la renovación de proyectos FI </w:t>
      </w:r>
      <w:r w:rsidR="001148A7" w:rsidRPr="008F4B68">
        <w:rPr>
          <w:lang w:val="es-ES"/>
        </w:rPr>
        <w:t>(</w:t>
      </w:r>
      <w:r w:rsidR="00D43837" w:rsidRPr="008F4B68">
        <w:rPr>
          <w:lang w:val="es-ES"/>
        </w:rPr>
        <w:t>bianualmente</w:t>
      </w:r>
      <w:r w:rsidR="001148A7" w:rsidRPr="008F4B68">
        <w:rPr>
          <w:lang w:val="es-ES"/>
        </w:rPr>
        <w:t xml:space="preserve">) </w:t>
      </w:r>
      <w:r w:rsidR="00D43837" w:rsidRPr="008F4B68">
        <w:rPr>
          <w:lang w:val="es-ES"/>
        </w:rPr>
        <w:t xml:space="preserve">de conformidad con la </w:t>
      </w:r>
      <w:r w:rsidR="00A035B3" w:rsidRPr="008F4B68">
        <w:rPr>
          <w:lang w:val="es-ES"/>
        </w:rPr>
        <w:t>decisión </w:t>
      </w:r>
      <w:r w:rsidR="001148A7" w:rsidRPr="008F4B68">
        <w:rPr>
          <w:lang w:val="es-ES"/>
        </w:rPr>
        <w:t>74/51;</w:t>
      </w:r>
      <w:r w:rsidR="001148A7" w:rsidRPr="008F4B68">
        <w:rPr>
          <w:rStyle w:val="FootnoteReference"/>
          <w:lang w:val="es-ES"/>
        </w:rPr>
        <w:footnoteReference w:id="6"/>
      </w:r>
      <w:r w:rsidR="001148A7" w:rsidRPr="008F4B68">
        <w:rPr>
          <w:lang w:val="es-ES"/>
        </w:rPr>
        <w:t xml:space="preserve"> </w:t>
      </w:r>
      <w:r w:rsidR="00D43837" w:rsidRPr="008F4B68">
        <w:rPr>
          <w:lang w:val="es-ES"/>
        </w:rPr>
        <w:t xml:space="preserve">los presupuestos del Programa de Asistencia al Cumplimiento, del PNUMA, y los presupuestos para el mismo, así como los gastos de la dependencia central del PNUD, la </w:t>
      </w:r>
      <w:r w:rsidR="009A1284" w:rsidRPr="008F4B68">
        <w:rPr>
          <w:lang w:val="es-ES"/>
        </w:rPr>
        <w:t>ONUDI</w:t>
      </w:r>
      <w:r w:rsidR="001148A7" w:rsidRPr="008F4B68">
        <w:rPr>
          <w:lang w:val="es-ES"/>
        </w:rPr>
        <w:t xml:space="preserve"> </w:t>
      </w:r>
      <w:r w:rsidR="00D43837" w:rsidRPr="008F4B68">
        <w:rPr>
          <w:lang w:val="es-ES"/>
        </w:rPr>
        <w:t>y el</w:t>
      </w:r>
      <w:r w:rsidR="009A1284" w:rsidRPr="008F4B68">
        <w:rPr>
          <w:lang w:val="es-ES"/>
        </w:rPr>
        <w:t> Banco </w:t>
      </w:r>
      <w:r w:rsidR="001F7B07" w:rsidRPr="008F4B68">
        <w:rPr>
          <w:lang w:val="es-ES"/>
        </w:rPr>
        <w:t>Mundial</w:t>
      </w:r>
      <w:r w:rsidR="001148A7" w:rsidRPr="008F4B68">
        <w:rPr>
          <w:lang w:val="es-ES"/>
        </w:rPr>
        <w:t xml:space="preserve">. </w:t>
      </w:r>
    </w:p>
    <w:p w:rsidR="001148A7" w:rsidRPr="008F4B68" w:rsidRDefault="00D43837" w:rsidP="001148A7">
      <w:pPr>
        <w:pStyle w:val="Heading1"/>
        <w:rPr>
          <w:lang w:val="es-ES"/>
        </w:rPr>
      </w:pPr>
      <w:r w:rsidRPr="008F4B68">
        <w:rPr>
          <w:lang w:val="es-ES"/>
        </w:rPr>
        <w:t>El Cuadro </w:t>
      </w:r>
      <w:r w:rsidR="001148A7" w:rsidRPr="008F4B68">
        <w:rPr>
          <w:lang w:val="es-ES"/>
        </w:rPr>
        <w:t xml:space="preserve">1 </w:t>
      </w:r>
      <w:r w:rsidRPr="008F4B68">
        <w:rPr>
          <w:lang w:val="es-ES"/>
        </w:rPr>
        <w:t>recoge un resumen de las funciones, responsabilidades y modalidades de financiación conexos a</w:t>
      </w:r>
      <w:r w:rsidR="001148A7" w:rsidRPr="008F4B68">
        <w:rPr>
          <w:lang w:val="es-ES"/>
        </w:rPr>
        <w:t xml:space="preserve">: </w:t>
      </w:r>
      <w:r w:rsidR="00F17F7A">
        <w:rPr>
          <w:lang w:val="es-ES"/>
        </w:rPr>
        <w:t>el</w:t>
      </w:r>
      <w:r w:rsidRPr="008F4B68">
        <w:rPr>
          <w:lang w:val="es-ES"/>
        </w:rPr>
        <w:t xml:space="preserve"> FI</w:t>
      </w:r>
      <w:r w:rsidR="001148A7" w:rsidRPr="008F4B68">
        <w:rPr>
          <w:lang w:val="es-ES"/>
        </w:rPr>
        <w:t xml:space="preserve">; </w:t>
      </w:r>
      <w:r w:rsidR="006A5484" w:rsidRPr="008F4B68">
        <w:rPr>
          <w:lang w:val="es-ES"/>
        </w:rPr>
        <w:t>las Dependencias de ejecución y supervisión del proyecto</w:t>
      </w:r>
      <w:r w:rsidR="001148A7" w:rsidRPr="008F4B68">
        <w:rPr>
          <w:lang w:val="es-ES"/>
        </w:rPr>
        <w:t xml:space="preserve"> </w:t>
      </w:r>
      <w:r w:rsidRPr="008F4B68">
        <w:rPr>
          <w:lang w:val="es-ES"/>
        </w:rPr>
        <w:t>establecidas para ejecutar los PGEH</w:t>
      </w:r>
      <w:r w:rsidR="001148A7" w:rsidRPr="008F4B68">
        <w:rPr>
          <w:lang w:val="es-ES"/>
        </w:rPr>
        <w:t xml:space="preserve">; </w:t>
      </w:r>
      <w:r w:rsidR="006A5484" w:rsidRPr="008F4B68">
        <w:rPr>
          <w:lang w:val="es-ES"/>
        </w:rPr>
        <w:t>los organismos bilaterales y de ejecución</w:t>
      </w:r>
      <w:r w:rsidR="001148A7" w:rsidRPr="008F4B68">
        <w:rPr>
          <w:lang w:val="es-ES"/>
        </w:rPr>
        <w:t xml:space="preserve"> </w:t>
      </w:r>
      <w:r w:rsidRPr="008F4B68">
        <w:rPr>
          <w:lang w:val="es-ES"/>
        </w:rPr>
        <w:t>encargados de la ejecución de los PGEH en el marco del Programa de Asistencia al Cumplimiento, del PNUMA</w:t>
      </w:r>
      <w:r w:rsidR="001148A7" w:rsidRPr="008F4B68">
        <w:rPr>
          <w:lang w:val="es-ES"/>
        </w:rPr>
        <w:t>;</w:t>
      </w:r>
      <w:r w:rsidRPr="008F4B68">
        <w:rPr>
          <w:lang w:val="es-ES"/>
        </w:rPr>
        <w:t xml:space="preserve"> y las dependencias centrales del </w:t>
      </w:r>
      <w:r w:rsidR="00E250D7" w:rsidRPr="008F4B68">
        <w:rPr>
          <w:lang w:val="es-ES"/>
        </w:rPr>
        <w:t>PNUD</w:t>
      </w:r>
      <w:r w:rsidR="001148A7" w:rsidRPr="008F4B68">
        <w:rPr>
          <w:lang w:val="es-ES"/>
        </w:rPr>
        <w:t xml:space="preserve">, </w:t>
      </w:r>
      <w:r w:rsidR="009A1284" w:rsidRPr="008F4B68">
        <w:rPr>
          <w:lang w:val="es-ES"/>
        </w:rPr>
        <w:t>la ONUDI</w:t>
      </w:r>
      <w:r w:rsidR="001148A7" w:rsidRPr="008F4B68">
        <w:rPr>
          <w:lang w:val="es-ES"/>
        </w:rPr>
        <w:t xml:space="preserve"> </w:t>
      </w:r>
      <w:r w:rsidRPr="008F4B68">
        <w:rPr>
          <w:lang w:val="es-ES"/>
        </w:rPr>
        <w:t>y e</w:t>
      </w:r>
      <w:r w:rsidR="00E250D7" w:rsidRPr="008F4B68">
        <w:rPr>
          <w:lang w:val="es-ES"/>
        </w:rPr>
        <w:t>l</w:t>
      </w:r>
      <w:r w:rsidR="009A1284" w:rsidRPr="008F4B68">
        <w:rPr>
          <w:lang w:val="es-ES"/>
        </w:rPr>
        <w:t> Banco Mundial</w:t>
      </w:r>
      <w:r w:rsidR="001148A7" w:rsidRPr="008F4B68">
        <w:rPr>
          <w:lang w:val="es-ES"/>
        </w:rPr>
        <w:t xml:space="preserve">. </w:t>
      </w:r>
    </w:p>
    <w:p w:rsidR="001148A7" w:rsidRPr="008F4B68" w:rsidRDefault="00D43837" w:rsidP="001148A7">
      <w:pPr>
        <w:keepNext/>
        <w:keepLines/>
        <w:rPr>
          <w:b/>
          <w:sz w:val="21"/>
          <w:szCs w:val="21"/>
          <w:lang w:val="es-ES"/>
        </w:rPr>
      </w:pPr>
      <w:r w:rsidRPr="008F4B68">
        <w:rPr>
          <w:b/>
          <w:sz w:val="21"/>
          <w:szCs w:val="21"/>
          <w:lang w:val="es-ES"/>
        </w:rPr>
        <w:t>Cuadro </w:t>
      </w:r>
      <w:r w:rsidR="001148A7" w:rsidRPr="008F4B68">
        <w:rPr>
          <w:b/>
          <w:sz w:val="21"/>
          <w:szCs w:val="21"/>
          <w:lang w:val="es-ES"/>
        </w:rPr>
        <w:t xml:space="preserve">1. </w:t>
      </w:r>
      <w:r w:rsidRPr="008F4B68">
        <w:rPr>
          <w:b/>
          <w:sz w:val="21"/>
          <w:szCs w:val="21"/>
          <w:lang w:val="es-ES"/>
        </w:rPr>
        <w:t>Reseña</w:t>
      </w:r>
      <w:r w:rsidR="001148A7" w:rsidRPr="008F4B68">
        <w:rPr>
          <w:rStyle w:val="FootnoteReference"/>
          <w:b/>
          <w:sz w:val="21"/>
          <w:szCs w:val="21"/>
          <w:lang w:val="es-ES"/>
        </w:rPr>
        <w:footnoteReference w:id="7"/>
      </w:r>
      <w:r w:rsidR="001148A7" w:rsidRPr="008F4B68">
        <w:rPr>
          <w:b/>
          <w:sz w:val="21"/>
          <w:szCs w:val="21"/>
          <w:lang w:val="es-ES"/>
        </w:rPr>
        <w:t xml:space="preserve"> </w:t>
      </w:r>
      <w:r w:rsidRPr="008F4B68">
        <w:rPr>
          <w:b/>
          <w:sz w:val="21"/>
          <w:szCs w:val="21"/>
          <w:lang w:val="es-ES"/>
        </w:rPr>
        <w:t>de FI</w:t>
      </w:r>
      <w:r w:rsidR="001148A7" w:rsidRPr="008F4B68">
        <w:rPr>
          <w:b/>
          <w:sz w:val="21"/>
          <w:szCs w:val="21"/>
          <w:lang w:val="es-ES"/>
        </w:rPr>
        <w:t xml:space="preserve">, </w:t>
      </w:r>
      <w:r w:rsidR="006A5484" w:rsidRPr="008F4B68">
        <w:rPr>
          <w:b/>
          <w:sz w:val="21"/>
          <w:szCs w:val="21"/>
          <w:lang w:val="es-ES"/>
        </w:rPr>
        <w:t>las Dependencias de ejecución y supervisión del proyecto</w:t>
      </w:r>
      <w:r w:rsidR="001148A7" w:rsidRPr="008F4B68">
        <w:rPr>
          <w:b/>
          <w:sz w:val="21"/>
          <w:szCs w:val="21"/>
          <w:lang w:val="es-ES"/>
        </w:rPr>
        <w:t xml:space="preserve">, </w:t>
      </w:r>
      <w:r w:rsidR="006A5484" w:rsidRPr="008F4B68">
        <w:rPr>
          <w:b/>
          <w:sz w:val="21"/>
          <w:szCs w:val="21"/>
          <w:lang w:val="es-ES"/>
        </w:rPr>
        <w:t>los organismos bilaterales y de ejecución</w:t>
      </w:r>
      <w:r w:rsidR="001148A7" w:rsidRPr="008F4B68">
        <w:rPr>
          <w:b/>
          <w:sz w:val="21"/>
          <w:szCs w:val="21"/>
          <w:lang w:val="es-ES"/>
        </w:rPr>
        <w:t xml:space="preserve">, </w:t>
      </w:r>
      <w:r w:rsidRPr="008F4B68">
        <w:rPr>
          <w:b/>
          <w:sz w:val="21"/>
          <w:szCs w:val="21"/>
          <w:lang w:val="es-ES"/>
        </w:rPr>
        <w:t>el Programa de Asistencia al Cumplimiento</w:t>
      </w:r>
      <w:r w:rsidR="001148A7" w:rsidRPr="008F4B68">
        <w:rPr>
          <w:b/>
          <w:sz w:val="21"/>
          <w:szCs w:val="21"/>
          <w:lang w:val="es-ES"/>
        </w:rPr>
        <w:t xml:space="preserve">, </w:t>
      </w:r>
      <w:r w:rsidRPr="008F4B68">
        <w:rPr>
          <w:b/>
          <w:sz w:val="21"/>
          <w:szCs w:val="21"/>
          <w:lang w:val="es-ES"/>
        </w:rPr>
        <w:t>y las unidades centrales</w:t>
      </w:r>
    </w:p>
    <w:tbl>
      <w:tblPr>
        <w:tblStyle w:val="TableGrid"/>
        <w:tblW w:w="9445" w:type="dxa"/>
        <w:tblLook w:val="04A0" w:firstRow="1" w:lastRow="0" w:firstColumn="1" w:lastColumn="0" w:noHBand="0" w:noVBand="1"/>
      </w:tblPr>
      <w:tblGrid>
        <w:gridCol w:w="1435"/>
        <w:gridCol w:w="4514"/>
        <w:gridCol w:w="3496"/>
      </w:tblGrid>
      <w:tr w:rsidR="001148A7" w:rsidRPr="008F4B68" w:rsidTr="00CF2D8C">
        <w:trPr>
          <w:tblHeader/>
        </w:trPr>
        <w:tc>
          <w:tcPr>
            <w:tcW w:w="1435" w:type="dxa"/>
          </w:tcPr>
          <w:p w:rsidR="001148A7" w:rsidRPr="008F4B68" w:rsidRDefault="003920CB" w:rsidP="003920CB">
            <w:pPr>
              <w:keepNext/>
              <w:keepLines/>
              <w:rPr>
                <w:b/>
                <w:sz w:val="20"/>
                <w:szCs w:val="20"/>
                <w:lang w:val="es-ES"/>
              </w:rPr>
            </w:pPr>
            <w:r w:rsidRPr="008F4B68">
              <w:rPr>
                <w:b/>
                <w:sz w:val="20"/>
                <w:szCs w:val="20"/>
                <w:lang w:val="es-ES"/>
              </w:rPr>
              <w:t>Fuente de financiación</w:t>
            </w:r>
          </w:p>
        </w:tc>
        <w:tc>
          <w:tcPr>
            <w:tcW w:w="4514" w:type="dxa"/>
          </w:tcPr>
          <w:p w:rsidR="001148A7" w:rsidRPr="008F4B68" w:rsidRDefault="003920CB" w:rsidP="003920CB">
            <w:pPr>
              <w:keepNext/>
              <w:keepLines/>
              <w:rPr>
                <w:b/>
                <w:sz w:val="20"/>
                <w:szCs w:val="20"/>
                <w:lang w:val="es-ES"/>
              </w:rPr>
            </w:pPr>
            <w:r w:rsidRPr="008F4B68">
              <w:rPr>
                <w:b/>
                <w:sz w:val="20"/>
                <w:szCs w:val="20"/>
                <w:lang w:val="es-ES"/>
              </w:rPr>
              <w:t>Funciones y responsabilidades</w:t>
            </w:r>
          </w:p>
        </w:tc>
        <w:tc>
          <w:tcPr>
            <w:tcW w:w="3496" w:type="dxa"/>
          </w:tcPr>
          <w:p w:rsidR="001148A7" w:rsidRPr="008F4B68" w:rsidRDefault="003920CB" w:rsidP="003920CB">
            <w:pPr>
              <w:keepNext/>
              <w:keepLines/>
              <w:rPr>
                <w:b/>
                <w:sz w:val="20"/>
                <w:szCs w:val="20"/>
                <w:lang w:val="es-ES"/>
              </w:rPr>
            </w:pPr>
            <w:r w:rsidRPr="008F4B68">
              <w:rPr>
                <w:b/>
                <w:sz w:val="20"/>
                <w:szCs w:val="20"/>
                <w:lang w:val="es-ES"/>
              </w:rPr>
              <w:t>Modalidades de financiación</w:t>
            </w:r>
          </w:p>
        </w:tc>
      </w:tr>
      <w:tr w:rsidR="001148A7" w:rsidRPr="005B28DC" w:rsidTr="00CF2D8C">
        <w:tc>
          <w:tcPr>
            <w:tcW w:w="1435" w:type="dxa"/>
          </w:tcPr>
          <w:p w:rsidR="001148A7" w:rsidRPr="008F4B68" w:rsidRDefault="003920CB" w:rsidP="00CF2D8C">
            <w:pPr>
              <w:rPr>
                <w:sz w:val="20"/>
                <w:szCs w:val="20"/>
                <w:lang w:val="es-ES"/>
              </w:rPr>
            </w:pPr>
            <w:r w:rsidRPr="008F4B68">
              <w:rPr>
                <w:sz w:val="20"/>
                <w:szCs w:val="20"/>
                <w:lang w:val="es-ES"/>
              </w:rPr>
              <w:t>FI</w:t>
            </w:r>
          </w:p>
        </w:tc>
        <w:tc>
          <w:tcPr>
            <w:tcW w:w="4514" w:type="dxa"/>
            <w:tcMar>
              <w:left w:w="43" w:type="dxa"/>
              <w:right w:w="43" w:type="dxa"/>
            </w:tcMar>
          </w:tcPr>
          <w:p w:rsidR="001148A7" w:rsidRPr="008F4B68" w:rsidRDefault="003920CB" w:rsidP="00CF2D8C">
            <w:pPr>
              <w:spacing w:after="120"/>
              <w:rPr>
                <w:sz w:val="20"/>
                <w:szCs w:val="20"/>
                <w:lang w:val="es-ES"/>
              </w:rPr>
            </w:pPr>
            <w:r w:rsidRPr="008F4B68">
              <w:rPr>
                <w:sz w:val="20"/>
                <w:szCs w:val="20"/>
                <w:lang w:val="es-ES"/>
              </w:rPr>
              <w:t xml:space="preserve">En la práctica totalidad de los países que operan al amparo del artículo 5 y que reciben el apoyo del </w:t>
            </w:r>
            <w:r w:rsidR="009E5024" w:rsidRPr="008F4B68">
              <w:rPr>
                <w:sz w:val="20"/>
                <w:szCs w:val="20"/>
                <w:lang w:val="es-ES"/>
              </w:rPr>
              <w:t>Fondo Multilateral</w:t>
            </w:r>
            <w:r w:rsidR="001148A7" w:rsidRPr="008F4B68">
              <w:rPr>
                <w:sz w:val="20"/>
                <w:szCs w:val="20"/>
                <w:lang w:val="es-ES"/>
              </w:rPr>
              <w:t xml:space="preserve">, </w:t>
            </w:r>
            <w:r w:rsidRPr="008F4B68">
              <w:rPr>
                <w:sz w:val="20"/>
                <w:szCs w:val="20"/>
                <w:lang w:val="es-ES"/>
              </w:rPr>
              <w:t>la Dependencia Nacional del Ozono</w:t>
            </w:r>
            <w:r w:rsidR="001148A7" w:rsidRPr="008F4B68">
              <w:rPr>
                <w:sz w:val="20"/>
                <w:szCs w:val="20"/>
                <w:lang w:val="es-ES"/>
              </w:rPr>
              <w:t xml:space="preserve"> coordina </w:t>
            </w:r>
            <w:r w:rsidRPr="008F4B68">
              <w:rPr>
                <w:sz w:val="20"/>
                <w:szCs w:val="20"/>
                <w:lang w:val="es-ES"/>
              </w:rPr>
              <w:t>la ejecución de las actividades atinentes al cumplimiento del Protocolo de Montreal</w:t>
            </w:r>
            <w:r w:rsidR="001148A7" w:rsidRPr="008F4B68">
              <w:rPr>
                <w:sz w:val="20"/>
                <w:szCs w:val="20"/>
                <w:lang w:val="es-ES"/>
              </w:rPr>
              <w:t xml:space="preserve">, </w:t>
            </w:r>
            <w:r w:rsidRPr="008F4B68">
              <w:rPr>
                <w:sz w:val="20"/>
                <w:szCs w:val="20"/>
                <w:lang w:val="es-ES"/>
              </w:rPr>
              <w:t xml:space="preserve">y el cumplimiento de los compromisos de eliminación a los que se ha obligado el país, </w:t>
            </w:r>
            <w:r w:rsidR="00F17F7A">
              <w:rPr>
                <w:sz w:val="20"/>
                <w:szCs w:val="20"/>
                <w:lang w:val="es-ES"/>
              </w:rPr>
              <w:t xml:space="preserve">los cuales </w:t>
            </w:r>
            <w:r w:rsidRPr="008F4B68">
              <w:rPr>
                <w:sz w:val="20"/>
                <w:szCs w:val="20"/>
                <w:lang w:val="es-ES"/>
              </w:rPr>
              <w:t xml:space="preserve">se incluyen en su </w:t>
            </w:r>
            <w:r w:rsidRPr="008F4B68">
              <w:rPr>
                <w:sz w:val="20"/>
                <w:szCs w:val="20"/>
                <w:lang w:val="es-ES"/>
              </w:rPr>
              <w:lastRenderedPageBreak/>
              <w:t>Acuerdo firmado conjuntamente con el Comité Ejecutivo</w:t>
            </w:r>
            <w:r w:rsidR="001148A7" w:rsidRPr="008F4B68">
              <w:rPr>
                <w:sz w:val="20"/>
                <w:szCs w:val="20"/>
                <w:lang w:val="es-ES"/>
              </w:rPr>
              <w:t xml:space="preserve">. </w:t>
            </w:r>
            <w:r w:rsidR="00F17F7A">
              <w:rPr>
                <w:sz w:val="20"/>
                <w:szCs w:val="20"/>
                <w:lang w:val="es-ES"/>
              </w:rPr>
              <w:t xml:space="preserve"> </w:t>
            </w:r>
            <w:r w:rsidRPr="008F4B68">
              <w:rPr>
                <w:sz w:val="20"/>
                <w:szCs w:val="20"/>
                <w:lang w:val="es-ES"/>
              </w:rPr>
              <w:t>Respaldada</w:t>
            </w:r>
            <w:r w:rsidR="00F17F7A">
              <w:rPr>
                <w:sz w:val="20"/>
                <w:szCs w:val="20"/>
                <w:lang w:val="es-ES"/>
              </w:rPr>
              <w:t xml:space="preserve"> por</w:t>
            </w:r>
            <w:r w:rsidRPr="008F4B68">
              <w:rPr>
                <w:sz w:val="20"/>
                <w:szCs w:val="20"/>
                <w:lang w:val="es-ES"/>
              </w:rPr>
              <w:t xml:space="preserve"> el apoyo de </w:t>
            </w:r>
            <w:r w:rsidR="006A5484" w:rsidRPr="008F4B68">
              <w:rPr>
                <w:sz w:val="20"/>
                <w:szCs w:val="20"/>
                <w:lang w:val="es-ES"/>
              </w:rPr>
              <w:t>los organismos bilaterales y de ejecución</w:t>
            </w:r>
            <w:r w:rsidR="001148A7" w:rsidRPr="008F4B68">
              <w:rPr>
                <w:sz w:val="20"/>
                <w:szCs w:val="20"/>
                <w:lang w:val="es-ES"/>
              </w:rPr>
              <w:t xml:space="preserve">, </w:t>
            </w:r>
            <w:r w:rsidRPr="008F4B68">
              <w:rPr>
                <w:sz w:val="20"/>
                <w:szCs w:val="20"/>
                <w:lang w:val="es-ES"/>
              </w:rPr>
              <w:t>la capacidad de la Dependencia Nacional del Ozono</w:t>
            </w:r>
            <w:r w:rsidR="001148A7" w:rsidRPr="008F4B68">
              <w:rPr>
                <w:sz w:val="20"/>
                <w:szCs w:val="20"/>
                <w:lang w:val="es-ES"/>
              </w:rPr>
              <w:t xml:space="preserve"> </w:t>
            </w:r>
            <w:r w:rsidRPr="008F4B68">
              <w:rPr>
                <w:sz w:val="20"/>
                <w:szCs w:val="20"/>
                <w:lang w:val="es-ES"/>
              </w:rPr>
              <w:t xml:space="preserve">queda reforzada mediante la financiación para FI </w:t>
            </w:r>
            <w:r w:rsidR="001F7B07" w:rsidRPr="008F4B68">
              <w:rPr>
                <w:sz w:val="20"/>
                <w:szCs w:val="20"/>
                <w:lang w:val="es-ES"/>
              </w:rPr>
              <w:t>a fin de llevar a cabo una serie de actividades, a saber</w:t>
            </w:r>
            <w:r w:rsidR="001148A7" w:rsidRPr="008F4B68">
              <w:rPr>
                <w:sz w:val="20"/>
                <w:szCs w:val="20"/>
                <w:lang w:val="es-ES"/>
              </w:rPr>
              <w:t>:</w:t>
            </w:r>
          </w:p>
          <w:p w:rsidR="001148A7" w:rsidRPr="008F4B68" w:rsidRDefault="001148A7" w:rsidP="001148A7">
            <w:pPr>
              <w:pStyle w:val="ListParagraph"/>
              <w:numPr>
                <w:ilvl w:val="0"/>
                <w:numId w:val="32"/>
              </w:numPr>
              <w:ind w:left="142" w:hanging="142"/>
              <w:contextualSpacing w:val="0"/>
              <w:rPr>
                <w:sz w:val="20"/>
                <w:szCs w:val="20"/>
                <w:lang w:val="es-ES"/>
              </w:rPr>
            </w:pPr>
            <w:r w:rsidRPr="008F4B68">
              <w:rPr>
                <w:noProof/>
                <w:sz w:val="20"/>
                <w:szCs w:val="20"/>
                <w:lang w:val="es-ES"/>
              </w:rPr>
              <w:t>Prepar</w:t>
            </w:r>
            <w:r w:rsidR="00072EED" w:rsidRPr="008F4B68">
              <w:rPr>
                <w:noProof/>
                <w:sz w:val="20"/>
                <w:szCs w:val="20"/>
                <w:lang w:val="es-ES"/>
              </w:rPr>
              <w:t>ación de la estrategia nacional con miras a la eliminación de SAO</w:t>
            </w:r>
            <w:r w:rsidRPr="008F4B68">
              <w:rPr>
                <w:noProof/>
                <w:sz w:val="20"/>
                <w:szCs w:val="20"/>
                <w:lang w:val="es-ES"/>
              </w:rPr>
              <w:t xml:space="preserve">, </w:t>
            </w:r>
            <w:r w:rsidR="00072EED" w:rsidRPr="008F4B68">
              <w:rPr>
                <w:noProof/>
                <w:sz w:val="20"/>
                <w:szCs w:val="20"/>
                <w:lang w:val="es-ES"/>
              </w:rPr>
              <w:t>que con frecuencia se coordina con las partes interesadas, y en consulta con un Comité Nacional del Ozono.</w:t>
            </w:r>
          </w:p>
          <w:p w:rsidR="001148A7" w:rsidRPr="008F4B68" w:rsidRDefault="001148A7" w:rsidP="001148A7">
            <w:pPr>
              <w:pStyle w:val="ListParagraph"/>
              <w:numPr>
                <w:ilvl w:val="0"/>
                <w:numId w:val="32"/>
              </w:numPr>
              <w:ind w:left="142" w:hanging="142"/>
              <w:contextualSpacing w:val="0"/>
              <w:rPr>
                <w:sz w:val="20"/>
                <w:szCs w:val="20"/>
                <w:lang w:val="es-ES"/>
              </w:rPr>
            </w:pPr>
            <w:r w:rsidRPr="008F4B68">
              <w:rPr>
                <w:sz w:val="20"/>
                <w:szCs w:val="20"/>
                <w:lang w:val="es-ES"/>
              </w:rPr>
              <w:t>Facilita</w:t>
            </w:r>
            <w:r w:rsidR="00072EED" w:rsidRPr="008F4B68">
              <w:rPr>
                <w:sz w:val="20"/>
                <w:szCs w:val="20"/>
                <w:lang w:val="es-ES"/>
              </w:rPr>
              <w:t xml:space="preserve">r la ratificación de las enmiendas al </w:t>
            </w:r>
            <w:r w:rsidR="003920CB" w:rsidRPr="008F4B68">
              <w:rPr>
                <w:sz w:val="20"/>
                <w:szCs w:val="20"/>
                <w:lang w:val="es-ES"/>
              </w:rPr>
              <w:t>Protocolo de Montreal</w:t>
            </w:r>
            <w:r w:rsidR="00072EED" w:rsidRPr="008F4B68">
              <w:rPr>
                <w:sz w:val="20"/>
                <w:szCs w:val="20"/>
                <w:lang w:val="es-ES"/>
              </w:rPr>
              <w:t>.</w:t>
            </w:r>
          </w:p>
          <w:p w:rsidR="001148A7" w:rsidRPr="008F4B68" w:rsidRDefault="00072EED" w:rsidP="001148A7">
            <w:pPr>
              <w:pStyle w:val="ListParagraph"/>
              <w:numPr>
                <w:ilvl w:val="0"/>
                <w:numId w:val="32"/>
              </w:numPr>
              <w:ind w:left="144" w:hanging="144"/>
              <w:contextualSpacing w:val="0"/>
              <w:rPr>
                <w:sz w:val="20"/>
                <w:szCs w:val="20"/>
                <w:lang w:val="es-ES"/>
              </w:rPr>
            </w:pPr>
            <w:r w:rsidRPr="008F4B68">
              <w:rPr>
                <w:sz w:val="20"/>
                <w:szCs w:val="20"/>
                <w:lang w:val="es-ES"/>
              </w:rPr>
              <w:t>Promulgación y entrada en vigor y funcionamiento de la legislación y reglamentos reguladores para el control y supervisión de substancias.</w:t>
            </w:r>
          </w:p>
          <w:p w:rsidR="001148A7" w:rsidRPr="008F4B68" w:rsidRDefault="00072EED" w:rsidP="001148A7">
            <w:pPr>
              <w:pStyle w:val="ListParagraph"/>
              <w:numPr>
                <w:ilvl w:val="0"/>
                <w:numId w:val="32"/>
              </w:numPr>
              <w:ind w:left="144" w:hanging="144"/>
              <w:contextualSpacing w:val="0"/>
              <w:rPr>
                <w:sz w:val="20"/>
                <w:szCs w:val="20"/>
                <w:lang w:val="es-ES"/>
              </w:rPr>
            </w:pPr>
            <w:r w:rsidRPr="008F4B68">
              <w:rPr>
                <w:sz w:val="20"/>
                <w:szCs w:val="20"/>
                <w:lang w:val="es-ES"/>
              </w:rPr>
              <w:t xml:space="preserve">Gestión de la recolección, análisis y presentación de los informes de datos de consumo y de producción en virtud del artículo </w:t>
            </w:r>
            <w:r w:rsidR="00B43DF4">
              <w:rPr>
                <w:sz w:val="20"/>
                <w:szCs w:val="20"/>
                <w:lang w:val="es-ES"/>
              </w:rPr>
              <w:t xml:space="preserve">7 </w:t>
            </w:r>
            <w:r w:rsidRPr="008F4B68">
              <w:rPr>
                <w:sz w:val="20"/>
                <w:szCs w:val="20"/>
                <w:lang w:val="es-ES"/>
              </w:rPr>
              <w:t>y de informes sobre la marcha de las actividades relativos a la ejecución del programa de país.</w:t>
            </w:r>
          </w:p>
          <w:p w:rsidR="001148A7" w:rsidRPr="008F4B68" w:rsidRDefault="001148A7" w:rsidP="00E926A9">
            <w:pPr>
              <w:pStyle w:val="ListParagraph"/>
              <w:numPr>
                <w:ilvl w:val="0"/>
                <w:numId w:val="32"/>
              </w:numPr>
              <w:ind w:left="144" w:hanging="144"/>
              <w:contextualSpacing w:val="0"/>
              <w:rPr>
                <w:sz w:val="20"/>
                <w:szCs w:val="20"/>
                <w:lang w:val="es-ES"/>
              </w:rPr>
            </w:pPr>
            <w:r w:rsidRPr="008F4B68">
              <w:rPr>
                <w:sz w:val="20"/>
                <w:szCs w:val="20"/>
                <w:lang w:val="es-ES"/>
              </w:rPr>
              <w:t>Coordina</w:t>
            </w:r>
            <w:r w:rsidR="00072EED" w:rsidRPr="008F4B68">
              <w:rPr>
                <w:sz w:val="20"/>
                <w:szCs w:val="20"/>
                <w:lang w:val="es-ES"/>
              </w:rPr>
              <w:t>ción de las</w:t>
            </w:r>
            <w:r w:rsidRPr="008F4B68">
              <w:rPr>
                <w:sz w:val="20"/>
                <w:szCs w:val="20"/>
                <w:lang w:val="es-ES"/>
              </w:rPr>
              <w:t xml:space="preserve"> </w:t>
            </w:r>
            <w:r w:rsidR="00072EED" w:rsidRPr="008F4B68">
              <w:rPr>
                <w:sz w:val="20"/>
                <w:szCs w:val="20"/>
                <w:lang w:val="es-ES"/>
              </w:rPr>
              <w:t>partes interesadas</w:t>
            </w:r>
            <w:r w:rsidRPr="008F4B68">
              <w:rPr>
                <w:sz w:val="20"/>
                <w:szCs w:val="20"/>
                <w:lang w:val="es-ES"/>
              </w:rPr>
              <w:t xml:space="preserve">, </w:t>
            </w:r>
            <w:r w:rsidR="00072EED" w:rsidRPr="008F4B68">
              <w:rPr>
                <w:sz w:val="20"/>
                <w:szCs w:val="20"/>
                <w:lang w:val="es-ES"/>
              </w:rPr>
              <w:t>por ejemplo, instituciones gubernamentales</w:t>
            </w:r>
            <w:r w:rsidRPr="008F4B68">
              <w:rPr>
                <w:sz w:val="20"/>
                <w:szCs w:val="20"/>
                <w:lang w:val="es-ES"/>
              </w:rPr>
              <w:t xml:space="preserve">, </w:t>
            </w:r>
            <w:r w:rsidR="00072EED" w:rsidRPr="008F4B68">
              <w:rPr>
                <w:sz w:val="20"/>
                <w:szCs w:val="20"/>
                <w:lang w:val="es-ES"/>
              </w:rPr>
              <w:t>autoridades aduaneras, importadores/exportadores</w:t>
            </w:r>
            <w:r w:rsidRPr="008F4B68">
              <w:rPr>
                <w:sz w:val="20"/>
                <w:szCs w:val="20"/>
                <w:lang w:val="es-ES"/>
              </w:rPr>
              <w:t xml:space="preserve"> </w:t>
            </w:r>
            <w:r w:rsidR="00072EED" w:rsidRPr="008F4B68">
              <w:rPr>
                <w:sz w:val="20"/>
                <w:szCs w:val="20"/>
                <w:lang w:val="es-ES"/>
              </w:rPr>
              <w:t>y comerciantes</w:t>
            </w:r>
            <w:r w:rsidRPr="008F4B68">
              <w:rPr>
                <w:sz w:val="20"/>
                <w:szCs w:val="20"/>
                <w:lang w:val="es-ES"/>
              </w:rPr>
              <w:t xml:space="preserve">, </w:t>
            </w:r>
            <w:r w:rsidR="00EE76D1" w:rsidRPr="008F4B68">
              <w:rPr>
                <w:sz w:val="20"/>
                <w:szCs w:val="20"/>
                <w:lang w:val="es-ES"/>
              </w:rPr>
              <w:t>sectores y asociaciones sectoriales y comerciales</w:t>
            </w:r>
            <w:r w:rsidRPr="008F4B68">
              <w:rPr>
                <w:sz w:val="20"/>
                <w:szCs w:val="20"/>
                <w:lang w:val="es-ES"/>
              </w:rPr>
              <w:t xml:space="preserve">, </w:t>
            </w:r>
            <w:r w:rsidR="00EE76D1" w:rsidRPr="008F4B68">
              <w:rPr>
                <w:sz w:val="20"/>
                <w:szCs w:val="20"/>
                <w:lang w:val="es-ES"/>
              </w:rPr>
              <w:t>centros de capacitación</w:t>
            </w:r>
            <w:r w:rsidRPr="008F4B68">
              <w:rPr>
                <w:sz w:val="20"/>
                <w:szCs w:val="20"/>
                <w:lang w:val="es-ES"/>
              </w:rPr>
              <w:t xml:space="preserve">, </w:t>
            </w:r>
            <w:r w:rsidR="00EE76D1" w:rsidRPr="008F4B68">
              <w:rPr>
                <w:sz w:val="20"/>
                <w:szCs w:val="20"/>
                <w:lang w:val="es-ES"/>
              </w:rPr>
              <w:t>y organizaciones no gubernamentales (ONG)</w:t>
            </w:r>
          </w:p>
          <w:p w:rsidR="001148A7" w:rsidRPr="008F4B68" w:rsidRDefault="00EE76D1" w:rsidP="001148A7">
            <w:pPr>
              <w:pStyle w:val="ListParagraph"/>
              <w:numPr>
                <w:ilvl w:val="0"/>
                <w:numId w:val="32"/>
              </w:numPr>
              <w:ind w:left="144" w:hanging="144"/>
              <w:contextualSpacing w:val="0"/>
              <w:rPr>
                <w:sz w:val="20"/>
                <w:szCs w:val="20"/>
                <w:lang w:val="es-ES"/>
              </w:rPr>
            </w:pPr>
            <w:r w:rsidRPr="008F4B68">
              <w:rPr>
                <w:sz w:val="20"/>
                <w:szCs w:val="20"/>
                <w:lang w:val="es-ES"/>
              </w:rPr>
              <w:t xml:space="preserve">Vínculo de las autoridades gubernativas con el Comité, la </w:t>
            </w:r>
            <w:r w:rsidR="006645CE" w:rsidRPr="008F4B68">
              <w:rPr>
                <w:sz w:val="20"/>
                <w:szCs w:val="20"/>
                <w:lang w:val="es-ES"/>
              </w:rPr>
              <w:t>Secretaría</w:t>
            </w:r>
            <w:r w:rsidR="001148A7" w:rsidRPr="008F4B68">
              <w:rPr>
                <w:sz w:val="20"/>
                <w:szCs w:val="20"/>
                <w:lang w:val="es-ES"/>
              </w:rPr>
              <w:t xml:space="preserve">, </w:t>
            </w:r>
            <w:r w:rsidRPr="008F4B68">
              <w:rPr>
                <w:sz w:val="20"/>
                <w:szCs w:val="20"/>
                <w:lang w:val="es-ES"/>
              </w:rPr>
              <w:t>y los organismos.</w:t>
            </w:r>
          </w:p>
          <w:p w:rsidR="001148A7" w:rsidRPr="008F4B68" w:rsidRDefault="00EE76D1" w:rsidP="001148A7">
            <w:pPr>
              <w:pStyle w:val="ListParagraph"/>
              <w:numPr>
                <w:ilvl w:val="0"/>
                <w:numId w:val="32"/>
              </w:numPr>
              <w:ind w:left="144" w:hanging="144"/>
              <w:contextualSpacing w:val="0"/>
              <w:rPr>
                <w:sz w:val="20"/>
                <w:szCs w:val="20"/>
                <w:lang w:val="es-ES"/>
              </w:rPr>
            </w:pPr>
            <w:r w:rsidRPr="008F4B68">
              <w:rPr>
                <w:sz w:val="20"/>
                <w:szCs w:val="20"/>
                <w:lang w:val="es-ES"/>
              </w:rPr>
              <w:t>Integración en los planes nacionales de las cuestiones atinentes a la protección del ozono.</w:t>
            </w:r>
          </w:p>
          <w:p w:rsidR="001148A7" w:rsidRPr="008F4B68" w:rsidRDefault="00EE76D1" w:rsidP="00EE76D1">
            <w:pPr>
              <w:pStyle w:val="ListParagraph"/>
              <w:numPr>
                <w:ilvl w:val="0"/>
                <w:numId w:val="32"/>
              </w:numPr>
              <w:ind w:left="144" w:hanging="144"/>
              <w:contextualSpacing w:val="0"/>
              <w:rPr>
                <w:sz w:val="20"/>
                <w:szCs w:val="20"/>
                <w:lang w:val="es-ES"/>
              </w:rPr>
            </w:pPr>
            <w:r w:rsidRPr="008F4B68">
              <w:rPr>
                <w:sz w:val="20"/>
                <w:szCs w:val="20"/>
                <w:lang w:val="es-ES"/>
              </w:rPr>
              <w:t xml:space="preserve">Incremento del grado de concienciación de las </w:t>
            </w:r>
            <w:r w:rsidR="00072EED" w:rsidRPr="008F4B68">
              <w:rPr>
                <w:sz w:val="20"/>
                <w:szCs w:val="20"/>
                <w:lang w:val="es-ES"/>
              </w:rPr>
              <w:t>partes interesadas</w:t>
            </w:r>
            <w:r w:rsidR="001148A7" w:rsidRPr="008F4B68">
              <w:rPr>
                <w:sz w:val="20"/>
                <w:szCs w:val="20"/>
                <w:lang w:val="es-ES"/>
              </w:rPr>
              <w:t xml:space="preserve">, </w:t>
            </w:r>
            <w:r w:rsidRPr="008F4B68">
              <w:rPr>
                <w:sz w:val="20"/>
                <w:szCs w:val="20"/>
                <w:lang w:val="es-ES"/>
              </w:rPr>
              <w:t>incluyendo al público.</w:t>
            </w:r>
          </w:p>
        </w:tc>
        <w:tc>
          <w:tcPr>
            <w:tcW w:w="3496" w:type="dxa"/>
            <w:tcMar>
              <w:left w:w="43" w:type="dxa"/>
              <w:right w:w="43" w:type="dxa"/>
            </w:tcMar>
          </w:tcPr>
          <w:p w:rsidR="001148A7" w:rsidRPr="008F4B68" w:rsidRDefault="001F7B07" w:rsidP="00CF2D8C">
            <w:pPr>
              <w:spacing w:after="120"/>
              <w:rPr>
                <w:sz w:val="20"/>
                <w:szCs w:val="20"/>
                <w:lang w:val="es-ES"/>
              </w:rPr>
            </w:pPr>
            <w:r w:rsidRPr="008F4B68">
              <w:rPr>
                <w:sz w:val="20"/>
                <w:szCs w:val="20"/>
                <w:lang w:val="es-ES"/>
              </w:rPr>
              <w:lastRenderedPageBreak/>
              <w:t xml:space="preserve">La financiación se repone cada dos años, tras recibirse un informe sobre la marcha de las actividades de los dos años anteriores y un </w:t>
            </w:r>
            <w:r w:rsidR="001148A7" w:rsidRPr="008F4B68">
              <w:rPr>
                <w:sz w:val="20"/>
                <w:szCs w:val="20"/>
                <w:lang w:val="es-ES"/>
              </w:rPr>
              <w:t xml:space="preserve">plan of </w:t>
            </w:r>
            <w:r w:rsidRPr="008F4B68">
              <w:rPr>
                <w:sz w:val="20"/>
                <w:szCs w:val="20"/>
                <w:lang w:val="es-ES"/>
              </w:rPr>
              <w:t>acción para los dos años próximos.</w:t>
            </w:r>
          </w:p>
          <w:p w:rsidR="001F7B07" w:rsidRPr="008F4B68" w:rsidRDefault="001F7B07" w:rsidP="00CF2D8C">
            <w:pPr>
              <w:spacing w:after="120"/>
              <w:rPr>
                <w:sz w:val="20"/>
                <w:szCs w:val="20"/>
                <w:lang w:val="es-ES"/>
              </w:rPr>
            </w:pPr>
          </w:p>
          <w:p w:rsidR="001148A7" w:rsidRPr="008F4B68" w:rsidRDefault="001F7B07" w:rsidP="00CF2D8C">
            <w:pPr>
              <w:spacing w:after="120"/>
              <w:rPr>
                <w:sz w:val="20"/>
                <w:szCs w:val="20"/>
                <w:lang w:val="es-ES"/>
              </w:rPr>
            </w:pPr>
            <w:r w:rsidRPr="008F4B68">
              <w:rPr>
                <w:sz w:val="20"/>
                <w:szCs w:val="20"/>
                <w:lang w:val="es-ES"/>
              </w:rPr>
              <w:lastRenderedPageBreak/>
              <w:t xml:space="preserve">Sus presupuestos para </w:t>
            </w:r>
            <w:r w:rsidR="00F17F7A">
              <w:rPr>
                <w:sz w:val="20"/>
                <w:szCs w:val="20"/>
                <w:lang w:val="es-ES"/>
              </w:rPr>
              <w:t>FI cubren el pago de los salario</w:t>
            </w:r>
            <w:r w:rsidRPr="008F4B68">
              <w:rPr>
                <w:sz w:val="20"/>
                <w:szCs w:val="20"/>
                <w:lang w:val="es-ES"/>
              </w:rPr>
              <w:t xml:space="preserve">s de la plantilla de personal y los gastos de funcionamiento de las oficinas de la dependencia del ozono </w:t>
            </w:r>
          </w:p>
          <w:p w:rsidR="001F7B07" w:rsidRPr="008F4B68" w:rsidRDefault="001F7B07" w:rsidP="00CF2D8C">
            <w:pPr>
              <w:pStyle w:val="Heading1"/>
              <w:numPr>
                <w:ilvl w:val="0"/>
                <w:numId w:val="0"/>
              </w:numPr>
              <w:spacing w:after="0"/>
              <w:outlineLvl w:val="0"/>
              <w:rPr>
                <w:sz w:val="20"/>
                <w:szCs w:val="20"/>
                <w:lang w:val="es-ES"/>
              </w:rPr>
            </w:pPr>
          </w:p>
          <w:p w:rsidR="001F7B07" w:rsidRPr="008F4B68" w:rsidRDefault="001F7B07" w:rsidP="00CF2D8C">
            <w:pPr>
              <w:pStyle w:val="Heading1"/>
              <w:numPr>
                <w:ilvl w:val="0"/>
                <w:numId w:val="0"/>
              </w:numPr>
              <w:spacing w:after="0"/>
              <w:outlineLvl w:val="0"/>
              <w:rPr>
                <w:sz w:val="20"/>
                <w:szCs w:val="20"/>
                <w:lang w:val="es-ES"/>
              </w:rPr>
            </w:pPr>
          </w:p>
          <w:p w:rsidR="001148A7" w:rsidRPr="008F4B68" w:rsidRDefault="001F7B07" w:rsidP="00CF2D8C">
            <w:pPr>
              <w:pStyle w:val="Heading1"/>
              <w:numPr>
                <w:ilvl w:val="0"/>
                <w:numId w:val="0"/>
              </w:numPr>
              <w:spacing w:after="0"/>
              <w:outlineLvl w:val="0"/>
              <w:rPr>
                <w:sz w:val="20"/>
                <w:szCs w:val="20"/>
                <w:lang w:val="es-ES"/>
              </w:rPr>
            </w:pPr>
            <w:r w:rsidRPr="008F4B68">
              <w:rPr>
                <w:sz w:val="20"/>
                <w:szCs w:val="20"/>
                <w:lang w:val="es-ES"/>
              </w:rPr>
              <w:t>Gastos de apoyo al organismo de 7,</w:t>
            </w:r>
            <w:r w:rsidR="001148A7" w:rsidRPr="008F4B68">
              <w:rPr>
                <w:sz w:val="20"/>
                <w:szCs w:val="20"/>
                <w:lang w:val="es-ES"/>
              </w:rPr>
              <w:t>0</w:t>
            </w:r>
            <w:r w:rsidRPr="008F4B68">
              <w:rPr>
                <w:sz w:val="20"/>
                <w:szCs w:val="20"/>
                <w:lang w:val="es-ES"/>
              </w:rPr>
              <w:t xml:space="preserve"> por ciento blindados para proteger los FI por cuenta del </w:t>
            </w:r>
            <w:r w:rsidR="00E250D7" w:rsidRPr="008F4B68">
              <w:rPr>
                <w:sz w:val="20"/>
                <w:szCs w:val="20"/>
                <w:lang w:val="es-ES"/>
              </w:rPr>
              <w:t>PNUD</w:t>
            </w:r>
            <w:r w:rsidR="001148A7" w:rsidRPr="008F4B68">
              <w:rPr>
                <w:sz w:val="20"/>
                <w:szCs w:val="20"/>
                <w:lang w:val="es-ES"/>
              </w:rPr>
              <w:t xml:space="preserve">, </w:t>
            </w:r>
            <w:r w:rsidR="009A1284" w:rsidRPr="008F4B68">
              <w:rPr>
                <w:sz w:val="20"/>
                <w:szCs w:val="20"/>
                <w:lang w:val="es-ES"/>
              </w:rPr>
              <w:t>la ONUDI</w:t>
            </w:r>
            <w:r w:rsidR="001148A7" w:rsidRPr="008F4B68">
              <w:rPr>
                <w:sz w:val="20"/>
                <w:szCs w:val="20"/>
                <w:lang w:val="es-ES"/>
              </w:rPr>
              <w:t xml:space="preserve"> </w:t>
            </w:r>
            <w:r w:rsidRPr="008F4B68">
              <w:rPr>
                <w:sz w:val="20"/>
                <w:szCs w:val="20"/>
                <w:lang w:val="es-ES"/>
              </w:rPr>
              <w:t>y e</w:t>
            </w:r>
            <w:r w:rsidR="00E250D7" w:rsidRPr="008F4B68">
              <w:rPr>
                <w:sz w:val="20"/>
                <w:szCs w:val="20"/>
                <w:lang w:val="es-ES"/>
              </w:rPr>
              <w:t>l</w:t>
            </w:r>
            <w:r w:rsidR="009A1284" w:rsidRPr="008F4B68">
              <w:rPr>
                <w:sz w:val="20"/>
                <w:szCs w:val="20"/>
                <w:lang w:val="es-ES"/>
              </w:rPr>
              <w:t> Banco </w:t>
            </w:r>
            <w:r w:rsidRPr="008F4B68">
              <w:rPr>
                <w:sz w:val="20"/>
                <w:szCs w:val="20"/>
                <w:lang w:val="es-ES"/>
              </w:rPr>
              <w:t>Mundial</w:t>
            </w:r>
            <w:r w:rsidR="001148A7" w:rsidRPr="008F4B68">
              <w:rPr>
                <w:sz w:val="20"/>
                <w:szCs w:val="20"/>
                <w:lang w:val="es-ES"/>
              </w:rPr>
              <w:t xml:space="preserve">; </w:t>
            </w:r>
            <w:r w:rsidRPr="008F4B68">
              <w:rPr>
                <w:sz w:val="20"/>
                <w:szCs w:val="20"/>
                <w:lang w:val="es-ES"/>
              </w:rPr>
              <w:t>los gastos de apoyo al organismo no se aplican a los proyectos de FI respaldados por el PNUMA</w:t>
            </w:r>
            <w:r w:rsidR="001148A7" w:rsidRPr="008F4B68">
              <w:rPr>
                <w:sz w:val="20"/>
                <w:szCs w:val="20"/>
                <w:lang w:val="es-ES"/>
              </w:rPr>
              <w:t>.</w:t>
            </w:r>
          </w:p>
          <w:p w:rsidR="001148A7" w:rsidRPr="008F4B68" w:rsidRDefault="001148A7" w:rsidP="00CF2D8C">
            <w:pPr>
              <w:spacing w:after="120"/>
              <w:rPr>
                <w:sz w:val="20"/>
                <w:szCs w:val="20"/>
                <w:lang w:val="es-ES"/>
              </w:rPr>
            </w:pPr>
          </w:p>
          <w:p w:rsidR="001148A7" w:rsidRPr="008F4B68" w:rsidRDefault="001148A7" w:rsidP="00CF2D8C">
            <w:pPr>
              <w:rPr>
                <w:sz w:val="20"/>
                <w:szCs w:val="20"/>
                <w:lang w:val="es-ES"/>
              </w:rPr>
            </w:pPr>
          </w:p>
          <w:p w:rsidR="001148A7" w:rsidRPr="008F4B68" w:rsidRDefault="001148A7" w:rsidP="00CF2D8C">
            <w:pPr>
              <w:rPr>
                <w:sz w:val="20"/>
                <w:szCs w:val="20"/>
                <w:lang w:val="es-ES"/>
              </w:rPr>
            </w:pPr>
          </w:p>
        </w:tc>
      </w:tr>
      <w:tr w:rsidR="001148A7" w:rsidRPr="005B28DC" w:rsidTr="00CF2D8C">
        <w:trPr>
          <w:trHeight w:val="1033"/>
        </w:trPr>
        <w:tc>
          <w:tcPr>
            <w:tcW w:w="1435" w:type="dxa"/>
          </w:tcPr>
          <w:p w:rsidR="001148A7" w:rsidRPr="008F4B68" w:rsidRDefault="00EE76D1" w:rsidP="00EE76D1">
            <w:pPr>
              <w:rPr>
                <w:sz w:val="20"/>
                <w:szCs w:val="20"/>
                <w:lang w:val="es-ES"/>
              </w:rPr>
            </w:pPr>
            <w:r w:rsidRPr="008F4B68">
              <w:rPr>
                <w:sz w:val="20"/>
                <w:szCs w:val="20"/>
                <w:lang w:val="es-ES"/>
              </w:rPr>
              <w:lastRenderedPageBreak/>
              <w:t xml:space="preserve">Dependencias de gestión de proyectos  respecto de los </w:t>
            </w:r>
            <w:r w:rsidR="009A1284" w:rsidRPr="008F4B68">
              <w:rPr>
                <w:sz w:val="20"/>
                <w:szCs w:val="20"/>
                <w:lang w:val="es-ES"/>
              </w:rPr>
              <w:t>PGEH</w:t>
            </w:r>
          </w:p>
        </w:tc>
        <w:tc>
          <w:tcPr>
            <w:tcW w:w="4514" w:type="dxa"/>
            <w:tcMar>
              <w:left w:w="43" w:type="dxa"/>
              <w:right w:w="43" w:type="dxa"/>
            </w:tcMar>
          </w:tcPr>
          <w:p w:rsidR="001148A7" w:rsidRPr="008F4B68" w:rsidRDefault="00EE76D1" w:rsidP="00CF2D8C">
            <w:pPr>
              <w:spacing w:after="120"/>
              <w:rPr>
                <w:lang w:val="es-ES"/>
              </w:rPr>
            </w:pPr>
            <w:r w:rsidRPr="008F4B68">
              <w:rPr>
                <w:sz w:val="20"/>
                <w:szCs w:val="20"/>
                <w:lang w:val="es-ES"/>
              </w:rPr>
              <w:t xml:space="preserve">La implantación cotidiana de los proyectos con inversión </w:t>
            </w:r>
            <w:r w:rsidR="001148A7" w:rsidRPr="008F4B68">
              <w:rPr>
                <w:sz w:val="20"/>
                <w:szCs w:val="20"/>
                <w:lang w:val="es-ES"/>
              </w:rPr>
              <w:t>(</w:t>
            </w:r>
            <w:r w:rsidRPr="008F4B68">
              <w:rPr>
                <w:sz w:val="20"/>
                <w:szCs w:val="20"/>
                <w:lang w:val="es-ES"/>
              </w:rPr>
              <w:t>donde corresponda</w:t>
            </w:r>
            <w:r w:rsidR="001148A7" w:rsidRPr="008F4B68">
              <w:rPr>
                <w:sz w:val="20"/>
                <w:szCs w:val="20"/>
                <w:lang w:val="es-ES"/>
              </w:rPr>
              <w:t xml:space="preserve">), </w:t>
            </w:r>
            <w:r w:rsidRPr="008F4B68">
              <w:rPr>
                <w:sz w:val="20"/>
                <w:szCs w:val="20"/>
                <w:lang w:val="es-ES"/>
              </w:rPr>
              <w:t xml:space="preserve">programas de capacitación, asistencia técnica y actividades de incremento del grado de concienciación incluidos en los </w:t>
            </w:r>
            <w:r w:rsidR="009A1284" w:rsidRPr="008F4B68">
              <w:rPr>
                <w:sz w:val="20"/>
                <w:szCs w:val="20"/>
                <w:lang w:val="es-ES"/>
              </w:rPr>
              <w:t>PGEH</w:t>
            </w:r>
            <w:r w:rsidRPr="008F4B68">
              <w:rPr>
                <w:sz w:val="20"/>
                <w:szCs w:val="20"/>
                <w:lang w:val="es-ES"/>
              </w:rPr>
              <w:t xml:space="preserve"> aprobados.</w:t>
            </w:r>
          </w:p>
          <w:p w:rsidR="001148A7" w:rsidRPr="008F4B68" w:rsidRDefault="00EE76D1" w:rsidP="00CF2D8C">
            <w:pPr>
              <w:spacing w:after="120"/>
              <w:rPr>
                <w:sz w:val="20"/>
                <w:szCs w:val="20"/>
                <w:lang w:val="es-ES"/>
              </w:rPr>
            </w:pPr>
            <w:r w:rsidRPr="008F4B68">
              <w:rPr>
                <w:sz w:val="20"/>
                <w:szCs w:val="20"/>
                <w:lang w:val="es-ES"/>
              </w:rPr>
              <w:t xml:space="preserve">La Dependencia de gestión de proyectos facilita el apoyo a la </w:t>
            </w:r>
            <w:r w:rsidR="003920CB" w:rsidRPr="008F4B68">
              <w:rPr>
                <w:sz w:val="20"/>
                <w:szCs w:val="20"/>
                <w:lang w:val="es-ES"/>
              </w:rPr>
              <w:t>Dependencia Nacional del Ozono</w:t>
            </w:r>
            <w:r w:rsidR="001148A7" w:rsidRPr="008F4B68">
              <w:rPr>
                <w:sz w:val="20"/>
                <w:szCs w:val="20"/>
                <w:lang w:val="es-ES"/>
              </w:rPr>
              <w:t xml:space="preserve"> </w:t>
            </w:r>
            <w:r w:rsidRPr="008F4B68">
              <w:rPr>
                <w:sz w:val="20"/>
                <w:szCs w:val="20"/>
                <w:lang w:val="es-ES"/>
              </w:rPr>
              <w:t xml:space="preserve">y al perito comprobador independiente durante el proceso de verificación </w:t>
            </w:r>
            <w:r w:rsidR="001148A7" w:rsidRPr="008F4B68">
              <w:rPr>
                <w:sz w:val="20"/>
                <w:szCs w:val="20"/>
                <w:lang w:val="es-ES"/>
              </w:rPr>
              <w:t>(</w:t>
            </w:r>
            <w:r w:rsidRPr="008F4B68">
              <w:rPr>
                <w:sz w:val="20"/>
                <w:szCs w:val="20"/>
                <w:lang w:val="es-ES"/>
              </w:rPr>
              <w:t xml:space="preserve">por ejemplo, </w:t>
            </w:r>
            <w:r w:rsidR="009E5024" w:rsidRPr="008F4B68">
              <w:rPr>
                <w:sz w:val="20"/>
                <w:szCs w:val="20"/>
                <w:lang w:val="es-ES"/>
              </w:rPr>
              <w:t>reuniones</w:t>
            </w:r>
            <w:r w:rsidR="001148A7" w:rsidRPr="008F4B68">
              <w:rPr>
                <w:sz w:val="20"/>
                <w:szCs w:val="20"/>
                <w:lang w:val="es-ES"/>
              </w:rPr>
              <w:t xml:space="preserve"> </w:t>
            </w:r>
            <w:r w:rsidRPr="008F4B68">
              <w:rPr>
                <w:sz w:val="20"/>
                <w:szCs w:val="20"/>
                <w:lang w:val="es-ES"/>
              </w:rPr>
              <w:t xml:space="preserve">con las </w:t>
            </w:r>
            <w:r w:rsidR="00072EED" w:rsidRPr="008F4B68">
              <w:rPr>
                <w:sz w:val="20"/>
                <w:szCs w:val="20"/>
                <w:lang w:val="es-ES"/>
              </w:rPr>
              <w:t>partes interesadas</w:t>
            </w:r>
            <w:r w:rsidR="001148A7" w:rsidRPr="008F4B68">
              <w:rPr>
                <w:sz w:val="20"/>
                <w:szCs w:val="20"/>
                <w:lang w:val="es-ES"/>
              </w:rPr>
              <w:t xml:space="preserve">, </w:t>
            </w:r>
            <w:r w:rsidRPr="008F4B68">
              <w:rPr>
                <w:sz w:val="20"/>
                <w:szCs w:val="20"/>
                <w:lang w:val="es-ES"/>
              </w:rPr>
              <w:t>coordinación para la recogida de datos</w:t>
            </w:r>
            <w:r w:rsidR="001148A7" w:rsidRPr="008F4B68">
              <w:rPr>
                <w:sz w:val="20"/>
                <w:szCs w:val="20"/>
                <w:lang w:val="es-ES"/>
              </w:rPr>
              <w:t xml:space="preserve">, </w:t>
            </w:r>
            <w:r w:rsidRPr="008F4B68">
              <w:rPr>
                <w:sz w:val="20"/>
                <w:szCs w:val="20"/>
                <w:lang w:val="es-ES"/>
              </w:rPr>
              <w:t>y aporte de contribuciones respecto de las conclusiones de los exámenes</w:t>
            </w:r>
            <w:r w:rsidR="001148A7" w:rsidRPr="008F4B68">
              <w:rPr>
                <w:sz w:val="20"/>
                <w:szCs w:val="20"/>
                <w:lang w:val="es-ES"/>
              </w:rPr>
              <w:t>)</w:t>
            </w:r>
            <w:r w:rsidRPr="008F4B68">
              <w:rPr>
                <w:sz w:val="20"/>
                <w:szCs w:val="20"/>
                <w:lang w:val="es-ES"/>
              </w:rPr>
              <w:t>.</w:t>
            </w:r>
          </w:p>
          <w:p w:rsidR="001148A7" w:rsidRPr="008F4B68" w:rsidRDefault="00EE76D1" w:rsidP="00CF2D8C">
            <w:pPr>
              <w:rPr>
                <w:noProof/>
                <w:sz w:val="20"/>
                <w:szCs w:val="20"/>
                <w:lang w:val="es-ES"/>
              </w:rPr>
            </w:pPr>
            <w:r w:rsidRPr="008F4B68">
              <w:rPr>
                <w:noProof/>
                <w:sz w:val="20"/>
                <w:szCs w:val="20"/>
                <w:lang w:val="es-ES"/>
              </w:rPr>
              <w:t xml:space="preserve">La Dependencia de gestión de proyectos, que por lo general se encuentra bajo la supervisión de la </w:t>
            </w:r>
            <w:r w:rsidR="003920CB" w:rsidRPr="008F4B68">
              <w:rPr>
                <w:noProof/>
                <w:sz w:val="20"/>
                <w:szCs w:val="20"/>
                <w:lang w:val="es-ES"/>
              </w:rPr>
              <w:t>Dependencia Nacional del Ozono</w:t>
            </w:r>
            <w:r w:rsidR="001148A7" w:rsidRPr="008F4B68">
              <w:rPr>
                <w:noProof/>
                <w:sz w:val="20"/>
                <w:szCs w:val="20"/>
                <w:lang w:val="es-ES"/>
              </w:rPr>
              <w:t xml:space="preserve">, </w:t>
            </w:r>
            <w:r w:rsidRPr="008F4B68">
              <w:rPr>
                <w:noProof/>
                <w:sz w:val="20"/>
                <w:szCs w:val="20"/>
                <w:lang w:val="es-ES"/>
              </w:rPr>
              <w:t xml:space="preserve">asume la función de </w:t>
            </w:r>
            <w:r w:rsidR="00890385" w:rsidRPr="008F4B68">
              <w:rPr>
                <w:noProof/>
                <w:sz w:val="20"/>
                <w:szCs w:val="20"/>
                <w:lang w:val="es-ES"/>
              </w:rPr>
              <w:t xml:space="preserve">de coordinar las partes interesadas no gubernamentales </w:t>
            </w:r>
            <w:r w:rsidR="001148A7" w:rsidRPr="008F4B68">
              <w:rPr>
                <w:noProof/>
                <w:sz w:val="20"/>
                <w:szCs w:val="20"/>
                <w:lang w:val="es-ES"/>
              </w:rPr>
              <w:t xml:space="preserve">o </w:t>
            </w:r>
            <w:r w:rsidR="00890385" w:rsidRPr="008F4B68">
              <w:rPr>
                <w:noProof/>
                <w:sz w:val="20"/>
                <w:szCs w:val="20"/>
                <w:lang w:val="es-ES"/>
              </w:rPr>
              <w:t>algunos departamentos o ministerios gubernamentales</w:t>
            </w:r>
            <w:r w:rsidR="001148A7" w:rsidRPr="008F4B68">
              <w:rPr>
                <w:noProof/>
                <w:sz w:val="20"/>
                <w:szCs w:val="20"/>
                <w:lang w:val="es-ES"/>
              </w:rPr>
              <w:t xml:space="preserve">, </w:t>
            </w:r>
            <w:r w:rsidR="00890385" w:rsidRPr="008F4B68">
              <w:rPr>
                <w:noProof/>
                <w:sz w:val="20"/>
                <w:szCs w:val="20"/>
                <w:lang w:val="es-ES"/>
              </w:rPr>
              <w:t>asociaciones industriales</w:t>
            </w:r>
            <w:r w:rsidR="001148A7" w:rsidRPr="008F4B68">
              <w:rPr>
                <w:noProof/>
                <w:sz w:val="20"/>
                <w:szCs w:val="20"/>
                <w:lang w:val="es-ES"/>
              </w:rPr>
              <w:t xml:space="preserve">, </w:t>
            </w:r>
            <w:r w:rsidR="00890385" w:rsidRPr="008F4B68">
              <w:rPr>
                <w:noProof/>
                <w:sz w:val="20"/>
                <w:szCs w:val="20"/>
                <w:lang w:val="es-ES"/>
              </w:rPr>
              <w:t xml:space="preserve">institutos de investigación, </w:t>
            </w:r>
            <w:r w:rsidR="0063588D">
              <w:rPr>
                <w:noProof/>
                <w:sz w:val="20"/>
                <w:szCs w:val="20"/>
                <w:lang w:val="es-ES"/>
              </w:rPr>
              <w:t xml:space="preserve">oficinas </w:t>
            </w:r>
            <w:r w:rsidR="00890385" w:rsidRPr="008F4B68">
              <w:rPr>
                <w:noProof/>
                <w:sz w:val="20"/>
                <w:szCs w:val="20"/>
                <w:lang w:val="es-ES"/>
              </w:rPr>
              <w:t xml:space="preserve">normales, institutos de capacitación, y </w:t>
            </w:r>
            <w:r w:rsidR="0063588D">
              <w:rPr>
                <w:noProof/>
                <w:sz w:val="20"/>
                <w:szCs w:val="20"/>
                <w:lang w:val="es-ES"/>
              </w:rPr>
              <w:t xml:space="preserve">oficinas </w:t>
            </w:r>
            <w:r w:rsidR="00890385" w:rsidRPr="008F4B68">
              <w:rPr>
                <w:noProof/>
                <w:sz w:val="20"/>
                <w:szCs w:val="20"/>
                <w:lang w:val="es-ES"/>
              </w:rPr>
              <w:t xml:space="preserve">de estadística que se ocupan de la implantación de las actividades del plan de gestión </w:t>
            </w:r>
            <w:r w:rsidR="00890385" w:rsidRPr="008F4B68">
              <w:rPr>
                <w:noProof/>
                <w:sz w:val="20"/>
                <w:szCs w:val="20"/>
                <w:lang w:val="es-ES"/>
              </w:rPr>
              <w:lastRenderedPageBreak/>
              <w:t>de eliminación de HCFC</w:t>
            </w:r>
            <w:r w:rsidR="001148A7" w:rsidRPr="008F4B68">
              <w:rPr>
                <w:noProof/>
                <w:sz w:val="20"/>
                <w:szCs w:val="20"/>
                <w:lang w:val="es-ES"/>
              </w:rPr>
              <w:t>.</w:t>
            </w:r>
          </w:p>
          <w:p w:rsidR="00890385" w:rsidRPr="008F4B68" w:rsidRDefault="00890385" w:rsidP="00CF2D8C">
            <w:pPr>
              <w:rPr>
                <w:noProof/>
                <w:sz w:val="20"/>
                <w:szCs w:val="20"/>
                <w:lang w:val="es-ES"/>
              </w:rPr>
            </w:pPr>
          </w:p>
          <w:p w:rsidR="001148A7" w:rsidRPr="008F4B68" w:rsidRDefault="00890385" w:rsidP="00CF2D8C">
            <w:pPr>
              <w:rPr>
                <w:sz w:val="20"/>
                <w:szCs w:val="20"/>
                <w:lang w:val="es-ES"/>
              </w:rPr>
            </w:pPr>
            <w:r w:rsidRPr="008F4B68">
              <w:rPr>
                <w:sz w:val="20"/>
                <w:szCs w:val="20"/>
                <w:lang w:val="es-ES"/>
              </w:rPr>
              <w:t>Si bien la responsabilidad principal por la recogida de datos</w:t>
            </w:r>
            <w:r w:rsidR="001148A7" w:rsidRPr="008F4B68">
              <w:rPr>
                <w:sz w:val="20"/>
                <w:szCs w:val="20"/>
                <w:lang w:val="es-ES"/>
              </w:rPr>
              <w:t xml:space="preserve">, </w:t>
            </w:r>
            <w:r w:rsidRPr="008F4B68">
              <w:rPr>
                <w:sz w:val="20"/>
                <w:szCs w:val="20"/>
                <w:lang w:val="es-ES"/>
              </w:rPr>
              <w:t xml:space="preserve">análisis y notificación sigue siendo de la </w:t>
            </w:r>
            <w:r w:rsidR="003920CB" w:rsidRPr="008F4B68">
              <w:rPr>
                <w:sz w:val="20"/>
                <w:szCs w:val="20"/>
                <w:lang w:val="es-ES"/>
              </w:rPr>
              <w:t>Dependencia Nacional del Ozono</w:t>
            </w:r>
            <w:r w:rsidR="001148A7" w:rsidRPr="008F4B68">
              <w:rPr>
                <w:sz w:val="20"/>
                <w:szCs w:val="20"/>
                <w:lang w:val="es-ES"/>
              </w:rPr>
              <w:t xml:space="preserve">, </w:t>
            </w:r>
            <w:r w:rsidRPr="008F4B68">
              <w:rPr>
                <w:sz w:val="20"/>
                <w:szCs w:val="20"/>
                <w:lang w:val="es-ES"/>
              </w:rPr>
              <w:t xml:space="preserve">hay algunos casos en los que la </w:t>
            </w:r>
            <w:r w:rsidR="00EE76D1" w:rsidRPr="008F4B68">
              <w:rPr>
                <w:sz w:val="20"/>
                <w:szCs w:val="20"/>
                <w:lang w:val="es-ES"/>
              </w:rPr>
              <w:t xml:space="preserve">Dependencia de gestión de proyectos </w:t>
            </w:r>
            <w:r w:rsidR="001148A7" w:rsidRPr="008F4B68">
              <w:rPr>
                <w:sz w:val="20"/>
                <w:szCs w:val="20"/>
                <w:lang w:val="es-ES"/>
              </w:rPr>
              <w:t xml:space="preserve"> participa </w:t>
            </w:r>
            <w:r w:rsidRPr="008F4B68">
              <w:rPr>
                <w:sz w:val="20"/>
                <w:szCs w:val="20"/>
                <w:lang w:val="es-ES"/>
              </w:rPr>
              <w:t>en la recolección y análisis de los datos de consumo atinentes a las substancias controladas conexas a la ejecución de los PGEH</w:t>
            </w:r>
          </w:p>
          <w:p w:rsidR="001148A7" w:rsidRPr="008F4B68" w:rsidRDefault="001148A7" w:rsidP="00CF2D8C">
            <w:pPr>
              <w:rPr>
                <w:sz w:val="20"/>
                <w:szCs w:val="20"/>
                <w:lang w:val="es-ES"/>
              </w:rPr>
            </w:pPr>
          </w:p>
          <w:p w:rsidR="001148A7" w:rsidRPr="008F4B68" w:rsidRDefault="001148A7" w:rsidP="00CF2D8C">
            <w:pPr>
              <w:rPr>
                <w:sz w:val="20"/>
                <w:szCs w:val="20"/>
                <w:lang w:val="es-ES"/>
              </w:rPr>
            </w:pPr>
          </w:p>
        </w:tc>
        <w:tc>
          <w:tcPr>
            <w:tcW w:w="3496" w:type="dxa"/>
            <w:tcMar>
              <w:left w:w="43" w:type="dxa"/>
              <w:right w:w="43" w:type="dxa"/>
            </w:tcMar>
          </w:tcPr>
          <w:p w:rsidR="001148A7" w:rsidRPr="008F4B68" w:rsidRDefault="00890385" w:rsidP="00CF2D8C">
            <w:pPr>
              <w:spacing w:after="120"/>
              <w:rPr>
                <w:sz w:val="20"/>
                <w:szCs w:val="20"/>
                <w:lang w:val="es-ES"/>
              </w:rPr>
            </w:pPr>
            <w:r w:rsidRPr="008F4B68">
              <w:rPr>
                <w:sz w:val="20"/>
                <w:szCs w:val="20"/>
                <w:lang w:val="es-ES"/>
              </w:rPr>
              <w:lastRenderedPageBreak/>
              <w:t xml:space="preserve">La financiación se aporta en </w:t>
            </w:r>
            <w:r w:rsidR="007B7911" w:rsidRPr="008F4B68">
              <w:rPr>
                <w:sz w:val="20"/>
                <w:szCs w:val="20"/>
                <w:lang w:val="es-ES"/>
              </w:rPr>
              <w:t>funció</w:t>
            </w:r>
            <w:r w:rsidRPr="008F4B68">
              <w:rPr>
                <w:sz w:val="20"/>
                <w:szCs w:val="20"/>
                <w:lang w:val="es-ES"/>
              </w:rPr>
              <w:t>n del volume</w:t>
            </w:r>
            <w:r w:rsidR="007B7911" w:rsidRPr="008F4B68">
              <w:rPr>
                <w:sz w:val="20"/>
                <w:szCs w:val="20"/>
                <w:lang w:val="es-ES"/>
              </w:rPr>
              <w:t>n</w:t>
            </w:r>
            <w:r w:rsidRPr="008F4B68">
              <w:rPr>
                <w:sz w:val="20"/>
                <w:szCs w:val="20"/>
                <w:lang w:val="es-ES"/>
              </w:rPr>
              <w:t xml:space="preserve"> de financiación general para los PGEH</w:t>
            </w:r>
            <w:r w:rsidR="001148A7" w:rsidRPr="008F4B68">
              <w:rPr>
                <w:sz w:val="20"/>
                <w:szCs w:val="20"/>
                <w:lang w:val="es-ES"/>
              </w:rPr>
              <w:t xml:space="preserve">, </w:t>
            </w:r>
            <w:r w:rsidRPr="008F4B68">
              <w:rPr>
                <w:sz w:val="20"/>
                <w:szCs w:val="20"/>
                <w:lang w:val="es-ES"/>
              </w:rPr>
              <w:t xml:space="preserve">habida cuenta del tipo de actividades a ejecutar durante las </w:t>
            </w:r>
            <w:r w:rsidR="009A1284" w:rsidRPr="008F4B68">
              <w:rPr>
                <w:sz w:val="20"/>
                <w:szCs w:val="20"/>
                <w:lang w:val="es-ES"/>
              </w:rPr>
              <w:t>etapa</w:t>
            </w:r>
            <w:r w:rsidRPr="008F4B68">
              <w:rPr>
                <w:sz w:val="20"/>
                <w:szCs w:val="20"/>
                <w:lang w:val="es-ES"/>
              </w:rPr>
              <w:t>s</w:t>
            </w:r>
            <w:r w:rsidR="009A1284" w:rsidRPr="008F4B68">
              <w:rPr>
                <w:sz w:val="20"/>
                <w:szCs w:val="20"/>
                <w:lang w:val="es-ES"/>
              </w:rPr>
              <w:t> </w:t>
            </w:r>
            <w:r w:rsidRPr="008F4B68">
              <w:rPr>
                <w:sz w:val="20"/>
                <w:szCs w:val="20"/>
                <w:lang w:val="es-ES"/>
              </w:rPr>
              <w:t>de los PGEH.</w:t>
            </w:r>
          </w:p>
          <w:p w:rsidR="001148A7" w:rsidRPr="008F4B68" w:rsidRDefault="00890385" w:rsidP="00CF2D8C">
            <w:pPr>
              <w:spacing w:after="120"/>
              <w:rPr>
                <w:sz w:val="20"/>
                <w:szCs w:val="20"/>
                <w:lang w:val="es-ES"/>
              </w:rPr>
            </w:pPr>
            <w:r w:rsidRPr="008F4B68">
              <w:rPr>
                <w:sz w:val="20"/>
                <w:szCs w:val="20"/>
                <w:lang w:val="es-ES"/>
              </w:rPr>
              <w:t xml:space="preserve">El nivel de financiación de la </w:t>
            </w:r>
            <w:r w:rsidR="00EE76D1" w:rsidRPr="008F4B68">
              <w:rPr>
                <w:sz w:val="20"/>
                <w:szCs w:val="20"/>
                <w:lang w:val="es-ES"/>
              </w:rPr>
              <w:t xml:space="preserve">Dependencia de gestión de proyectos </w:t>
            </w:r>
            <w:r w:rsidR="001148A7" w:rsidRPr="008F4B68">
              <w:rPr>
                <w:sz w:val="20"/>
                <w:szCs w:val="20"/>
                <w:lang w:val="es-ES"/>
              </w:rPr>
              <w:t xml:space="preserve"> </w:t>
            </w:r>
            <w:r w:rsidRPr="008F4B68">
              <w:rPr>
                <w:sz w:val="20"/>
                <w:szCs w:val="20"/>
                <w:lang w:val="es-ES"/>
              </w:rPr>
              <w:t>que se recomienda se atiene a los principios que siguen, a saber</w:t>
            </w:r>
            <w:r w:rsidR="001148A7" w:rsidRPr="008F4B68">
              <w:rPr>
                <w:sz w:val="20"/>
                <w:szCs w:val="20"/>
                <w:lang w:val="es-ES"/>
              </w:rPr>
              <w:t>:</w:t>
            </w:r>
          </w:p>
          <w:p w:rsidR="001148A7" w:rsidRPr="008F4B68" w:rsidRDefault="007B7911" w:rsidP="001148A7">
            <w:pPr>
              <w:pStyle w:val="ListParagraph"/>
              <w:numPr>
                <w:ilvl w:val="0"/>
                <w:numId w:val="32"/>
              </w:numPr>
              <w:ind w:left="142" w:hanging="142"/>
              <w:contextualSpacing w:val="0"/>
              <w:rPr>
                <w:sz w:val="20"/>
                <w:szCs w:val="20"/>
                <w:lang w:val="es-ES"/>
              </w:rPr>
            </w:pPr>
            <w:r w:rsidRPr="008F4B68">
              <w:rPr>
                <w:sz w:val="20"/>
                <w:szCs w:val="20"/>
                <w:lang w:val="es-ES"/>
              </w:rPr>
              <w:t>En el caso de los países que no son de bajo consumo</w:t>
            </w:r>
            <w:r w:rsidR="001148A7" w:rsidRPr="008F4B68">
              <w:rPr>
                <w:sz w:val="20"/>
                <w:szCs w:val="20"/>
                <w:lang w:val="es-ES"/>
              </w:rPr>
              <w:t xml:space="preserve">, </w:t>
            </w:r>
            <w:r w:rsidR="003A520F" w:rsidRPr="008F4B68">
              <w:rPr>
                <w:sz w:val="20"/>
                <w:szCs w:val="20"/>
                <w:lang w:val="es-ES"/>
              </w:rPr>
              <w:t>la financiación se calcula en una media del </w:t>
            </w:r>
            <w:r w:rsidR="001148A7" w:rsidRPr="008F4B68">
              <w:rPr>
                <w:sz w:val="20"/>
                <w:szCs w:val="20"/>
                <w:lang w:val="es-ES"/>
              </w:rPr>
              <w:t>5</w:t>
            </w:r>
            <w:r w:rsidR="001F7B07" w:rsidRPr="008F4B68">
              <w:rPr>
                <w:sz w:val="20"/>
                <w:szCs w:val="20"/>
                <w:lang w:val="es-ES"/>
              </w:rPr>
              <w:t> por ciento</w:t>
            </w:r>
            <w:r w:rsidR="003A520F" w:rsidRPr="008F4B68">
              <w:rPr>
                <w:sz w:val="20"/>
                <w:szCs w:val="20"/>
                <w:lang w:val="es-ES"/>
              </w:rPr>
              <w:t>,</w:t>
            </w:r>
            <w:r w:rsidR="001F7B07" w:rsidRPr="008F4B68">
              <w:rPr>
                <w:sz w:val="20"/>
                <w:szCs w:val="20"/>
                <w:lang w:val="es-ES"/>
              </w:rPr>
              <w:t> </w:t>
            </w:r>
            <w:r w:rsidR="003A520F" w:rsidRPr="008F4B68">
              <w:rPr>
                <w:sz w:val="20"/>
                <w:szCs w:val="20"/>
                <w:lang w:val="es-ES"/>
              </w:rPr>
              <w:t xml:space="preserve">no debiendo exceder un nivel máximo del </w:t>
            </w:r>
            <w:r w:rsidR="001148A7" w:rsidRPr="008F4B68">
              <w:rPr>
                <w:sz w:val="20"/>
                <w:szCs w:val="20"/>
                <w:lang w:val="es-ES"/>
              </w:rPr>
              <w:t>10</w:t>
            </w:r>
            <w:r w:rsidR="001F7B07" w:rsidRPr="008F4B68">
              <w:rPr>
                <w:sz w:val="20"/>
                <w:szCs w:val="20"/>
                <w:lang w:val="es-ES"/>
              </w:rPr>
              <w:t> por ciento </w:t>
            </w:r>
            <w:r w:rsidR="003A520F" w:rsidRPr="008F4B68">
              <w:rPr>
                <w:sz w:val="20"/>
                <w:szCs w:val="20"/>
                <w:lang w:val="es-ES"/>
              </w:rPr>
              <w:t xml:space="preserve"> del volumen de financiación </w:t>
            </w:r>
            <w:r w:rsidR="001148A7" w:rsidRPr="008F4B68">
              <w:rPr>
                <w:sz w:val="20"/>
                <w:szCs w:val="20"/>
                <w:lang w:val="es-ES"/>
              </w:rPr>
              <w:t xml:space="preserve">total </w:t>
            </w:r>
            <w:r w:rsidR="003A520F" w:rsidRPr="008F4B68">
              <w:rPr>
                <w:sz w:val="20"/>
                <w:szCs w:val="20"/>
                <w:lang w:val="es-ES"/>
              </w:rPr>
              <w:t xml:space="preserve">solicitado para el  </w:t>
            </w:r>
            <w:r w:rsidR="00890385" w:rsidRPr="008F4B68">
              <w:rPr>
                <w:sz w:val="20"/>
                <w:szCs w:val="20"/>
                <w:lang w:val="es-ES"/>
              </w:rPr>
              <w:t>PGEH</w:t>
            </w:r>
            <w:r w:rsidR="001148A7" w:rsidRPr="008F4B68">
              <w:rPr>
                <w:sz w:val="20"/>
                <w:szCs w:val="20"/>
                <w:lang w:val="es-ES"/>
              </w:rPr>
              <w:t xml:space="preserve">; </w:t>
            </w:r>
            <w:r w:rsidR="003A520F" w:rsidRPr="008F4B68">
              <w:rPr>
                <w:sz w:val="20"/>
                <w:szCs w:val="20"/>
                <w:lang w:val="es-ES"/>
              </w:rPr>
              <w:t xml:space="preserve">y </w:t>
            </w:r>
          </w:p>
          <w:p w:rsidR="001148A7" w:rsidRPr="008F4B68" w:rsidRDefault="003A520F" w:rsidP="001148A7">
            <w:pPr>
              <w:pStyle w:val="ListParagraph"/>
              <w:numPr>
                <w:ilvl w:val="0"/>
                <w:numId w:val="32"/>
              </w:numPr>
              <w:spacing w:after="120"/>
              <w:ind w:left="142" w:hanging="142"/>
              <w:contextualSpacing w:val="0"/>
              <w:rPr>
                <w:sz w:val="20"/>
                <w:szCs w:val="20"/>
                <w:lang w:val="es-ES"/>
              </w:rPr>
            </w:pPr>
            <w:r w:rsidRPr="008F4B68">
              <w:rPr>
                <w:sz w:val="20"/>
                <w:szCs w:val="20"/>
                <w:lang w:val="es-ES"/>
              </w:rPr>
              <w:t xml:space="preserve">En el caso de los </w:t>
            </w:r>
            <w:r w:rsidR="007B7911" w:rsidRPr="008F4B68">
              <w:rPr>
                <w:sz w:val="20"/>
                <w:szCs w:val="20"/>
                <w:lang w:val="es-ES"/>
              </w:rPr>
              <w:t xml:space="preserve">países que </w:t>
            </w:r>
            <w:r w:rsidRPr="008F4B68">
              <w:rPr>
                <w:sz w:val="20"/>
                <w:szCs w:val="20"/>
                <w:lang w:val="es-ES"/>
              </w:rPr>
              <w:t xml:space="preserve">sí </w:t>
            </w:r>
            <w:r w:rsidR="007B7911" w:rsidRPr="008F4B68">
              <w:rPr>
                <w:sz w:val="20"/>
                <w:szCs w:val="20"/>
                <w:lang w:val="es-ES"/>
              </w:rPr>
              <w:t>son de bajo consumo</w:t>
            </w:r>
            <w:r w:rsidR="001148A7" w:rsidRPr="008F4B68">
              <w:rPr>
                <w:sz w:val="20"/>
                <w:szCs w:val="20"/>
                <w:lang w:val="es-ES"/>
              </w:rPr>
              <w:t xml:space="preserve">, </w:t>
            </w:r>
            <w:r w:rsidRPr="008F4B68">
              <w:rPr>
                <w:sz w:val="20"/>
                <w:szCs w:val="20"/>
                <w:lang w:val="es-ES"/>
              </w:rPr>
              <w:t xml:space="preserve">la </w:t>
            </w:r>
            <w:r w:rsidR="00E926A9" w:rsidRPr="008F4B68">
              <w:rPr>
                <w:sz w:val="20"/>
                <w:szCs w:val="20"/>
                <w:lang w:val="es-ES"/>
              </w:rPr>
              <w:t>supervisión</w:t>
            </w:r>
            <w:r w:rsidRPr="008F4B68">
              <w:rPr>
                <w:sz w:val="20"/>
                <w:szCs w:val="20"/>
                <w:lang w:val="es-ES"/>
              </w:rPr>
              <w:t xml:space="preserve"> y coordinación del proyecto se integra como parte de la financiación admisible </w:t>
            </w:r>
            <w:r w:rsidRPr="008F4B68">
              <w:rPr>
                <w:sz w:val="20"/>
                <w:szCs w:val="20"/>
                <w:lang w:val="es-ES"/>
              </w:rPr>
              <w:lastRenderedPageBreak/>
              <w:t>correspondiente cada país de bajo consumo</w:t>
            </w:r>
            <w:r w:rsidR="001148A7" w:rsidRPr="008F4B68">
              <w:rPr>
                <w:rStyle w:val="FootnoteReference"/>
                <w:sz w:val="20"/>
                <w:szCs w:val="20"/>
                <w:lang w:val="es-ES"/>
              </w:rPr>
              <w:footnoteReference w:id="8"/>
            </w:r>
            <w:r w:rsidR="001148A7" w:rsidRPr="008F4B68">
              <w:rPr>
                <w:sz w:val="20"/>
                <w:szCs w:val="20"/>
                <w:lang w:val="es-ES"/>
              </w:rPr>
              <w:t xml:space="preserve">, </w:t>
            </w:r>
            <w:r w:rsidRPr="008F4B68">
              <w:rPr>
                <w:sz w:val="20"/>
                <w:szCs w:val="20"/>
                <w:lang w:val="es-ES"/>
              </w:rPr>
              <w:t xml:space="preserve">sin que la asignación supere el </w:t>
            </w:r>
            <w:r w:rsidR="001148A7" w:rsidRPr="008F4B68">
              <w:rPr>
                <w:sz w:val="20"/>
                <w:szCs w:val="20"/>
                <w:lang w:val="es-ES"/>
              </w:rPr>
              <w:t>20</w:t>
            </w:r>
            <w:r w:rsidR="001F7B07" w:rsidRPr="008F4B68">
              <w:rPr>
                <w:sz w:val="20"/>
                <w:szCs w:val="20"/>
                <w:lang w:val="es-ES"/>
              </w:rPr>
              <w:t> por ciento </w:t>
            </w:r>
            <w:r w:rsidRPr="008F4B68">
              <w:rPr>
                <w:sz w:val="20"/>
                <w:szCs w:val="20"/>
                <w:lang w:val="es-ES"/>
              </w:rPr>
              <w:t xml:space="preserve">de esta financiación total en cada </w:t>
            </w:r>
            <w:r w:rsidR="009A1284" w:rsidRPr="008F4B68">
              <w:rPr>
                <w:sz w:val="20"/>
                <w:szCs w:val="20"/>
                <w:lang w:val="es-ES"/>
              </w:rPr>
              <w:t>etapa </w:t>
            </w:r>
            <w:r w:rsidRPr="008F4B68">
              <w:rPr>
                <w:sz w:val="20"/>
                <w:szCs w:val="20"/>
                <w:lang w:val="es-ES"/>
              </w:rPr>
              <w:t>del</w:t>
            </w:r>
            <w:r w:rsidR="001148A7" w:rsidRPr="008F4B68">
              <w:rPr>
                <w:sz w:val="20"/>
                <w:szCs w:val="20"/>
                <w:lang w:val="es-ES"/>
              </w:rPr>
              <w:t xml:space="preserve"> </w:t>
            </w:r>
            <w:r w:rsidR="00890385" w:rsidRPr="008F4B68">
              <w:rPr>
                <w:sz w:val="20"/>
                <w:szCs w:val="20"/>
                <w:lang w:val="es-ES"/>
              </w:rPr>
              <w:t>PGEH</w:t>
            </w:r>
          </w:p>
          <w:p w:rsidR="001148A7" w:rsidRPr="008F4B68" w:rsidRDefault="003A520F" w:rsidP="003A520F">
            <w:pPr>
              <w:spacing w:after="120"/>
              <w:rPr>
                <w:sz w:val="20"/>
                <w:szCs w:val="20"/>
                <w:lang w:val="es-ES"/>
              </w:rPr>
            </w:pPr>
            <w:r w:rsidRPr="008F4B68">
              <w:rPr>
                <w:sz w:val="20"/>
                <w:szCs w:val="20"/>
                <w:lang w:val="es-ES"/>
              </w:rPr>
              <w:t xml:space="preserve">A diferencia de FI, el país goza de la flexibilidad para reasignar la financiación aprobada para las </w:t>
            </w:r>
            <w:r w:rsidR="00EE76D1" w:rsidRPr="008F4B68">
              <w:rPr>
                <w:sz w:val="20"/>
                <w:szCs w:val="20"/>
                <w:lang w:val="es-ES"/>
              </w:rPr>
              <w:t xml:space="preserve">Dependencia de gestión de proyectos </w:t>
            </w:r>
            <w:r w:rsidRPr="008F4B68">
              <w:rPr>
                <w:sz w:val="20"/>
                <w:szCs w:val="20"/>
                <w:lang w:val="es-ES"/>
              </w:rPr>
              <w:t>a fin de que realicen actividades de eliminación</w:t>
            </w:r>
            <w:r w:rsidR="001148A7" w:rsidRPr="008F4B68">
              <w:rPr>
                <w:sz w:val="20"/>
                <w:szCs w:val="20"/>
                <w:lang w:val="es-ES"/>
              </w:rPr>
              <w:t xml:space="preserve">. </w:t>
            </w:r>
            <w:r w:rsidRPr="008F4B68">
              <w:rPr>
                <w:sz w:val="20"/>
                <w:szCs w:val="20"/>
                <w:lang w:val="es-ES"/>
              </w:rPr>
              <w:t xml:space="preserve"> Sin embargo, los desembolsos para la </w:t>
            </w:r>
            <w:r w:rsidR="00EE76D1" w:rsidRPr="008F4B68">
              <w:rPr>
                <w:sz w:val="20"/>
                <w:szCs w:val="20"/>
                <w:lang w:val="es-ES"/>
              </w:rPr>
              <w:t xml:space="preserve">Dependencia de gestión de proyectos </w:t>
            </w:r>
            <w:r w:rsidRPr="008F4B68">
              <w:rPr>
                <w:sz w:val="20"/>
                <w:szCs w:val="20"/>
                <w:lang w:val="es-ES"/>
              </w:rPr>
              <w:t>por parte del organismo de ejecución habrá</w:t>
            </w:r>
            <w:r w:rsidR="00F850D2" w:rsidRPr="008F4B68">
              <w:rPr>
                <w:sz w:val="20"/>
                <w:szCs w:val="20"/>
                <w:lang w:val="es-ES"/>
              </w:rPr>
              <w:t>n</w:t>
            </w:r>
            <w:r w:rsidRPr="008F4B68">
              <w:rPr>
                <w:sz w:val="20"/>
                <w:szCs w:val="20"/>
                <w:lang w:val="es-ES"/>
              </w:rPr>
              <w:t xml:space="preserve"> de alcanzar el máximo del volumen de financiación aprobado.</w:t>
            </w:r>
          </w:p>
        </w:tc>
      </w:tr>
      <w:tr w:rsidR="001148A7" w:rsidRPr="005B28DC" w:rsidTr="00CF2D8C">
        <w:tc>
          <w:tcPr>
            <w:tcW w:w="1435" w:type="dxa"/>
          </w:tcPr>
          <w:p w:rsidR="001148A7" w:rsidRPr="008F4B68" w:rsidRDefault="00127A89" w:rsidP="00127A89">
            <w:pPr>
              <w:jc w:val="left"/>
              <w:rPr>
                <w:sz w:val="20"/>
                <w:szCs w:val="20"/>
                <w:lang w:val="es-ES"/>
              </w:rPr>
            </w:pPr>
            <w:r w:rsidRPr="008F4B68">
              <w:rPr>
                <w:sz w:val="20"/>
                <w:szCs w:val="20"/>
                <w:lang w:val="es-ES"/>
              </w:rPr>
              <w:lastRenderedPageBreak/>
              <w:t>Organismos b</w:t>
            </w:r>
            <w:r w:rsidR="001148A7" w:rsidRPr="008F4B68">
              <w:rPr>
                <w:sz w:val="20"/>
                <w:szCs w:val="20"/>
                <w:lang w:val="es-ES"/>
              </w:rPr>
              <w:t>ilateral</w:t>
            </w:r>
            <w:r w:rsidRPr="008F4B68">
              <w:rPr>
                <w:sz w:val="20"/>
                <w:szCs w:val="20"/>
                <w:lang w:val="es-ES"/>
              </w:rPr>
              <w:t>es</w:t>
            </w:r>
            <w:r w:rsidR="001148A7" w:rsidRPr="008F4B68">
              <w:rPr>
                <w:sz w:val="20"/>
                <w:szCs w:val="20"/>
                <w:lang w:val="es-ES"/>
              </w:rPr>
              <w:t xml:space="preserve"> / </w:t>
            </w:r>
            <w:r w:rsidRPr="008F4B68">
              <w:rPr>
                <w:sz w:val="20"/>
                <w:szCs w:val="20"/>
                <w:lang w:val="es-ES"/>
              </w:rPr>
              <w:t>de ejecución</w:t>
            </w:r>
          </w:p>
        </w:tc>
        <w:tc>
          <w:tcPr>
            <w:tcW w:w="4514" w:type="dxa"/>
            <w:tcMar>
              <w:left w:w="43" w:type="dxa"/>
              <w:right w:w="43" w:type="dxa"/>
            </w:tcMar>
          </w:tcPr>
          <w:p w:rsidR="001148A7" w:rsidRPr="008F4B68" w:rsidRDefault="00174732" w:rsidP="00CF2D8C">
            <w:pPr>
              <w:pStyle w:val="Heading1"/>
              <w:numPr>
                <w:ilvl w:val="0"/>
                <w:numId w:val="0"/>
              </w:numPr>
              <w:spacing w:after="120"/>
              <w:outlineLvl w:val="0"/>
              <w:rPr>
                <w:snapToGrid w:val="0"/>
                <w:sz w:val="20"/>
                <w:szCs w:val="20"/>
                <w:lang w:val="es-ES"/>
              </w:rPr>
            </w:pPr>
            <w:r w:rsidRPr="008F4B68">
              <w:rPr>
                <w:snapToGrid w:val="0"/>
                <w:sz w:val="20"/>
                <w:szCs w:val="20"/>
                <w:lang w:val="es-ES"/>
              </w:rPr>
              <w:t xml:space="preserve">Las funciones y responsabilidades de </w:t>
            </w:r>
            <w:r w:rsidR="006A5484" w:rsidRPr="008F4B68">
              <w:rPr>
                <w:snapToGrid w:val="0"/>
                <w:sz w:val="20"/>
                <w:szCs w:val="20"/>
                <w:lang w:val="es-ES"/>
              </w:rPr>
              <w:t>los organismos bilaterales y de ejecución</w:t>
            </w:r>
            <w:r w:rsidR="001148A7" w:rsidRPr="008F4B68">
              <w:rPr>
                <w:snapToGrid w:val="0"/>
                <w:sz w:val="20"/>
                <w:szCs w:val="20"/>
                <w:lang w:val="es-ES"/>
              </w:rPr>
              <w:t xml:space="preserve"> </w:t>
            </w:r>
            <w:r w:rsidRPr="008F4B68">
              <w:rPr>
                <w:snapToGrid w:val="0"/>
                <w:sz w:val="20"/>
                <w:szCs w:val="20"/>
                <w:lang w:val="es-ES"/>
              </w:rPr>
              <w:t xml:space="preserve">respecto de </w:t>
            </w:r>
            <w:r w:rsidR="009A1284" w:rsidRPr="008F4B68">
              <w:rPr>
                <w:snapToGrid w:val="0"/>
                <w:sz w:val="20"/>
                <w:szCs w:val="20"/>
                <w:lang w:val="es-ES"/>
              </w:rPr>
              <w:t>los PGEH</w:t>
            </w:r>
            <w:r w:rsidR="001148A7" w:rsidRPr="008F4B68">
              <w:rPr>
                <w:snapToGrid w:val="0"/>
                <w:sz w:val="20"/>
                <w:szCs w:val="20"/>
                <w:lang w:val="es-ES"/>
              </w:rPr>
              <w:t xml:space="preserve"> </w:t>
            </w:r>
            <w:r w:rsidRPr="008F4B68">
              <w:rPr>
                <w:snapToGrid w:val="0"/>
                <w:sz w:val="20"/>
                <w:szCs w:val="20"/>
                <w:lang w:val="es-ES"/>
              </w:rPr>
              <w:t>se describen en el a</w:t>
            </w:r>
            <w:r w:rsidR="001148A7" w:rsidRPr="008F4B68">
              <w:rPr>
                <w:snapToGrid w:val="0"/>
                <w:sz w:val="20"/>
                <w:szCs w:val="20"/>
                <w:lang w:val="es-ES"/>
              </w:rPr>
              <w:t>p</w:t>
            </w:r>
            <w:r w:rsidRPr="008F4B68">
              <w:rPr>
                <w:snapToGrid w:val="0"/>
                <w:sz w:val="20"/>
                <w:szCs w:val="20"/>
                <w:lang w:val="es-ES"/>
              </w:rPr>
              <w:t>é</w:t>
            </w:r>
            <w:r w:rsidR="001148A7" w:rsidRPr="008F4B68">
              <w:rPr>
                <w:snapToGrid w:val="0"/>
                <w:sz w:val="20"/>
                <w:szCs w:val="20"/>
                <w:lang w:val="es-ES"/>
              </w:rPr>
              <w:t>ndi</w:t>
            </w:r>
            <w:r w:rsidRPr="008F4B68">
              <w:rPr>
                <w:snapToGrid w:val="0"/>
                <w:sz w:val="20"/>
                <w:szCs w:val="20"/>
                <w:lang w:val="es-ES"/>
              </w:rPr>
              <w:t>ce</w:t>
            </w:r>
            <w:r w:rsidR="001148A7" w:rsidRPr="008F4B68">
              <w:rPr>
                <w:snapToGrid w:val="0"/>
                <w:sz w:val="20"/>
                <w:szCs w:val="20"/>
                <w:lang w:val="es-ES"/>
              </w:rPr>
              <w:t xml:space="preserve"> 6 </w:t>
            </w:r>
            <w:r w:rsidRPr="008F4B68">
              <w:rPr>
                <w:snapToGrid w:val="0"/>
                <w:sz w:val="20"/>
                <w:szCs w:val="20"/>
                <w:lang w:val="es-ES"/>
              </w:rPr>
              <w:t>del Acuerdo</w:t>
            </w:r>
            <w:r w:rsidR="001148A7" w:rsidRPr="008F4B68">
              <w:rPr>
                <w:snapToGrid w:val="0"/>
                <w:sz w:val="20"/>
                <w:szCs w:val="20"/>
                <w:lang w:val="es-ES"/>
              </w:rPr>
              <w:t xml:space="preserve">. </w:t>
            </w:r>
            <w:r w:rsidRPr="008F4B68">
              <w:rPr>
                <w:snapToGrid w:val="0"/>
                <w:sz w:val="20"/>
                <w:szCs w:val="20"/>
                <w:lang w:val="es-ES"/>
              </w:rPr>
              <w:t xml:space="preserve"> Se incluye en ellas</w:t>
            </w:r>
            <w:r w:rsidR="001148A7" w:rsidRPr="008F4B68">
              <w:rPr>
                <w:snapToGrid w:val="0"/>
                <w:sz w:val="20"/>
                <w:szCs w:val="20"/>
                <w:lang w:val="es-ES"/>
              </w:rPr>
              <w:t>:</w:t>
            </w:r>
          </w:p>
          <w:p w:rsidR="001148A7" w:rsidRPr="008F4B68" w:rsidRDefault="00174732" w:rsidP="001148A7">
            <w:pPr>
              <w:pStyle w:val="Heading1"/>
              <w:numPr>
                <w:ilvl w:val="0"/>
                <w:numId w:val="34"/>
              </w:numPr>
              <w:spacing w:after="120"/>
              <w:ind w:left="144" w:hanging="144"/>
              <w:outlineLvl w:val="0"/>
              <w:rPr>
                <w:snapToGrid w:val="0"/>
                <w:sz w:val="20"/>
                <w:szCs w:val="20"/>
                <w:lang w:val="es-ES"/>
              </w:rPr>
            </w:pPr>
            <w:r w:rsidRPr="008F4B68">
              <w:rPr>
                <w:snapToGrid w:val="0"/>
                <w:sz w:val="20"/>
                <w:szCs w:val="20"/>
                <w:u w:val="single"/>
                <w:lang w:val="es-ES"/>
              </w:rPr>
              <w:t>El organism</w:t>
            </w:r>
            <w:r w:rsidR="00A23B86" w:rsidRPr="008F4B68">
              <w:rPr>
                <w:snapToGrid w:val="0"/>
                <w:sz w:val="20"/>
                <w:szCs w:val="20"/>
                <w:u w:val="single"/>
                <w:lang w:val="es-ES"/>
              </w:rPr>
              <w:t>o</w:t>
            </w:r>
            <w:r w:rsidRPr="008F4B68">
              <w:rPr>
                <w:snapToGrid w:val="0"/>
                <w:sz w:val="20"/>
                <w:szCs w:val="20"/>
                <w:u w:val="single"/>
                <w:lang w:val="es-ES"/>
              </w:rPr>
              <w:t xml:space="preserve"> director o principal</w:t>
            </w:r>
            <w:r w:rsidR="001148A7" w:rsidRPr="008F4B68">
              <w:rPr>
                <w:snapToGrid w:val="0"/>
                <w:sz w:val="20"/>
                <w:szCs w:val="20"/>
                <w:lang w:val="es-ES"/>
              </w:rPr>
              <w:t xml:space="preserve">: </w:t>
            </w:r>
            <w:r w:rsidR="00A23B86" w:rsidRPr="008F4B68">
              <w:rPr>
                <w:snapToGrid w:val="0"/>
                <w:sz w:val="20"/>
                <w:szCs w:val="20"/>
                <w:lang w:val="es-ES"/>
              </w:rPr>
              <w:t xml:space="preserve">cerciorándose del desempeño y de la verificación financiera de conformidad con los Acuerdos y con los procedimientos y prescripciones internos específicos </w:t>
            </w:r>
            <w:r w:rsidR="001148A7" w:rsidRPr="008F4B68">
              <w:rPr>
                <w:snapToGrid w:val="0"/>
                <w:sz w:val="20"/>
                <w:szCs w:val="20"/>
                <w:lang w:val="es-ES"/>
              </w:rPr>
              <w:t>(</w:t>
            </w:r>
            <w:r w:rsidR="00A23B86" w:rsidRPr="008F4B68">
              <w:rPr>
                <w:snapToGrid w:val="0"/>
                <w:sz w:val="20"/>
                <w:szCs w:val="20"/>
                <w:lang w:val="es-ES"/>
              </w:rPr>
              <w:t xml:space="preserve">exceptuando en </w:t>
            </w:r>
            <w:r w:rsidR="001148A7" w:rsidRPr="008F4B68">
              <w:rPr>
                <w:sz w:val="20"/>
                <w:szCs w:val="20"/>
                <w:lang w:val="es-ES"/>
              </w:rPr>
              <w:t>China</w:t>
            </w:r>
            <w:r w:rsidR="00A23B86" w:rsidRPr="008F4B68">
              <w:rPr>
                <w:sz w:val="20"/>
                <w:szCs w:val="20"/>
                <w:lang w:val="es-ES"/>
              </w:rPr>
              <w:t>, donde la verificación de los desempeños la efectúa el</w:t>
            </w:r>
            <w:r w:rsidR="009A1284" w:rsidRPr="008F4B68">
              <w:rPr>
                <w:sz w:val="20"/>
                <w:szCs w:val="20"/>
                <w:lang w:val="es-ES"/>
              </w:rPr>
              <w:t> Banco </w:t>
            </w:r>
            <w:r w:rsidR="001F7B07" w:rsidRPr="008F4B68">
              <w:rPr>
                <w:sz w:val="20"/>
                <w:szCs w:val="20"/>
                <w:lang w:val="es-ES"/>
              </w:rPr>
              <w:t>Mundial</w:t>
            </w:r>
            <w:r w:rsidR="001148A7" w:rsidRPr="008F4B68">
              <w:rPr>
                <w:sz w:val="20"/>
                <w:szCs w:val="20"/>
                <w:lang w:val="es-ES"/>
              </w:rPr>
              <w:t>)</w:t>
            </w:r>
            <w:r w:rsidR="001148A7" w:rsidRPr="008F4B68">
              <w:rPr>
                <w:snapToGrid w:val="0"/>
                <w:sz w:val="20"/>
                <w:szCs w:val="20"/>
                <w:lang w:val="es-ES"/>
              </w:rPr>
              <w:t xml:space="preserve">; </w:t>
            </w:r>
            <w:r w:rsidR="00A23B86" w:rsidRPr="008F4B68">
              <w:rPr>
                <w:snapToGrid w:val="0"/>
                <w:sz w:val="20"/>
                <w:szCs w:val="20"/>
                <w:lang w:val="es-ES"/>
              </w:rPr>
              <w:t>preparación de los informes sobre la marcha de las actividades de los anteriores tramos de financiación y planos de acción para el próximo tramo de financiación</w:t>
            </w:r>
            <w:r w:rsidR="001148A7" w:rsidRPr="008F4B68">
              <w:rPr>
                <w:snapToGrid w:val="0"/>
                <w:sz w:val="20"/>
                <w:szCs w:val="20"/>
                <w:lang w:val="es-ES"/>
              </w:rPr>
              <w:t>;</w:t>
            </w:r>
            <w:r w:rsidR="00A23B86" w:rsidRPr="008F4B68">
              <w:rPr>
                <w:snapToGrid w:val="0"/>
                <w:sz w:val="20"/>
                <w:szCs w:val="20"/>
                <w:lang w:val="es-ES"/>
              </w:rPr>
              <w:t xml:space="preserve"> verificación independiente de que los objetivos de eliminación se han cumplido y de que las actividades relativas al tramo en cuestión se han culminado</w:t>
            </w:r>
            <w:r w:rsidR="001148A7" w:rsidRPr="008F4B68">
              <w:rPr>
                <w:snapToGrid w:val="0"/>
                <w:sz w:val="20"/>
                <w:szCs w:val="20"/>
                <w:lang w:val="es-ES"/>
              </w:rPr>
              <w:t xml:space="preserve">; </w:t>
            </w:r>
            <w:r w:rsidR="00A23B86" w:rsidRPr="008F4B68">
              <w:rPr>
                <w:snapToGrid w:val="0"/>
                <w:sz w:val="20"/>
                <w:szCs w:val="20"/>
                <w:lang w:val="es-ES"/>
              </w:rPr>
              <w:t>cumplimiento de las prescripciones de notificación de los informes sobre la marcha de las actividades y los planes generales</w:t>
            </w:r>
            <w:r w:rsidR="001148A7" w:rsidRPr="008F4B68">
              <w:rPr>
                <w:snapToGrid w:val="0"/>
                <w:sz w:val="20"/>
                <w:szCs w:val="20"/>
                <w:lang w:val="es-ES"/>
              </w:rPr>
              <w:t xml:space="preserve">; </w:t>
            </w:r>
            <w:r w:rsidR="00A23B86" w:rsidRPr="008F4B68">
              <w:rPr>
                <w:snapToGrid w:val="0"/>
                <w:sz w:val="20"/>
                <w:szCs w:val="20"/>
                <w:lang w:val="es-ES"/>
              </w:rPr>
              <w:t>cerciorándose de que los peritos técnicos independientes efectúan los exámenes técnic</w:t>
            </w:r>
            <w:r w:rsidR="00127A89" w:rsidRPr="008F4B68">
              <w:rPr>
                <w:snapToGrid w:val="0"/>
                <w:sz w:val="20"/>
                <w:szCs w:val="20"/>
                <w:lang w:val="es-ES"/>
              </w:rPr>
              <w:t>os</w:t>
            </w:r>
            <w:r w:rsidR="001148A7" w:rsidRPr="008F4B68">
              <w:rPr>
                <w:snapToGrid w:val="0"/>
                <w:sz w:val="20"/>
                <w:szCs w:val="20"/>
                <w:lang w:val="es-ES"/>
              </w:rPr>
              <w:t xml:space="preserve">; </w:t>
            </w:r>
            <w:r w:rsidR="00127A89" w:rsidRPr="008F4B68">
              <w:rPr>
                <w:snapToGrid w:val="0"/>
                <w:sz w:val="20"/>
                <w:szCs w:val="20"/>
                <w:lang w:val="es-ES"/>
              </w:rPr>
              <w:t>realización de las misiones de supervisión</w:t>
            </w:r>
            <w:r w:rsidR="001148A7" w:rsidRPr="008F4B68">
              <w:rPr>
                <w:snapToGrid w:val="0"/>
                <w:sz w:val="20"/>
                <w:szCs w:val="20"/>
                <w:lang w:val="es-ES"/>
              </w:rPr>
              <w:t xml:space="preserve">; </w:t>
            </w:r>
            <w:r w:rsidR="00127A89" w:rsidRPr="008F4B68">
              <w:rPr>
                <w:snapToGrid w:val="0"/>
                <w:sz w:val="20"/>
                <w:szCs w:val="20"/>
                <w:lang w:val="es-ES"/>
              </w:rPr>
              <w:t>cerciorándose de que el mecanismo en vigor y funcionamiento permite la ejecución eficaz y transparente del plan de eliminación y de la notificación precisa de los datos</w:t>
            </w:r>
            <w:r w:rsidR="001148A7" w:rsidRPr="008F4B68">
              <w:rPr>
                <w:snapToGrid w:val="0"/>
                <w:sz w:val="20"/>
                <w:szCs w:val="20"/>
                <w:lang w:val="es-ES"/>
              </w:rPr>
              <w:t xml:space="preserve">; </w:t>
            </w:r>
            <w:r w:rsidR="00127A89" w:rsidRPr="008F4B68">
              <w:rPr>
                <w:snapToGrid w:val="0"/>
                <w:sz w:val="20"/>
                <w:szCs w:val="20"/>
                <w:lang w:val="es-ES"/>
              </w:rPr>
              <w:t>así como de las políticas-normativas, gestión y apoyo técnico.</w:t>
            </w:r>
          </w:p>
          <w:p w:rsidR="001148A7" w:rsidRPr="008F4B68" w:rsidRDefault="00127A89" w:rsidP="001148A7">
            <w:pPr>
              <w:pStyle w:val="Heading1"/>
              <w:numPr>
                <w:ilvl w:val="0"/>
                <w:numId w:val="34"/>
              </w:numPr>
              <w:spacing w:after="0"/>
              <w:ind w:left="144" w:hanging="144"/>
              <w:outlineLvl w:val="0"/>
              <w:rPr>
                <w:snapToGrid w:val="0"/>
                <w:sz w:val="20"/>
                <w:szCs w:val="20"/>
                <w:lang w:val="es-ES"/>
              </w:rPr>
            </w:pPr>
            <w:r w:rsidRPr="008F4B68">
              <w:rPr>
                <w:snapToGrid w:val="0"/>
                <w:sz w:val="20"/>
                <w:szCs w:val="20"/>
                <w:u w:val="single"/>
                <w:lang w:val="es-ES"/>
              </w:rPr>
              <w:t>Organismo cooperante</w:t>
            </w:r>
            <w:r w:rsidR="001148A7" w:rsidRPr="008F4B68">
              <w:rPr>
                <w:snapToGrid w:val="0"/>
                <w:sz w:val="20"/>
                <w:szCs w:val="20"/>
                <w:lang w:val="es-ES"/>
              </w:rPr>
              <w:t xml:space="preserve">: </w:t>
            </w:r>
            <w:r w:rsidRPr="008F4B68">
              <w:rPr>
                <w:snapToGrid w:val="0"/>
                <w:sz w:val="20"/>
                <w:szCs w:val="20"/>
                <w:lang w:val="es-ES"/>
              </w:rPr>
              <w:t xml:space="preserve">provisión de asistencia en las políticas-normativas, gestión y apoyo técnico cuando se requiera, como es el caso del párrafo </w:t>
            </w:r>
            <w:r w:rsidR="001148A7" w:rsidRPr="008F4B68">
              <w:rPr>
                <w:noProof/>
                <w:sz w:val="20"/>
                <w:szCs w:val="20"/>
                <w:lang w:val="es-ES"/>
              </w:rPr>
              <w:t>1</w:t>
            </w:r>
            <w:r w:rsidRPr="008F4B68">
              <w:rPr>
                <w:noProof/>
                <w:sz w:val="20"/>
                <w:szCs w:val="20"/>
                <w:lang w:val="es-ES"/>
              </w:rPr>
              <w:t> </w:t>
            </w:r>
            <w:r w:rsidR="001148A7" w:rsidRPr="008F4B68">
              <w:rPr>
                <w:noProof/>
                <w:sz w:val="20"/>
                <w:szCs w:val="20"/>
                <w:lang w:val="es-ES"/>
              </w:rPr>
              <w:t xml:space="preserve">m) </w:t>
            </w:r>
            <w:r w:rsidRPr="008F4B68">
              <w:rPr>
                <w:noProof/>
                <w:sz w:val="20"/>
                <w:szCs w:val="20"/>
                <w:lang w:val="es-ES"/>
              </w:rPr>
              <w:t xml:space="preserve">del apéndice </w:t>
            </w:r>
            <w:r w:rsidR="001148A7" w:rsidRPr="008F4B68">
              <w:rPr>
                <w:noProof/>
                <w:sz w:val="20"/>
                <w:szCs w:val="20"/>
                <w:lang w:val="es-ES"/>
              </w:rPr>
              <w:t>5-A</w:t>
            </w:r>
            <w:r w:rsidR="001148A7" w:rsidRPr="008F4B68">
              <w:rPr>
                <w:snapToGrid w:val="0"/>
                <w:sz w:val="20"/>
                <w:szCs w:val="20"/>
                <w:lang w:val="es-ES"/>
              </w:rPr>
              <w:t xml:space="preserve">; </w:t>
            </w:r>
            <w:r w:rsidRPr="008F4B68">
              <w:rPr>
                <w:snapToGrid w:val="0"/>
                <w:sz w:val="20"/>
                <w:szCs w:val="20"/>
                <w:lang w:val="es-ES"/>
              </w:rPr>
              <w:t>ejecución y evaluación de las actividades financiadas por el organismo cooperante al tiempo que se remite al organismo director para asegurar la secuencia coordinada de las actividades</w:t>
            </w:r>
            <w:r w:rsidR="001148A7" w:rsidRPr="008F4B68">
              <w:rPr>
                <w:snapToGrid w:val="0"/>
                <w:sz w:val="20"/>
                <w:szCs w:val="20"/>
                <w:lang w:val="es-ES"/>
              </w:rPr>
              <w:t xml:space="preserve">; </w:t>
            </w:r>
            <w:r w:rsidRPr="008F4B68">
              <w:rPr>
                <w:snapToGrid w:val="0"/>
                <w:sz w:val="20"/>
                <w:szCs w:val="20"/>
                <w:lang w:val="es-ES"/>
              </w:rPr>
              <w:t>y lograr un consenso con el organismo director de la ejecución respecto de los arreglos de planificación</w:t>
            </w:r>
            <w:r w:rsidR="001148A7" w:rsidRPr="008F4B68">
              <w:rPr>
                <w:snapToGrid w:val="0"/>
                <w:sz w:val="20"/>
                <w:szCs w:val="20"/>
                <w:lang w:val="es-ES"/>
              </w:rPr>
              <w:t>, coordina</w:t>
            </w:r>
            <w:r w:rsidRPr="008F4B68">
              <w:rPr>
                <w:snapToGrid w:val="0"/>
                <w:sz w:val="20"/>
                <w:szCs w:val="20"/>
                <w:lang w:val="es-ES"/>
              </w:rPr>
              <w:t>ción y notificación para facilitar la implantación del plan.</w:t>
            </w:r>
          </w:p>
          <w:p w:rsidR="001148A7" w:rsidRPr="008F4B68" w:rsidRDefault="001148A7" w:rsidP="0063588D">
            <w:pPr>
              <w:pStyle w:val="Heading1"/>
              <w:numPr>
                <w:ilvl w:val="0"/>
                <w:numId w:val="34"/>
              </w:numPr>
              <w:spacing w:after="0"/>
              <w:ind w:left="144" w:hanging="144"/>
              <w:outlineLvl w:val="0"/>
              <w:rPr>
                <w:snapToGrid w:val="0"/>
                <w:sz w:val="20"/>
                <w:szCs w:val="20"/>
                <w:lang w:val="es-ES"/>
              </w:rPr>
            </w:pPr>
            <w:r w:rsidRPr="008F4B68">
              <w:rPr>
                <w:snapToGrid w:val="0"/>
                <w:sz w:val="20"/>
                <w:szCs w:val="20"/>
                <w:u w:val="single"/>
                <w:lang w:val="es-ES"/>
              </w:rPr>
              <w:t>Verifica</w:t>
            </w:r>
            <w:r w:rsidR="00127A89" w:rsidRPr="008F4B68">
              <w:rPr>
                <w:snapToGrid w:val="0"/>
                <w:sz w:val="20"/>
                <w:szCs w:val="20"/>
                <w:u w:val="single"/>
                <w:lang w:val="es-ES"/>
              </w:rPr>
              <w:t>ción</w:t>
            </w:r>
            <w:r w:rsidRPr="008F4B68">
              <w:rPr>
                <w:snapToGrid w:val="0"/>
                <w:sz w:val="20"/>
                <w:szCs w:val="20"/>
                <w:lang w:val="es-ES"/>
              </w:rPr>
              <w:t xml:space="preserve">: </w:t>
            </w:r>
            <w:r w:rsidR="00355317" w:rsidRPr="008F4B68">
              <w:rPr>
                <w:snapToGrid w:val="0"/>
                <w:sz w:val="20"/>
                <w:szCs w:val="20"/>
                <w:lang w:val="es-ES"/>
              </w:rPr>
              <w:t xml:space="preserve">Además de servir para confirmar el </w:t>
            </w:r>
            <w:r w:rsidR="00355317" w:rsidRPr="008F4B68">
              <w:rPr>
                <w:snapToGrid w:val="0"/>
                <w:sz w:val="20"/>
                <w:szCs w:val="20"/>
                <w:lang w:val="es-ES"/>
              </w:rPr>
              <w:lastRenderedPageBreak/>
              <w:t>cumplimiento con los objetivos de consumo/producción estipulados en los acuerdos plurianuales</w:t>
            </w:r>
            <w:r w:rsidRPr="008F4B68">
              <w:rPr>
                <w:snapToGrid w:val="0"/>
                <w:sz w:val="20"/>
                <w:szCs w:val="20"/>
                <w:lang w:val="es-ES"/>
              </w:rPr>
              <w:t xml:space="preserve">, </w:t>
            </w:r>
            <w:r w:rsidR="00355317" w:rsidRPr="008F4B68">
              <w:rPr>
                <w:snapToGrid w:val="0"/>
                <w:sz w:val="20"/>
                <w:szCs w:val="20"/>
                <w:lang w:val="es-ES"/>
              </w:rPr>
              <w:t xml:space="preserve">las verificaciones independientes del consumo y producción de </w:t>
            </w:r>
            <w:r w:rsidRPr="008F4B68">
              <w:rPr>
                <w:sz w:val="20"/>
                <w:szCs w:val="20"/>
                <w:lang w:val="es-ES"/>
              </w:rPr>
              <w:t xml:space="preserve">HCFC </w:t>
            </w:r>
            <w:r w:rsidR="00355317" w:rsidRPr="008F4B68">
              <w:rPr>
                <w:sz w:val="20"/>
                <w:szCs w:val="20"/>
                <w:lang w:val="es-ES"/>
              </w:rPr>
              <w:t xml:space="preserve">han sido una herramienta útil para ayudar a los </w:t>
            </w:r>
            <w:r w:rsidR="003920CB" w:rsidRPr="008F4B68">
              <w:rPr>
                <w:sz w:val="20"/>
                <w:szCs w:val="20"/>
                <w:lang w:val="es-ES"/>
              </w:rPr>
              <w:t>países que operan al amparo del artículo 5</w:t>
            </w:r>
            <w:r w:rsidRPr="008F4B68">
              <w:rPr>
                <w:sz w:val="20"/>
                <w:szCs w:val="20"/>
                <w:lang w:val="es-ES"/>
              </w:rPr>
              <w:t xml:space="preserve"> </w:t>
            </w:r>
            <w:r w:rsidR="00355317" w:rsidRPr="008F4B68">
              <w:rPr>
                <w:sz w:val="20"/>
                <w:szCs w:val="20"/>
                <w:lang w:val="es-ES"/>
              </w:rPr>
              <w:t>a mejorar sus sistemas de concesión de cuotas y licencias para la importación y exportación de HCFC y los procedimientos para gestionarlos de forma fiable</w:t>
            </w:r>
            <w:r w:rsidRPr="008F4B68">
              <w:rPr>
                <w:sz w:val="20"/>
                <w:szCs w:val="20"/>
                <w:lang w:val="es-ES"/>
              </w:rPr>
              <w:t xml:space="preserve">. </w:t>
            </w:r>
            <w:r w:rsidR="00355317" w:rsidRPr="008F4B68">
              <w:rPr>
                <w:sz w:val="20"/>
                <w:szCs w:val="20"/>
                <w:lang w:val="es-ES"/>
              </w:rPr>
              <w:t xml:space="preserve"> Los informes de verificación son responsabilidad del organismo director de la ejecución de los </w:t>
            </w:r>
            <w:r w:rsidR="00890385" w:rsidRPr="008F4B68">
              <w:rPr>
                <w:sz w:val="20"/>
                <w:szCs w:val="20"/>
                <w:lang w:val="es-ES"/>
              </w:rPr>
              <w:t>PGEH</w:t>
            </w:r>
            <w:r w:rsidRPr="008F4B68">
              <w:rPr>
                <w:sz w:val="20"/>
                <w:szCs w:val="20"/>
                <w:lang w:val="es-ES"/>
              </w:rPr>
              <w:t xml:space="preserve"> </w:t>
            </w:r>
            <w:r w:rsidR="00355317" w:rsidRPr="008F4B68">
              <w:rPr>
                <w:sz w:val="20"/>
                <w:szCs w:val="20"/>
                <w:lang w:val="es-ES"/>
              </w:rPr>
              <w:t xml:space="preserve">y son de obligado cumplimiento para todos los </w:t>
            </w:r>
            <w:r w:rsidR="007B7911" w:rsidRPr="008F4B68">
              <w:rPr>
                <w:sz w:val="20"/>
                <w:szCs w:val="20"/>
                <w:lang w:val="es-ES"/>
              </w:rPr>
              <w:t>países que no s</w:t>
            </w:r>
            <w:r w:rsidR="0063588D">
              <w:rPr>
                <w:sz w:val="20"/>
                <w:szCs w:val="20"/>
                <w:lang w:val="es-ES"/>
              </w:rPr>
              <w:t>o</w:t>
            </w:r>
            <w:r w:rsidR="007B7911" w:rsidRPr="008F4B68">
              <w:rPr>
                <w:sz w:val="20"/>
                <w:szCs w:val="20"/>
                <w:lang w:val="es-ES"/>
              </w:rPr>
              <w:t>n de bajo consumo</w:t>
            </w:r>
            <w:r w:rsidRPr="008F4B68">
              <w:rPr>
                <w:sz w:val="20"/>
                <w:szCs w:val="20"/>
                <w:lang w:val="es-ES"/>
              </w:rPr>
              <w:t xml:space="preserve">, </w:t>
            </w:r>
            <w:r w:rsidR="00355317" w:rsidRPr="008F4B68">
              <w:rPr>
                <w:sz w:val="20"/>
                <w:szCs w:val="20"/>
                <w:lang w:val="es-ES"/>
              </w:rPr>
              <w:t xml:space="preserve">al tiempo que en lo tocante a los </w:t>
            </w:r>
            <w:r w:rsidR="007B7911" w:rsidRPr="008F4B68">
              <w:rPr>
                <w:sz w:val="20"/>
                <w:szCs w:val="20"/>
                <w:lang w:val="es-ES"/>
              </w:rPr>
              <w:t xml:space="preserve">países que </w:t>
            </w:r>
            <w:r w:rsidR="00355317" w:rsidRPr="008F4B68">
              <w:rPr>
                <w:sz w:val="20"/>
                <w:szCs w:val="20"/>
                <w:lang w:val="es-ES"/>
              </w:rPr>
              <w:t xml:space="preserve">sí </w:t>
            </w:r>
            <w:r w:rsidR="007B7911" w:rsidRPr="008F4B68">
              <w:rPr>
                <w:sz w:val="20"/>
                <w:szCs w:val="20"/>
                <w:lang w:val="es-ES"/>
              </w:rPr>
              <w:t>son de bajo consumo</w:t>
            </w:r>
            <w:r w:rsidRPr="008F4B68">
              <w:rPr>
                <w:sz w:val="20"/>
                <w:szCs w:val="20"/>
                <w:lang w:val="es-ES"/>
              </w:rPr>
              <w:t xml:space="preserve">, </w:t>
            </w:r>
            <w:r w:rsidR="00355317" w:rsidRPr="008F4B68">
              <w:rPr>
                <w:sz w:val="20"/>
                <w:szCs w:val="20"/>
                <w:lang w:val="es-ES"/>
              </w:rPr>
              <w:t xml:space="preserve">cada año se selecciona una muestra del </w:t>
            </w:r>
            <w:r w:rsidRPr="008F4B68">
              <w:rPr>
                <w:sz w:val="20"/>
                <w:szCs w:val="20"/>
                <w:lang w:val="es-ES"/>
              </w:rPr>
              <w:t>20</w:t>
            </w:r>
            <w:r w:rsidR="001F7B07" w:rsidRPr="008F4B68">
              <w:rPr>
                <w:sz w:val="20"/>
                <w:szCs w:val="20"/>
                <w:lang w:val="es-ES"/>
              </w:rPr>
              <w:t> por ciento </w:t>
            </w:r>
            <w:r w:rsidR="00355317" w:rsidRPr="008F4B68">
              <w:rPr>
                <w:sz w:val="20"/>
                <w:szCs w:val="20"/>
                <w:lang w:val="es-ES"/>
              </w:rPr>
              <w:t>ellos para someterlos a verificación.</w:t>
            </w:r>
          </w:p>
        </w:tc>
        <w:tc>
          <w:tcPr>
            <w:tcW w:w="3496" w:type="dxa"/>
            <w:tcMar>
              <w:left w:w="43" w:type="dxa"/>
              <w:right w:w="43" w:type="dxa"/>
            </w:tcMar>
          </w:tcPr>
          <w:p w:rsidR="001148A7" w:rsidRPr="008F4B68" w:rsidRDefault="00127A89" w:rsidP="00CF2D8C">
            <w:pPr>
              <w:pStyle w:val="Heading1"/>
              <w:numPr>
                <w:ilvl w:val="0"/>
                <w:numId w:val="0"/>
              </w:numPr>
              <w:spacing w:after="120"/>
              <w:outlineLvl w:val="0"/>
              <w:rPr>
                <w:sz w:val="20"/>
                <w:szCs w:val="20"/>
                <w:lang w:val="es-ES"/>
              </w:rPr>
            </w:pPr>
            <w:r w:rsidRPr="008F4B68">
              <w:rPr>
                <w:sz w:val="20"/>
                <w:szCs w:val="20"/>
                <w:lang w:val="es-ES"/>
              </w:rPr>
              <w:lastRenderedPageBreak/>
              <w:t>En el caso d</w:t>
            </w:r>
            <w:r w:rsidR="00F850D2" w:rsidRPr="008F4B68">
              <w:rPr>
                <w:sz w:val="20"/>
                <w:szCs w:val="20"/>
                <w:lang w:val="es-ES"/>
              </w:rPr>
              <w:t>e</w:t>
            </w:r>
            <w:r w:rsidRPr="008F4B68">
              <w:rPr>
                <w:sz w:val="20"/>
                <w:szCs w:val="20"/>
                <w:lang w:val="es-ES"/>
              </w:rPr>
              <w:t xml:space="preserve">l </w:t>
            </w:r>
            <w:r w:rsidR="00E250D7" w:rsidRPr="008F4B68">
              <w:rPr>
                <w:sz w:val="20"/>
                <w:szCs w:val="20"/>
                <w:lang w:val="es-ES"/>
              </w:rPr>
              <w:t>PNUD</w:t>
            </w:r>
            <w:r w:rsidR="001148A7" w:rsidRPr="008F4B68">
              <w:rPr>
                <w:sz w:val="20"/>
                <w:szCs w:val="20"/>
                <w:lang w:val="es-ES"/>
              </w:rPr>
              <w:t xml:space="preserve">, </w:t>
            </w:r>
            <w:r w:rsidR="009A1284" w:rsidRPr="008F4B68">
              <w:rPr>
                <w:sz w:val="20"/>
                <w:szCs w:val="20"/>
                <w:lang w:val="es-ES"/>
              </w:rPr>
              <w:t>la ONUDI</w:t>
            </w:r>
            <w:r w:rsidR="001148A7" w:rsidRPr="008F4B68">
              <w:rPr>
                <w:sz w:val="20"/>
                <w:szCs w:val="20"/>
                <w:lang w:val="es-ES"/>
              </w:rPr>
              <w:t xml:space="preserve"> </w:t>
            </w:r>
            <w:r w:rsidRPr="008F4B68">
              <w:rPr>
                <w:sz w:val="20"/>
                <w:szCs w:val="20"/>
                <w:lang w:val="es-ES"/>
              </w:rPr>
              <w:t>y e</w:t>
            </w:r>
            <w:r w:rsidR="00E250D7" w:rsidRPr="008F4B68">
              <w:rPr>
                <w:sz w:val="20"/>
                <w:szCs w:val="20"/>
                <w:lang w:val="es-ES"/>
              </w:rPr>
              <w:t>l</w:t>
            </w:r>
            <w:r w:rsidR="009A1284" w:rsidRPr="008F4B68">
              <w:rPr>
                <w:sz w:val="20"/>
                <w:szCs w:val="20"/>
                <w:lang w:val="es-ES"/>
              </w:rPr>
              <w:t> Banco </w:t>
            </w:r>
            <w:r w:rsidR="001F7B07" w:rsidRPr="008F4B68">
              <w:rPr>
                <w:sz w:val="20"/>
                <w:szCs w:val="20"/>
                <w:lang w:val="es-ES"/>
              </w:rPr>
              <w:t>Mundial</w:t>
            </w:r>
            <w:r w:rsidR="001148A7" w:rsidRPr="008F4B68">
              <w:rPr>
                <w:sz w:val="20"/>
                <w:szCs w:val="20"/>
                <w:lang w:val="es-ES"/>
              </w:rPr>
              <w:t xml:space="preserve">, </w:t>
            </w:r>
            <w:r w:rsidR="00F850D2" w:rsidRPr="008F4B68">
              <w:rPr>
                <w:sz w:val="20"/>
                <w:szCs w:val="20"/>
                <w:lang w:val="es-ES"/>
              </w:rPr>
              <w:t xml:space="preserve">los gastos de apoyo al organismo varían desde un </w:t>
            </w:r>
            <w:r w:rsidR="001148A7" w:rsidRPr="008F4B68">
              <w:rPr>
                <w:sz w:val="20"/>
                <w:szCs w:val="20"/>
                <w:lang w:val="es-ES"/>
              </w:rPr>
              <w:t>6</w:t>
            </w:r>
            <w:r w:rsidR="00F850D2" w:rsidRPr="008F4B68">
              <w:rPr>
                <w:sz w:val="20"/>
                <w:szCs w:val="20"/>
                <w:lang w:val="es-ES"/>
              </w:rPr>
              <w:t>,</w:t>
            </w:r>
            <w:r w:rsidR="001148A7" w:rsidRPr="008F4B68">
              <w:rPr>
                <w:sz w:val="20"/>
                <w:szCs w:val="20"/>
                <w:lang w:val="es-ES"/>
              </w:rPr>
              <w:t xml:space="preserve">5 </w:t>
            </w:r>
            <w:r w:rsidR="00F850D2" w:rsidRPr="008F4B68">
              <w:rPr>
                <w:sz w:val="20"/>
                <w:szCs w:val="20"/>
                <w:lang w:val="es-ES"/>
              </w:rPr>
              <w:t xml:space="preserve">hasta un </w:t>
            </w:r>
            <w:r w:rsidR="001148A7" w:rsidRPr="008F4B68">
              <w:rPr>
                <w:sz w:val="20"/>
                <w:szCs w:val="20"/>
                <w:lang w:val="es-ES"/>
              </w:rPr>
              <w:t>9</w:t>
            </w:r>
            <w:r w:rsidR="00F850D2" w:rsidRPr="008F4B68">
              <w:rPr>
                <w:sz w:val="20"/>
                <w:szCs w:val="20"/>
                <w:lang w:val="es-ES"/>
              </w:rPr>
              <w:t>,</w:t>
            </w:r>
            <w:r w:rsidR="001148A7" w:rsidRPr="008F4B68">
              <w:rPr>
                <w:sz w:val="20"/>
                <w:szCs w:val="20"/>
                <w:lang w:val="es-ES"/>
              </w:rPr>
              <w:t>0</w:t>
            </w:r>
            <w:r w:rsidR="001F7B07" w:rsidRPr="008F4B68">
              <w:rPr>
                <w:sz w:val="20"/>
                <w:szCs w:val="20"/>
                <w:lang w:val="es-ES"/>
              </w:rPr>
              <w:t> por ciento </w:t>
            </w:r>
            <w:r w:rsidR="001148A7" w:rsidRPr="008F4B68">
              <w:rPr>
                <w:sz w:val="20"/>
                <w:szCs w:val="20"/>
                <w:lang w:val="es-ES"/>
              </w:rPr>
              <w:t xml:space="preserve"> </w:t>
            </w:r>
            <w:r w:rsidR="00F850D2" w:rsidRPr="008F4B68">
              <w:rPr>
                <w:sz w:val="20"/>
                <w:szCs w:val="20"/>
                <w:lang w:val="es-ES"/>
              </w:rPr>
              <w:t>en función del tipo y costo del proyecto.</w:t>
            </w:r>
          </w:p>
          <w:p w:rsidR="001148A7" w:rsidRPr="008F4B68" w:rsidRDefault="00F850D2" w:rsidP="00CF2D8C">
            <w:pPr>
              <w:pStyle w:val="Heading1"/>
              <w:numPr>
                <w:ilvl w:val="0"/>
                <w:numId w:val="0"/>
              </w:numPr>
              <w:spacing w:after="120"/>
              <w:outlineLvl w:val="0"/>
              <w:rPr>
                <w:sz w:val="20"/>
                <w:szCs w:val="20"/>
                <w:lang w:val="es-ES"/>
              </w:rPr>
            </w:pPr>
            <w:r w:rsidRPr="008F4B68">
              <w:rPr>
                <w:sz w:val="20"/>
                <w:szCs w:val="20"/>
                <w:lang w:val="es-ES"/>
              </w:rPr>
              <w:t xml:space="preserve">En el caso de los organismos </w:t>
            </w:r>
            <w:r w:rsidR="001148A7" w:rsidRPr="008F4B68">
              <w:rPr>
                <w:sz w:val="20"/>
                <w:szCs w:val="20"/>
                <w:lang w:val="es-ES"/>
              </w:rPr>
              <w:t>bilateral</w:t>
            </w:r>
            <w:r w:rsidRPr="008F4B68">
              <w:rPr>
                <w:sz w:val="20"/>
                <w:szCs w:val="20"/>
                <w:lang w:val="es-ES"/>
              </w:rPr>
              <w:t>es</w:t>
            </w:r>
            <w:r w:rsidR="001148A7" w:rsidRPr="008F4B68">
              <w:rPr>
                <w:sz w:val="20"/>
                <w:szCs w:val="20"/>
                <w:lang w:val="es-ES"/>
              </w:rPr>
              <w:t xml:space="preserve"> </w:t>
            </w:r>
            <w:r w:rsidRPr="008F4B68">
              <w:rPr>
                <w:sz w:val="20"/>
                <w:szCs w:val="20"/>
                <w:lang w:val="es-ES"/>
              </w:rPr>
              <w:t>y del PNUMA</w:t>
            </w:r>
            <w:r w:rsidR="001148A7" w:rsidRPr="008F4B68">
              <w:rPr>
                <w:sz w:val="20"/>
                <w:szCs w:val="20"/>
                <w:lang w:val="es-ES"/>
              </w:rPr>
              <w:t xml:space="preserve">, </w:t>
            </w:r>
            <w:r w:rsidRPr="008F4B68">
              <w:rPr>
                <w:sz w:val="20"/>
                <w:szCs w:val="20"/>
                <w:lang w:val="es-ES"/>
              </w:rPr>
              <w:t>los gastos de apoyo al organismo</w:t>
            </w:r>
            <w:r w:rsidR="001148A7" w:rsidRPr="008F4B68">
              <w:rPr>
                <w:sz w:val="20"/>
                <w:szCs w:val="20"/>
                <w:lang w:val="es-ES"/>
              </w:rPr>
              <w:t xml:space="preserve"> </w:t>
            </w:r>
            <w:r w:rsidRPr="008F4B68">
              <w:rPr>
                <w:sz w:val="20"/>
                <w:szCs w:val="20"/>
                <w:lang w:val="es-ES"/>
              </w:rPr>
              <w:t xml:space="preserve">varían del </w:t>
            </w:r>
            <w:r w:rsidR="001148A7" w:rsidRPr="008F4B68">
              <w:rPr>
                <w:sz w:val="20"/>
                <w:szCs w:val="20"/>
                <w:lang w:val="es-ES"/>
              </w:rPr>
              <w:t xml:space="preserve">11 </w:t>
            </w:r>
            <w:r w:rsidRPr="008F4B68">
              <w:rPr>
                <w:sz w:val="20"/>
                <w:szCs w:val="20"/>
                <w:lang w:val="es-ES"/>
              </w:rPr>
              <w:t>al</w:t>
            </w:r>
            <w:r w:rsidR="001148A7" w:rsidRPr="008F4B68">
              <w:rPr>
                <w:sz w:val="20"/>
                <w:szCs w:val="20"/>
                <w:lang w:val="es-ES"/>
              </w:rPr>
              <w:t xml:space="preserve"> 13</w:t>
            </w:r>
            <w:r w:rsidR="001F7B07" w:rsidRPr="008F4B68">
              <w:rPr>
                <w:sz w:val="20"/>
                <w:szCs w:val="20"/>
                <w:lang w:val="es-ES"/>
              </w:rPr>
              <w:t> por ciento </w:t>
            </w:r>
            <w:r w:rsidR="001148A7" w:rsidRPr="008F4B68">
              <w:rPr>
                <w:sz w:val="20"/>
                <w:szCs w:val="20"/>
                <w:lang w:val="es-ES"/>
              </w:rPr>
              <w:t xml:space="preserve"> </w:t>
            </w:r>
            <w:r w:rsidRPr="008F4B68">
              <w:rPr>
                <w:sz w:val="20"/>
                <w:szCs w:val="20"/>
                <w:lang w:val="es-ES"/>
              </w:rPr>
              <w:t>en función del costo del proyecto.</w:t>
            </w:r>
          </w:p>
          <w:p w:rsidR="001148A7" w:rsidRPr="008F4B68" w:rsidRDefault="00F850D2" w:rsidP="00CF2D8C">
            <w:pPr>
              <w:pStyle w:val="Heading1"/>
              <w:numPr>
                <w:ilvl w:val="0"/>
                <w:numId w:val="0"/>
              </w:numPr>
              <w:spacing w:after="0"/>
              <w:outlineLvl w:val="0"/>
              <w:rPr>
                <w:sz w:val="20"/>
                <w:szCs w:val="20"/>
                <w:lang w:val="es-ES"/>
              </w:rPr>
            </w:pPr>
            <w:r w:rsidRPr="008F4B68">
              <w:rPr>
                <w:sz w:val="20"/>
                <w:szCs w:val="20"/>
                <w:lang w:val="es-ES"/>
              </w:rPr>
              <w:t xml:space="preserve">Los costos conexos a las verificaciones en el caso de los países </w:t>
            </w:r>
            <w:r w:rsidR="007B7911" w:rsidRPr="008F4B68">
              <w:rPr>
                <w:sz w:val="20"/>
                <w:szCs w:val="20"/>
                <w:lang w:val="es-ES"/>
              </w:rPr>
              <w:t>que no son de bajo consumo</w:t>
            </w:r>
            <w:r w:rsidR="001148A7" w:rsidRPr="008F4B68">
              <w:rPr>
                <w:sz w:val="20"/>
                <w:szCs w:val="20"/>
                <w:lang w:val="es-ES"/>
              </w:rPr>
              <w:t xml:space="preserve"> </w:t>
            </w:r>
            <w:r w:rsidRPr="008F4B68">
              <w:rPr>
                <w:sz w:val="20"/>
                <w:szCs w:val="20"/>
                <w:lang w:val="es-ES"/>
              </w:rPr>
              <w:t>quedan, por lo general, cubiertos por los gastos de apoyo al organismo</w:t>
            </w:r>
            <w:r w:rsidR="001148A7" w:rsidRPr="008F4B68">
              <w:rPr>
                <w:sz w:val="20"/>
                <w:szCs w:val="20"/>
                <w:lang w:val="es-ES"/>
              </w:rPr>
              <w:t xml:space="preserve"> </w:t>
            </w:r>
            <w:r w:rsidRPr="008F4B68">
              <w:rPr>
                <w:sz w:val="20"/>
                <w:szCs w:val="20"/>
                <w:lang w:val="es-ES"/>
              </w:rPr>
              <w:t xml:space="preserve">de los organismos directores de la ejecución, mientras que los gastos de verificación incurridos en </w:t>
            </w:r>
            <w:r w:rsidR="007B7911" w:rsidRPr="008F4B68">
              <w:rPr>
                <w:sz w:val="20"/>
                <w:szCs w:val="20"/>
                <w:lang w:val="es-ES"/>
              </w:rPr>
              <w:t>países que son de bajo consumo</w:t>
            </w:r>
            <w:r w:rsidR="001148A7" w:rsidRPr="008F4B68">
              <w:rPr>
                <w:sz w:val="20"/>
                <w:szCs w:val="20"/>
                <w:lang w:val="es-ES"/>
              </w:rPr>
              <w:t xml:space="preserve"> </w:t>
            </w:r>
            <w:r w:rsidRPr="008F4B68">
              <w:rPr>
                <w:sz w:val="20"/>
                <w:szCs w:val="20"/>
                <w:lang w:val="es-ES"/>
              </w:rPr>
              <w:t xml:space="preserve">los aprueba el </w:t>
            </w:r>
            <w:r w:rsidR="003920CB" w:rsidRPr="008F4B68">
              <w:rPr>
                <w:sz w:val="20"/>
                <w:szCs w:val="20"/>
                <w:lang w:val="es-ES"/>
              </w:rPr>
              <w:t>Comité Ejecutivo</w:t>
            </w:r>
            <w:r w:rsidRPr="008F4B68">
              <w:rPr>
                <w:sz w:val="20"/>
                <w:szCs w:val="20"/>
                <w:lang w:val="es-ES"/>
              </w:rPr>
              <w:t>.</w:t>
            </w:r>
          </w:p>
          <w:p w:rsidR="001148A7" w:rsidRPr="008F4B68" w:rsidRDefault="001148A7" w:rsidP="00CF2D8C">
            <w:pPr>
              <w:pStyle w:val="Heading1"/>
              <w:numPr>
                <w:ilvl w:val="0"/>
                <w:numId w:val="0"/>
              </w:numPr>
              <w:spacing w:after="0"/>
              <w:outlineLvl w:val="0"/>
              <w:rPr>
                <w:sz w:val="20"/>
                <w:szCs w:val="20"/>
                <w:lang w:val="es-ES"/>
              </w:rPr>
            </w:pPr>
          </w:p>
        </w:tc>
      </w:tr>
      <w:tr w:rsidR="001148A7" w:rsidRPr="005B28DC" w:rsidTr="00CF2D8C">
        <w:tc>
          <w:tcPr>
            <w:tcW w:w="1435" w:type="dxa"/>
          </w:tcPr>
          <w:p w:rsidR="001148A7" w:rsidRPr="008F4B68" w:rsidRDefault="001148A7" w:rsidP="00F850D2">
            <w:pPr>
              <w:rPr>
                <w:sz w:val="20"/>
                <w:szCs w:val="20"/>
                <w:lang w:val="es-ES"/>
              </w:rPr>
            </w:pPr>
            <w:r w:rsidRPr="008F4B68">
              <w:rPr>
                <w:sz w:val="20"/>
                <w:szCs w:val="20"/>
                <w:lang w:val="es-ES"/>
              </w:rPr>
              <w:lastRenderedPageBreak/>
              <w:t>CAP</w:t>
            </w:r>
            <w:r w:rsidRPr="008F4B68">
              <w:rPr>
                <w:rStyle w:val="FootnoteReference"/>
                <w:lang w:val="es-ES"/>
              </w:rPr>
              <w:footnoteReference w:id="9"/>
            </w:r>
            <w:r w:rsidR="00F850D2" w:rsidRPr="008F4B68">
              <w:rPr>
                <w:sz w:val="20"/>
                <w:szCs w:val="20"/>
                <w:lang w:val="es-ES"/>
              </w:rPr>
              <w:t>- PNUMA</w:t>
            </w:r>
          </w:p>
        </w:tc>
        <w:tc>
          <w:tcPr>
            <w:tcW w:w="4514" w:type="dxa"/>
            <w:tcMar>
              <w:left w:w="43" w:type="dxa"/>
              <w:right w:w="43" w:type="dxa"/>
            </w:tcMar>
          </w:tcPr>
          <w:p w:rsidR="001148A7" w:rsidRPr="008F4B68" w:rsidRDefault="00F850D2" w:rsidP="00CF2D8C">
            <w:pPr>
              <w:pStyle w:val="Heading2"/>
              <w:numPr>
                <w:ilvl w:val="0"/>
                <w:numId w:val="0"/>
              </w:numPr>
              <w:spacing w:after="120"/>
              <w:ind w:left="142"/>
              <w:outlineLvl w:val="1"/>
              <w:rPr>
                <w:sz w:val="20"/>
                <w:szCs w:val="20"/>
                <w:lang w:val="es-ES"/>
              </w:rPr>
            </w:pPr>
            <w:r w:rsidRPr="008F4B68">
              <w:rPr>
                <w:sz w:val="20"/>
                <w:szCs w:val="20"/>
                <w:lang w:val="es-ES"/>
              </w:rPr>
              <w:t>El PNUMA coordina el CAP (el Programa de Asistencia al Cumplimiento)</w:t>
            </w:r>
            <w:r w:rsidR="001148A7" w:rsidRPr="008F4B68">
              <w:rPr>
                <w:sz w:val="20"/>
                <w:szCs w:val="20"/>
                <w:lang w:val="es-ES"/>
              </w:rPr>
              <w:t xml:space="preserve">, </w:t>
            </w:r>
            <w:r w:rsidRPr="008F4B68">
              <w:rPr>
                <w:sz w:val="20"/>
                <w:szCs w:val="20"/>
                <w:lang w:val="es-ES"/>
              </w:rPr>
              <w:t>que es un mecanismo regional destinado a crear capacidad para fomentar el intercambio de información</w:t>
            </w:r>
            <w:r w:rsidR="001148A7" w:rsidRPr="008F4B68">
              <w:rPr>
                <w:sz w:val="20"/>
                <w:szCs w:val="20"/>
                <w:lang w:val="es-ES"/>
              </w:rPr>
              <w:t xml:space="preserve">, </w:t>
            </w:r>
            <w:r w:rsidRPr="008F4B68">
              <w:rPr>
                <w:sz w:val="20"/>
                <w:szCs w:val="20"/>
                <w:lang w:val="es-ES"/>
              </w:rPr>
              <w:t xml:space="preserve">experiencias y conocimientos técnicos a fin de poder cumplir los compromisos estipulados en el </w:t>
            </w:r>
            <w:r w:rsidR="003920CB" w:rsidRPr="008F4B68">
              <w:rPr>
                <w:sz w:val="20"/>
                <w:szCs w:val="20"/>
                <w:lang w:val="es-ES"/>
              </w:rPr>
              <w:t>Protocolo de Montreal</w:t>
            </w:r>
            <w:r w:rsidR="001148A7" w:rsidRPr="008F4B68">
              <w:rPr>
                <w:sz w:val="20"/>
                <w:szCs w:val="20"/>
                <w:lang w:val="es-ES"/>
              </w:rPr>
              <w:t xml:space="preserve">, </w:t>
            </w:r>
            <w:r w:rsidRPr="008F4B68">
              <w:rPr>
                <w:sz w:val="20"/>
                <w:szCs w:val="20"/>
                <w:lang w:val="es-ES"/>
              </w:rPr>
              <w:t xml:space="preserve">notificar datos, adoptar y ejecutar políticas-normativas, adoptar tecnologías, y fortalecer </w:t>
            </w:r>
            <w:r w:rsidR="006A5484" w:rsidRPr="008F4B68">
              <w:rPr>
                <w:sz w:val="20"/>
                <w:szCs w:val="20"/>
                <w:lang w:val="es-ES"/>
              </w:rPr>
              <w:t>Oficinas Nacionales del Ozono</w:t>
            </w:r>
            <w:r w:rsidR="001148A7" w:rsidRPr="008F4B68">
              <w:rPr>
                <w:sz w:val="20"/>
                <w:szCs w:val="20"/>
                <w:lang w:val="es-ES"/>
              </w:rPr>
              <w:t xml:space="preserve">. </w:t>
            </w:r>
            <w:r w:rsidR="002954DC" w:rsidRPr="008F4B68">
              <w:rPr>
                <w:sz w:val="20"/>
                <w:szCs w:val="20"/>
                <w:lang w:val="es-ES"/>
              </w:rPr>
              <w:t xml:space="preserve"> El </w:t>
            </w:r>
            <w:r w:rsidR="001148A7" w:rsidRPr="008F4B68">
              <w:rPr>
                <w:sz w:val="20"/>
                <w:szCs w:val="20"/>
                <w:lang w:val="es-ES"/>
              </w:rPr>
              <w:t xml:space="preserve">CAP </w:t>
            </w:r>
            <w:r w:rsidR="002954DC" w:rsidRPr="008F4B68">
              <w:rPr>
                <w:sz w:val="20"/>
                <w:szCs w:val="20"/>
                <w:lang w:val="es-ES"/>
              </w:rPr>
              <w:t xml:space="preserve">tiene una función fundamental a la hora de ayudar a los </w:t>
            </w:r>
            <w:r w:rsidR="003920CB" w:rsidRPr="008F4B68">
              <w:rPr>
                <w:sz w:val="20"/>
                <w:szCs w:val="20"/>
                <w:lang w:val="es-ES"/>
              </w:rPr>
              <w:t>países que operan al amparo del artículo 5</w:t>
            </w:r>
            <w:r w:rsidR="001148A7" w:rsidRPr="008F4B68">
              <w:rPr>
                <w:sz w:val="20"/>
                <w:szCs w:val="20"/>
                <w:lang w:val="es-ES"/>
              </w:rPr>
              <w:t xml:space="preserve"> </w:t>
            </w:r>
            <w:r w:rsidR="002954DC" w:rsidRPr="008F4B68">
              <w:rPr>
                <w:sz w:val="20"/>
                <w:szCs w:val="20"/>
                <w:lang w:val="es-ES"/>
              </w:rPr>
              <w:t>a preparar y presentar los datos de programa de país y los datos en virtud del artículo 7 a las Secretarías del Ozono y del Fondo, respectivamente.</w:t>
            </w:r>
          </w:p>
          <w:p w:rsidR="001148A7" w:rsidRPr="008F4B68" w:rsidRDefault="002954DC" w:rsidP="00CF2D8C">
            <w:pPr>
              <w:pStyle w:val="Heading2"/>
              <w:numPr>
                <w:ilvl w:val="0"/>
                <w:numId w:val="0"/>
              </w:numPr>
              <w:spacing w:after="120"/>
              <w:ind w:left="142"/>
              <w:outlineLvl w:val="1"/>
              <w:rPr>
                <w:sz w:val="20"/>
                <w:szCs w:val="20"/>
                <w:lang w:val="es-ES"/>
              </w:rPr>
            </w:pPr>
            <w:r w:rsidRPr="008F4B68">
              <w:rPr>
                <w:sz w:val="20"/>
                <w:szCs w:val="20"/>
                <w:lang w:val="es-ES"/>
              </w:rPr>
              <w:t>El Programa de Asistencia al Cumplimiento (</w:t>
            </w:r>
            <w:r w:rsidR="001148A7" w:rsidRPr="008F4B68">
              <w:rPr>
                <w:sz w:val="20"/>
                <w:szCs w:val="20"/>
                <w:lang w:val="es-ES"/>
              </w:rPr>
              <w:t>CAP</w:t>
            </w:r>
            <w:r w:rsidRPr="008F4B68">
              <w:rPr>
                <w:sz w:val="20"/>
                <w:szCs w:val="20"/>
                <w:lang w:val="es-ES"/>
              </w:rPr>
              <w:t>)</w:t>
            </w:r>
            <w:r w:rsidR="001148A7" w:rsidRPr="008F4B68">
              <w:rPr>
                <w:sz w:val="20"/>
                <w:szCs w:val="20"/>
                <w:lang w:val="es-ES"/>
              </w:rPr>
              <w:t xml:space="preserve"> </w:t>
            </w:r>
            <w:r w:rsidRPr="008F4B68">
              <w:rPr>
                <w:sz w:val="20"/>
                <w:szCs w:val="20"/>
                <w:lang w:val="es-ES"/>
              </w:rPr>
              <w:t>también</w:t>
            </w:r>
            <w:r w:rsidR="001148A7" w:rsidRPr="008F4B68">
              <w:rPr>
                <w:sz w:val="20"/>
                <w:szCs w:val="20"/>
                <w:lang w:val="es-ES"/>
              </w:rPr>
              <w:t>:</w:t>
            </w:r>
          </w:p>
          <w:p w:rsidR="001148A7" w:rsidRPr="008F4B68" w:rsidRDefault="002954DC" w:rsidP="001148A7">
            <w:pPr>
              <w:pStyle w:val="Heading2"/>
              <w:numPr>
                <w:ilvl w:val="0"/>
                <w:numId w:val="31"/>
              </w:numPr>
              <w:spacing w:after="120"/>
              <w:ind w:left="142" w:hanging="144"/>
              <w:outlineLvl w:val="1"/>
              <w:rPr>
                <w:sz w:val="20"/>
                <w:szCs w:val="20"/>
                <w:lang w:val="es-ES"/>
              </w:rPr>
            </w:pPr>
            <w:r w:rsidRPr="008F4B68">
              <w:rPr>
                <w:sz w:val="20"/>
                <w:szCs w:val="20"/>
                <w:lang w:val="es-ES"/>
              </w:rPr>
              <w:t xml:space="preserve">Facilita asistencia especial al cumplimiento, respuestas a las pesquisas y capacitación a las </w:t>
            </w:r>
            <w:r w:rsidR="006A5484" w:rsidRPr="008F4B68">
              <w:rPr>
                <w:sz w:val="20"/>
                <w:szCs w:val="20"/>
                <w:lang w:val="es-ES"/>
              </w:rPr>
              <w:t>Oficinas Nacionales del Ozono</w:t>
            </w:r>
            <w:r w:rsidRPr="008F4B68">
              <w:rPr>
                <w:sz w:val="20"/>
                <w:szCs w:val="20"/>
                <w:lang w:val="es-ES"/>
              </w:rPr>
              <w:t>, así como facilita la ejecución.</w:t>
            </w:r>
            <w:r w:rsidR="001148A7" w:rsidRPr="008F4B68">
              <w:rPr>
                <w:sz w:val="20"/>
                <w:szCs w:val="20"/>
                <w:lang w:val="es-ES"/>
              </w:rPr>
              <w:t xml:space="preserve"> </w:t>
            </w:r>
          </w:p>
          <w:p w:rsidR="001148A7" w:rsidRPr="008F4B68" w:rsidRDefault="001148A7" w:rsidP="001148A7">
            <w:pPr>
              <w:pStyle w:val="Heading2"/>
              <w:numPr>
                <w:ilvl w:val="0"/>
                <w:numId w:val="31"/>
              </w:numPr>
              <w:spacing w:after="120"/>
              <w:ind w:left="142" w:hanging="142"/>
              <w:outlineLvl w:val="1"/>
              <w:rPr>
                <w:sz w:val="20"/>
                <w:szCs w:val="20"/>
                <w:lang w:val="es-ES"/>
              </w:rPr>
            </w:pPr>
            <w:r w:rsidRPr="008F4B68">
              <w:rPr>
                <w:sz w:val="20"/>
                <w:szCs w:val="20"/>
                <w:lang w:val="es-ES"/>
              </w:rPr>
              <w:t>C</w:t>
            </w:r>
            <w:r w:rsidR="002954DC" w:rsidRPr="008F4B68">
              <w:rPr>
                <w:sz w:val="20"/>
                <w:szCs w:val="20"/>
                <w:lang w:val="es-ES"/>
              </w:rPr>
              <w:t xml:space="preserve">rea capacidad, provisión de impartición de capacitación, información y servicios de apoyo para fortalecer la capacidad nacional de las </w:t>
            </w:r>
            <w:r w:rsidR="00072EED" w:rsidRPr="008F4B68">
              <w:rPr>
                <w:sz w:val="20"/>
                <w:szCs w:val="20"/>
                <w:lang w:val="es-ES"/>
              </w:rPr>
              <w:t>partes interesadas</w:t>
            </w:r>
            <w:r w:rsidRPr="008F4B68">
              <w:rPr>
                <w:sz w:val="20"/>
                <w:szCs w:val="20"/>
                <w:lang w:val="es-ES"/>
              </w:rPr>
              <w:t xml:space="preserve"> (</w:t>
            </w:r>
            <w:r w:rsidR="002954DC" w:rsidRPr="008F4B68">
              <w:rPr>
                <w:sz w:val="20"/>
                <w:szCs w:val="20"/>
                <w:lang w:val="es-ES"/>
              </w:rPr>
              <w:t>por ejemplo, funcionarios de aduanas</w:t>
            </w:r>
            <w:r w:rsidRPr="008F4B68">
              <w:rPr>
                <w:sz w:val="20"/>
                <w:szCs w:val="20"/>
                <w:lang w:val="es-ES"/>
              </w:rPr>
              <w:t xml:space="preserve">, </w:t>
            </w:r>
            <w:r w:rsidR="002954DC" w:rsidRPr="008F4B68">
              <w:rPr>
                <w:sz w:val="20"/>
                <w:szCs w:val="20"/>
                <w:lang w:val="es-ES"/>
              </w:rPr>
              <w:t>técnicos en equipos de refrigeración</w:t>
            </w:r>
            <w:r w:rsidR="00AE1C30" w:rsidRPr="008F4B68">
              <w:rPr>
                <w:sz w:val="20"/>
                <w:szCs w:val="20"/>
                <w:lang w:val="es-ES"/>
              </w:rPr>
              <w:t>,</w:t>
            </w:r>
            <w:r w:rsidR="002954DC" w:rsidRPr="008F4B68">
              <w:rPr>
                <w:sz w:val="20"/>
                <w:szCs w:val="20"/>
                <w:lang w:val="es-ES"/>
              </w:rPr>
              <w:t xml:space="preserve"> asociaci</w:t>
            </w:r>
            <w:r w:rsidR="00AE1C30" w:rsidRPr="008F4B68">
              <w:rPr>
                <w:sz w:val="20"/>
                <w:szCs w:val="20"/>
                <w:lang w:val="es-ES"/>
              </w:rPr>
              <w:t>ones</w:t>
            </w:r>
            <w:r w:rsidR="002954DC" w:rsidRPr="008F4B68">
              <w:rPr>
                <w:sz w:val="20"/>
                <w:szCs w:val="20"/>
                <w:lang w:val="es-ES"/>
              </w:rPr>
              <w:t xml:space="preserve"> de</w:t>
            </w:r>
            <w:r w:rsidR="00AE1C30" w:rsidRPr="008F4B68">
              <w:rPr>
                <w:sz w:val="20"/>
                <w:szCs w:val="20"/>
                <w:lang w:val="es-ES"/>
              </w:rPr>
              <w:t xml:space="preserve"> refrigeración</w:t>
            </w:r>
            <w:r w:rsidRPr="008F4B68">
              <w:rPr>
                <w:sz w:val="20"/>
                <w:szCs w:val="20"/>
                <w:lang w:val="es-ES"/>
              </w:rPr>
              <w:t xml:space="preserve">), </w:t>
            </w:r>
            <w:r w:rsidR="00AE1C30" w:rsidRPr="008F4B68">
              <w:rPr>
                <w:sz w:val="20"/>
                <w:szCs w:val="20"/>
                <w:lang w:val="es-ES"/>
              </w:rPr>
              <w:t xml:space="preserve">con objeto de crear y asentar el entorno de apoyo a la implantación del </w:t>
            </w:r>
            <w:r w:rsidRPr="008F4B68">
              <w:rPr>
                <w:sz w:val="20"/>
                <w:szCs w:val="20"/>
                <w:lang w:val="es-ES"/>
              </w:rPr>
              <w:t>Protocol</w:t>
            </w:r>
            <w:r w:rsidR="00AE1C30" w:rsidRPr="008F4B68">
              <w:rPr>
                <w:sz w:val="20"/>
                <w:szCs w:val="20"/>
                <w:lang w:val="es-ES"/>
              </w:rPr>
              <w:t>o.</w:t>
            </w:r>
          </w:p>
          <w:p w:rsidR="001148A7" w:rsidRPr="008F4B68" w:rsidRDefault="00B50717" w:rsidP="001148A7">
            <w:pPr>
              <w:pStyle w:val="Heading2"/>
              <w:numPr>
                <w:ilvl w:val="0"/>
                <w:numId w:val="31"/>
              </w:numPr>
              <w:spacing w:after="120"/>
              <w:ind w:left="142" w:hanging="142"/>
              <w:outlineLvl w:val="1"/>
              <w:rPr>
                <w:sz w:val="20"/>
                <w:szCs w:val="20"/>
                <w:lang w:val="es-ES"/>
              </w:rPr>
            </w:pPr>
            <w:r>
              <w:rPr>
                <w:sz w:val="20"/>
                <w:szCs w:val="20"/>
                <w:lang w:val="es-ES"/>
              </w:rPr>
              <w:t>Es u</w:t>
            </w:r>
            <w:r w:rsidR="00AE1C30" w:rsidRPr="008F4B68">
              <w:rPr>
                <w:sz w:val="20"/>
                <w:szCs w:val="20"/>
                <w:lang w:val="es-ES"/>
              </w:rPr>
              <w:t xml:space="preserve">n medio de cooperación Sur-Sur y Norte-Sur para posibilitar la cooperación entre dos o más países al respecto de retos de política normativa o de carácter técnico específicos a la implantación del </w:t>
            </w:r>
            <w:r w:rsidR="001148A7" w:rsidRPr="008F4B68">
              <w:rPr>
                <w:sz w:val="20"/>
                <w:szCs w:val="20"/>
                <w:lang w:val="es-ES"/>
              </w:rPr>
              <w:t>Protocol</w:t>
            </w:r>
            <w:r w:rsidR="00AE1C30" w:rsidRPr="008F4B68">
              <w:rPr>
                <w:sz w:val="20"/>
                <w:szCs w:val="20"/>
                <w:lang w:val="es-ES"/>
              </w:rPr>
              <w:t>o.</w:t>
            </w:r>
          </w:p>
          <w:p w:rsidR="001148A7" w:rsidRPr="00B50717" w:rsidRDefault="00AE1C30" w:rsidP="001148A7">
            <w:pPr>
              <w:pStyle w:val="Heading2"/>
              <w:numPr>
                <w:ilvl w:val="0"/>
                <w:numId w:val="31"/>
              </w:numPr>
              <w:spacing w:after="120"/>
              <w:ind w:left="142" w:hanging="142"/>
              <w:outlineLvl w:val="1"/>
              <w:rPr>
                <w:sz w:val="20"/>
                <w:szCs w:val="20"/>
                <w:lang w:val="es-ES"/>
              </w:rPr>
            </w:pPr>
            <w:r w:rsidRPr="00B50717">
              <w:rPr>
                <w:sz w:val="20"/>
                <w:szCs w:val="20"/>
                <w:lang w:val="es-ES"/>
              </w:rPr>
              <w:lastRenderedPageBreak/>
              <w:t xml:space="preserve">Un </w:t>
            </w:r>
            <w:r w:rsidRPr="00B50717">
              <w:rPr>
                <w:color w:val="000000"/>
                <w:spacing w:val="-2"/>
                <w:sz w:val="20"/>
                <w:szCs w:val="20"/>
                <w:lang w:val="es-ES"/>
              </w:rPr>
              <w:t>Centro de servicio mundial para el intercambio de información</w:t>
            </w:r>
            <w:r w:rsidR="001148A7" w:rsidRPr="00B50717">
              <w:rPr>
                <w:sz w:val="20"/>
                <w:szCs w:val="20"/>
                <w:lang w:val="es-ES"/>
              </w:rPr>
              <w:t xml:space="preserve">, </w:t>
            </w:r>
            <w:r w:rsidRPr="00B50717">
              <w:rPr>
                <w:sz w:val="20"/>
                <w:szCs w:val="20"/>
                <w:lang w:val="es-ES"/>
              </w:rPr>
              <w:t>comunicación y educación que aporta publicaciones</w:t>
            </w:r>
            <w:r w:rsidR="001148A7" w:rsidRPr="00B50717">
              <w:rPr>
                <w:sz w:val="20"/>
                <w:szCs w:val="20"/>
                <w:lang w:val="es-ES"/>
              </w:rPr>
              <w:t xml:space="preserve">, </w:t>
            </w:r>
            <w:r w:rsidRPr="00B50717">
              <w:rPr>
                <w:sz w:val="20"/>
                <w:szCs w:val="20"/>
                <w:lang w:val="es-ES"/>
              </w:rPr>
              <w:t>servicios en línea y herramientas que pueden utilizarse en apoyo de los objetivos del Protocolo</w:t>
            </w:r>
            <w:r w:rsidR="00B50717">
              <w:rPr>
                <w:sz w:val="20"/>
                <w:szCs w:val="20"/>
                <w:lang w:val="es-ES"/>
              </w:rPr>
              <w:t>.</w:t>
            </w:r>
          </w:p>
          <w:p w:rsidR="001148A7" w:rsidRPr="008F4B68" w:rsidRDefault="00AE1C30" w:rsidP="00B50717">
            <w:pPr>
              <w:pStyle w:val="Heading2"/>
              <w:widowControl/>
              <w:numPr>
                <w:ilvl w:val="0"/>
                <w:numId w:val="31"/>
              </w:numPr>
              <w:spacing w:after="120"/>
              <w:ind w:left="142" w:hanging="142"/>
              <w:outlineLvl w:val="1"/>
              <w:rPr>
                <w:sz w:val="20"/>
                <w:szCs w:val="20"/>
                <w:lang w:val="es-ES"/>
              </w:rPr>
            </w:pPr>
            <w:r w:rsidRPr="00B50717">
              <w:rPr>
                <w:sz w:val="20"/>
                <w:szCs w:val="20"/>
                <w:lang w:val="es-ES"/>
              </w:rPr>
              <w:t xml:space="preserve">Facilita servicios de asistencia al cumplimiento específicos a países para abordar las necesidades de cumplimiento individual de cada uno </w:t>
            </w:r>
            <w:r w:rsidR="00B50717">
              <w:rPr>
                <w:sz w:val="20"/>
                <w:szCs w:val="20"/>
                <w:lang w:val="es-ES"/>
              </w:rPr>
              <w:t xml:space="preserve">de ellos, que  también </w:t>
            </w:r>
            <w:r w:rsidRPr="00B50717">
              <w:rPr>
                <w:sz w:val="20"/>
                <w:szCs w:val="20"/>
                <w:lang w:val="es-ES"/>
              </w:rPr>
              <w:t xml:space="preserve">articulan las </w:t>
            </w:r>
            <w:r w:rsidR="006A5484" w:rsidRPr="00B50717">
              <w:rPr>
                <w:sz w:val="20"/>
                <w:szCs w:val="20"/>
                <w:lang w:val="es-ES"/>
              </w:rPr>
              <w:t>Oficinas Nacionales del Ozono</w:t>
            </w:r>
            <w:r w:rsidRPr="00B50717">
              <w:rPr>
                <w:sz w:val="20"/>
                <w:szCs w:val="20"/>
                <w:lang w:val="es-ES"/>
              </w:rPr>
              <w:t>.</w:t>
            </w:r>
          </w:p>
        </w:tc>
        <w:tc>
          <w:tcPr>
            <w:tcW w:w="3496" w:type="dxa"/>
            <w:tcMar>
              <w:left w:w="43" w:type="dxa"/>
              <w:right w:w="43" w:type="dxa"/>
            </w:tcMar>
          </w:tcPr>
          <w:p w:rsidR="001148A7" w:rsidRPr="008F4B68" w:rsidRDefault="00355317" w:rsidP="00CF2D8C">
            <w:pPr>
              <w:spacing w:after="120"/>
              <w:rPr>
                <w:sz w:val="20"/>
                <w:szCs w:val="20"/>
                <w:lang w:val="es-ES"/>
              </w:rPr>
            </w:pPr>
            <w:r w:rsidRPr="008F4B68">
              <w:rPr>
                <w:sz w:val="20"/>
                <w:szCs w:val="20"/>
                <w:lang w:val="es-ES"/>
              </w:rPr>
              <w:lastRenderedPageBreak/>
              <w:t xml:space="preserve">El presupuesto para el </w:t>
            </w:r>
            <w:r w:rsidR="001148A7" w:rsidRPr="008F4B68">
              <w:rPr>
                <w:sz w:val="20"/>
                <w:szCs w:val="20"/>
                <w:lang w:val="es-ES"/>
              </w:rPr>
              <w:t xml:space="preserve">CAP </w:t>
            </w:r>
            <w:r w:rsidRPr="008F4B68">
              <w:rPr>
                <w:sz w:val="20"/>
                <w:szCs w:val="20"/>
                <w:lang w:val="es-ES"/>
              </w:rPr>
              <w:t xml:space="preserve">se aprobó por primera vez en </w:t>
            </w:r>
            <w:r w:rsidR="001148A7" w:rsidRPr="008F4B68">
              <w:rPr>
                <w:sz w:val="20"/>
                <w:szCs w:val="20"/>
                <w:lang w:val="es-ES"/>
              </w:rPr>
              <w:t xml:space="preserve">2002. </w:t>
            </w:r>
            <w:r w:rsidRPr="008F4B68">
              <w:rPr>
                <w:sz w:val="20"/>
                <w:szCs w:val="20"/>
                <w:lang w:val="es-ES"/>
              </w:rPr>
              <w:t xml:space="preserve"> </w:t>
            </w:r>
            <w:r w:rsidR="00DF3918" w:rsidRPr="008F4B68">
              <w:rPr>
                <w:sz w:val="20"/>
                <w:szCs w:val="20"/>
                <w:lang w:val="es-ES"/>
              </w:rPr>
              <w:t xml:space="preserve">Cada año se presentan, a la consideración del Comité Ejecutivo, peticiones de financiación del presupuesto del </w:t>
            </w:r>
            <w:r w:rsidR="001148A7" w:rsidRPr="008F4B68">
              <w:rPr>
                <w:sz w:val="20"/>
                <w:szCs w:val="20"/>
                <w:lang w:val="es-ES"/>
              </w:rPr>
              <w:t>CAP (</w:t>
            </w:r>
            <w:r w:rsidR="00DF3918" w:rsidRPr="008F4B68">
              <w:rPr>
                <w:sz w:val="20"/>
                <w:szCs w:val="20"/>
                <w:lang w:val="es-ES"/>
              </w:rPr>
              <w:t>incluyendo el 8</w:t>
            </w:r>
            <w:r w:rsidR="001F7B07" w:rsidRPr="008F4B68">
              <w:rPr>
                <w:sz w:val="20"/>
                <w:szCs w:val="20"/>
                <w:lang w:val="es-ES"/>
              </w:rPr>
              <w:t> por ciento </w:t>
            </w:r>
            <w:r w:rsidR="00DF3918" w:rsidRPr="008F4B68">
              <w:rPr>
                <w:sz w:val="20"/>
                <w:szCs w:val="20"/>
                <w:lang w:val="es-ES"/>
              </w:rPr>
              <w:t>de los</w:t>
            </w:r>
            <w:r w:rsidR="001148A7" w:rsidRPr="008F4B68">
              <w:rPr>
                <w:sz w:val="20"/>
                <w:szCs w:val="20"/>
                <w:lang w:val="es-ES"/>
              </w:rPr>
              <w:t xml:space="preserve"> </w:t>
            </w:r>
            <w:r w:rsidR="00F850D2" w:rsidRPr="008F4B68">
              <w:rPr>
                <w:sz w:val="20"/>
                <w:szCs w:val="20"/>
                <w:lang w:val="es-ES"/>
              </w:rPr>
              <w:t>gastos de apoyo al organismo</w:t>
            </w:r>
            <w:r w:rsidR="001148A7" w:rsidRPr="008F4B68">
              <w:rPr>
                <w:sz w:val="20"/>
                <w:szCs w:val="20"/>
                <w:lang w:val="es-ES"/>
              </w:rPr>
              <w:t xml:space="preserve">). </w:t>
            </w:r>
            <w:r w:rsidR="00DF3918" w:rsidRPr="008F4B68">
              <w:rPr>
                <w:sz w:val="20"/>
                <w:szCs w:val="20"/>
                <w:lang w:val="es-ES"/>
              </w:rPr>
              <w:t xml:space="preserve"> Las solicitudes incluyen un informe completo sobre la marcha de las actividades ejecutadas en el ejercicio anterior, un informe financiero sobre los desembolsos y un programa de trabajo para el siguiente año</w:t>
            </w:r>
            <w:r w:rsidR="001148A7" w:rsidRPr="008F4B68">
              <w:rPr>
                <w:sz w:val="20"/>
                <w:szCs w:val="20"/>
                <w:lang w:val="es-ES"/>
              </w:rPr>
              <w:t xml:space="preserve">. </w:t>
            </w:r>
          </w:p>
          <w:p w:rsidR="001148A7" w:rsidRPr="008F4B68" w:rsidRDefault="00DF3918" w:rsidP="00CF2D8C">
            <w:pPr>
              <w:spacing w:after="120"/>
              <w:rPr>
                <w:sz w:val="20"/>
                <w:szCs w:val="20"/>
                <w:lang w:val="es-ES"/>
              </w:rPr>
            </w:pPr>
            <w:r w:rsidRPr="008F4B68">
              <w:rPr>
                <w:sz w:val="20"/>
                <w:szCs w:val="20"/>
                <w:lang w:val="es-ES"/>
              </w:rPr>
              <w:t xml:space="preserve">Los saldos de los presupuestos del </w:t>
            </w:r>
            <w:r w:rsidR="001148A7" w:rsidRPr="008F4B68">
              <w:rPr>
                <w:sz w:val="20"/>
                <w:szCs w:val="20"/>
                <w:lang w:val="es-ES"/>
              </w:rPr>
              <w:t xml:space="preserve">CAP </w:t>
            </w:r>
            <w:r w:rsidRPr="008F4B68">
              <w:rPr>
                <w:sz w:val="20"/>
                <w:szCs w:val="20"/>
                <w:lang w:val="es-ES"/>
              </w:rPr>
              <w:t xml:space="preserve">se reembolsan al </w:t>
            </w:r>
            <w:r w:rsidR="009E5024" w:rsidRPr="008F4B68">
              <w:rPr>
                <w:sz w:val="20"/>
                <w:szCs w:val="20"/>
                <w:lang w:val="es-ES"/>
              </w:rPr>
              <w:t xml:space="preserve">Fondo Multilateral </w:t>
            </w:r>
            <w:r w:rsidRPr="008F4B68">
              <w:rPr>
                <w:sz w:val="20"/>
                <w:szCs w:val="20"/>
                <w:lang w:val="es-ES"/>
              </w:rPr>
              <w:t>anualmente</w:t>
            </w:r>
            <w:r w:rsidR="001148A7" w:rsidRPr="008F4B68">
              <w:rPr>
                <w:sz w:val="20"/>
                <w:szCs w:val="20"/>
                <w:lang w:val="es-ES"/>
              </w:rPr>
              <w:t xml:space="preserve"> </w:t>
            </w:r>
          </w:p>
          <w:p w:rsidR="001148A7" w:rsidRPr="008F4B68" w:rsidRDefault="00DF3918" w:rsidP="00DF3918">
            <w:pPr>
              <w:spacing w:after="120"/>
              <w:rPr>
                <w:sz w:val="20"/>
                <w:szCs w:val="20"/>
                <w:lang w:val="es-ES"/>
              </w:rPr>
            </w:pPr>
            <w:r w:rsidRPr="008F4B68">
              <w:rPr>
                <w:sz w:val="20"/>
                <w:szCs w:val="20"/>
                <w:lang w:val="es-ES"/>
              </w:rPr>
              <w:t>La</w:t>
            </w:r>
            <w:r w:rsidR="001148A7" w:rsidRPr="008F4B68">
              <w:rPr>
                <w:sz w:val="20"/>
                <w:szCs w:val="20"/>
                <w:lang w:val="es-ES"/>
              </w:rPr>
              <w:t xml:space="preserve"> </w:t>
            </w:r>
            <w:r w:rsidR="006645CE" w:rsidRPr="008F4B68">
              <w:rPr>
                <w:sz w:val="20"/>
                <w:szCs w:val="20"/>
                <w:lang w:val="es-ES"/>
              </w:rPr>
              <w:t>Secretaría</w:t>
            </w:r>
            <w:r w:rsidR="001148A7" w:rsidRPr="008F4B68">
              <w:rPr>
                <w:sz w:val="20"/>
                <w:szCs w:val="20"/>
                <w:lang w:val="es-ES"/>
              </w:rPr>
              <w:t xml:space="preserve"> </w:t>
            </w:r>
            <w:r w:rsidRPr="008F4B68">
              <w:rPr>
                <w:sz w:val="20"/>
                <w:szCs w:val="20"/>
                <w:lang w:val="es-ES"/>
              </w:rPr>
              <w:t>examina las solicitudes y aporta una recomendación al su respecto.</w:t>
            </w:r>
          </w:p>
        </w:tc>
      </w:tr>
      <w:tr w:rsidR="001148A7" w:rsidRPr="005B28DC" w:rsidTr="00CF2D8C">
        <w:trPr>
          <w:trHeight w:val="1168"/>
        </w:trPr>
        <w:tc>
          <w:tcPr>
            <w:tcW w:w="1435" w:type="dxa"/>
          </w:tcPr>
          <w:p w:rsidR="001148A7" w:rsidRPr="008F4B68" w:rsidRDefault="00AE1C30" w:rsidP="00AE1C30">
            <w:pPr>
              <w:jc w:val="left"/>
              <w:rPr>
                <w:sz w:val="20"/>
                <w:szCs w:val="20"/>
                <w:lang w:val="es-ES"/>
              </w:rPr>
            </w:pPr>
            <w:r w:rsidRPr="008F4B68">
              <w:rPr>
                <w:sz w:val="20"/>
                <w:szCs w:val="20"/>
                <w:lang w:val="es-ES"/>
              </w:rPr>
              <w:lastRenderedPageBreak/>
              <w:t>Dependencias centrales</w:t>
            </w:r>
          </w:p>
        </w:tc>
        <w:tc>
          <w:tcPr>
            <w:tcW w:w="4514" w:type="dxa"/>
            <w:tcMar>
              <w:left w:w="43" w:type="dxa"/>
              <w:right w:w="43" w:type="dxa"/>
            </w:tcMar>
          </w:tcPr>
          <w:p w:rsidR="001148A7" w:rsidRPr="008F4B68" w:rsidRDefault="00DF3918" w:rsidP="00CF2D8C">
            <w:pPr>
              <w:pStyle w:val="Heading1"/>
              <w:numPr>
                <w:ilvl w:val="0"/>
                <w:numId w:val="0"/>
              </w:numPr>
              <w:spacing w:after="120"/>
              <w:outlineLvl w:val="0"/>
              <w:rPr>
                <w:snapToGrid w:val="0"/>
                <w:sz w:val="20"/>
                <w:szCs w:val="20"/>
                <w:lang w:val="es-ES"/>
              </w:rPr>
            </w:pPr>
            <w:r w:rsidRPr="008F4B68">
              <w:rPr>
                <w:snapToGrid w:val="0"/>
                <w:sz w:val="20"/>
                <w:szCs w:val="20"/>
                <w:lang w:val="es-ES"/>
              </w:rPr>
              <w:t xml:space="preserve">El </w:t>
            </w:r>
            <w:r w:rsidR="00E250D7" w:rsidRPr="008F4B68">
              <w:rPr>
                <w:snapToGrid w:val="0"/>
                <w:sz w:val="20"/>
                <w:szCs w:val="20"/>
                <w:lang w:val="es-ES"/>
              </w:rPr>
              <w:t>PNUD</w:t>
            </w:r>
            <w:r w:rsidR="001148A7" w:rsidRPr="008F4B68">
              <w:rPr>
                <w:snapToGrid w:val="0"/>
                <w:sz w:val="20"/>
                <w:szCs w:val="20"/>
                <w:lang w:val="es-ES"/>
              </w:rPr>
              <w:t xml:space="preserve">, </w:t>
            </w:r>
            <w:r w:rsidR="009A1284" w:rsidRPr="008F4B68">
              <w:rPr>
                <w:snapToGrid w:val="0"/>
                <w:sz w:val="20"/>
                <w:szCs w:val="20"/>
                <w:lang w:val="es-ES"/>
              </w:rPr>
              <w:t>la ONUDI</w:t>
            </w:r>
            <w:r w:rsidR="001148A7" w:rsidRPr="008F4B68">
              <w:rPr>
                <w:snapToGrid w:val="0"/>
                <w:sz w:val="20"/>
                <w:szCs w:val="20"/>
                <w:lang w:val="es-ES"/>
              </w:rPr>
              <w:t xml:space="preserve"> </w:t>
            </w:r>
            <w:r w:rsidRPr="008F4B68">
              <w:rPr>
                <w:snapToGrid w:val="0"/>
                <w:sz w:val="20"/>
                <w:szCs w:val="20"/>
                <w:lang w:val="es-ES"/>
              </w:rPr>
              <w:t>y e</w:t>
            </w:r>
            <w:r w:rsidR="00E250D7" w:rsidRPr="008F4B68">
              <w:rPr>
                <w:snapToGrid w:val="0"/>
                <w:sz w:val="20"/>
                <w:szCs w:val="20"/>
                <w:lang w:val="es-ES"/>
              </w:rPr>
              <w:t>l</w:t>
            </w:r>
            <w:r w:rsidR="009A1284" w:rsidRPr="008F4B68">
              <w:rPr>
                <w:snapToGrid w:val="0"/>
                <w:sz w:val="20"/>
                <w:szCs w:val="20"/>
                <w:lang w:val="es-ES"/>
              </w:rPr>
              <w:t> Banco </w:t>
            </w:r>
            <w:r w:rsidR="001F7B07" w:rsidRPr="008F4B68">
              <w:rPr>
                <w:snapToGrid w:val="0"/>
                <w:sz w:val="20"/>
                <w:szCs w:val="20"/>
                <w:lang w:val="es-ES"/>
              </w:rPr>
              <w:t>Mundial</w:t>
            </w:r>
            <w:r w:rsidRPr="008F4B68">
              <w:rPr>
                <w:snapToGrid w:val="0"/>
                <w:sz w:val="20"/>
                <w:szCs w:val="20"/>
                <w:lang w:val="es-ES"/>
              </w:rPr>
              <w:t> </w:t>
            </w:r>
            <w:r w:rsidR="001148A7" w:rsidRPr="008F4B68">
              <w:rPr>
                <w:snapToGrid w:val="0"/>
                <w:sz w:val="20"/>
                <w:szCs w:val="20"/>
                <w:lang w:val="es-ES"/>
              </w:rPr>
              <w:t>ha</w:t>
            </w:r>
            <w:r w:rsidRPr="008F4B68">
              <w:rPr>
                <w:snapToGrid w:val="0"/>
                <w:sz w:val="20"/>
                <w:szCs w:val="20"/>
                <w:lang w:val="es-ES"/>
              </w:rPr>
              <w:t xml:space="preserve">n creado una dependencia central que facilita experiencia y ejecución congruentes de las actividades del </w:t>
            </w:r>
            <w:r w:rsidR="001148A7" w:rsidRPr="008F4B68">
              <w:rPr>
                <w:snapToGrid w:val="0"/>
                <w:sz w:val="20"/>
                <w:szCs w:val="20"/>
                <w:lang w:val="es-ES"/>
              </w:rPr>
              <w:t>Protocol</w:t>
            </w:r>
            <w:r w:rsidRPr="008F4B68">
              <w:rPr>
                <w:snapToGrid w:val="0"/>
                <w:sz w:val="20"/>
                <w:szCs w:val="20"/>
                <w:lang w:val="es-ES"/>
              </w:rPr>
              <w:t>o</w:t>
            </w:r>
            <w:r w:rsidR="001148A7" w:rsidRPr="008F4B68">
              <w:rPr>
                <w:snapToGrid w:val="0"/>
                <w:sz w:val="20"/>
                <w:szCs w:val="20"/>
                <w:lang w:val="es-ES"/>
              </w:rPr>
              <w:t xml:space="preserve"> </w:t>
            </w:r>
            <w:r w:rsidRPr="008F4B68">
              <w:rPr>
                <w:snapToGrid w:val="0"/>
                <w:sz w:val="20"/>
                <w:szCs w:val="20"/>
                <w:lang w:val="es-ES"/>
              </w:rPr>
              <w:t>e</w:t>
            </w:r>
            <w:r w:rsidR="001148A7" w:rsidRPr="008F4B68">
              <w:rPr>
                <w:snapToGrid w:val="0"/>
                <w:sz w:val="20"/>
                <w:szCs w:val="20"/>
                <w:lang w:val="es-ES"/>
              </w:rPr>
              <w:t xml:space="preserve">n </w:t>
            </w:r>
            <w:r w:rsidR="003920CB" w:rsidRPr="008F4B68">
              <w:rPr>
                <w:snapToGrid w:val="0"/>
                <w:sz w:val="20"/>
                <w:szCs w:val="20"/>
                <w:lang w:val="es-ES"/>
              </w:rPr>
              <w:t>países que operan al amparo del artículo 5</w:t>
            </w:r>
            <w:r w:rsidR="001148A7" w:rsidRPr="008F4B68">
              <w:rPr>
                <w:snapToGrid w:val="0"/>
                <w:sz w:val="20"/>
                <w:szCs w:val="20"/>
                <w:lang w:val="es-ES"/>
              </w:rPr>
              <w:t xml:space="preserve"> </w:t>
            </w:r>
          </w:p>
          <w:p w:rsidR="001148A7" w:rsidRPr="008F4B68" w:rsidRDefault="00AF51D9" w:rsidP="00CF2D8C">
            <w:pPr>
              <w:pStyle w:val="Heading1"/>
              <w:numPr>
                <w:ilvl w:val="0"/>
                <w:numId w:val="0"/>
              </w:numPr>
              <w:spacing w:after="120"/>
              <w:outlineLvl w:val="0"/>
              <w:rPr>
                <w:snapToGrid w:val="0"/>
                <w:sz w:val="20"/>
                <w:szCs w:val="20"/>
                <w:lang w:val="es-ES"/>
              </w:rPr>
            </w:pPr>
            <w:r w:rsidRPr="008F4B68">
              <w:rPr>
                <w:snapToGrid w:val="0"/>
                <w:sz w:val="20"/>
                <w:szCs w:val="20"/>
                <w:lang w:val="es-ES"/>
              </w:rPr>
              <w:t xml:space="preserve">Las obligaciones de la dependencia central </w:t>
            </w:r>
            <w:r w:rsidR="001148A7" w:rsidRPr="008F4B68">
              <w:rPr>
                <w:snapToGrid w:val="0"/>
                <w:sz w:val="20"/>
                <w:szCs w:val="20"/>
                <w:lang w:val="es-ES"/>
              </w:rPr>
              <w:t>inclu</w:t>
            </w:r>
            <w:r w:rsidRPr="008F4B68">
              <w:rPr>
                <w:snapToGrid w:val="0"/>
                <w:sz w:val="20"/>
                <w:szCs w:val="20"/>
                <w:lang w:val="es-ES"/>
              </w:rPr>
              <w:t>yen</w:t>
            </w:r>
            <w:r w:rsidR="001148A7" w:rsidRPr="008F4B68">
              <w:rPr>
                <w:snapToGrid w:val="0"/>
                <w:sz w:val="20"/>
                <w:szCs w:val="20"/>
                <w:lang w:val="es-ES"/>
              </w:rPr>
              <w:t>:</w:t>
            </w:r>
          </w:p>
          <w:p w:rsidR="001148A7" w:rsidRPr="008F4B68" w:rsidRDefault="00AF51D9" w:rsidP="001148A7">
            <w:pPr>
              <w:pStyle w:val="Heading1"/>
              <w:numPr>
                <w:ilvl w:val="0"/>
                <w:numId w:val="30"/>
              </w:numPr>
              <w:spacing w:after="120"/>
              <w:ind w:left="144" w:hanging="144"/>
              <w:contextualSpacing/>
              <w:outlineLvl w:val="0"/>
              <w:rPr>
                <w:snapToGrid w:val="0"/>
                <w:sz w:val="20"/>
                <w:szCs w:val="20"/>
                <w:lang w:val="es-ES"/>
              </w:rPr>
            </w:pPr>
            <w:r w:rsidRPr="008F4B68">
              <w:rPr>
                <w:snapToGrid w:val="0"/>
                <w:sz w:val="20"/>
                <w:szCs w:val="20"/>
                <w:lang w:val="es-ES"/>
              </w:rPr>
              <w:t>Recoger, examinar y cualificar previamente las solicitudes de financiación de proyectos.</w:t>
            </w:r>
          </w:p>
          <w:p w:rsidR="001148A7" w:rsidRPr="008F4B68" w:rsidRDefault="00AF51D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Tratar con los Gobiernos y establecer acuerdos jurídicos.</w:t>
            </w:r>
          </w:p>
          <w:p w:rsidR="001148A7" w:rsidRPr="008F4B68" w:rsidRDefault="00AF51D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Preparar las propuestas de proyectos.</w:t>
            </w:r>
          </w:p>
          <w:p w:rsidR="001148A7" w:rsidRPr="008F4B68" w:rsidRDefault="00AF51D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Asignación y colocación de asesores en los emplazamientos de los proyectos.</w:t>
            </w:r>
          </w:p>
          <w:p w:rsidR="00AF51D9" w:rsidRPr="008F4B68" w:rsidRDefault="00AF51D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 xml:space="preserve">Presentar y seguir el curso de las propuestas de proyecto presentadas a la aprobación del </w:t>
            </w:r>
            <w:r w:rsidR="00CF2D8C" w:rsidRPr="008F4B68">
              <w:rPr>
                <w:snapToGrid w:val="0"/>
                <w:sz w:val="20"/>
                <w:szCs w:val="20"/>
                <w:lang w:val="es-ES"/>
              </w:rPr>
              <w:t>Comité Ejecutivo</w:t>
            </w:r>
            <w:r w:rsidRPr="008F4B68">
              <w:rPr>
                <w:snapToGrid w:val="0"/>
                <w:sz w:val="20"/>
                <w:szCs w:val="20"/>
                <w:lang w:val="es-ES"/>
              </w:rPr>
              <w:t>.</w:t>
            </w:r>
          </w:p>
          <w:p w:rsidR="001148A7" w:rsidRPr="008F4B68" w:rsidRDefault="00AF51D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 xml:space="preserve">Coordinarse con la </w:t>
            </w:r>
            <w:r w:rsidR="006645CE" w:rsidRPr="008F4B68">
              <w:rPr>
                <w:snapToGrid w:val="0"/>
                <w:sz w:val="20"/>
                <w:szCs w:val="20"/>
                <w:lang w:val="es-ES"/>
              </w:rPr>
              <w:t>Secretaría</w:t>
            </w:r>
            <w:r w:rsidR="001148A7" w:rsidRPr="008F4B68">
              <w:rPr>
                <w:snapToGrid w:val="0"/>
                <w:sz w:val="20"/>
                <w:szCs w:val="20"/>
                <w:lang w:val="es-ES"/>
              </w:rPr>
              <w:t xml:space="preserve"> </w:t>
            </w:r>
            <w:r w:rsidRPr="008F4B68">
              <w:rPr>
                <w:snapToGrid w:val="0"/>
                <w:sz w:val="20"/>
                <w:szCs w:val="20"/>
                <w:lang w:val="es-ES"/>
              </w:rPr>
              <w:t>del Fondo en lo tocante a diferentes actividades.</w:t>
            </w:r>
          </w:p>
          <w:p w:rsidR="001148A7" w:rsidRPr="008F4B68" w:rsidRDefault="001148A7"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Prepar</w:t>
            </w:r>
            <w:r w:rsidR="00AF51D9" w:rsidRPr="008F4B68">
              <w:rPr>
                <w:snapToGrid w:val="0"/>
                <w:sz w:val="20"/>
                <w:szCs w:val="20"/>
                <w:lang w:val="es-ES"/>
              </w:rPr>
              <w:t xml:space="preserve">ar los acuerdos de ejecución y los mandatos </w:t>
            </w:r>
            <w:r w:rsidRPr="008F4B68">
              <w:rPr>
                <w:snapToGrid w:val="0"/>
                <w:sz w:val="20"/>
                <w:szCs w:val="20"/>
                <w:lang w:val="es-ES"/>
              </w:rPr>
              <w:t xml:space="preserve"> </w:t>
            </w:r>
            <w:r w:rsidR="00AF51D9" w:rsidRPr="008F4B68">
              <w:rPr>
                <w:snapToGrid w:val="0"/>
                <w:sz w:val="20"/>
                <w:szCs w:val="20"/>
                <w:lang w:val="es-ES"/>
              </w:rPr>
              <w:t xml:space="preserve">para los </w:t>
            </w:r>
            <w:r w:rsidR="00E926A9" w:rsidRPr="008F4B68">
              <w:rPr>
                <w:snapToGrid w:val="0"/>
                <w:sz w:val="20"/>
                <w:szCs w:val="20"/>
                <w:lang w:val="es-ES"/>
              </w:rPr>
              <w:t>subcontratistas</w:t>
            </w:r>
            <w:r w:rsidR="00AF51D9" w:rsidRPr="008F4B68">
              <w:rPr>
                <w:snapToGrid w:val="0"/>
                <w:sz w:val="20"/>
                <w:szCs w:val="20"/>
                <w:lang w:val="es-ES"/>
              </w:rPr>
              <w:t>.</w:t>
            </w:r>
          </w:p>
          <w:p w:rsidR="001148A7" w:rsidRPr="008F4B68" w:rsidRDefault="00AF51D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Movilizar a los equipos de ejecución para los proyectos de financiación ya aprobada, siguiendo los mecanismos adecuados de licitación y evaluación.</w:t>
            </w:r>
          </w:p>
          <w:p w:rsidR="001148A7" w:rsidRPr="008F4B68" w:rsidRDefault="00BB78E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Procesar documentos contractuales y contables conexos a los proyectos aprobados.</w:t>
            </w:r>
          </w:p>
          <w:p w:rsidR="001148A7" w:rsidRPr="008F4B68" w:rsidRDefault="00BB78E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 xml:space="preserve">Notificar los resultados y el programa de los proyectos </w:t>
            </w:r>
            <w:r w:rsidR="001148A7" w:rsidRPr="008F4B68">
              <w:rPr>
                <w:snapToGrid w:val="0"/>
                <w:sz w:val="20"/>
                <w:szCs w:val="20"/>
                <w:lang w:val="es-ES"/>
              </w:rPr>
              <w:t>(</w:t>
            </w:r>
            <w:r w:rsidRPr="008F4B68">
              <w:rPr>
                <w:snapToGrid w:val="0"/>
                <w:sz w:val="20"/>
                <w:szCs w:val="20"/>
                <w:lang w:val="es-ES"/>
              </w:rPr>
              <w:t>preparar informes sobre la marcha de las actividades y la terminación de proyectos</w:t>
            </w:r>
            <w:r w:rsidR="001148A7" w:rsidRPr="008F4B68">
              <w:rPr>
                <w:snapToGrid w:val="0"/>
                <w:sz w:val="20"/>
                <w:szCs w:val="20"/>
                <w:lang w:val="es-ES"/>
              </w:rPr>
              <w:t>)</w:t>
            </w:r>
            <w:r w:rsidRPr="008F4B68">
              <w:rPr>
                <w:snapToGrid w:val="0"/>
                <w:sz w:val="20"/>
                <w:szCs w:val="20"/>
                <w:lang w:val="es-ES"/>
              </w:rPr>
              <w:t>.</w:t>
            </w:r>
          </w:p>
          <w:p w:rsidR="001148A7" w:rsidRPr="008F4B68" w:rsidRDefault="00BB78E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Preparar planes administrativos fundamentados en las comunicaciones mantenidas con los gobiernos al respecto de sus necesidades y prioridades.</w:t>
            </w:r>
          </w:p>
          <w:p w:rsidR="001148A7" w:rsidRPr="008F4B68" w:rsidRDefault="001148A7"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Prepar</w:t>
            </w:r>
            <w:r w:rsidR="00BB78E9" w:rsidRPr="008F4B68">
              <w:rPr>
                <w:snapToGrid w:val="0"/>
                <w:sz w:val="20"/>
                <w:szCs w:val="20"/>
                <w:lang w:val="es-ES"/>
              </w:rPr>
              <w:t>ar informes sobre la marcha de la</w:t>
            </w:r>
            <w:r w:rsidR="00935122" w:rsidRPr="008F4B68">
              <w:rPr>
                <w:snapToGrid w:val="0"/>
                <w:sz w:val="20"/>
                <w:szCs w:val="20"/>
                <w:lang w:val="es-ES"/>
              </w:rPr>
              <w:t>s</w:t>
            </w:r>
            <w:r w:rsidR="00BB78E9" w:rsidRPr="008F4B68">
              <w:rPr>
                <w:snapToGrid w:val="0"/>
                <w:sz w:val="20"/>
                <w:szCs w:val="20"/>
                <w:lang w:val="es-ES"/>
              </w:rPr>
              <w:t xml:space="preserve"> actividades financieras.</w:t>
            </w:r>
          </w:p>
          <w:p w:rsidR="001148A7" w:rsidRPr="008F4B68" w:rsidRDefault="00BB78E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Seguir la situación sobre la implantación, incluyendo las visitas al país de haber evidencias de demoras indebidas o dificultadas.</w:t>
            </w:r>
          </w:p>
          <w:p w:rsidR="001148A7" w:rsidRPr="008F4B68" w:rsidRDefault="00BB78E9" w:rsidP="001148A7">
            <w:pPr>
              <w:pStyle w:val="Heading1"/>
              <w:numPr>
                <w:ilvl w:val="0"/>
                <w:numId w:val="30"/>
              </w:numPr>
              <w:spacing w:after="0"/>
              <w:ind w:left="144" w:hanging="144"/>
              <w:contextualSpacing/>
              <w:outlineLvl w:val="0"/>
              <w:rPr>
                <w:snapToGrid w:val="0"/>
                <w:sz w:val="20"/>
                <w:szCs w:val="20"/>
                <w:lang w:val="es-ES"/>
              </w:rPr>
            </w:pPr>
            <w:r w:rsidRPr="008F4B68">
              <w:rPr>
                <w:snapToGrid w:val="0"/>
                <w:sz w:val="20"/>
                <w:szCs w:val="20"/>
                <w:lang w:val="es-ES"/>
              </w:rPr>
              <w:t xml:space="preserve">Facilitar aportaciones a la </w:t>
            </w:r>
            <w:r w:rsidR="006645CE" w:rsidRPr="008F4B68">
              <w:rPr>
                <w:snapToGrid w:val="0"/>
                <w:sz w:val="20"/>
                <w:szCs w:val="20"/>
                <w:lang w:val="es-ES"/>
              </w:rPr>
              <w:t xml:space="preserve">Secretaría </w:t>
            </w:r>
            <w:r w:rsidRPr="008F4B68">
              <w:rPr>
                <w:snapToGrid w:val="0"/>
                <w:sz w:val="20"/>
                <w:szCs w:val="20"/>
                <w:lang w:val="es-ES"/>
              </w:rPr>
              <w:t>con ponencias sobre políticas-normativas y cuestiones, según sea necesario.</w:t>
            </w:r>
          </w:p>
          <w:p w:rsidR="001148A7" w:rsidRPr="008F4B68" w:rsidRDefault="001148A7" w:rsidP="00BB78E9">
            <w:pPr>
              <w:pStyle w:val="Heading1"/>
              <w:numPr>
                <w:ilvl w:val="0"/>
                <w:numId w:val="30"/>
              </w:numPr>
              <w:spacing w:after="0"/>
              <w:ind w:left="144" w:hanging="144"/>
              <w:contextualSpacing/>
              <w:outlineLvl w:val="0"/>
              <w:rPr>
                <w:lang w:val="es-ES"/>
              </w:rPr>
            </w:pPr>
            <w:r w:rsidRPr="008F4B68">
              <w:rPr>
                <w:snapToGrid w:val="0"/>
                <w:sz w:val="20"/>
                <w:szCs w:val="20"/>
                <w:lang w:val="es-ES"/>
              </w:rPr>
              <w:t>Participa</w:t>
            </w:r>
            <w:r w:rsidR="00BB78E9" w:rsidRPr="008F4B68">
              <w:rPr>
                <w:snapToGrid w:val="0"/>
                <w:sz w:val="20"/>
                <w:szCs w:val="20"/>
                <w:lang w:val="es-ES"/>
              </w:rPr>
              <w:t xml:space="preserve">r en las reuniones del </w:t>
            </w:r>
            <w:r w:rsidR="003920CB" w:rsidRPr="008F4B68">
              <w:rPr>
                <w:snapToGrid w:val="0"/>
                <w:sz w:val="20"/>
                <w:szCs w:val="20"/>
                <w:lang w:val="es-ES"/>
              </w:rPr>
              <w:t>Comité Ejecutivo</w:t>
            </w:r>
            <w:r w:rsidRPr="008F4B68">
              <w:rPr>
                <w:snapToGrid w:val="0"/>
                <w:sz w:val="20"/>
                <w:szCs w:val="20"/>
                <w:lang w:val="es-ES"/>
              </w:rPr>
              <w:t xml:space="preserve">, </w:t>
            </w:r>
            <w:r w:rsidR="00BB78E9" w:rsidRPr="008F4B68">
              <w:rPr>
                <w:snapToGrid w:val="0"/>
                <w:sz w:val="20"/>
                <w:szCs w:val="20"/>
                <w:lang w:val="es-ES"/>
              </w:rPr>
              <w:t>y de la</w:t>
            </w:r>
            <w:r w:rsidR="006645CE" w:rsidRPr="008F4B68">
              <w:rPr>
                <w:snapToGrid w:val="0"/>
                <w:sz w:val="20"/>
                <w:szCs w:val="20"/>
                <w:lang w:val="es-ES"/>
              </w:rPr>
              <w:t xml:space="preserve"> Secretaría</w:t>
            </w:r>
            <w:r w:rsidR="00BB78E9" w:rsidRPr="008F4B68">
              <w:rPr>
                <w:snapToGrid w:val="0"/>
                <w:sz w:val="20"/>
                <w:szCs w:val="20"/>
                <w:lang w:val="es-ES"/>
              </w:rPr>
              <w:t>.</w:t>
            </w:r>
          </w:p>
        </w:tc>
        <w:tc>
          <w:tcPr>
            <w:tcW w:w="3496" w:type="dxa"/>
            <w:tcMar>
              <w:left w:w="43" w:type="dxa"/>
              <w:right w:w="43" w:type="dxa"/>
            </w:tcMar>
          </w:tcPr>
          <w:p w:rsidR="001148A7" w:rsidRPr="008F4B68" w:rsidRDefault="00BB78E9" w:rsidP="00CF2D8C">
            <w:pPr>
              <w:pStyle w:val="Heading2"/>
              <w:widowControl/>
              <w:numPr>
                <w:ilvl w:val="0"/>
                <w:numId w:val="0"/>
              </w:numPr>
              <w:spacing w:after="120"/>
              <w:outlineLvl w:val="1"/>
              <w:rPr>
                <w:sz w:val="20"/>
                <w:szCs w:val="20"/>
                <w:lang w:val="es-ES"/>
              </w:rPr>
            </w:pPr>
            <w:r w:rsidRPr="008F4B68">
              <w:rPr>
                <w:sz w:val="20"/>
                <w:szCs w:val="20"/>
                <w:lang w:val="es-ES"/>
              </w:rPr>
              <w:t>Se aprobaron por primera vez desde 2003 las solicitudes de financiación de los gastos de la dependencia central.</w:t>
            </w:r>
          </w:p>
          <w:p w:rsidR="001148A7" w:rsidRPr="008F4B68" w:rsidRDefault="00BB78E9" w:rsidP="00CF2D8C">
            <w:pPr>
              <w:pStyle w:val="Heading2"/>
              <w:widowControl/>
              <w:numPr>
                <w:ilvl w:val="0"/>
                <w:numId w:val="0"/>
              </w:numPr>
              <w:spacing w:after="120"/>
              <w:outlineLvl w:val="1"/>
              <w:rPr>
                <w:sz w:val="20"/>
                <w:szCs w:val="20"/>
                <w:lang w:val="es-ES"/>
              </w:rPr>
            </w:pPr>
            <w:r w:rsidRPr="008F4B68">
              <w:rPr>
                <w:sz w:val="20"/>
                <w:szCs w:val="20"/>
                <w:lang w:val="es-ES"/>
              </w:rPr>
              <w:t>Se present</w:t>
            </w:r>
            <w:r w:rsidR="00B50717">
              <w:rPr>
                <w:sz w:val="20"/>
                <w:szCs w:val="20"/>
                <w:lang w:val="es-ES"/>
              </w:rPr>
              <w:t>aron</w:t>
            </w:r>
            <w:r w:rsidRPr="008F4B68">
              <w:rPr>
                <w:sz w:val="20"/>
                <w:szCs w:val="20"/>
                <w:lang w:val="es-ES"/>
              </w:rPr>
              <w:t xml:space="preserve"> las solicitudes de financiación de los gastos de la dependencia central a la consideración del </w:t>
            </w:r>
            <w:r w:rsidR="003920CB" w:rsidRPr="008F4B68">
              <w:rPr>
                <w:sz w:val="20"/>
                <w:szCs w:val="20"/>
                <w:lang w:val="es-ES"/>
              </w:rPr>
              <w:t>Comité Ejecutivo</w:t>
            </w:r>
            <w:r w:rsidR="001148A7" w:rsidRPr="008F4B68">
              <w:rPr>
                <w:sz w:val="20"/>
                <w:szCs w:val="20"/>
                <w:lang w:val="es-ES"/>
              </w:rPr>
              <w:t xml:space="preserve">. </w:t>
            </w:r>
            <w:r w:rsidRPr="008F4B68">
              <w:rPr>
                <w:sz w:val="20"/>
                <w:szCs w:val="20"/>
                <w:lang w:val="es-ES"/>
              </w:rPr>
              <w:t xml:space="preserve"> La</w:t>
            </w:r>
            <w:r w:rsidR="001148A7" w:rsidRPr="008F4B68">
              <w:rPr>
                <w:sz w:val="20"/>
                <w:szCs w:val="20"/>
                <w:lang w:val="es-ES"/>
              </w:rPr>
              <w:t xml:space="preserve"> </w:t>
            </w:r>
            <w:r w:rsidR="006645CE" w:rsidRPr="008F4B68">
              <w:rPr>
                <w:sz w:val="20"/>
                <w:szCs w:val="20"/>
                <w:lang w:val="es-ES"/>
              </w:rPr>
              <w:t>Secretaría</w:t>
            </w:r>
            <w:r w:rsidR="001148A7" w:rsidRPr="008F4B68">
              <w:rPr>
                <w:sz w:val="20"/>
                <w:szCs w:val="20"/>
                <w:lang w:val="es-ES"/>
              </w:rPr>
              <w:t xml:space="preserve"> </w:t>
            </w:r>
            <w:r w:rsidRPr="008F4B68">
              <w:rPr>
                <w:sz w:val="20"/>
                <w:szCs w:val="20"/>
                <w:lang w:val="es-ES"/>
              </w:rPr>
              <w:t>las examin</w:t>
            </w:r>
            <w:r w:rsidR="00B50717">
              <w:rPr>
                <w:sz w:val="20"/>
                <w:szCs w:val="20"/>
                <w:lang w:val="es-ES"/>
              </w:rPr>
              <w:t>ó</w:t>
            </w:r>
            <w:r w:rsidRPr="008F4B68">
              <w:rPr>
                <w:sz w:val="20"/>
                <w:szCs w:val="20"/>
                <w:lang w:val="es-ES"/>
              </w:rPr>
              <w:t xml:space="preserve"> y facilitó una recomendación.  Los saldos de los gastos de dependencia central, por ejemplo, para el</w:t>
            </w:r>
            <w:r w:rsidR="009A1284" w:rsidRPr="008F4B68">
              <w:rPr>
                <w:sz w:val="20"/>
                <w:szCs w:val="20"/>
                <w:lang w:val="es-ES"/>
              </w:rPr>
              <w:t> Banco </w:t>
            </w:r>
            <w:r w:rsidR="001F7B07" w:rsidRPr="008F4B68">
              <w:rPr>
                <w:sz w:val="20"/>
                <w:szCs w:val="20"/>
                <w:lang w:val="es-ES"/>
              </w:rPr>
              <w:t>Mundial</w:t>
            </w:r>
            <w:r w:rsidR="001148A7" w:rsidRPr="008F4B68">
              <w:rPr>
                <w:sz w:val="20"/>
                <w:szCs w:val="20"/>
                <w:lang w:val="es-ES"/>
              </w:rPr>
              <w:t xml:space="preserve">, </w:t>
            </w:r>
            <w:r w:rsidRPr="008F4B68">
              <w:rPr>
                <w:sz w:val="20"/>
                <w:szCs w:val="20"/>
                <w:lang w:val="es-ES"/>
              </w:rPr>
              <w:t>se reembolsan al Fondo Multilateral.</w:t>
            </w:r>
          </w:p>
          <w:p w:rsidR="001148A7" w:rsidRPr="008F4B68" w:rsidRDefault="00BB78E9" w:rsidP="00CF2D8C">
            <w:pPr>
              <w:rPr>
                <w:lang w:val="es-ES"/>
              </w:rPr>
            </w:pPr>
            <w:r w:rsidRPr="008F4B68">
              <w:rPr>
                <w:sz w:val="20"/>
                <w:szCs w:val="20"/>
                <w:lang w:val="es-ES"/>
              </w:rPr>
              <w:t xml:space="preserve">Los gastos de la dependencia central se utilizan para: </w:t>
            </w:r>
            <w:r w:rsidR="00935122" w:rsidRPr="008F4B68">
              <w:rPr>
                <w:sz w:val="20"/>
                <w:szCs w:val="20"/>
                <w:lang w:val="es-ES"/>
              </w:rPr>
              <w:t>los considerables gastos directos de la plantilla operativa, entre otras cosas,</w:t>
            </w:r>
            <w:r w:rsidR="001148A7" w:rsidRPr="008F4B68">
              <w:rPr>
                <w:sz w:val="20"/>
                <w:szCs w:val="20"/>
                <w:lang w:val="es-ES"/>
              </w:rPr>
              <w:t xml:space="preserve"> </w:t>
            </w:r>
            <w:r w:rsidR="00935122" w:rsidRPr="008F4B68">
              <w:rPr>
                <w:sz w:val="20"/>
                <w:szCs w:val="20"/>
                <w:lang w:val="es-ES"/>
              </w:rPr>
              <w:t xml:space="preserve">instalaciones y equipo, así como servicios a programas </w:t>
            </w:r>
            <w:r w:rsidR="001148A7" w:rsidRPr="008F4B68">
              <w:rPr>
                <w:sz w:val="20"/>
                <w:szCs w:val="20"/>
                <w:lang w:val="es-ES"/>
              </w:rPr>
              <w:t>(</w:t>
            </w:r>
            <w:r w:rsidR="00935122" w:rsidRPr="008F4B68">
              <w:rPr>
                <w:sz w:val="20"/>
                <w:szCs w:val="20"/>
                <w:lang w:val="es-ES"/>
              </w:rPr>
              <w:t>por ejemplo, movilización de recursos, evaluación y gestión</w:t>
            </w:r>
            <w:r w:rsidR="001148A7" w:rsidRPr="008F4B68">
              <w:rPr>
                <w:sz w:val="20"/>
                <w:szCs w:val="20"/>
                <w:lang w:val="es-ES"/>
              </w:rPr>
              <w:t xml:space="preserve">); </w:t>
            </w:r>
            <w:r w:rsidR="00935122" w:rsidRPr="008F4B68">
              <w:rPr>
                <w:sz w:val="20"/>
                <w:szCs w:val="20"/>
                <w:lang w:val="es-ES"/>
              </w:rPr>
              <w:t>y gastos indirectos para, entre otras cosas, la administración central de recursos humanos, financieros y de tecnología de la información; y las obligaciones jurídicas.</w:t>
            </w:r>
          </w:p>
          <w:p w:rsidR="001148A7" w:rsidRPr="008F4B68" w:rsidRDefault="001148A7" w:rsidP="00CF2D8C">
            <w:pPr>
              <w:pStyle w:val="Heading2"/>
              <w:widowControl/>
              <w:numPr>
                <w:ilvl w:val="0"/>
                <w:numId w:val="0"/>
              </w:numPr>
              <w:spacing w:after="0"/>
              <w:ind w:left="144"/>
              <w:outlineLvl w:val="1"/>
              <w:rPr>
                <w:sz w:val="20"/>
                <w:szCs w:val="20"/>
                <w:lang w:val="es-ES"/>
              </w:rPr>
            </w:pPr>
          </w:p>
        </w:tc>
      </w:tr>
    </w:tbl>
    <w:p w:rsidR="001148A7" w:rsidRPr="008F4B68" w:rsidRDefault="001148A7" w:rsidP="001148A7">
      <w:pPr>
        <w:rPr>
          <w:lang w:val="es-ES"/>
        </w:rPr>
      </w:pPr>
    </w:p>
    <w:p w:rsidR="001148A7" w:rsidRPr="008F4B68" w:rsidRDefault="00935122" w:rsidP="001148A7">
      <w:pPr>
        <w:spacing w:after="240"/>
        <w:rPr>
          <w:lang w:val="es-ES"/>
        </w:rPr>
      </w:pPr>
      <w:r w:rsidRPr="008F4B68">
        <w:rPr>
          <w:b/>
          <w:lang w:val="es-ES"/>
        </w:rPr>
        <w:t>Análisis desglosado por país sobre la d</w:t>
      </w:r>
      <w:r w:rsidR="00EE76D1" w:rsidRPr="008F4B68">
        <w:rPr>
          <w:b/>
          <w:lang w:val="es-ES"/>
        </w:rPr>
        <w:t>ependencia de gestión de proyectos</w:t>
      </w:r>
      <w:r w:rsidR="001148A7" w:rsidRPr="008F4B68">
        <w:rPr>
          <w:b/>
          <w:lang w:val="es-ES"/>
        </w:rPr>
        <w:t xml:space="preserve">, </w:t>
      </w:r>
      <w:r w:rsidRPr="008F4B68">
        <w:rPr>
          <w:b/>
          <w:lang w:val="es-ES"/>
        </w:rPr>
        <w:t>FI y</w:t>
      </w:r>
      <w:r w:rsidR="001148A7" w:rsidRPr="008F4B68">
        <w:rPr>
          <w:b/>
          <w:lang w:val="es-ES"/>
        </w:rPr>
        <w:t xml:space="preserve"> </w:t>
      </w:r>
      <w:r w:rsidR="00F850D2" w:rsidRPr="008F4B68">
        <w:rPr>
          <w:b/>
          <w:lang w:val="es-ES"/>
        </w:rPr>
        <w:t>gastos de apoyo al organismo</w:t>
      </w:r>
    </w:p>
    <w:p w:rsidR="001148A7" w:rsidRPr="008F4B68" w:rsidRDefault="00935122" w:rsidP="001148A7">
      <w:pPr>
        <w:pStyle w:val="Heading1"/>
        <w:rPr>
          <w:lang w:val="es-ES"/>
        </w:rPr>
      </w:pPr>
      <w:r w:rsidRPr="008F4B68">
        <w:rPr>
          <w:lang w:val="es-ES"/>
        </w:rPr>
        <w:lastRenderedPageBreak/>
        <w:t xml:space="preserve">Al respecto del análisis pormenorizado por país solicitado en virtud de la </w:t>
      </w:r>
      <w:r w:rsidR="00A035B3" w:rsidRPr="008F4B68">
        <w:rPr>
          <w:lang w:val="es-ES"/>
        </w:rPr>
        <w:t>decisión </w:t>
      </w:r>
      <w:r w:rsidR="001148A7" w:rsidRPr="008F4B68">
        <w:rPr>
          <w:lang w:val="es-ES"/>
        </w:rPr>
        <w:t>82/82</w:t>
      </w:r>
      <w:r w:rsidRPr="008F4B68">
        <w:rPr>
          <w:lang w:val="es-ES"/>
        </w:rPr>
        <w:t> </w:t>
      </w:r>
      <w:r w:rsidR="001148A7" w:rsidRPr="008F4B68">
        <w:rPr>
          <w:lang w:val="es-ES"/>
        </w:rPr>
        <w:t xml:space="preserve">b), </w:t>
      </w:r>
      <w:r w:rsidR="006645CE" w:rsidRPr="008F4B68">
        <w:rPr>
          <w:lang w:val="es-ES"/>
        </w:rPr>
        <w:t xml:space="preserve">la Secretaría </w:t>
      </w:r>
      <w:r w:rsidRPr="008F4B68">
        <w:rPr>
          <w:lang w:val="es-ES"/>
        </w:rPr>
        <w:t xml:space="preserve">examinó la </w:t>
      </w:r>
      <w:r w:rsidR="009A1284" w:rsidRPr="008F4B68">
        <w:rPr>
          <w:lang w:val="es-ES"/>
        </w:rPr>
        <w:t>etapa </w:t>
      </w:r>
      <w:r w:rsidR="001148A7" w:rsidRPr="008F4B68">
        <w:rPr>
          <w:lang w:val="es-ES"/>
        </w:rPr>
        <w:t>I</w:t>
      </w:r>
      <w:r w:rsidRPr="008F4B68">
        <w:rPr>
          <w:lang w:val="es-ES"/>
        </w:rPr>
        <w:t xml:space="preserve"> de los </w:t>
      </w:r>
      <w:r w:rsidR="009A1284" w:rsidRPr="008F4B68">
        <w:rPr>
          <w:lang w:val="es-ES"/>
        </w:rPr>
        <w:t>PGEH</w:t>
      </w:r>
      <w:r w:rsidR="001148A7" w:rsidRPr="008F4B68">
        <w:rPr>
          <w:lang w:val="es-ES"/>
        </w:rPr>
        <w:t xml:space="preserve"> (</w:t>
      </w:r>
      <w:r w:rsidRPr="008F4B68">
        <w:rPr>
          <w:lang w:val="es-ES"/>
        </w:rPr>
        <w:t>y sus Acuerdos conexos</w:t>
      </w:r>
      <w:r w:rsidR="001148A7" w:rsidRPr="008F4B68">
        <w:rPr>
          <w:lang w:val="es-ES"/>
        </w:rPr>
        <w:t xml:space="preserve">) </w:t>
      </w:r>
      <w:r w:rsidRPr="008F4B68">
        <w:rPr>
          <w:lang w:val="es-ES"/>
        </w:rPr>
        <w:t xml:space="preserve">de los </w:t>
      </w:r>
      <w:r w:rsidR="001148A7" w:rsidRPr="008F4B68">
        <w:rPr>
          <w:lang w:val="es-ES"/>
        </w:rPr>
        <w:t xml:space="preserve">34 </w:t>
      </w:r>
      <w:r w:rsidR="007B7911" w:rsidRPr="008F4B68">
        <w:rPr>
          <w:lang w:val="es-ES"/>
        </w:rPr>
        <w:t>países que no son de bajo consumo</w:t>
      </w:r>
      <w:r w:rsidR="001148A7" w:rsidRPr="008F4B68">
        <w:rPr>
          <w:lang w:val="es-ES"/>
        </w:rPr>
        <w:t xml:space="preserve">, </w:t>
      </w:r>
      <w:r w:rsidRPr="008F4B68">
        <w:rPr>
          <w:lang w:val="es-ES"/>
        </w:rPr>
        <w:t xml:space="preserve">incluyendo a </w:t>
      </w:r>
      <w:r w:rsidR="001148A7" w:rsidRPr="008F4B68">
        <w:rPr>
          <w:lang w:val="es-ES"/>
        </w:rPr>
        <w:t xml:space="preserve">China, </w:t>
      </w:r>
      <w:r w:rsidRPr="008F4B68">
        <w:rPr>
          <w:lang w:val="es-ES"/>
        </w:rPr>
        <w:t xml:space="preserve">y </w:t>
      </w:r>
      <w:r w:rsidR="00B50717">
        <w:rPr>
          <w:lang w:val="es-ES"/>
        </w:rPr>
        <w:t xml:space="preserve">una </w:t>
      </w:r>
      <w:r w:rsidR="009A1284" w:rsidRPr="008F4B68">
        <w:rPr>
          <w:lang w:val="es-ES"/>
        </w:rPr>
        <w:t>etapa </w:t>
      </w:r>
      <w:r w:rsidR="001148A7" w:rsidRPr="008F4B68">
        <w:rPr>
          <w:lang w:val="es-ES"/>
        </w:rPr>
        <w:t xml:space="preserve">I </w:t>
      </w:r>
      <w:r w:rsidRPr="008F4B68">
        <w:rPr>
          <w:lang w:val="es-ES"/>
        </w:rPr>
        <w:t>de</w:t>
      </w:r>
      <w:r w:rsidR="001148A7" w:rsidRPr="008F4B68">
        <w:rPr>
          <w:lang w:val="es-ES"/>
        </w:rPr>
        <w:t xml:space="preserve"> </w:t>
      </w:r>
      <w:r w:rsidR="009A1284" w:rsidRPr="008F4B68">
        <w:rPr>
          <w:lang w:val="es-ES"/>
        </w:rPr>
        <w:t>los PGEH</w:t>
      </w:r>
      <w:r w:rsidR="001148A7" w:rsidRPr="008F4B68">
        <w:rPr>
          <w:lang w:val="es-ES"/>
        </w:rPr>
        <w:t xml:space="preserve"> </w:t>
      </w:r>
      <w:r w:rsidRPr="008F4B68">
        <w:rPr>
          <w:lang w:val="es-ES"/>
        </w:rPr>
        <w:t xml:space="preserve">de los </w:t>
      </w:r>
      <w:r w:rsidR="001148A7" w:rsidRPr="008F4B68">
        <w:rPr>
          <w:lang w:val="es-ES"/>
        </w:rPr>
        <w:t xml:space="preserve">29 </w:t>
      </w:r>
      <w:r w:rsidR="007B7911" w:rsidRPr="008F4B68">
        <w:rPr>
          <w:lang w:val="es-ES"/>
        </w:rPr>
        <w:t xml:space="preserve">países que </w:t>
      </w:r>
      <w:r w:rsidRPr="008F4B68">
        <w:rPr>
          <w:lang w:val="es-ES"/>
        </w:rPr>
        <w:t xml:space="preserve">sí </w:t>
      </w:r>
      <w:r w:rsidR="007B7911" w:rsidRPr="008F4B68">
        <w:rPr>
          <w:lang w:val="es-ES"/>
        </w:rPr>
        <w:t>son de bajo consumo</w:t>
      </w:r>
      <w:r w:rsidR="001148A7" w:rsidRPr="008F4B68">
        <w:rPr>
          <w:lang w:val="es-ES"/>
        </w:rPr>
        <w:t xml:space="preserve">, </w:t>
      </w:r>
      <w:r w:rsidRPr="008F4B68">
        <w:rPr>
          <w:lang w:val="es-ES"/>
        </w:rPr>
        <w:t>así como los proyectos de FI aprobados para estos países desde l</w:t>
      </w:r>
      <w:r w:rsidR="001148A7" w:rsidRPr="008F4B68">
        <w:rPr>
          <w:lang w:val="es-ES"/>
        </w:rPr>
        <w:t xml:space="preserve">as </w:t>
      </w:r>
      <w:r w:rsidRPr="008F4B68">
        <w:rPr>
          <w:lang w:val="es-ES"/>
        </w:rPr>
        <w:t xml:space="preserve">fechas en las que se aprobaron los </w:t>
      </w:r>
      <w:r w:rsidR="00890385" w:rsidRPr="008F4B68">
        <w:rPr>
          <w:lang w:val="es-ES"/>
        </w:rPr>
        <w:t>PGEH</w:t>
      </w:r>
      <w:r w:rsidR="001148A7" w:rsidRPr="008F4B68">
        <w:rPr>
          <w:lang w:val="es-ES"/>
        </w:rPr>
        <w:t xml:space="preserve">. </w:t>
      </w:r>
    </w:p>
    <w:p w:rsidR="001148A7" w:rsidRPr="008F4B68" w:rsidRDefault="00935122" w:rsidP="001148A7">
      <w:pPr>
        <w:pStyle w:val="Heading1"/>
        <w:rPr>
          <w:lang w:val="es-ES"/>
        </w:rPr>
      </w:pPr>
      <w:r w:rsidRPr="008F4B68">
        <w:rPr>
          <w:lang w:val="es-ES"/>
        </w:rPr>
        <w:t>La información empleada para el análisis incluyó</w:t>
      </w:r>
      <w:r w:rsidR="001148A7" w:rsidRPr="008F4B68">
        <w:rPr>
          <w:lang w:val="es-ES"/>
        </w:rPr>
        <w:t>:</w:t>
      </w:r>
    </w:p>
    <w:p w:rsidR="001148A7" w:rsidRPr="008F4B68" w:rsidRDefault="002904DE" w:rsidP="001148A7">
      <w:pPr>
        <w:pStyle w:val="Heading2"/>
        <w:rPr>
          <w:lang w:val="es-ES"/>
        </w:rPr>
      </w:pPr>
      <w:r w:rsidRPr="008F4B68">
        <w:rPr>
          <w:lang w:val="es-ES"/>
        </w:rPr>
        <w:t xml:space="preserve">El número de años que duró la ejecución de la </w:t>
      </w:r>
      <w:r w:rsidR="009A1284" w:rsidRPr="008F4B68">
        <w:rPr>
          <w:lang w:val="es-ES"/>
        </w:rPr>
        <w:t>etapa </w:t>
      </w:r>
      <w:r w:rsidR="001148A7" w:rsidRPr="008F4B68">
        <w:rPr>
          <w:lang w:val="es-ES"/>
        </w:rPr>
        <w:t xml:space="preserve">I </w:t>
      </w:r>
      <w:r w:rsidRPr="008F4B68">
        <w:rPr>
          <w:lang w:val="es-ES"/>
        </w:rPr>
        <w:t xml:space="preserve">del </w:t>
      </w:r>
      <w:r w:rsidR="00890385" w:rsidRPr="008F4B68">
        <w:rPr>
          <w:lang w:val="es-ES"/>
        </w:rPr>
        <w:t>PGEH</w:t>
      </w:r>
      <w:r w:rsidR="00B50717">
        <w:rPr>
          <w:lang w:val="es-ES"/>
        </w:rPr>
        <w:t>,</w:t>
      </w:r>
      <w:r w:rsidR="001148A7" w:rsidRPr="008F4B68">
        <w:rPr>
          <w:lang w:val="es-ES"/>
        </w:rPr>
        <w:t xml:space="preserve"> </w:t>
      </w:r>
      <w:r w:rsidRPr="008F4B68">
        <w:rPr>
          <w:lang w:val="es-ES"/>
        </w:rPr>
        <w:t>tal y como figura en el párrafo</w:t>
      </w:r>
      <w:r w:rsidR="001148A7" w:rsidRPr="008F4B68">
        <w:rPr>
          <w:lang w:val="es-ES"/>
        </w:rPr>
        <w:t xml:space="preserve"> 1 </w:t>
      </w:r>
      <w:r w:rsidRPr="008F4B68">
        <w:rPr>
          <w:lang w:val="es-ES"/>
        </w:rPr>
        <w:t xml:space="preserve">y en el apéndice </w:t>
      </w:r>
      <w:r w:rsidR="001148A7" w:rsidRPr="008F4B68">
        <w:rPr>
          <w:lang w:val="es-ES"/>
        </w:rPr>
        <w:t xml:space="preserve">2-A </w:t>
      </w:r>
      <w:r w:rsidRPr="008F4B68">
        <w:rPr>
          <w:lang w:val="es-ES"/>
        </w:rPr>
        <w:t xml:space="preserve">del Acuerdo firmado conjuntamente con </w:t>
      </w:r>
      <w:r w:rsidR="003920CB" w:rsidRPr="008F4B68">
        <w:rPr>
          <w:lang w:val="es-ES"/>
        </w:rPr>
        <w:t>el Comité Ejecutivo</w:t>
      </w:r>
      <w:r w:rsidR="001148A7" w:rsidRPr="008F4B68">
        <w:rPr>
          <w:lang w:val="es-ES"/>
        </w:rPr>
        <w:t xml:space="preserve">; </w:t>
      </w:r>
      <w:r w:rsidRPr="008F4B68">
        <w:rPr>
          <w:lang w:val="es-ES"/>
        </w:rPr>
        <w:t xml:space="preserve">se añadió un año </w:t>
      </w:r>
      <w:r w:rsidR="00B50717">
        <w:rPr>
          <w:lang w:val="es-ES"/>
        </w:rPr>
        <w:t xml:space="preserve">de margen </w:t>
      </w:r>
      <w:r w:rsidRPr="008F4B68">
        <w:rPr>
          <w:lang w:val="es-ES"/>
        </w:rPr>
        <w:t xml:space="preserve">para </w:t>
      </w:r>
      <w:r w:rsidR="00B50717">
        <w:rPr>
          <w:lang w:val="es-ES"/>
        </w:rPr>
        <w:t xml:space="preserve">poder </w:t>
      </w:r>
      <w:r w:rsidRPr="008F4B68">
        <w:rPr>
          <w:lang w:val="es-ES"/>
        </w:rPr>
        <w:t xml:space="preserve">llevar a cabo la terminación del </w:t>
      </w:r>
      <w:r w:rsidR="00890385" w:rsidRPr="008F4B68">
        <w:rPr>
          <w:lang w:val="es-ES"/>
        </w:rPr>
        <w:t>PGEH</w:t>
      </w:r>
      <w:r w:rsidR="00B50717">
        <w:rPr>
          <w:lang w:val="es-ES"/>
        </w:rPr>
        <w:t>,</w:t>
      </w:r>
      <w:r w:rsidR="001148A7" w:rsidRPr="008F4B68">
        <w:rPr>
          <w:lang w:val="es-ES"/>
        </w:rPr>
        <w:t xml:space="preserve"> </w:t>
      </w:r>
      <w:r w:rsidRPr="008F4B68">
        <w:rPr>
          <w:lang w:val="es-ES"/>
        </w:rPr>
        <w:t>de conformidad con el párrafo</w:t>
      </w:r>
      <w:r w:rsidR="001148A7" w:rsidRPr="008F4B68">
        <w:rPr>
          <w:lang w:val="es-ES"/>
        </w:rPr>
        <w:t> 14 </w:t>
      </w:r>
      <w:r w:rsidRPr="008F4B68">
        <w:rPr>
          <w:lang w:val="es-ES"/>
        </w:rPr>
        <w:t>de dicho Acuerdo</w:t>
      </w:r>
      <w:r w:rsidR="001148A7" w:rsidRPr="008F4B68">
        <w:rPr>
          <w:lang w:val="es-ES"/>
        </w:rPr>
        <w:t>;</w:t>
      </w:r>
    </w:p>
    <w:p w:rsidR="001148A7" w:rsidRPr="008F4B68" w:rsidRDefault="002904DE" w:rsidP="001148A7">
      <w:pPr>
        <w:pStyle w:val="Heading2"/>
        <w:keepNext/>
        <w:keepLines/>
        <w:rPr>
          <w:lang w:val="es-ES"/>
        </w:rPr>
      </w:pPr>
      <w:r w:rsidRPr="008F4B68">
        <w:rPr>
          <w:lang w:val="es-ES"/>
        </w:rPr>
        <w:t>El costo t</w:t>
      </w:r>
      <w:r w:rsidR="001148A7" w:rsidRPr="008F4B68">
        <w:rPr>
          <w:lang w:val="es-ES"/>
        </w:rPr>
        <w:t xml:space="preserve">otal </w:t>
      </w:r>
      <w:r w:rsidRPr="008F4B68">
        <w:rPr>
          <w:lang w:val="es-ES"/>
        </w:rPr>
        <w:t xml:space="preserve">del </w:t>
      </w:r>
      <w:r w:rsidR="00890385" w:rsidRPr="008F4B68">
        <w:rPr>
          <w:lang w:val="es-ES"/>
        </w:rPr>
        <w:t>PGEH</w:t>
      </w:r>
      <w:r w:rsidR="001148A7" w:rsidRPr="008F4B68">
        <w:rPr>
          <w:lang w:val="es-ES"/>
        </w:rPr>
        <w:t xml:space="preserve"> (</w:t>
      </w:r>
      <w:r w:rsidRPr="008F4B68">
        <w:rPr>
          <w:lang w:val="es-ES"/>
        </w:rPr>
        <w:t>incluidos los gastos de apoyo al organismo</w:t>
      </w:r>
      <w:r w:rsidR="001148A7" w:rsidRPr="008F4B68">
        <w:rPr>
          <w:lang w:val="es-ES"/>
        </w:rPr>
        <w:t xml:space="preserve">) </w:t>
      </w:r>
      <w:r w:rsidRPr="008F4B68">
        <w:rPr>
          <w:lang w:val="es-ES"/>
        </w:rPr>
        <w:t>como figura en el apéndice</w:t>
      </w:r>
      <w:r w:rsidR="001148A7" w:rsidRPr="008F4B68">
        <w:rPr>
          <w:lang w:val="es-ES"/>
        </w:rPr>
        <w:t> 2</w:t>
      </w:r>
      <w:r w:rsidR="001148A7" w:rsidRPr="008F4B68">
        <w:rPr>
          <w:lang w:val="es-ES"/>
        </w:rPr>
        <w:noBreakHyphen/>
        <w:t xml:space="preserve">A </w:t>
      </w:r>
      <w:r w:rsidRPr="008F4B68">
        <w:rPr>
          <w:lang w:val="es-ES"/>
        </w:rPr>
        <w:t>del Acuerdo</w:t>
      </w:r>
      <w:r w:rsidR="001148A7" w:rsidRPr="008F4B68">
        <w:rPr>
          <w:lang w:val="es-ES"/>
        </w:rPr>
        <w:t xml:space="preserve">. </w:t>
      </w:r>
      <w:r w:rsidRPr="008F4B68">
        <w:rPr>
          <w:lang w:val="es-ES"/>
        </w:rPr>
        <w:t xml:space="preserve"> El costo representa los costos acumulados del proyecto y los </w:t>
      </w:r>
      <w:r w:rsidR="00F850D2" w:rsidRPr="008F4B68">
        <w:rPr>
          <w:lang w:val="es-ES"/>
        </w:rPr>
        <w:t xml:space="preserve">gastos </w:t>
      </w:r>
      <w:r w:rsidRPr="008F4B68">
        <w:rPr>
          <w:lang w:val="es-ES"/>
        </w:rPr>
        <w:t xml:space="preserve">acumulados </w:t>
      </w:r>
      <w:r w:rsidR="00F850D2" w:rsidRPr="008F4B68">
        <w:rPr>
          <w:lang w:val="es-ES"/>
        </w:rPr>
        <w:t>de apoyo al organismo</w:t>
      </w:r>
      <w:r w:rsidR="001148A7" w:rsidRPr="008F4B68">
        <w:rPr>
          <w:lang w:val="es-ES"/>
        </w:rPr>
        <w:t xml:space="preserve"> </w:t>
      </w:r>
      <w:r w:rsidRPr="008F4B68">
        <w:rPr>
          <w:lang w:val="es-ES"/>
        </w:rPr>
        <w:t xml:space="preserve">en el caso de que el </w:t>
      </w:r>
      <w:r w:rsidR="00890385" w:rsidRPr="008F4B68">
        <w:rPr>
          <w:lang w:val="es-ES"/>
        </w:rPr>
        <w:t>PGEH</w:t>
      </w:r>
      <w:r w:rsidR="001148A7" w:rsidRPr="008F4B68">
        <w:rPr>
          <w:lang w:val="es-ES"/>
        </w:rPr>
        <w:t xml:space="preserve"> </w:t>
      </w:r>
      <w:r w:rsidRPr="008F4B68">
        <w:rPr>
          <w:lang w:val="es-ES"/>
        </w:rPr>
        <w:t>se ejecute con la ayuda de más de un organismo</w:t>
      </w:r>
      <w:r w:rsidR="001148A7" w:rsidRPr="008F4B68">
        <w:rPr>
          <w:lang w:val="es-ES"/>
        </w:rPr>
        <w:t>;</w:t>
      </w:r>
    </w:p>
    <w:p w:rsidR="001148A7" w:rsidRPr="008F4B68" w:rsidRDefault="002904DE" w:rsidP="001148A7">
      <w:pPr>
        <w:pStyle w:val="Heading2"/>
        <w:rPr>
          <w:lang w:val="es-ES"/>
        </w:rPr>
      </w:pPr>
      <w:r w:rsidRPr="008F4B68">
        <w:rPr>
          <w:lang w:val="es-ES"/>
        </w:rPr>
        <w:t>Los presupuestos aprobados para la d</w:t>
      </w:r>
      <w:r w:rsidR="00EE76D1" w:rsidRPr="008F4B68">
        <w:rPr>
          <w:lang w:val="es-ES"/>
        </w:rPr>
        <w:t xml:space="preserve">ependencia de gestión de proyectos </w:t>
      </w:r>
      <w:r w:rsidRPr="008F4B68">
        <w:rPr>
          <w:lang w:val="es-ES"/>
        </w:rPr>
        <w:t xml:space="preserve">se extrajeron del documento del proyecto en el que se recoge la </w:t>
      </w:r>
      <w:r w:rsidR="009A1284" w:rsidRPr="008F4B68">
        <w:rPr>
          <w:lang w:val="es-ES"/>
        </w:rPr>
        <w:t>etapa </w:t>
      </w:r>
      <w:r w:rsidRPr="008F4B68">
        <w:rPr>
          <w:lang w:val="es-ES"/>
        </w:rPr>
        <w:t xml:space="preserve">I general del </w:t>
      </w:r>
      <w:r w:rsidR="00890385" w:rsidRPr="008F4B68">
        <w:rPr>
          <w:lang w:val="es-ES"/>
        </w:rPr>
        <w:t>PGEH</w:t>
      </w:r>
      <w:r w:rsidR="001148A7" w:rsidRPr="008F4B68">
        <w:rPr>
          <w:lang w:val="es-ES"/>
        </w:rPr>
        <w:t xml:space="preserve"> </w:t>
      </w:r>
      <w:r w:rsidRPr="008F4B68">
        <w:rPr>
          <w:lang w:val="es-ES"/>
        </w:rPr>
        <w:t xml:space="preserve">presentado a la consideración del </w:t>
      </w:r>
      <w:r w:rsidR="003920CB" w:rsidRPr="008F4B68">
        <w:rPr>
          <w:lang w:val="es-ES"/>
        </w:rPr>
        <w:t>Comité Ejecutivo</w:t>
      </w:r>
      <w:r w:rsidR="001148A7" w:rsidRPr="008F4B68">
        <w:rPr>
          <w:lang w:val="es-ES"/>
        </w:rPr>
        <w:t xml:space="preserve">; </w:t>
      </w:r>
      <w:r w:rsidRPr="008F4B68">
        <w:rPr>
          <w:lang w:val="es-ES"/>
        </w:rPr>
        <w:t>los gastos anuales de la d</w:t>
      </w:r>
      <w:r w:rsidR="00EE76D1" w:rsidRPr="008F4B68">
        <w:rPr>
          <w:lang w:val="es-ES"/>
        </w:rPr>
        <w:t xml:space="preserve">ependencia de gestión de proyectos </w:t>
      </w:r>
      <w:r w:rsidRPr="008F4B68">
        <w:rPr>
          <w:lang w:val="es-ES"/>
        </w:rPr>
        <w:t>se calculan dividiendo el total de la d</w:t>
      </w:r>
      <w:r w:rsidR="00EE76D1" w:rsidRPr="008F4B68">
        <w:rPr>
          <w:lang w:val="es-ES"/>
        </w:rPr>
        <w:t xml:space="preserve">ependencia de gestión de proyectos </w:t>
      </w:r>
      <w:r w:rsidRPr="008F4B68">
        <w:rPr>
          <w:lang w:val="es-ES"/>
        </w:rPr>
        <w:t xml:space="preserve">por el número de años de ejecución de la </w:t>
      </w:r>
      <w:r w:rsidR="009A1284" w:rsidRPr="008F4B68">
        <w:rPr>
          <w:lang w:val="es-ES"/>
        </w:rPr>
        <w:t>etapa </w:t>
      </w:r>
      <w:r w:rsidR="001148A7" w:rsidRPr="008F4B68">
        <w:rPr>
          <w:lang w:val="es-ES"/>
        </w:rPr>
        <w:t xml:space="preserve">I </w:t>
      </w:r>
      <w:r w:rsidRPr="008F4B68">
        <w:rPr>
          <w:lang w:val="es-ES"/>
        </w:rPr>
        <w:t xml:space="preserve">del </w:t>
      </w:r>
      <w:r w:rsidR="00890385" w:rsidRPr="008F4B68">
        <w:rPr>
          <w:lang w:val="es-ES"/>
        </w:rPr>
        <w:t>PGEH</w:t>
      </w:r>
      <w:r w:rsidR="001148A7" w:rsidRPr="008F4B68">
        <w:rPr>
          <w:lang w:val="es-ES"/>
        </w:rPr>
        <w:t xml:space="preserve">; </w:t>
      </w:r>
      <w:r w:rsidRPr="008F4B68">
        <w:rPr>
          <w:lang w:val="es-ES"/>
        </w:rPr>
        <w:t>y</w:t>
      </w:r>
    </w:p>
    <w:p w:rsidR="001148A7" w:rsidRPr="008F4B68" w:rsidRDefault="002904DE" w:rsidP="001148A7">
      <w:pPr>
        <w:pStyle w:val="Heading2"/>
        <w:keepNext/>
        <w:keepLines/>
        <w:widowControl/>
        <w:rPr>
          <w:lang w:val="es-ES"/>
        </w:rPr>
      </w:pPr>
      <w:r w:rsidRPr="008F4B68">
        <w:rPr>
          <w:lang w:val="es-ES"/>
        </w:rPr>
        <w:t>El costo de FI</w:t>
      </w:r>
      <w:r w:rsidR="001148A7" w:rsidRPr="008F4B68">
        <w:rPr>
          <w:lang w:val="es-ES"/>
        </w:rPr>
        <w:t xml:space="preserve"> represent</w:t>
      </w:r>
      <w:r w:rsidRPr="008F4B68">
        <w:rPr>
          <w:lang w:val="es-ES"/>
        </w:rPr>
        <w:t>a</w:t>
      </w:r>
      <w:r w:rsidR="001148A7" w:rsidRPr="008F4B68">
        <w:rPr>
          <w:lang w:val="es-ES"/>
        </w:rPr>
        <w:t xml:space="preserve"> </w:t>
      </w:r>
      <w:r w:rsidRPr="008F4B68">
        <w:rPr>
          <w:lang w:val="es-ES"/>
        </w:rPr>
        <w:t xml:space="preserve">el costo total acumulado de todas las renovaciones de FI aprobadas por el </w:t>
      </w:r>
      <w:r w:rsidR="00CF2D8C" w:rsidRPr="008F4B68">
        <w:rPr>
          <w:lang w:val="es-ES"/>
        </w:rPr>
        <w:t xml:space="preserve">Comité Ejecutivo </w:t>
      </w:r>
      <w:r w:rsidRPr="008F4B68">
        <w:rPr>
          <w:lang w:val="es-ES"/>
        </w:rPr>
        <w:t xml:space="preserve">desde el año en que se aprobó la </w:t>
      </w:r>
      <w:r w:rsidR="009A1284" w:rsidRPr="008F4B68">
        <w:rPr>
          <w:lang w:val="es-ES"/>
        </w:rPr>
        <w:t>etapa </w:t>
      </w:r>
      <w:r w:rsidR="001148A7" w:rsidRPr="008F4B68">
        <w:rPr>
          <w:lang w:val="es-ES"/>
        </w:rPr>
        <w:t xml:space="preserve">I </w:t>
      </w:r>
      <w:r w:rsidRPr="008F4B68">
        <w:rPr>
          <w:lang w:val="es-ES"/>
        </w:rPr>
        <w:t xml:space="preserve">del </w:t>
      </w:r>
      <w:r w:rsidR="00890385" w:rsidRPr="008F4B68">
        <w:rPr>
          <w:lang w:val="es-ES"/>
        </w:rPr>
        <w:t>PGEH</w:t>
      </w:r>
      <w:r w:rsidR="001148A7" w:rsidRPr="008F4B68">
        <w:rPr>
          <w:lang w:val="es-ES"/>
        </w:rPr>
        <w:t xml:space="preserve">; </w:t>
      </w:r>
      <w:r w:rsidRPr="008F4B68">
        <w:rPr>
          <w:lang w:val="es-ES"/>
        </w:rPr>
        <w:t xml:space="preserve">el FI anual se calcula dividiendo el costo total agregado </w:t>
      </w:r>
      <w:r w:rsidR="002B0536" w:rsidRPr="008F4B68">
        <w:rPr>
          <w:lang w:val="es-ES"/>
        </w:rPr>
        <w:t xml:space="preserve">de FI por el número de años que duró la ejecución de la </w:t>
      </w:r>
      <w:r w:rsidR="009A1284" w:rsidRPr="008F4B68">
        <w:rPr>
          <w:lang w:val="es-ES"/>
        </w:rPr>
        <w:t>etapa </w:t>
      </w:r>
      <w:r w:rsidR="001148A7" w:rsidRPr="008F4B68">
        <w:rPr>
          <w:lang w:val="es-ES"/>
        </w:rPr>
        <w:t>I</w:t>
      </w:r>
      <w:r w:rsidR="002B0536" w:rsidRPr="008F4B68">
        <w:rPr>
          <w:lang w:val="es-ES"/>
        </w:rPr>
        <w:t xml:space="preserve"> del </w:t>
      </w:r>
      <w:r w:rsidR="00890385" w:rsidRPr="008F4B68">
        <w:rPr>
          <w:lang w:val="es-ES"/>
        </w:rPr>
        <w:t>PGEH</w:t>
      </w:r>
      <w:r w:rsidR="001148A7" w:rsidRPr="008F4B68">
        <w:rPr>
          <w:lang w:val="es-ES"/>
        </w:rPr>
        <w:t>.</w:t>
      </w:r>
    </w:p>
    <w:p w:rsidR="001148A7" w:rsidRPr="008F4B68" w:rsidRDefault="002B0536" w:rsidP="001148A7">
      <w:pPr>
        <w:keepNext/>
        <w:keepLines/>
        <w:spacing w:after="240"/>
        <w:rPr>
          <w:u w:val="single"/>
          <w:lang w:val="es-ES"/>
        </w:rPr>
      </w:pPr>
      <w:r w:rsidRPr="008F4B68">
        <w:rPr>
          <w:u w:val="single"/>
          <w:lang w:val="es-ES"/>
        </w:rPr>
        <w:t>P</w:t>
      </w:r>
      <w:r w:rsidR="007B7911" w:rsidRPr="008F4B68">
        <w:rPr>
          <w:u w:val="single"/>
          <w:lang w:val="es-ES"/>
        </w:rPr>
        <w:t xml:space="preserve">aíses que </w:t>
      </w:r>
      <w:r w:rsidRPr="008F4B68">
        <w:rPr>
          <w:u w:val="single"/>
          <w:lang w:val="es-ES"/>
        </w:rPr>
        <w:t xml:space="preserve">no </w:t>
      </w:r>
      <w:r w:rsidR="007B7911" w:rsidRPr="008F4B68">
        <w:rPr>
          <w:u w:val="single"/>
          <w:lang w:val="es-ES"/>
        </w:rPr>
        <w:t>son de bajo consumo</w:t>
      </w:r>
    </w:p>
    <w:p w:rsidR="001148A7" w:rsidRPr="008F4B68" w:rsidRDefault="002B0536" w:rsidP="001148A7">
      <w:pPr>
        <w:pStyle w:val="Heading1"/>
        <w:keepNext/>
        <w:keepLines/>
        <w:rPr>
          <w:lang w:val="es-ES"/>
        </w:rPr>
      </w:pPr>
      <w:r w:rsidRPr="008F4B68">
        <w:rPr>
          <w:lang w:val="es-ES"/>
        </w:rPr>
        <w:t xml:space="preserve">El </w:t>
      </w:r>
      <w:r w:rsidR="00D43837" w:rsidRPr="008F4B68">
        <w:rPr>
          <w:lang w:val="es-ES"/>
        </w:rPr>
        <w:t>Cuadro </w:t>
      </w:r>
      <w:r w:rsidR="001148A7" w:rsidRPr="008F4B68">
        <w:rPr>
          <w:lang w:val="es-ES"/>
        </w:rPr>
        <w:t xml:space="preserve">2 </w:t>
      </w:r>
      <w:r w:rsidRPr="008F4B68">
        <w:rPr>
          <w:lang w:val="es-ES"/>
        </w:rPr>
        <w:t xml:space="preserve">presenta la información de 34 países </w:t>
      </w:r>
      <w:r w:rsidR="007B7911" w:rsidRPr="008F4B68">
        <w:rPr>
          <w:lang w:val="es-ES"/>
        </w:rPr>
        <w:t>que no son de bajo consumo</w:t>
      </w:r>
      <w:r w:rsidR="001148A7" w:rsidRPr="008F4B68">
        <w:rPr>
          <w:lang w:val="es-ES"/>
        </w:rPr>
        <w:t xml:space="preserve"> </w:t>
      </w:r>
      <w:r w:rsidRPr="008F4B68">
        <w:rPr>
          <w:lang w:val="es-ES"/>
        </w:rPr>
        <w:t>seleccionada para el análisis representativo</w:t>
      </w:r>
      <w:r w:rsidR="001148A7" w:rsidRPr="008F4B68">
        <w:rPr>
          <w:lang w:val="es-ES"/>
        </w:rPr>
        <w:t>.</w:t>
      </w:r>
    </w:p>
    <w:p w:rsidR="001148A7" w:rsidRPr="008F4B68" w:rsidRDefault="00D43837" w:rsidP="001148A7">
      <w:pPr>
        <w:pStyle w:val="Heading2"/>
        <w:keepNext/>
        <w:keepLines/>
        <w:widowControl/>
        <w:numPr>
          <w:ilvl w:val="0"/>
          <w:numId w:val="0"/>
        </w:numPr>
        <w:spacing w:after="0"/>
        <w:rPr>
          <w:b/>
          <w:sz w:val="21"/>
          <w:szCs w:val="21"/>
          <w:lang w:val="es-ES"/>
        </w:rPr>
      </w:pPr>
      <w:r w:rsidRPr="008F4B68">
        <w:rPr>
          <w:b/>
          <w:sz w:val="21"/>
          <w:szCs w:val="21"/>
          <w:lang w:val="es-ES"/>
        </w:rPr>
        <w:t>Cuadro </w:t>
      </w:r>
      <w:r w:rsidR="001148A7" w:rsidRPr="008F4B68">
        <w:rPr>
          <w:b/>
          <w:sz w:val="21"/>
          <w:szCs w:val="21"/>
          <w:lang w:val="es-ES"/>
        </w:rPr>
        <w:t xml:space="preserve">2. </w:t>
      </w:r>
      <w:r w:rsidR="002B0536" w:rsidRPr="008F4B68">
        <w:rPr>
          <w:b/>
          <w:sz w:val="21"/>
          <w:szCs w:val="21"/>
          <w:lang w:val="es-ES"/>
        </w:rPr>
        <w:t xml:space="preserve">Información atinente a </w:t>
      </w:r>
      <w:r w:rsidR="001148A7" w:rsidRPr="008F4B68">
        <w:rPr>
          <w:b/>
          <w:sz w:val="21"/>
          <w:szCs w:val="21"/>
          <w:lang w:val="es-ES"/>
        </w:rPr>
        <w:t xml:space="preserve">34 </w:t>
      </w:r>
      <w:r w:rsidR="007B7911" w:rsidRPr="008F4B68">
        <w:rPr>
          <w:b/>
          <w:sz w:val="21"/>
          <w:szCs w:val="21"/>
          <w:lang w:val="es-ES"/>
        </w:rPr>
        <w:t>países que no son de bajo consumo</w:t>
      </w:r>
      <w:r w:rsidR="001148A7" w:rsidRPr="008F4B68">
        <w:rPr>
          <w:b/>
          <w:sz w:val="21"/>
          <w:szCs w:val="21"/>
          <w:lang w:val="es-ES"/>
        </w:rPr>
        <w:t xml:space="preserve"> </w:t>
      </w:r>
      <w:r w:rsidR="002B0536" w:rsidRPr="008F4B68">
        <w:rPr>
          <w:b/>
          <w:sz w:val="21"/>
          <w:szCs w:val="21"/>
          <w:lang w:val="es-ES"/>
        </w:rPr>
        <w:t>empleados para el análisis solicitado, conforme a la decisión</w:t>
      </w:r>
      <w:r w:rsidR="00A035B3" w:rsidRPr="008F4B68">
        <w:rPr>
          <w:b/>
          <w:sz w:val="21"/>
          <w:szCs w:val="21"/>
          <w:lang w:val="es-ES"/>
        </w:rPr>
        <w:t> </w:t>
      </w:r>
      <w:r w:rsidR="001148A7" w:rsidRPr="008F4B68">
        <w:rPr>
          <w:b/>
          <w:sz w:val="21"/>
          <w:szCs w:val="21"/>
          <w:lang w:val="es-ES"/>
        </w:rPr>
        <w:t>82/82</w:t>
      </w:r>
      <w:r w:rsidR="002B0536" w:rsidRPr="008F4B68">
        <w:rPr>
          <w:b/>
          <w:sz w:val="21"/>
          <w:szCs w:val="21"/>
          <w:lang w:val="es-ES"/>
        </w:rPr>
        <w:t> </w:t>
      </w:r>
      <w:r w:rsidR="001148A7" w:rsidRPr="008F4B68">
        <w:rPr>
          <w:b/>
          <w:sz w:val="21"/>
          <w:szCs w:val="21"/>
          <w:lang w:val="es-ES"/>
        </w:rPr>
        <w:t>b)</w:t>
      </w:r>
    </w:p>
    <w:tbl>
      <w:tblPr>
        <w:tblW w:w="9970" w:type="dxa"/>
        <w:tblLook w:val="04A0" w:firstRow="1" w:lastRow="0" w:firstColumn="1" w:lastColumn="0" w:noHBand="0" w:noVBand="1"/>
      </w:tblPr>
      <w:tblGrid>
        <w:gridCol w:w="1272"/>
        <w:gridCol w:w="548"/>
        <w:gridCol w:w="1022"/>
        <w:gridCol w:w="1022"/>
        <w:gridCol w:w="926"/>
        <w:gridCol w:w="846"/>
        <w:gridCol w:w="926"/>
        <w:gridCol w:w="876"/>
        <w:gridCol w:w="1055"/>
        <w:gridCol w:w="926"/>
        <w:gridCol w:w="876"/>
      </w:tblGrid>
      <w:tr w:rsidR="001148A7" w:rsidRPr="008F4B68" w:rsidTr="00CF2D8C">
        <w:trPr>
          <w:tblHeader/>
        </w:trPr>
        <w:tc>
          <w:tcPr>
            <w:tcW w:w="1272" w:type="dxa"/>
            <w:vMerge w:val="restart"/>
            <w:tcBorders>
              <w:top w:val="single" w:sz="4" w:space="0" w:color="auto"/>
              <w:left w:val="single" w:sz="4" w:space="0" w:color="auto"/>
              <w:right w:val="single" w:sz="4" w:space="0" w:color="auto"/>
            </w:tcBorders>
            <w:shd w:val="clear" w:color="auto" w:fill="auto"/>
            <w:noWrap/>
            <w:tcMar>
              <w:left w:w="0" w:type="dxa"/>
              <w:right w:w="0" w:type="dxa"/>
            </w:tcMar>
            <w:vAlign w:val="center"/>
          </w:tcPr>
          <w:p w:rsidR="001148A7" w:rsidRPr="008F4B68" w:rsidRDefault="002B0536" w:rsidP="002B0536">
            <w:pPr>
              <w:keepNext/>
              <w:keepLines/>
              <w:jc w:val="left"/>
              <w:rPr>
                <w:b/>
                <w:color w:val="000000"/>
                <w:sz w:val="19"/>
                <w:szCs w:val="19"/>
                <w:lang w:val="es-ES" w:eastAsia="en-CA"/>
              </w:rPr>
            </w:pPr>
            <w:r w:rsidRPr="008F4B68">
              <w:rPr>
                <w:b/>
                <w:color w:val="000000"/>
                <w:sz w:val="19"/>
                <w:szCs w:val="19"/>
                <w:lang w:val="es-ES" w:eastAsia="en-CA"/>
              </w:rPr>
              <w:t>País</w:t>
            </w:r>
          </w:p>
        </w:tc>
        <w:tc>
          <w:tcPr>
            <w:tcW w:w="548" w:type="dxa"/>
            <w:vMerge w:val="restart"/>
            <w:tcBorders>
              <w:top w:val="single" w:sz="4" w:space="0" w:color="auto"/>
              <w:left w:val="nil"/>
              <w:right w:val="single" w:sz="4" w:space="0" w:color="auto"/>
            </w:tcBorders>
            <w:shd w:val="clear" w:color="auto" w:fill="auto"/>
            <w:noWrap/>
            <w:tcMar>
              <w:left w:w="0" w:type="dxa"/>
              <w:right w:w="0" w:type="dxa"/>
            </w:tcMar>
            <w:vAlign w:val="center"/>
          </w:tcPr>
          <w:p w:rsidR="001148A7" w:rsidRPr="008F4B68" w:rsidRDefault="002B0536" w:rsidP="00E926A9">
            <w:pPr>
              <w:keepNext/>
              <w:keepLines/>
              <w:jc w:val="center"/>
              <w:rPr>
                <w:b/>
                <w:color w:val="000000"/>
                <w:sz w:val="19"/>
                <w:szCs w:val="19"/>
                <w:lang w:val="es-ES" w:eastAsia="en-CA"/>
              </w:rPr>
            </w:pPr>
            <w:r w:rsidRPr="008F4B68">
              <w:rPr>
                <w:b/>
                <w:color w:val="000000"/>
                <w:sz w:val="19"/>
                <w:szCs w:val="19"/>
                <w:lang w:val="es-ES" w:eastAsia="en-CA"/>
              </w:rPr>
              <w:t>№ de años</w:t>
            </w:r>
          </w:p>
        </w:tc>
        <w:tc>
          <w:tcPr>
            <w:tcW w:w="2970"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148A7" w:rsidRPr="008F4B68" w:rsidRDefault="002B0536" w:rsidP="002B0536">
            <w:pPr>
              <w:keepNext/>
              <w:keepLines/>
              <w:jc w:val="center"/>
              <w:rPr>
                <w:b/>
                <w:color w:val="000000"/>
                <w:sz w:val="19"/>
                <w:szCs w:val="19"/>
                <w:lang w:val="es-ES" w:eastAsia="en-CA"/>
              </w:rPr>
            </w:pPr>
            <w:r w:rsidRPr="008F4B68">
              <w:rPr>
                <w:b/>
                <w:color w:val="000000"/>
                <w:sz w:val="19"/>
                <w:szCs w:val="19"/>
                <w:lang w:val="es-ES" w:eastAsia="en-CA"/>
              </w:rPr>
              <w:t xml:space="preserve">Gastos de </w:t>
            </w:r>
            <w:r w:rsidR="00890385" w:rsidRPr="008F4B68">
              <w:rPr>
                <w:b/>
                <w:color w:val="000000"/>
                <w:sz w:val="19"/>
                <w:szCs w:val="19"/>
                <w:lang w:val="es-ES" w:eastAsia="en-CA"/>
              </w:rPr>
              <w:t>PGEH</w:t>
            </w:r>
            <w:r w:rsidR="001148A7" w:rsidRPr="008F4B68">
              <w:rPr>
                <w:b/>
                <w:color w:val="000000"/>
                <w:sz w:val="19"/>
                <w:szCs w:val="19"/>
                <w:lang w:val="es-ES" w:eastAsia="en-CA"/>
              </w:rPr>
              <w:t xml:space="preserve"> (</w:t>
            </w:r>
            <w:r w:rsidR="002261B4" w:rsidRPr="008F4B68">
              <w:rPr>
                <w:b/>
                <w:color w:val="000000"/>
                <w:sz w:val="19"/>
                <w:szCs w:val="19"/>
                <w:lang w:val="es-ES" w:eastAsia="en-CA"/>
              </w:rPr>
              <w:t>$EUA</w:t>
            </w:r>
            <w:r w:rsidR="001148A7" w:rsidRPr="008F4B68">
              <w:rPr>
                <w:b/>
                <w:color w:val="000000"/>
                <w:sz w:val="19"/>
                <w:szCs w:val="19"/>
                <w:lang w:val="es-ES" w:eastAsia="en-CA"/>
              </w:rPr>
              <w:t>)</w:t>
            </w:r>
          </w:p>
        </w:tc>
        <w:tc>
          <w:tcPr>
            <w:tcW w:w="846" w:type="dxa"/>
            <w:vMerge w:val="restart"/>
            <w:tcBorders>
              <w:top w:val="single" w:sz="4" w:space="0" w:color="auto"/>
              <w:left w:val="nil"/>
              <w:right w:val="single" w:sz="4" w:space="0" w:color="auto"/>
            </w:tcBorders>
            <w:shd w:val="clear" w:color="auto" w:fill="auto"/>
            <w:noWrap/>
            <w:tcMar>
              <w:left w:w="0" w:type="dxa"/>
              <w:right w:w="0" w:type="dxa"/>
            </w:tcMar>
            <w:vAlign w:val="center"/>
          </w:tcPr>
          <w:p w:rsidR="001148A7" w:rsidRPr="008F4B68" w:rsidRDefault="001148A7" w:rsidP="002B0536">
            <w:pPr>
              <w:keepNext/>
              <w:keepLines/>
              <w:jc w:val="center"/>
              <w:rPr>
                <w:b/>
                <w:color w:val="000000"/>
                <w:sz w:val="19"/>
                <w:szCs w:val="19"/>
                <w:lang w:val="es-ES" w:eastAsia="en-CA"/>
              </w:rPr>
            </w:pPr>
            <w:r w:rsidRPr="008F4B68">
              <w:rPr>
                <w:b/>
                <w:color w:val="000000"/>
                <w:sz w:val="19"/>
                <w:szCs w:val="19"/>
                <w:lang w:val="es-ES" w:eastAsia="en-CA"/>
              </w:rPr>
              <w:t xml:space="preserve">% </w:t>
            </w:r>
            <w:r w:rsidR="002B0536" w:rsidRPr="008F4B68">
              <w:rPr>
                <w:b/>
                <w:color w:val="000000"/>
                <w:sz w:val="19"/>
                <w:szCs w:val="19"/>
                <w:lang w:val="es-ES" w:eastAsia="en-CA"/>
              </w:rPr>
              <w:t>de apoyo</w:t>
            </w:r>
            <w:r w:rsidRPr="008F4B68">
              <w:rPr>
                <w:b/>
                <w:color w:val="000000"/>
                <w:sz w:val="19"/>
                <w:szCs w:val="19"/>
                <w:lang w:val="es-ES" w:eastAsia="en-CA"/>
              </w:rPr>
              <w:t xml:space="preserve"> $</w:t>
            </w:r>
          </w:p>
        </w:tc>
        <w:tc>
          <w:tcPr>
            <w:tcW w:w="1802"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148A7" w:rsidRPr="008F4B68" w:rsidRDefault="00EE76D1" w:rsidP="002B0536">
            <w:pPr>
              <w:keepNext/>
              <w:keepLines/>
              <w:jc w:val="center"/>
              <w:rPr>
                <w:b/>
                <w:color w:val="000000"/>
                <w:sz w:val="19"/>
                <w:szCs w:val="19"/>
                <w:lang w:val="es-ES" w:eastAsia="en-CA"/>
              </w:rPr>
            </w:pPr>
            <w:r w:rsidRPr="008F4B68">
              <w:rPr>
                <w:b/>
                <w:color w:val="000000"/>
                <w:sz w:val="19"/>
                <w:szCs w:val="19"/>
                <w:lang w:val="es-ES" w:eastAsia="en-CA"/>
              </w:rPr>
              <w:t xml:space="preserve">Dependencia de gestión de proyectos </w:t>
            </w:r>
            <w:r w:rsidR="001148A7" w:rsidRPr="008F4B68">
              <w:rPr>
                <w:b/>
                <w:color w:val="000000"/>
                <w:sz w:val="19"/>
                <w:szCs w:val="19"/>
                <w:lang w:val="es-ES" w:eastAsia="en-CA"/>
              </w:rPr>
              <w:t xml:space="preserve">  (</w:t>
            </w:r>
            <w:r w:rsidR="002261B4" w:rsidRPr="008F4B68">
              <w:rPr>
                <w:b/>
                <w:color w:val="000000"/>
                <w:sz w:val="19"/>
                <w:szCs w:val="19"/>
                <w:lang w:val="es-ES" w:eastAsia="en-CA"/>
              </w:rPr>
              <w:t>$EUA</w:t>
            </w:r>
            <w:r w:rsidR="001148A7" w:rsidRPr="008F4B68">
              <w:rPr>
                <w:b/>
                <w:color w:val="000000"/>
                <w:sz w:val="19"/>
                <w:szCs w:val="19"/>
                <w:lang w:val="es-ES" w:eastAsia="en-CA"/>
              </w:rPr>
              <w:t>)</w:t>
            </w:r>
          </w:p>
        </w:tc>
        <w:tc>
          <w:tcPr>
            <w:tcW w:w="730" w:type="dxa"/>
            <w:vMerge w:val="restart"/>
            <w:tcBorders>
              <w:top w:val="single" w:sz="4" w:space="0" w:color="auto"/>
              <w:left w:val="nil"/>
              <w:right w:val="single" w:sz="4" w:space="0" w:color="auto"/>
            </w:tcBorders>
            <w:shd w:val="clear" w:color="auto" w:fill="auto"/>
            <w:noWrap/>
            <w:tcMar>
              <w:left w:w="0" w:type="dxa"/>
              <w:right w:w="0" w:type="dxa"/>
            </w:tcMar>
            <w:vAlign w:val="center"/>
          </w:tcPr>
          <w:p w:rsidR="001148A7" w:rsidRPr="008F4B68" w:rsidRDefault="001148A7" w:rsidP="00CF2D8C">
            <w:pPr>
              <w:keepNext/>
              <w:keepLines/>
              <w:jc w:val="center"/>
              <w:rPr>
                <w:b/>
                <w:color w:val="000000"/>
                <w:sz w:val="19"/>
                <w:szCs w:val="19"/>
                <w:lang w:val="es-ES" w:eastAsia="en-CA"/>
              </w:rPr>
            </w:pPr>
            <w:r w:rsidRPr="008F4B68">
              <w:rPr>
                <w:b/>
                <w:color w:val="000000"/>
                <w:sz w:val="19"/>
                <w:szCs w:val="19"/>
                <w:lang w:val="es-ES" w:eastAsia="en-CA"/>
              </w:rPr>
              <w:t xml:space="preserve">% </w:t>
            </w:r>
          </w:p>
          <w:p w:rsidR="001148A7" w:rsidRPr="008F4B68" w:rsidRDefault="00EE76D1" w:rsidP="00CF2D8C">
            <w:pPr>
              <w:keepNext/>
              <w:keepLines/>
              <w:jc w:val="center"/>
              <w:rPr>
                <w:b/>
                <w:color w:val="000000"/>
                <w:sz w:val="19"/>
                <w:szCs w:val="19"/>
                <w:lang w:val="es-ES" w:eastAsia="en-CA"/>
              </w:rPr>
            </w:pPr>
            <w:r w:rsidRPr="008F4B68">
              <w:rPr>
                <w:b/>
                <w:color w:val="000000"/>
                <w:sz w:val="19"/>
                <w:szCs w:val="19"/>
                <w:lang w:val="es-ES" w:eastAsia="en-CA"/>
              </w:rPr>
              <w:t xml:space="preserve">Dependencia de gestión de proyectos </w:t>
            </w:r>
            <w:r w:rsidR="001148A7" w:rsidRPr="008F4B68">
              <w:rPr>
                <w:b/>
                <w:color w:val="000000"/>
                <w:sz w:val="19"/>
                <w:szCs w:val="19"/>
                <w:lang w:val="es-ES" w:eastAsia="en-CA"/>
              </w:rPr>
              <w:t xml:space="preserve"> $</w:t>
            </w:r>
          </w:p>
        </w:tc>
        <w:tc>
          <w:tcPr>
            <w:tcW w:w="1802"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148A7" w:rsidRPr="008F4B68" w:rsidRDefault="002B0536" w:rsidP="002B0536">
            <w:pPr>
              <w:keepNext/>
              <w:keepLines/>
              <w:jc w:val="center"/>
              <w:rPr>
                <w:b/>
                <w:color w:val="000000"/>
                <w:sz w:val="19"/>
                <w:szCs w:val="19"/>
                <w:lang w:val="es-ES" w:eastAsia="en-CA"/>
              </w:rPr>
            </w:pPr>
            <w:r w:rsidRPr="008F4B68">
              <w:rPr>
                <w:b/>
                <w:color w:val="000000"/>
                <w:sz w:val="19"/>
                <w:szCs w:val="19"/>
                <w:lang w:val="es-ES" w:eastAsia="en-CA"/>
              </w:rPr>
              <w:t>Costo de FI</w:t>
            </w:r>
            <w:r w:rsidR="001148A7" w:rsidRPr="008F4B68">
              <w:rPr>
                <w:b/>
                <w:color w:val="000000"/>
                <w:sz w:val="19"/>
                <w:szCs w:val="19"/>
                <w:lang w:val="es-ES" w:eastAsia="en-CA"/>
              </w:rPr>
              <w:t xml:space="preserve"> (</w:t>
            </w:r>
            <w:r w:rsidR="002261B4" w:rsidRPr="008F4B68">
              <w:rPr>
                <w:b/>
                <w:color w:val="000000"/>
                <w:sz w:val="19"/>
                <w:szCs w:val="19"/>
                <w:lang w:val="es-ES" w:eastAsia="en-CA"/>
              </w:rPr>
              <w:t>$EUA</w:t>
            </w:r>
            <w:r w:rsidR="001148A7" w:rsidRPr="008F4B68">
              <w:rPr>
                <w:b/>
                <w:color w:val="000000"/>
                <w:sz w:val="19"/>
                <w:szCs w:val="19"/>
                <w:lang w:val="es-ES" w:eastAsia="en-CA"/>
              </w:rPr>
              <w:t>)</w:t>
            </w:r>
          </w:p>
        </w:tc>
      </w:tr>
      <w:tr w:rsidR="001148A7" w:rsidRPr="008F4B68" w:rsidTr="00CF2D8C">
        <w:trPr>
          <w:tblHeader/>
        </w:trPr>
        <w:tc>
          <w:tcPr>
            <w:tcW w:w="1272"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148A7" w:rsidRPr="008F4B68" w:rsidRDefault="001148A7" w:rsidP="00CF2D8C">
            <w:pPr>
              <w:keepNext/>
              <w:keepLines/>
              <w:jc w:val="left"/>
              <w:rPr>
                <w:b/>
                <w:color w:val="000000"/>
                <w:sz w:val="19"/>
                <w:szCs w:val="19"/>
                <w:lang w:val="es-ES" w:eastAsia="en-CA"/>
              </w:rPr>
            </w:pPr>
          </w:p>
        </w:tc>
        <w:tc>
          <w:tcPr>
            <w:tcW w:w="548" w:type="dxa"/>
            <w:vMerge/>
            <w:tcBorders>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1148A7" w:rsidP="00CF2D8C">
            <w:pPr>
              <w:keepNext/>
              <w:keepLines/>
              <w:jc w:val="center"/>
              <w:rPr>
                <w:b/>
                <w:color w:val="000000"/>
                <w:sz w:val="19"/>
                <w:szCs w:val="19"/>
                <w:lang w:val="es-ES" w:eastAsia="en-CA"/>
              </w:rPr>
            </w:pPr>
          </w:p>
        </w:tc>
        <w:tc>
          <w:tcPr>
            <w:tcW w:w="10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1148A7" w:rsidP="00CF2D8C">
            <w:pPr>
              <w:keepNext/>
              <w:keepLines/>
              <w:jc w:val="center"/>
              <w:rPr>
                <w:b/>
                <w:color w:val="000000"/>
                <w:sz w:val="19"/>
                <w:szCs w:val="19"/>
                <w:lang w:val="es-ES" w:eastAsia="en-CA"/>
              </w:rPr>
            </w:pPr>
            <w:r w:rsidRPr="008F4B68">
              <w:rPr>
                <w:b/>
                <w:color w:val="000000"/>
                <w:sz w:val="19"/>
                <w:szCs w:val="19"/>
                <w:lang w:val="es-ES" w:eastAsia="en-CA"/>
              </w:rPr>
              <w:t>Total</w:t>
            </w:r>
          </w:p>
        </w:tc>
        <w:tc>
          <w:tcPr>
            <w:tcW w:w="10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1148A7" w:rsidP="002B0536">
            <w:pPr>
              <w:keepNext/>
              <w:keepLines/>
              <w:jc w:val="center"/>
              <w:rPr>
                <w:b/>
                <w:color w:val="000000"/>
                <w:sz w:val="19"/>
                <w:szCs w:val="19"/>
                <w:lang w:val="es-ES" w:eastAsia="en-CA"/>
              </w:rPr>
            </w:pPr>
            <w:r w:rsidRPr="008F4B68">
              <w:rPr>
                <w:b/>
                <w:color w:val="000000"/>
                <w:sz w:val="19"/>
                <w:szCs w:val="19"/>
                <w:lang w:val="es-ES" w:eastAsia="en-CA"/>
              </w:rPr>
              <w:t>Pro</w:t>
            </w:r>
            <w:r w:rsidR="002B0536" w:rsidRPr="008F4B68">
              <w:rPr>
                <w:b/>
                <w:color w:val="000000"/>
                <w:sz w:val="19"/>
                <w:szCs w:val="19"/>
                <w:lang w:val="es-ES" w:eastAsia="en-CA"/>
              </w:rPr>
              <w:t>yecto</w:t>
            </w:r>
          </w:p>
        </w:tc>
        <w:tc>
          <w:tcPr>
            <w:tcW w:w="92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2B0536" w:rsidP="002B0536">
            <w:pPr>
              <w:keepNext/>
              <w:keepLines/>
              <w:jc w:val="center"/>
              <w:rPr>
                <w:b/>
                <w:color w:val="000000"/>
                <w:sz w:val="19"/>
                <w:szCs w:val="19"/>
                <w:lang w:val="es-ES" w:eastAsia="en-CA"/>
              </w:rPr>
            </w:pPr>
            <w:r w:rsidRPr="008F4B68">
              <w:rPr>
                <w:b/>
                <w:color w:val="000000"/>
                <w:sz w:val="19"/>
                <w:szCs w:val="19"/>
                <w:lang w:val="es-ES" w:eastAsia="en-CA"/>
              </w:rPr>
              <w:t>Apoyo</w:t>
            </w:r>
          </w:p>
        </w:tc>
        <w:tc>
          <w:tcPr>
            <w:tcW w:w="846" w:type="dxa"/>
            <w:vMerge/>
            <w:tcBorders>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1148A7" w:rsidP="00CF2D8C">
            <w:pPr>
              <w:keepNext/>
              <w:keepLines/>
              <w:jc w:val="center"/>
              <w:rPr>
                <w:b/>
                <w:color w:val="000000"/>
                <w:sz w:val="19"/>
                <w:szCs w:val="19"/>
                <w:lang w:val="es-ES" w:eastAsia="en-CA"/>
              </w:rPr>
            </w:pPr>
          </w:p>
        </w:tc>
        <w:tc>
          <w:tcPr>
            <w:tcW w:w="92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1148A7" w:rsidP="00CF2D8C">
            <w:pPr>
              <w:keepNext/>
              <w:keepLines/>
              <w:jc w:val="center"/>
              <w:rPr>
                <w:b/>
                <w:color w:val="000000"/>
                <w:sz w:val="19"/>
                <w:szCs w:val="19"/>
                <w:lang w:val="es-ES" w:eastAsia="en-CA"/>
              </w:rPr>
            </w:pPr>
            <w:r w:rsidRPr="008F4B68">
              <w:rPr>
                <w:b/>
                <w:color w:val="000000"/>
                <w:sz w:val="19"/>
                <w:szCs w:val="19"/>
                <w:lang w:val="es-ES" w:eastAsia="en-CA"/>
              </w:rPr>
              <w:t>Total</w:t>
            </w:r>
          </w:p>
        </w:tc>
        <w:tc>
          <w:tcPr>
            <w:tcW w:w="87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2B0536" w:rsidP="002B0536">
            <w:pPr>
              <w:keepNext/>
              <w:keepLines/>
              <w:jc w:val="center"/>
              <w:rPr>
                <w:b/>
                <w:color w:val="000000"/>
                <w:sz w:val="19"/>
                <w:szCs w:val="19"/>
                <w:lang w:val="es-ES" w:eastAsia="en-CA"/>
              </w:rPr>
            </w:pPr>
            <w:r w:rsidRPr="008F4B68">
              <w:rPr>
                <w:b/>
                <w:color w:val="000000"/>
                <w:sz w:val="19"/>
                <w:szCs w:val="19"/>
                <w:lang w:val="es-ES" w:eastAsia="en-CA"/>
              </w:rPr>
              <w:t>Anual</w:t>
            </w:r>
          </w:p>
        </w:tc>
        <w:tc>
          <w:tcPr>
            <w:tcW w:w="730" w:type="dxa"/>
            <w:vMerge/>
            <w:tcBorders>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1148A7" w:rsidP="00CF2D8C">
            <w:pPr>
              <w:keepNext/>
              <w:keepLines/>
              <w:jc w:val="center"/>
              <w:rPr>
                <w:b/>
                <w:color w:val="000000"/>
                <w:sz w:val="19"/>
                <w:szCs w:val="19"/>
                <w:lang w:val="es-ES" w:eastAsia="en-CA"/>
              </w:rPr>
            </w:pPr>
          </w:p>
        </w:tc>
        <w:tc>
          <w:tcPr>
            <w:tcW w:w="92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1148A7" w:rsidP="00CF2D8C">
            <w:pPr>
              <w:keepNext/>
              <w:keepLines/>
              <w:jc w:val="center"/>
              <w:rPr>
                <w:b/>
                <w:color w:val="000000"/>
                <w:sz w:val="19"/>
                <w:szCs w:val="19"/>
                <w:lang w:val="es-ES" w:eastAsia="en-CA"/>
              </w:rPr>
            </w:pPr>
            <w:r w:rsidRPr="008F4B68">
              <w:rPr>
                <w:b/>
                <w:color w:val="000000"/>
                <w:sz w:val="19"/>
                <w:szCs w:val="19"/>
                <w:lang w:val="es-ES" w:eastAsia="en-CA"/>
              </w:rPr>
              <w:t>Total</w:t>
            </w:r>
          </w:p>
        </w:tc>
        <w:tc>
          <w:tcPr>
            <w:tcW w:w="87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148A7" w:rsidRPr="008F4B68" w:rsidRDefault="004360ED" w:rsidP="004360ED">
            <w:pPr>
              <w:keepNext/>
              <w:keepLines/>
              <w:jc w:val="center"/>
              <w:rPr>
                <w:b/>
                <w:color w:val="000000"/>
                <w:sz w:val="19"/>
                <w:szCs w:val="19"/>
                <w:lang w:val="es-ES" w:eastAsia="en-CA"/>
              </w:rPr>
            </w:pPr>
            <w:r w:rsidRPr="008F4B68">
              <w:rPr>
                <w:b/>
                <w:color w:val="000000"/>
                <w:sz w:val="19"/>
                <w:szCs w:val="19"/>
                <w:lang w:val="es-ES" w:eastAsia="en-CA"/>
              </w:rPr>
              <w:t>Anual</w:t>
            </w:r>
          </w:p>
        </w:tc>
      </w:tr>
      <w:tr w:rsidR="001148A7" w:rsidRPr="005B28DC" w:rsidTr="00CF2D8C">
        <w:tc>
          <w:tcPr>
            <w:tcW w:w="9970" w:type="dxa"/>
            <w:gridSpan w:val="11"/>
            <w:tcBorders>
              <w:top w:val="nil"/>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1148A7" w:rsidP="002B0536">
            <w:pPr>
              <w:keepNext/>
              <w:keepLines/>
              <w:jc w:val="left"/>
              <w:rPr>
                <w:b/>
                <w:color w:val="000000"/>
                <w:sz w:val="19"/>
                <w:szCs w:val="19"/>
                <w:lang w:val="es-ES" w:eastAsia="en-CA"/>
              </w:rPr>
            </w:pPr>
            <w:r w:rsidRPr="008F4B68">
              <w:rPr>
                <w:b/>
                <w:color w:val="000000"/>
                <w:sz w:val="19"/>
                <w:szCs w:val="19"/>
                <w:lang w:val="es-ES" w:eastAsia="en-CA"/>
              </w:rPr>
              <w:t>An</w:t>
            </w:r>
            <w:r w:rsidR="002B0536" w:rsidRPr="008F4B68">
              <w:rPr>
                <w:b/>
                <w:color w:val="000000"/>
                <w:sz w:val="19"/>
                <w:szCs w:val="19"/>
                <w:lang w:val="es-ES" w:eastAsia="en-CA"/>
              </w:rPr>
              <w:t xml:space="preserve">álisis de </w:t>
            </w:r>
            <w:r w:rsidRPr="008F4B68">
              <w:rPr>
                <w:b/>
                <w:color w:val="000000"/>
                <w:sz w:val="19"/>
                <w:szCs w:val="19"/>
                <w:lang w:val="es-ES" w:eastAsia="en-CA"/>
              </w:rPr>
              <w:t xml:space="preserve">33 </w:t>
            </w:r>
            <w:r w:rsidR="007B7911" w:rsidRPr="008F4B68">
              <w:rPr>
                <w:b/>
                <w:color w:val="000000"/>
                <w:sz w:val="19"/>
                <w:szCs w:val="19"/>
                <w:lang w:val="es-ES" w:eastAsia="en-CA"/>
              </w:rPr>
              <w:t>países que no son de bajo consumo</w:t>
            </w:r>
            <w:r w:rsidR="002B0536" w:rsidRPr="008F4B68">
              <w:rPr>
                <w:b/>
                <w:color w:val="000000"/>
                <w:sz w:val="19"/>
                <w:szCs w:val="19"/>
                <w:lang w:val="es-ES" w:eastAsia="en-CA"/>
              </w:rPr>
              <w:t xml:space="preserve">, excluyendo a </w:t>
            </w:r>
            <w:r w:rsidRPr="008F4B68">
              <w:rPr>
                <w:b/>
                <w:color w:val="000000"/>
                <w:sz w:val="19"/>
                <w:szCs w:val="19"/>
                <w:lang w:val="es-ES" w:eastAsia="en-CA"/>
              </w:rPr>
              <w:t>China</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keepNext/>
              <w:keepLines/>
              <w:jc w:val="left"/>
              <w:rPr>
                <w:color w:val="000000"/>
                <w:sz w:val="19"/>
                <w:szCs w:val="19"/>
                <w:lang w:val="es-ES" w:eastAsia="en-CA"/>
              </w:rPr>
            </w:pPr>
            <w:r w:rsidRPr="008F4B68">
              <w:rPr>
                <w:color w:val="000000"/>
                <w:sz w:val="19"/>
                <w:szCs w:val="19"/>
                <w:lang w:val="es-ES" w:eastAsia="en-CA"/>
              </w:rPr>
              <w:t>Afganist</w:t>
            </w:r>
            <w:r w:rsidR="002B0536" w:rsidRPr="008F4B68">
              <w:rPr>
                <w:color w:val="000000"/>
                <w:sz w:val="19"/>
                <w:szCs w:val="19"/>
                <w:lang w:val="es-ES" w:eastAsia="en-CA"/>
              </w:rPr>
              <w:t>á</w:t>
            </w:r>
            <w:r w:rsidRPr="008F4B68">
              <w:rPr>
                <w:color w:val="000000"/>
                <w:sz w:val="19"/>
                <w:szCs w:val="19"/>
                <w:lang w:val="es-ES" w:eastAsia="en-CA"/>
              </w:rPr>
              <w:t xml:space="preserve">n </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757</w:t>
            </w:r>
            <w:r w:rsidR="004360ED" w:rsidRPr="008F4B68">
              <w:rPr>
                <w:color w:val="000000"/>
                <w:sz w:val="19"/>
                <w:szCs w:val="19"/>
                <w:lang w:val="es-ES" w:eastAsia="en-CA"/>
              </w:rPr>
              <w:t> </w:t>
            </w:r>
            <w:r w:rsidRPr="008F4B68">
              <w:rPr>
                <w:color w:val="000000"/>
                <w:sz w:val="19"/>
                <w:szCs w:val="19"/>
                <w:lang w:val="es-ES" w:eastAsia="en-CA"/>
              </w:rPr>
              <w:t>655</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679</w:t>
            </w:r>
            <w:r w:rsidR="004360ED" w:rsidRPr="008F4B68">
              <w:rPr>
                <w:color w:val="000000"/>
                <w:sz w:val="19"/>
                <w:szCs w:val="19"/>
                <w:lang w:val="es-ES" w:eastAsia="en-CA"/>
              </w:rPr>
              <w:t> </w:t>
            </w:r>
            <w:r w:rsidRPr="008F4B68">
              <w:rPr>
                <w:color w:val="000000"/>
                <w:sz w:val="19"/>
                <w:szCs w:val="19"/>
                <w:lang w:val="es-ES" w:eastAsia="en-CA"/>
              </w:rPr>
              <w:t>101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78</w:t>
            </w:r>
            <w:r w:rsidR="004360ED" w:rsidRPr="008F4B68">
              <w:rPr>
                <w:color w:val="000000"/>
                <w:sz w:val="19"/>
                <w:szCs w:val="19"/>
                <w:lang w:val="es-ES" w:eastAsia="en-CA"/>
              </w:rPr>
              <w:t> </w:t>
            </w:r>
            <w:r w:rsidRPr="008F4B68">
              <w:rPr>
                <w:color w:val="000000"/>
                <w:sz w:val="19"/>
                <w:szCs w:val="19"/>
                <w:lang w:val="es-ES" w:eastAsia="en-CA"/>
              </w:rPr>
              <w:t>554</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11</w:t>
            </w:r>
            <w:r w:rsidR="004360ED" w:rsidRPr="008F4B68">
              <w:rPr>
                <w:color w:val="000000"/>
                <w:sz w:val="19"/>
                <w:szCs w:val="19"/>
                <w:lang w:val="es-ES" w:eastAsia="en-CA"/>
              </w:rPr>
              <w:t>,</w:t>
            </w:r>
            <w:r w:rsidRPr="008F4B68">
              <w:rPr>
                <w:color w:val="000000"/>
                <w:sz w:val="19"/>
                <w:szCs w:val="19"/>
                <w:lang w:val="es-ES" w:eastAsia="en-CA"/>
              </w:rPr>
              <w:t>57</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66</w:t>
            </w:r>
            <w:r w:rsidR="004360ED" w:rsidRPr="008F4B68">
              <w:rPr>
                <w:color w:val="000000"/>
                <w:sz w:val="19"/>
                <w:szCs w:val="19"/>
                <w:lang w:val="es-ES" w:eastAsia="en-CA"/>
              </w:rPr>
              <w:t> </w:t>
            </w:r>
            <w:r w:rsidRPr="008F4B68">
              <w:rPr>
                <w:color w:val="000000"/>
                <w:sz w:val="19"/>
                <w:szCs w:val="19"/>
                <w:lang w:val="es-ES" w:eastAsia="en-CA"/>
              </w:rPr>
              <w:t>869</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 </w:t>
            </w:r>
            <w:r w:rsidRPr="008F4B68">
              <w:rPr>
                <w:color w:val="000000"/>
                <w:sz w:val="19"/>
                <w:szCs w:val="19"/>
                <w:lang w:val="es-ES" w:eastAsia="en-CA"/>
              </w:rPr>
              <w:t>079</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9</w:t>
            </w:r>
            <w:r w:rsidR="004360ED" w:rsidRPr="008F4B68">
              <w:rPr>
                <w:color w:val="000000"/>
                <w:sz w:val="19"/>
                <w:szCs w:val="19"/>
                <w:lang w:val="es-ES" w:eastAsia="en-CA"/>
              </w:rPr>
              <w:t>,</w:t>
            </w:r>
            <w:r w:rsidRPr="008F4B68">
              <w:rPr>
                <w:color w:val="000000"/>
                <w:sz w:val="19"/>
                <w:szCs w:val="19"/>
                <w:lang w:val="es-ES" w:eastAsia="en-CA"/>
              </w:rPr>
              <w:t>85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642</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keepNext/>
              <w:keepLines/>
              <w:jc w:val="right"/>
              <w:rPr>
                <w:color w:val="000000"/>
                <w:sz w:val="19"/>
                <w:szCs w:val="19"/>
                <w:lang w:val="es-ES" w:eastAsia="en-CA"/>
              </w:rPr>
            </w:pPr>
            <w:r w:rsidRPr="008F4B68">
              <w:rPr>
                <w:color w:val="000000"/>
                <w:sz w:val="19"/>
                <w:szCs w:val="19"/>
                <w:lang w:val="es-ES" w:eastAsia="en-CA"/>
              </w:rPr>
              <w:t>58</w:t>
            </w:r>
            <w:r w:rsidR="004360ED" w:rsidRPr="008F4B68">
              <w:rPr>
                <w:color w:val="000000"/>
                <w:sz w:val="19"/>
                <w:szCs w:val="19"/>
                <w:lang w:val="es-ES" w:eastAsia="en-CA"/>
              </w:rPr>
              <w:t> </w:t>
            </w:r>
            <w:r w:rsidRPr="008F4B68">
              <w:rPr>
                <w:color w:val="000000"/>
                <w:sz w:val="19"/>
                <w:szCs w:val="19"/>
                <w:lang w:val="es-ES" w:eastAsia="en-CA"/>
              </w:rPr>
              <w:t>364</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A</w:t>
            </w:r>
            <w:r w:rsidR="002B0536" w:rsidRPr="008F4B68">
              <w:rPr>
                <w:color w:val="000000"/>
                <w:sz w:val="19"/>
                <w:szCs w:val="19"/>
                <w:lang w:val="es-ES" w:eastAsia="en-CA"/>
              </w:rPr>
              <w:t>r</w:t>
            </w:r>
            <w:r w:rsidRPr="008F4B68">
              <w:rPr>
                <w:color w:val="000000"/>
                <w:sz w:val="19"/>
                <w:szCs w:val="19"/>
                <w:lang w:val="es-ES" w:eastAsia="en-CA"/>
              </w:rPr>
              <w:t>ge</w:t>
            </w:r>
            <w:r w:rsidR="002B0536" w:rsidRPr="008F4B68">
              <w:rPr>
                <w:color w:val="000000"/>
                <w:sz w:val="19"/>
                <w:szCs w:val="19"/>
                <w:lang w:val="es-ES" w:eastAsia="en-CA"/>
              </w:rPr>
              <w:t>l</w:t>
            </w:r>
            <w:r w:rsidRPr="008F4B68">
              <w:rPr>
                <w:color w:val="000000"/>
                <w:sz w:val="19"/>
                <w:szCs w:val="19"/>
                <w:lang w:val="es-ES" w:eastAsia="en-CA"/>
              </w:rPr>
              <w:t xml:space="preserve">ia </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146</w:t>
            </w:r>
            <w:r w:rsidR="004360ED" w:rsidRPr="008F4B68">
              <w:rPr>
                <w:color w:val="000000"/>
                <w:sz w:val="19"/>
                <w:szCs w:val="19"/>
                <w:lang w:val="es-ES" w:eastAsia="en-CA"/>
              </w:rPr>
              <w:t> </w:t>
            </w:r>
            <w:r w:rsidRPr="008F4B68">
              <w:rPr>
                <w:color w:val="000000"/>
                <w:sz w:val="19"/>
                <w:szCs w:val="19"/>
                <w:lang w:val="es-ES" w:eastAsia="en-CA"/>
              </w:rPr>
              <w:t>062</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993</w:t>
            </w:r>
            <w:r w:rsidR="004360ED" w:rsidRPr="008F4B68">
              <w:rPr>
                <w:color w:val="000000"/>
                <w:sz w:val="19"/>
                <w:szCs w:val="19"/>
                <w:lang w:val="es-ES" w:eastAsia="en-CA"/>
              </w:rPr>
              <w:t> </w:t>
            </w:r>
            <w:r w:rsidRPr="008F4B68">
              <w:rPr>
                <w:color w:val="000000"/>
                <w:sz w:val="19"/>
                <w:szCs w:val="19"/>
                <w:lang w:val="es-ES" w:eastAsia="en-CA"/>
              </w:rPr>
              <w:t>331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152</w:t>
            </w:r>
            <w:r w:rsidR="004360ED" w:rsidRPr="008F4B68">
              <w:rPr>
                <w:color w:val="000000"/>
                <w:sz w:val="19"/>
                <w:szCs w:val="19"/>
                <w:lang w:val="es-ES" w:eastAsia="en-CA"/>
              </w:rPr>
              <w:t> </w:t>
            </w:r>
            <w:r w:rsidRPr="008F4B68">
              <w:rPr>
                <w:color w:val="000000"/>
                <w:sz w:val="19"/>
                <w:szCs w:val="19"/>
                <w:lang w:val="es-ES" w:eastAsia="en-CA"/>
              </w:rPr>
              <w:t>731</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66</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150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16</w:t>
            </w:r>
            <w:r w:rsidR="004360ED" w:rsidRPr="008F4B68">
              <w:rPr>
                <w:color w:val="000000"/>
                <w:sz w:val="19"/>
                <w:szCs w:val="19"/>
                <w:lang w:val="es-ES" w:eastAsia="en-CA"/>
              </w:rPr>
              <w:t> </w:t>
            </w:r>
            <w:r w:rsidRPr="008F4B68">
              <w:rPr>
                <w:color w:val="000000"/>
                <w:sz w:val="19"/>
                <w:szCs w:val="19"/>
                <w:lang w:val="es-ES" w:eastAsia="en-CA"/>
              </w:rPr>
              <w:t>667</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257</w:t>
            </w:r>
            <w:r w:rsidR="004360ED" w:rsidRPr="008F4B68">
              <w:rPr>
                <w:color w:val="000000"/>
                <w:sz w:val="19"/>
                <w:szCs w:val="19"/>
                <w:lang w:val="es-ES" w:eastAsia="en-CA"/>
              </w:rPr>
              <w:t> </w:t>
            </w:r>
            <w:r w:rsidRPr="008F4B68">
              <w:rPr>
                <w:color w:val="000000"/>
                <w:sz w:val="19"/>
                <w:szCs w:val="19"/>
                <w:lang w:val="es-ES" w:eastAsia="en-CA"/>
              </w:rPr>
              <w:t>400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28</w:t>
            </w:r>
            <w:r w:rsidR="004360ED" w:rsidRPr="008F4B68">
              <w:rPr>
                <w:color w:val="000000"/>
                <w:sz w:val="19"/>
                <w:szCs w:val="19"/>
                <w:lang w:val="es-ES" w:eastAsia="en-CA"/>
              </w:rPr>
              <w:t> </w:t>
            </w:r>
            <w:r w:rsidRPr="008F4B68">
              <w:rPr>
                <w:color w:val="000000"/>
                <w:sz w:val="19"/>
                <w:szCs w:val="19"/>
                <w:lang w:val="es-ES" w:eastAsia="en-CA"/>
              </w:rPr>
              <w:t>600</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t>Argentina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11</w:t>
            </w:r>
            <w:r w:rsidR="004360ED" w:rsidRPr="008F4B68">
              <w:rPr>
                <w:color w:val="000000"/>
                <w:sz w:val="19"/>
                <w:szCs w:val="19"/>
                <w:lang w:val="es-ES" w:eastAsia="en-CA"/>
              </w:rPr>
              <w:t> </w:t>
            </w:r>
            <w:r w:rsidRPr="008F4B68">
              <w:rPr>
                <w:color w:val="000000"/>
                <w:sz w:val="19"/>
                <w:szCs w:val="19"/>
                <w:lang w:val="es-ES" w:eastAsia="en-CA"/>
              </w:rPr>
              <w:t>597</w:t>
            </w:r>
            <w:r w:rsidR="004360ED" w:rsidRPr="008F4B68">
              <w:rPr>
                <w:color w:val="000000"/>
                <w:sz w:val="19"/>
                <w:szCs w:val="19"/>
                <w:lang w:val="es-ES" w:eastAsia="en-CA"/>
              </w:rPr>
              <w:t> </w:t>
            </w:r>
            <w:r w:rsidRPr="008F4B68">
              <w:rPr>
                <w:color w:val="000000"/>
                <w:sz w:val="19"/>
                <w:szCs w:val="19"/>
                <w:lang w:val="es-ES" w:eastAsia="en-CA"/>
              </w:rPr>
              <w:t>593</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r w:rsidR="004360ED" w:rsidRPr="008F4B68">
              <w:rPr>
                <w:color w:val="000000"/>
                <w:sz w:val="19"/>
                <w:szCs w:val="19"/>
                <w:lang w:val="es-ES" w:eastAsia="en-CA"/>
              </w:rPr>
              <w:t> </w:t>
            </w:r>
            <w:r w:rsidRPr="008F4B68">
              <w:rPr>
                <w:color w:val="000000"/>
                <w:sz w:val="19"/>
                <w:szCs w:val="19"/>
                <w:lang w:val="es-ES" w:eastAsia="en-CA"/>
              </w:rPr>
              <w:t>775</w:t>
            </w:r>
            <w:r w:rsidR="004360ED" w:rsidRPr="008F4B68">
              <w:rPr>
                <w:color w:val="000000"/>
                <w:sz w:val="19"/>
                <w:szCs w:val="19"/>
                <w:lang w:val="es-ES" w:eastAsia="en-CA"/>
              </w:rPr>
              <w:t> </w:t>
            </w:r>
            <w:r w:rsidRPr="008F4B68">
              <w:rPr>
                <w:color w:val="000000"/>
                <w:sz w:val="19"/>
                <w:szCs w:val="19"/>
                <w:lang w:val="es-ES" w:eastAsia="en-CA"/>
              </w:rPr>
              <w:t>154</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822</w:t>
            </w:r>
            <w:r w:rsidR="004360ED" w:rsidRPr="008F4B68">
              <w:rPr>
                <w:color w:val="000000"/>
                <w:sz w:val="19"/>
                <w:szCs w:val="19"/>
                <w:lang w:val="es-ES" w:eastAsia="en-CA"/>
              </w:rPr>
              <w:t> </w:t>
            </w:r>
            <w:r w:rsidRPr="008F4B68">
              <w:rPr>
                <w:color w:val="000000"/>
                <w:sz w:val="19"/>
                <w:szCs w:val="19"/>
                <w:lang w:val="es-ES" w:eastAsia="en-CA"/>
              </w:rPr>
              <w:t>439</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63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400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44</w:t>
            </w:r>
            <w:r w:rsidR="004360ED" w:rsidRPr="008F4B68">
              <w:rPr>
                <w:color w:val="000000"/>
                <w:sz w:val="19"/>
                <w:szCs w:val="19"/>
                <w:lang w:val="es-ES" w:eastAsia="en-CA"/>
              </w:rPr>
              <w:t> </w:t>
            </w:r>
            <w:r w:rsidRPr="008F4B68">
              <w:rPr>
                <w:color w:val="000000"/>
                <w:sz w:val="19"/>
                <w:szCs w:val="19"/>
                <w:lang w:val="es-ES" w:eastAsia="en-CA"/>
              </w:rPr>
              <w:t>444</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w:t>
            </w:r>
            <w:r w:rsidRPr="008F4B68">
              <w:rPr>
                <w:color w:val="000000"/>
                <w:sz w:val="19"/>
                <w:szCs w:val="19"/>
                <w:lang w:val="es-ES" w:eastAsia="en-CA"/>
              </w:rPr>
              <w:t>71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420</w:t>
            </w:r>
            <w:r w:rsidR="004360ED" w:rsidRPr="008F4B68">
              <w:rPr>
                <w:color w:val="000000"/>
                <w:sz w:val="19"/>
                <w:szCs w:val="19"/>
                <w:lang w:val="es-ES" w:eastAsia="en-CA"/>
              </w:rPr>
              <w:t> </w:t>
            </w:r>
            <w:r w:rsidRPr="008F4B68">
              <w:rPr>
                <w:color w:val="000000"/>
                <w:sz w:val="19"/>
                <w:szCs w:val="19"/>
                <w:lang w:val="es-ES" w:eastAsia="en-CA"/>
              </w:rPr>
              <w:t>746</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157</w:t>
            </w:r>
            <w:r w:rsidR="004360ED" w:rsidRPr="008F4B68">
              <w:rPr>
                <w:color w:val="000000"/>
                <w:sz w:val="19"/>
                <w:szCs w:val="19"/>
                <w:lang w:val="es-ES" w:eastAsia="en-CA"/>
              </w:rPr>
              <w:t> </w:t>
            </w:r>
            <w:r w:rsidRPr="008F4B68">
              <w:rPr>
                <w:color w:val="000000"/>
                <w:sz w:val="19"/>
                <w:szCs w:val="19"/>
                <w:lang w:val="es-ES" w:eastAsia="en-CA"/>
              </w:rPr>
              <w:t>861</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2B0536" w:rsidP="00CF2D8C">
            <w:pPr>
              <w:jc w:val="left"/>
              <w:rPr>
                <w:color w:val="000000"/>
                <w:sz w:val="19"/>
                <w:szCs w:val="19"/>
                <w:lang w:val="es-ES" w:eastAsia="en-CA"/>
              </w:rPr>
            </w:pPr>
            <w:r w:rsidRPr="008F4B68">
              <w:rPr>
                <w:color w:val="000000"/>
                <w:sz w:val="19"/>
                <w:szCs w:val="19"/>
                <w:lang w:val="es-ES" w:eastAsia="en-CA"/>
              </w:rPr>
              <w:t>Bahré</w:t>
            </w:r>
            <w:r w:rsidR="001148A7" w:rsidRPr="008F4B68">
              <w:rPr>
                <w:color w:val="000000"/>
                <w:sz w:val="19"/>
                <w:szCs w:val="19"/>
                <w:lang w:val="es-ES" w:eastAsia="en-CA"/>
              </w:rPr>
              <w:t>in</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13</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 </w:t>
            </w:r>
            <w:r w:rsidRPr="008F4B68">
              <w:rPr>
                <w:color w:val="000000"/>
                <w:sz w:val="19"/>
                <w:szCs w:val="19"/>
                <w:lang w:val="es-ES" w:eastAsia="en-CA"/>
              </w:rPr>
              <w:t>033</w:t>
            </w:r>
            <w:r w:rsidR="004360ED" w:rsidRPr="008F4B68">
              <w:rPr>
                <w:color w:val="000000"/>
                <w:sz w:val="19"/>
                <w:szCs w:val="19"/>
                <w:lang w:val="es-ES" w:eastAsia="en-CA"/>
              </w:rPr>
              <w:t> </w:t>
            </w:r>
            <w:r w:rsidRPr="008F4B68">
              <w:rPr>
                <w:color w:val="000000"/>
                <w:sz w:val="19"/>
                <w:szCs w:val="19"/>
                <w:lang w:val="es-ES" w:eastAsia="en-CA"/>
              </w:rPr>
              <w:t>814</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808</w:t>
            </w:r>
            <w:r w:rsidR="004360ED" w:rsidRPr="008F4B68">
              <w:rPr>
                <w:color w:val="000000"/>
                <w:sz w:val="19"/>
                <w:szCs w:val="19"/>
                <w:lang w:val="es-ES" w:eastAsia="en-CA"/>
              </w:rPr>
              <w:t> </w:t>
            </w:r>
            <w:r w:rsidRPr="008F4B68">
              <w:rPr>
                <w:color w:val="000000"/>
                <w:sz w:val="19"/>
                <w:szCs w:val="19"/>
                <w:lang w:val="es-ES" w:eastAsia="en-CA"/>
              </w:rPr>
              <w:t>985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224</w:t>
            </w:r>
            <w:r w:rsidR="004360ED" w:rsidRPr="008F4B68">
              <w:rPr>
                <w:color w:val="000000"/>
                <w:sz w:val="19"/>
                <w:szCs w:val="19"/>
                <w:lang w:val="es-ES" w:eastAsia="en-CA"/>
              </w:rPr>
              <w:t> </w:t>
            </w:r>
            <w:r w:rsidRPr="008F4B68">
              <w:rPr>
                <w:color w:val="000000"/>
                <w:sz w:val="19"/>
                <w:szCs w:val="19"/>
                <w:lang w:val="es-ES" w:eastAsia="en-CA"/>
              </w:rPr>
              <w:t>829</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w:t>
            </w:r>
            <w:r w:rsidRPr="008F4B68">
              <w:rPr>
                <w:color w:val="000000"/>
                <w:sz w:val="19"/>
                <w:szCs w:val="19"/>
                <w:lang w:val="es-ES" w:eastAsia="en-CA"/>
              </w:rPr>
              <w:t>00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165</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12</w:t>
            </w:r>
            <w:r w:rsidR="004360ED" w:rsidRPr="008F4B68">
              <w:rPr>
                <w:color w:val="000000"/>
                <w:sz w:val="19"/>
                <w:szCs w:val="19"/>
                <w:lang w:val="es-ES" w:eastAsia="en-CA"/>
              </w:rPr>
              <w:t> </w:t>
            </w:r>
            <w:r w:rsidRPr="008F4B68">
              <w:rPr>
                <w:color w:val="000000"/>
                <w:sz w:val="19"/>
                <w:szCs w:val="19"/>
                <w:lang w:val="es-ES" w:eastAsia="en-CA"/>
              </w:rPr>
              <w:t>692</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w:t>
            </w:r>
            <w:r w:rsidRPr="008F4B68">
              <w:rPr>
                <w:color w:val="000000"/>
                <w:sz w:val="19"/>
                <w:szCs w:val="19"/>
                <w:lang w:val="es-ES" w:eastAsia="en-CA"/>
              </w:rPr>
              <w:t>87</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230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17</w:t>
            </w:r>
            <w:r w:rsidR="004360ED" w:rsidRPr="008F4B68">
              <w:rPr>
                <w:color w:val="000000"/>
                <w:sz w:val="19"/>
                <w:szCs w:val="19"/>
                <w:lang w:val="es-ES" w:eastAsia="en-CA"/>
              </w:rPr>
              <w:t> </w:t>
            </w:r>
            <w:r w:rsidRPr="008F4B68">
              <w:rPr>
                <w:color w:val="000000"/>
                <w:sz w:val="19"/>
                <w:szCs w:val="19"/>
                <w:lang w:val="es-ES" w:eastAsia="en-CA"/>
              </w:rPr>
              <w:t>692</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t>Bangladesh</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692</w:t>
            </w:r>
            <w:r w:rsidR="004360ED" w:rsidRPr="008F4B68">
              <w:rPr>
                <w:color w:val="000000"/>
                <w:sz w:val="19"/>
                <w:szCs w:val="19"/>
                <w:lang w:val="es-ES" w:eastAsia="en-CA"/>
              </w:rPr>
              <w:t> </w:t>
            </w:r>
            <w:r w:rsidRPr="008F4B68">
              <w:rPr>
                <w:color w:val="000000"/>
                <w:sz w:val="19"/>
                <w:szCs w:val="19"/>
                <w:lang w:val="es-ES" w:eastAsia="en-CA"/>
              </w:rPr>
              <w:t>305</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556</w:t>
            </w:r>
            <w:r w:rsidR="004360ED" w:rsidRPr="008F4B68">
              <w:rPr>
                <w:color w:val="000000"/>
                <w:sz w:val="19"/>
                <w:szCs w:val="19"/>
                <w:lang w:val="es-ES" w:eastAsia="en-CA"/>
              </w:rPr>
              <w:t> </w:t>
            </w:r>
            <w:r w:rsidRPr="008F4B68">
              <w:rPr>
                <w:color w:val="000000"/>
                <w:sz w:val="19"/>
                <w:szCs w:val="19"/>
                <w:lang w:val="es-ES" w:eastAsia="en-CA"/>
              </w:rPr>
              <w:t>074</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136</w:t>
            </w:r>
            <w:r w:rsidR="004360ED" w:rsidRPr="008F4B68">
              <w:rPr>
                <w:color w:val="000000"/>
                <w:sz w:val="19"/>
                <w:szCs w:val="19"/>
                <w:lang w:val="es-ES" w:eastAsia="en-CA"/>
              </w:rPr>
              <w:t> </w:t>
            </w:r>
            <w:r w:rsidRPr="008F4B68">
              <w:rPr>
                <w:color w:val="000000"/>
                <w:sz w:val="19"/>
                <w:szCs w:val="19"/>
                <w:lang w:val="es-ES" w:eastAsia="en-CA"/>
              </w:rPr>
              <w:t>231</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w:t>
            </w:r>
            <w:r w:rsidRPr="008F4B68">
              <w:rPr>
                <w:color w:val="000000"/>
                <w:sz w:val="19"/>
                <w:szCs w:val="19"/>
                <w:lang w:val="es-ES" w:eastAsia="en-CA"/>
              </w:rPr>
              <w:t>75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426</w:t>
            </w:r>
            <w:r w:rsidR="004360ED" w:rsidRPr="008F4B68">
              <w:rPr>
                <w:color w:val="000000"/>
                <w:sz w:val="19"/>
                <w:szCs w:val="19"/>
                <w:lang w:val="es-ES" w:eastAsia="en-CA"/>
              </w:rPr>
              <w:t> </w:t>
            </w:r>
            <w:r w:rsidRPr="008F4B68">
              <w:rPr>
                <w:color w:val="000000"/>
                <w:sz w:val="19"/>
                <w:szCs w:val="19"/>
                <w:lang w:val="es-ES" w:eastAsia="en-CA"/>
              </w:rPr>
              <w:t>400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42</w:t>
            </w:r>
            <w:r w:rsidR="004360ED" w:rsidRPr="008F4B68">
              <w:rPr>
                <w:color w:val="000000"/>
                <w:sz w:val="19"/>
                <w:szCs w:val="19"/>
                <w:lang w:val="es-ES" w:eastAsia="en-CA"/>
              </w:rPr>
              <w:t> </w:t>
            </w:r>
            <w:r w:rsidRPr="008F4B68">
              <w:rPr>
                <w:color w:val="000000"/>
                <w:sz w:val="19"/>
                <w:szCs w:val="19"/>
                <w:lang w:val="es-ES" w:eastAsia="en-CA"/>
              </w:rPr>
              <w:t>640</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Bra</w:t>
            </w:r>
            <w:r w:rsidR="002B0536" w:rsidRPr="008F4B68">
              <w:rPr>
                <w:color w:val="000000"/>
                <w:sz w:val="19"/>
                <w:szCs w:val="19"/>
                <w:lang w:val="es-ES" w:eastAsia="en-CA"/>
              </w:rPr>
              <w:t>s</w:t>
            </w:r>
            <w:r w:rsidRPr="008F4B68">
              <w:rPr>
                <w:color w:val="000000"/>
                <w:sz w:val="19"/>
                <w:szCs w:val="19"/>
                <w:lang w:val="es-ES" w:eastAsia="en-CA"/>
              </w:rPr>
              <w:t>il</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21</w:t>
            </w:r>
            <w:r w:rsidR="004360ED" w:rsidRPr="008F4B68">
              <w:rPr>
                <w:color w:val="000000"/>
                <w:sz w:val="19"/>
                <w:szCs w:val="19"/>
                <w:lang w:val="es-ES" w:eastAsia="en-CA"/>
              </w:rPr>
              <w:t> </w:t>
            </w:r>
            <w:r w:rsidRPr="008F4B68">
              <w:rPr>
                <w:color w:val="000000"/>
                <w:sz w:val="19"/>
                <w:szCs w:val="19"/>
                <w:lang w:val="es-ES" w:eastAsia="en-CA"/>
              </w:rPr>
              <w:t>027</w:t>
            </w:r>
            <w:r w:rsidR="004360ED" w:rsidRPr="008F4B68">
              <w:rPr>
                <w:color w:val="000000"/>
                <w:sz w:val="19"/>
                <w:szCs w:val="19"/>
                <w:lang w:val="es-ES" w:eastAsia="en-CA"/>
              </w:rPr>
              <w:t> </w:t>
            </w:r>
            <w:r w:rsidRPr="008F4B68">
              <w:rPr>
                <w:color w:val="000000"/>
                <w:sz w:val="19"/>
                <w:szCs w:val="19"/>
                <w:lang w:val="es-ES" w:eastAsia="en-CA"/>
              </w:rPr>
              <w:t>388</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19</w:t>
            </w:r>
            <w:r w:rsidR="004360ED" w:rsidRPr="008F4B68">
              <w:rPr>
                <w:color w:val="000000"/>
                <w:sz w:val="19"/>
                <w:szCs w:val="19"/>
                <w:lang w:val="es-ES" w:eastAsia="en-CA"/>
              </w:rPr>
              <w:t> </w:t>
            </w:r>
            <w:r w:rsidRPr="008F4B68">
              <w:rPr>
                <w:color w:val="000000"/>
                <w:sz w:val="19"/>
                <w:szCs w:val="19"/>
                <w:lang w:val="es-ES" w:eastAsia="en-CA"/>
              </w:rPr>
              <w:t>417</w:t>
            </w:r>
            <w:r w:rsidR="004360ED" w:rsidRPr="008F4B68">
              <w:rPr>
                <w:color w:val="000000"/>
                <w:sz w:val="19"/>
                <w:szCs w:val="19"/>
                <w:lang w:val="es-ES" w:eastAsia="en-CA"/>
              </w:rPr>
              <w:t> </w:t>
            </w:r>
            <w:r w:rsidRPr="008F4B68">
              <w:rPr>
                <w:color w:val="000000"/>
                <w:sz w:val="19"/>
                <w:szCs w:val="19"/>
                <w:lang w:val="es-ES" w:eastAsia="en-CA"/>
              </w:rPr>
              <w:t>866</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609</w:t>
            </w:r>
            <w:r w:rsidR="004360ED" w:rsidRPr="008F4B68">
              <w:rPr>
                <w:color w:val="000000"/>
                <w:sz w:val="19"/>
                <w:szCs w:val="19"/>
                <w:lang w:val="es-ES" w:eastAsia="en-CA"/>
              </w:rPr>
              <w:t> </w:t>
            </w:r>
            <w:r w:rsidRPr="008F4B68">
              <w:rPr>
                <w:color w:val="000000"/>
                <w:sz w:val="19"/>
                <w:szCs w:val="19"/>
                <w:lang w:val="es-ES" w:eastAsia="en-CA"/>
              </w:rPr>
              <w:t>522</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w:t>
            </w:r>
            <w:r w:rsidRPr="008F4B68">
              <w:rPr>
                <w:color w:val="000000"/>
                <w:sz w:val="19"/>
                <w:szCs w:val="19"/>
                <w:lang w:val="es-ES" w:eastAsia="en-CA"/>
              </w:rPr>
              <w:t>29</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950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158</w:t>
            </w:r>
            <w:r w:rsidR="004360ED" w:rsidRPr="008F4B68">
              <w:rPr>
                <w:color w:val="000000"/>
                <w:sz w:val="19"/>
                <w:szCs w:val="19"/>
                <w:lang w:val="es-ES" w:eastAsia="en-CA"/>
              </w:rPr>
              <w:t> </w:t>
            </w:r>
            <w:r w:rsidRPr="008F4B68">
              <w:rPr>
                <w:color w:val="000000"/>
                <w:sz w:val="19"/>
                <w:szCs w:val="19"/>
                <w:lang w:val="es-ES" w:eastAsia="en-CA"/>
              </w:rPr>
              <w:t>333</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w:t>
            </w:r>
            <w:r w:rsidR="004360ED" w:rsidRPr="008F4B68">
              <w:rPr>
                <w:color w:val="000000"/>
                <w:sz w:val="19"/>
                <w:szCs w:val="19"/>
                <w:lang w:val="es-ES" w:eastAsia="en-CA"/>
              </w:rPr>
              <w:t>,</w:t>
            </w:r>
            <w:r w:rsidRPr="008F4B68">
              <w:rPr>
                <w:color w:val="000000"/>
                <w:sz w:val="19"/>
                <w:szCs w:val="19"/>
                <w:lang w:val="es-ES" w:eastAsia="en-CA"/>
              </w:rPr>
              <w:t>89</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800</w:t>
            </w:r>
            <w:r w:rsidR="004360ED" w:rsidRPr="008F4B68">
              <w:rPr>
                <w:color w:val="000000"/>
                <w:sz w:val="19"/>
                <w:szCs w:val="19"/>
                <w:lang w:val="es-ES" w:eastAsia="en-CA"/>
              </w:rPr>
              <w:t> </w:t>
            </w:r>
            <w:r w:rsidRPr="008F4B68">
              <w:rPr>
                <w:color w:val="000000"/>
                <w:sz w:val="19"/>
                <w:szCs w:val="19"/>
                <w:lang w:val="es-ES" w:eastAsia="en-CA"/>
              </w:rPr>
              <w:t>280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133</w:t>
            </w:r>
            <w:r w:rsidR="004360ED" w:rsidRPr="008F4B68">
              <w:rPr>
                <w:color w:val="000000"/>
                <w:sz w:val="19"/>
                <w:szCs w:val="19"/>
                <w:lang w:val="es-ES" w:eastAsia="en-CA"/>
              </w:rPr>
              <w:t> </w:t>
            </w:r>
            <w:r w:rsidRPr="008F4B68">
              <w:rPr>
                <w:color w:val="000000"/>
                <w:sz w:val="19"/>
                <w:szCs w:val="19"/>
                <w:lang w:val="es-ES" w:eastAsia="en-CA"/>
              </w:rPr>
              <w:t>380</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t>Chile</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936</w:t>
            </w:r>
            <w:r w:rsidR="004360ED" w:rsidRPr="008F4B68">
              <w:rPr>
                <w:color w:val="000000"/>
                <w:sz w:val="19"/>
                <w:szCs w:val="19"/>
                <w:lang w:val="es-ES" w:eastAsia="en-CA"/>
              </w:rPr>
              <w:t> </w:t>
            </w:r>
            <w:r w:rsidRPr="008F4B68">
              <w:rPr>
                <w:color w:val="000000"/>
                <w:sz w:val="19"/>
                <w:szCs w:val="19"/>
                <w:lang w:val="es-ES" w:eastAsia="en-CA"/>
              </w:rPr>
              <w:t>306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786</w:t>
            </w:r>
            <w:r w:rsidR="004360ED" w:rsidRPr="008F4B68">
              <w:rPr>
                <w:color w:val="000000"/>
                <w:sz w:val="19"/>
                <w:szCs w:val="19"/>
                <w:lang w:val="es-ES" w:eastAsia="en-CA"/>
              </w:rPr>
              <w:t> </w:t>
            </w:r>
            <w:r w:rsidRPr="008F4B68">
              <w:rPr>
                <w:color w:val="000000"/>
                <w:sz w:val="19"/>
                <w:szCs w:val="19"/>
                <w:lang w:val="es-ES" w:eastAsia="en-CA"/>
              </w:rPr>
              <w:t>455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149</w:t>
            </w:r>
            <w:r w:rsidR="004360ED" w:rsidRPr="008F4B68">
              <w:rPr>
                <w:color w:val="000000"/>
                <w:sz w:val="19"/>
                <w:szCs w:val="19"/>
                <w:lang w:val="es-ES" w:eastAsia="en-CA"/>
              </w:rPr>
              <w:t> </w:t>
            </w:r>
            <w:r w:rsidRPr="008F4B68">
              <w:rPr>
                <w:color w:val="000000"/>
                <w:sz w:val="19"/>
                <w:szCs w:val="19"/>
                <w:lang w:val="es-ES" w:eastAsia="en-CA"/>
              </w:rPr>
              <w:t>851</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w:t>
            </w:r>
            <w:r w:rsidRPr="008F4B68">
              <w:rPr>
                <w:color w:val="000000"/>
                <w:sz w:val="19"/>
                <w:szCs w:val="19"/>
                <w:lang w:val="es-ES" w:eastAsia="en-CA"/>
              </w:rPr>
              <w:t>39</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102</w:t>
            </w:r>
            <w:r w:rsidR="004360ED" w:rsidRPr="008F4B68">
              <w:rPr>
                <w:color w:val="000000"/>
                <w:sz w:val="19"/>
                <w:szCs w:val="19"/>
                <w:lang w:val="es-ES" w:eastAsia="en-CA"/>
              </w:rPr>
              <w:t> </w:t>
            </w:r>
            <w:r w:rsidRPr="008F4B68">
              <w:rPr>
                <w:color w:val="000000"/>
                <w:sz w:val="19"/>
                <w:szCs w:val="19"/>
                <w:lang w:val="es-ES" w:eastAsia="en-CA"/>
              </w:rPr>
              <w:t>433</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17</w:t>
            </w:r>
            <w:r w:rsidR="004360ED" w:rsidRPr="008F4B68">
              <w:rPr>
                <w:color w:val="000000"/>
                <w:sz w:val="19"/>
                <w:szCs w:val="19"/>
                <w:lang w:val="es-ES" w:eastAsia="en-CA"/>
              </w:rPr>
              <w:t> </w:t>
            </w:r>
            <w:r w:rsidRPr="008F4B68">
              <w:rPr>
                <w:color w:val="000000"/>
                <w:sz w:val="19"/>
                <w:szCs w:val="19"/>
                <w:lang w:val="es-ES" w:eastAsia="en-CA"/>
              </w:rPr>
              <w:t>072</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w:t>
            </w:r>
            <w:r w:rsidRPr="008F4B68">
              <w:rPr>
                <w:color w:val="000000"/>
                <w:sz w:val="19"/>
                <w:szCs w:val="19"/>
                <w:lang w:val="es-ES" w:eastAsia="en-CA"/>
              </w:rPr>
              <w:t>73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798</w:t>
            </w:r>
            <w:r w:rsidR="004360ED" w:rsidRPr="008F4B68">
              <w:rPr>
                <w:color w:val="000000"/>
                <w:sz w:val="19"/>
                <w:szCs w:val="19"/>
                <w:lang w:val="es-ES" w:eastAsia="en-CA"/>
              </w:rPr>
              <w:t> </w:t>
            </w:r>
            <w:r w:rsidRPr="008F4B68">
              <w:rPr>
                <w:color w:val="000000"/>
                <w:sz w:val="19"/>
                <w:szCs w:val="19"/>
                <w:lang w:val="es-ES" w:eastAsia="en-CA"/>
              </w:rPr>
              <w:t>434</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133</w:t>
            </w:r>
            <w:r w:rsidR="004360ED" w:rsidRPr="008F4B68">
              <w:rPr>
                <w:color w:val="000000"/>
                <w:sz w:val="19"/>
                <w:szCs w:val="19"/>
                <w:lang w:val="es-ES" w:eastAsia="en-CA"/>
              </w:rPr>
              <w:t> </w:t>
            </w:r>
            <w:r w:rsidRPr="008F4B68">
              <w:rPr>
                <w:color w:val="000000"/>
                <w:sz w:val="19"/>
                <w:szCs w:val="19"/>
                <w:lang w:val="es-ES" w:eastAsia="en-CA"/>
              </w:rPr>
              <w:t>072</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t>Colombia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 </w:t>
            </w:r>
            <w:r w:rsidRPr="008F4B68">
              <w:rPr>
                <w:color w:val="000000"/>
                <w:sz w:val="19"/>
                <w:szCs w:val="19"/>
                <w:lang w:val="es-ES" w:eastAsia="en-CA"/>
              </w:rPr>
              <w:t>338</w:t>
            </w:r>
            <w:r w:rsidR="004360ED" w:rsidRPr="008F4B68">
              <w:rPr>
                <w:color w:val="000000"/>
                <w:sz w:val="19"/>
                <w:szCs w:val="19"/>
                <w:lang w:val="es-ES" w:eastAsia="en-CA"/>
              </w:rPr>
              <w:t> </w:t>
            </w:r>
            <w:r w:rsidRPr="008F4B68">
              <w:rPr>
                <w:color w:val="000000"/>
                <w:sz w:val="19"/>
                <w:szCs w:val="19"/>
                <w:lang w:val="es-ES" w:eastAsia="en-CA"/>
              </w:rPr>
              <w:t>594</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 </w:t>
            </w:r>
            <w:r w:rsidRPr="008F4B68">
              <w:rPr>
                <w:color w:val="000000"/>
                <w:sz w:val="19"/>
                <w:szCs w:val="19"/>
                <w:lang w:val="es-ES" w:eastAsia="en-CA"/>
              </w:rPr>
              <w:t>821</w:t>
            </w:r>
            <w:r w:rsidR="004360ED" w:rsidRPr="008F4B68">
              <w:rPr>
                <w:color w:val="000000"/>
                <w:sz w:val="19"/>
                <w:szCs w:val="19"/>
                <w:lang w:val="es-ES" w:eastAsia="en-CA"/>
              </w:rPr>
              <w:t> </w:t>
            </w:r>
            <w:r w:rsidRPr="008F4B68">
              <w:rPr>
                <w:color w:val="000000"/>
                <w:sz w:val="19"/>
                <w:szCs w:val="19"/>
                <w:lang w:val="es-ES" w:eastAsia="en-CA"/>
              </w:rPr>
              <w:t>483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517</w:t>
            </w:r>
            <w:r w:rsidR="004360ED" w:rsidRPr="008F4B68">
              <w:rPr>
                <w:color w:val="000000"/>
                <w:sz w:val="19"/>
                <w:szCs w:val="19"/>
                <w:lang w:val="es-ES" w:eastAsia="en-CA"/>
              </w:rPr>
              <w:t> </w:t>
            </w:r>
            <w:r w:rsidRPr="008F4B68">
              <w:rPr>
                <w:color w:val="000000"/>
                <w:sz w:val="19"/>
                <w:szCs w:val="19"/>
                <w:lang w:val="es-ES" w:eastAsia="en-CA"/>
              </w:rPr>
              <w:t>111</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58</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336</w:t>
            </w:r>
            <w:r w:rsidR="004360ED" w:rsidRPr="008F4B68">
              <w:rPr>
                <w:color w:val="000000"/>
                <w:sz w:val="19"/>
                <w:szCs w:val="19"/>
                <w:lang w:val="es-ES" w:eastAsia="en-CA"/>
              </w:rPr>
              <w:t> </w:t>
            </w:r>
            <w:r w:rsidRPr="008F4B68">
              <w:rPr>
                <w:color w:val="000000"/>
                <w:sz w:val="19"/>
                <w:szCs w:val="19"/>
                <w:lang w:val="es-ES" w:eastAsia="en-CA"/>
              </w:rPr>
              <w:t>363</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48</w:t>
            </w:r>
            <w:r w:rsidR="004360ED" w:rsidRPr="008F4B68">
              <w:rPr>
                <w:color w:val="000000"/>
                <w:sz w:val="19"/>
                <w:szCs w:val="19"/>
                <w:lang w:val="es-ES" w:eastAsia="en-CA"/>
              </w:rPr>
              <w:t> </w:t>
            </w:r>
            <w:r w:rsidRPr="008F4B68">
              <w:rPr>
                <w:color w:val="000000"/>
                <w:sz w:val="19"/>
                <w:szCs w:val="19"/>
                <w:lang w:val="es-ES" w:eastAsia="en-CA"/>
              </w:rPr>
              <w:t>052</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w:t>
            </w:r>
            <w:r w:rsidR="004360ED" w:rsidRPr="008F4B68">
              <w:rPr>
                <w:color w:val="000000"/>
                <w:sz w:val="19"/>
                <w:szCs w:val="19"/>
                <w:lang w:val="es-ES" w:eastAsia="en-CA"/>
              </w:rPr>
              <w:t>,</w:t>
            </w:r>
            <w:r w:rsidRPr="008F4B68">
              <w:rPr>
                <w:color w:val="000000"/>
                <w:sz w:val="19"/>
                <w:szCs w:val="19"/>
                <w:lang w:val="es-ES" w:eastAsia="en-CA"/>
              </w:rPr>
              <w:t>93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179</w:t>
            </w:r>
            <w:r w:rsidR="004360ED" w:rsidRPr="008F4B68">
              <w:rPr>
                <w:color w:val="000000"/>
                <w:sz w:val="19"/>
                <w:szCs w:val="19"/>
                <w:lang w:val="es-ES" w:eastAsia="en-CA"/>
              </w:rPr>
              <w:t> </w:t>
            </w:r>
            <w:r w:rsidRPr="008F4B68">
              <w:rPr>
                <w:color w:val="000000"/>
                <w:sz w:val="19"/>
                <w:szCs w:val="19"/>
                <w:lang w:val="es-ES" w:eastAsia="en-CA"/>
              </w:rPr>
              <w:t>568</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168</w:t>
            </w:r>
            <w:r w:rsidR="004360ED" w:rsidRPr="008F4B68">
              <w:rPr>
                <w:color w:val="000000"/>
                <w:sz w:val="19"/>
                <w:szCs w:val="19"/>
                <w:lang w:val="es-ES" w:eastAsia="en-CA"/>
              </w:rPr>
              <w:t> </w:t>
            </w:r>
            <w:r w:rsidRPr="008F4B68">
              <w:rPr>
                <w:color w:val="000000"/>
                <w:sz w:val="19"/>
                <w:szCs w:val="19"/>
                <w:lang w:val="es-ES" w:eastAsia="en-CA"/>
              </w:rPr>
              <w:t>510</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2B0536" w:rsidP="002B0536">
            <w:pPr>
              <w:jc w:val="left"/>
              <w:rPr>
                <w:color w:val="000000"/>
                <w:sz w:val="19"/>
                <w:szCs w:val="19"/>
                <w:lang w:val="es-ES" w:eastAsia="en-CA"/>
              </w:rPr>
            </w:pPr>
            <w:r w:rsidRPr="008F4B68">
              <w:rPr>
                <w:color w:val="000000"/>
                <w:sz w:val="19"/>
                <w:szCs w:val="19"/>
                <w:lang w:val="es-ES" w:eastAsia="en-CA"/>
              </w:rPr>
              <w:t xml:space="preserve">República Democrática del </w:t>
            </w:r>
            <w:r w:rsidR="001148A7" w:rsidRPr="008F4B68">
              <w:rPr>
                <w:color w:val="000000"/>
                <w:sz w:val="19"/>
                <w:szCs w:val="19"/>
                <w:lang w:val="es-ES" w:eastAsia="en-CA"/>
              </w:rPr>
              <w:t>Congo</w:t>
            </w:r>
          </w:p>
        </w:tc>
        <w:tc>
          <w:tcPr>
            <w:tcW w:w="548"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p>
        </w:tc>
        <w:tc>
          <w:tcPr>
            <w:tcW w:w="1022"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527</w:t>
            </w:r>
            <w:r w:rsidR="004360ED" w:rsidRPr="008F4B68">
              <w:rPr>
                <w:color w:val="000000"/>
                <w:sz w:val="19"/>
                <w:szCs w:val="19"/>
                <w:lang w:val="es-ES" w:eastAsia="en-CA"/>
              </w:rPr>
              <w:t> </w:t>
            </w:r>
            <w:r w:rsidRPr="008F4B68">
              <w:rPr>
                <w:color w:val="000000"/>
                <w:sz w:val="19"/>
                <w:szCs w:val="19"/>
                <w:lang w:val="es-ES" w:eastAsia="en-CA"/>
              </w:rPr>
              <w:t>150</w:t>
            </w:r>
          </w:p>
        </w:tc>
        <w:tc>
          <w:tcPr>
            <w:tcW w:w="1022"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475</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52</w:t>
            </w:r>
            <w:r w:rsidR="004360ED" w:rsidRPr="008F4B68">
              <w:rPr>
                <w:color w:val="000000"/>
                <w:sz w:val="19"/>
                <w:szCs w:val="19"/>
                <w:lang w:val="es-ES" w:eastAsia="en-CA"/>
              </w:rPr>
              <w:t> </w:t>
            </w:r>
            <w:r w:rsidRPr="008F4B68">
              <w:rPr>
                <w:color w:val="000000"/>
                <w:sz w:val="19"/>
                <w:szCs w:val="19"/>
                <w:lang w:val="es-ES" w:eastAsia="en-CA"/>
              </w:rPr>
              <w:t>150</w:t>
            </w:r>
          </w:p>
        </w:tc>
        <w:tc>
          <w:tcPr>
            <w:tcW w:w="846"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r w:rsidR="004360ED" w:rsidRPr="008F4B68">
              <w:rPr>
                <w:color w:val="000000"/>
                <w:sz w:val="19"/>
                <w:szCs w:val="19"/>
                <w:lang w:val="es-ES" w:eastAsia="en-CA"/>
              </w:rPr>
              <w:t>,</w:t>
            </w:r>
            <w:r w:rsidRPr="008F4B68">
              <w:rPr>
                <w:color w:val="000000"/>
                <w:sz w:val="19"/>
                <w:szCs w:val="19"/>
                <w:lang w:val="es-ES" w:eastAsia="en-CA"/>
              </w:rPr>
              <w:t>98</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 </w:t>
            </w:r>
            <w:r w:rsidRPr="008F4B68">
              <w:rPr>
                <w:color w:val="000000"/>
                <w:sz w:val="19"/>
                <w:szCs w:val="19"/>
                <w:lang w:val="es-ES" w:eastAsia="en-CA"/>
              </w:rPr>
              <w:t>500</w:t>
            </w:r>
          </w:p>
        </w:tc>
        <w:tc>
          <w:tcPr>
            <w:tcW w:w="730"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12</w:t>
            </w:r>
            <w:r w:rsidR="004360ED" w:rsidRPr="008F4B68">
              <w:rPr>
                <w:color w:val="000000"/>
                <w:sz w:val="19"/>
                <w:szCs w:val="19"/>
                <w:lang w:val="es-ES" w:eastAsia="en-CA"/>
              </w:rPr>
              <w:t>,</w:t>
            </w:r>
            <w:r w:rsidRPr="008F4B68">
              <w:rPr>
                <w:color w:val="000000"/>
                <w:sz w:val="19"/>
                <w:szCs w:val="19"/>
                <w:lang w:val="es-ES" w:eastAsia="en-CA"/>
              </w:rPr>
              <w:t>63</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149</w:t>
            </w:r>
            <w:r w:rsidR="004360ED" w:rsidRPr="008F4B68">
              <w:rPr>
                <w:color w:val="000000"/>
                <w:sz w:val="19"/>
                <w:szCs w:val="19"/>
                <w:lang w:val="es-ES" w:eastAsia="en-CA"/>
              </w:rPr>
              <w:t> </w:t>
            </w:r>
            <w:r w:rsidRPr="008F4B68">
              <w:rPr>
                <w:color w:val="000000"/>
                <w:sz w:val="19"/>
                <w:szCs w:val="19"/>
                <w:lang w:val="es-ES" w:eastAsia="en-CA"/>
              </w:rPr>
              <w:t>540</w:t>
            </w:r>
          </w:p>
        </w:tc>
        <w:tc>
          <w:tcPr>
            <w:tcW w:w="876" w:type="dxa"/>
            <w:tcBorders>
              <w:top w:val="nil"/>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18</w:t>
            </w:r>
            <w:r w:rsidR="004360ED" w:rsidRPr="008F4B68">
              <w:rPr>
                <w:color w:val="000000"/>
                <w:sz w:val="19"/>
                <w:szCs w:val="19"/>
                <w:lang w:val="es-ES" w:eastAsia="en-CA"/>
              </w:rPr>
              <w:t> </w:t>
            </w:r>
            <w:r w:rsidRPr="008F4B68">
              <w:rPr>
                <w:color w:val="000000"/>
                <w:sz w:val="19"/>
                <w:szCs w:val="19"/>
                <w:lang w:val="es-ES" w:eastAsia="en-CA"/>
              </w:rPr>
              <w:t>693</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2B0536" w:rsidP="002B0536">
            <w:pPr>
              <w:jc w:val="left"/>
              <w:rPr>
                <w:color w:val="000000"/>
                <w:sz w:val="19"/>
                <w:szCs w:val="19"/>
                <w:lang w:val="es-ES" w:eastAsia="en-CA"/>
              </w:rPr>
            </w:pPr>
            <w:r w:rsidRPr="008F4B68">
              <w:rPr>
                <w:color w:val="000000"/>
                <w:sz w:val="19"/>
                <w:szCs w:val="19"/>
                <w:lang w:val="es-ES" w:eastAsia="en-CA"/>
              </w:rPr>
              <w:t xml:space="preserve">República </w:t>
            </w:r>
            <w:r w:rsidR="004360ED" w:rsidRPr="008F4B68">
              <w:rPr>
                <w:color w:val="000000"/>
                <w:sz w:val="19"/>
                <w:szCs w:val="19"/>
                <w:lang w:val="es-ES" w:eastAsia="en-CA"/>
              </w:rPr>
              <w:t>Dominicana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826</w:t>
            </w:r>
            <w:r w:rsidR="004360ED" w:rsidRPr="008F4B68">
              <w:rPr>
                <w:color w:val="000000"/>
                <w:sz w:val="19"/>
                <w:szCs w:val="19"/>
                <w:lang w:val="es-ES" w:eastAsia="en-CA"/>
              </w:rPr>
              <w:t> </w:t>
            </w:r>
            <w:r w:rsidRPr="008F4B68">
              <w:rPr>
                <w:color w:val="000000"/>
                <w:sz w:val="19"/>
                <w:szCs w:val="19"/>
                <w:lang w:val="es-ES" w:eastAsia="en-CA"/>
              </w:rPr>
              <w:t>192</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696</w:t>
            </w:r>
            <w:r w:rsidR="004360ED" w:rsidRPr="008F4B68">
              <w:rPr>
                <w:color w:val="000000"/>
                <w:sz w:val="19"/>
                <w:szCs w:val="19"/>
                <w:lang w:val="es-ES" w:eastAsia="en-CA"/>
              </w:rPr>
              <w:t> </w:t>
            </w:r>
            <w:r w:rsidRPr="008F4B68">
              <w:rPr>
                <w:color w:val="000000"/>
                <w:sz w:val="19"/>
                <w:szCs w:val="19"/>
                <w:lang w:val="es-ES" w:eastAsia="en-CA"/>
              </w:rPr>
              <w:t>225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129</w:t>
            </w:r>
            <w:r w:rsidR="004360ED" w:rsidRPr="008F4B68">
              <w:rPr>
                <w:color w:val="000000"/>
                <w:sz w:val="19"/>
                <w:szCs w:val="19"/>
                <w:lang w:val="es-ES" w:eastAsia="en-CA"/>
              </w:rPr>
              <w:t> </w:t>
            </w:r>
            <w:r w:rsidRPr="008F4B68">
              <w:rPr>
                <w:color w:val="000000"/>
                <w:sz w:val="19"/>
                <w:szCs w:val="19"/>
                <w:lang w:val="es-ES" w:eastAsia="en-CA"/>
              </w:rPr>
              <w:t>967</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66</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r w:rsidR="004360ED" w:rsidRPr="008F4B68">
              <w:rPr>
                <w:color w:val="000000"/>
                <w:sz w:val="19"/>
                <w:szCs w:val="19"/>
                <w:lang w:val="es-ES" w:eastAsia="en-CA"/>
              </w:rPr>
              <w:t> </w:t>
            </w:r>
            <w:r w:rsidRPr="008F4B68">
              <w:rPr>
                <w:color w:val="000000"/>
                <w:sz w:val="19"/>
                <w:szCs w:val="19"/>
                <w:lang w:val="es-ES" w:eastAsia="en-CA"/>
              </w:rPr>
              <w:t>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w:t>
            </w:r>
            <w:r w:rsidRPr="008F4B68">
              <w:rPr>
                <w:color w:val="000000"/>
                <w:sz w:val="19"/>
                <w:szCs w:val="19"/>
                <w:lang w:val="es-ES" w:eastAsia="en-CA"/>
              </w:rPr>
              <w:t>90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746</w:t>
            </w:r>
            <w:r w:rsidR="004360ED" w:rsidRPr="008F4B68">
              <w:rPr>
                <w:color w:val="000000"/>
                <w:sz w:val="19"/>
                <w:szCs w:val="19"/>
                <w:lang w:val="es-ES" w:eastAsia="en-CA"/>
              </w:rPr>
              <w:t> </w:t>
            </w:r>
            <w:r w:rsidRPr="008F4B68">
              <w:rPr>
                <w:color w:val="000000"/>
                <w:sz w:val="19"/>
                <w:szCs w:val="19"/>
                <w:lang w:val="es-ES" w:eastAsia="en-CA"/>
              </w:rPr>
              <w:t>891</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74</w:t>
            </w:r>
            <w:r w:rsidR="004360ED" w:rsidRPr="008F4B68">
              <w:rPr>
                <w:color w:val="000000"/>
                <w:sz w:val="19"/>
                <w:szCs w:val="19"/>
                <w:lang w:val="es-ES" w:eastAsia="en-CA"/>
              </w:rPr>
              <w:t> </w:t>
            </w:r>
            <w:r w:rsidRPr="008F4B68">
              <w:rPr>
                <w:color w:val="000000"/>
                <w:sz w:val="19"/>
                <w:szCs w:val="19"/>
                <w:lang w:val="es-ES" w:eastAsia="en-CA"/>
              </w:rPr>
              <w:t>689</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t xml:space="preserve">Ecuador </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576</w:t>
            </w:r>
            <w:r w:rsidR="004360ED" w:rsidRPr="008F4B68">
              <w:rPr>
                <w:color w:val="000000"/>
                <w:sz w:val="19"/>
                <w:szCs w:val="19"/>
                <w:lang w:val="es-ES" w:eastAsia="en-CA"/>
              </w:rPr>
              <w:t> </w:t>
            </w:r>
            <w:r w:rsidRPr="008F4B68">
              <w:rPr>
                <w:color w:val="000000"/>
                <w:sz w:val="19"/>
                <w:szCs w:val="19"/>
                <w:lang w:val="es-ES" w:eastAsia="en-CA"/>
              </w:rPr>
              <w:t>812</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393</w:t>
            </w:r>
            <w:r w:rsidR="004360ED" w:rsidRPr="008F4B68">
              <w:rPr>
                <w:color w:val="000000"/>
                <w:sz w:val="19"/>
                <w:szCs w:val="19"/>
                <w:lang w:val="es-ES" w:eastAsia="en-CA"/>
              </w:rPr>
              <w:t> </w:t>
            </w:r>
            <w:r w:rsidRPr="008F4B68">
              <w:rPr>
                <w:color w:val="000000"/>
                <w:sz w:val="19"/>
                <w:szCs w:val="19"/>
                <w:lang w:val="es-ES" w:eastAsia="en-CA"/>
              </w:rPr>
              <w:t>159</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183</w:t>
            </w:r>
            <w:r w:rsidR="004360ED" w:rsidRPr="008F4B68">
              <w:rPr>
                <w:color w:val="000000"/>
                <w:sz w:val="19"/>
                <w:szCs w:val="19"/>
                <w:lang w:val="es-ES" w:eastAsia="en-CA"/>
              </w:rPr>
              <w:t> </w:t>
            </w:r>
            <w:r w:rsidRPr="008F4B68">
              <w:rPr>
                <w:color w:val="000000"/>
                <w:sz w:val="19"/>
                <w:szCs w:val="19"/>
                <w:lang w:val="es-ES" w:eastAsia="en-CA"/>
              </w:rPr>
              <w:t>653</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67</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126</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11</w:t>
            </w:r>
            <w:r w:rsidR="004360ED" w:rsidRPr="008F4B68">
              <w:rPr>
                <w:color w:val="000000"/>
                <w:sz w:val="19"/>
                <w:szCs w:val="19"/>
                <w:lang w:val="es-ES" w:eastAsia="en-CA"/>
              </w:rPr>
              <w:t> </w:t>
            </w:r>
            <w:r w:rsidRPr="008F4B68">
              <w:rPr>
                <w:color w:val="000000"/>
                <w:sz w:val="19"/>
                <w:szCs w:val="19"/>
                <w:lang w:val="es-ES" w:eastAsia="en-CA"/>
              </w:rPr>
              <w:t>455</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w:t>
            </w:r>
            <w:r w:rsidRPr="008F4B68">
              <w:rPr>
                <w:color w:val="000000"/>
                <w:sz w:val="19"/>
                <w:szCs w:val="19"/>
                <w:lang w:val="es-ES" w:eastAsia="en-CA"/>
              </w:rPr>
              <w:t>27</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226</w:t>
            </w:r>
            <w:r w:rsidR="004360ED" w:rsidRPr="008F4B68">
              <w:rPr>
                <w:color w:val="000000"/>
                <w:sz w:val="19"/>
                <w:szCs w:val="19"/>
                <w:lang w:val="es-ES" w:eastAsia="en-CA"/>
              </w:rPr>
              <w:t> </w:t>
            </w:r>
            <w:r w:rsidRPr="008F4B68">
              <w:rPr>
                <w:color w:val="000000"/>
                <w:sz w:val="19"/>
                <w:szCs w:val="19"/>
                <w:lang w:val="es-ES" w:eastAsia="en-CA"/>
              </w:rPr>
              <w:t>305</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20</w:t>
            </w:r>
            <w:r w:rsidR="004360ED" w:rsidRPr="008F4B68">
              <w:rPr>
                <w:color w:val="000000"/>
                <w:sz w:val="19"/>
                <w:szCs w:val="19"/>
                <w:lang w:val="es-ES" w:eastAsia="en-CA"/>
              </w:rPr>
              <w:t> </w:t>
            </w:r>
            <w:r w:rsidRPr="008F4B68">
              <w:rPr>
                <w:color w:val="000000"/>
                <w:sz w:val="19"/>
                <w:szCs w:val="19"/>
                <w:lang w:val="es-ES" w:eastAsia="en-CA"/>
              </w:rPr>
              <w:t>573</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2B0536" w:rsidP="00CF2D8C">
            <w:pPr>
              <w:jc w:val="left"/>
              <w:rPr>
                <w:color w:val="000000"/>
                <w:sz w:val="19"/>
                <w:szCs w:val="19"/>
                <w:lang w:val="es-ES" w:eastAsia="en-CA"/>
              </w:rPr>
            </w:pPr>
            <w:r w:rsidRPr="008F4B68">
              <w:rPr>
                <w:color w:val="000000"/>
                <w:sz w:val="19"/>
                <w:szCs w:val="19"/>
                <w:lang w:val="es-ES" w:eastAsia="en-CA"/>
              </w:rPr>
              <w:t>Egipto</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r w:rsidR="004360ED" w:rsidRPr="008F4B68">
              <w:rPr>
                <w:color w:val="000000"/>
                <w:sz w:val="19"/>
                <w:szCs w:val="19"/>
                <w:lang w:val="es-ES" w:eastAsia="en-CA"/>
              </w:rPr>
              <w:t> </w:t>
            </w:r>
            <w:r w:rsidRPr="008F4B68">
              <w:rPr>
                <w:color w:val="000000"/>
                <w:sz w:val="19"/>
                <w:szCs w:val="19"/>
                <w:lang w:val="es-ES" w:eastAsia="en-CA"/>
              </w:rPr>
              <w:t>164</w:t>
            </w:r>
            <w:r w:rsidR="004360ED" w:rsidRPr="008F4B68">
              <w:rPr>
                <w:color w:val="000000"/>
                <w:sz w:val="19"/>
                <w:szCs w:val="19"/>
                <w:lang w:val="es-ES" w:eastAsia="en-CA"/>
              </w:rPr>
              <w:t> </w:t>
            </w:r>
            <w:r w:rsidRPr="008F4B68">
              <w:rPr>
                <w:color w:val="000000"/>
                <w:sz w:val="19"/>
                <w:szCs w:val="19"/>
                <w:lang w:val="es-ES" w:eastAsia="en-CA"/>
              </w:rPr>
              <w:t>414</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 </w:t>
            </w:r>
            <w:r w:rsidRPr="008F4B68">
              <w:rPr>
                <w:color w:val="000000"/>
                <w:sz w:val="19"/>
                <w:szCs w:val="19"/>
                <w:lang w:val="es-ES" w:eastAsia="en-CA"/>
              </w:rPr>
              <w:t>520</w:t>
            </w:r>
            <w:r w:rsidR="004360ED" w:rsidRPr="008F4B68">
              <w:rPr>
                <w:color w:val="000000"/>
                <w:sz w:val="19"/>
                <w:szCs w:val="19"/>
                <w:lang w:val="es-ES" w:eastAsia="en-CA"/>
              </w:rPr>
              <w:t> </w:t>
            </w:r>
            <w:r w:rsidRPr="008F4B68">
              <w:rPr>
                <w:color w:val="000000"/>
                <w:sz w:val="19"/>
                <w:szCs w:val="19"/>
                <w:lang w:val="es-ES" w:eastAsia="en-CA"/>
              </w:rPr>
              <w:t>815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643</w:t>
            </w:r>
            <w:r w:rsidR="004360ED" w:rsidRPr="008F4B68">
              <w:rPr>
                <w:color w:val="000000"/>
                <w:sz w:val="19"/>
                <w:szCs w:val="19"/>
                <w:lang w:val="es-ES" w:eastAsia="en-CA"/>
              </w:rPr>
              <w:t> </w:t>
            </w:r>
            <w:r w:rsidRPr="008F4B68">
              <w:rPr>
                <w:color w:val="000000"/>
                <w:sz w:val="19"/>
                <w:szCs w:val="19"/>
                <w:lang w:val="es-ES" w:eastAsia="en-CA"/>
              </w:rPr>
              <w:t>599</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667</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66</w:t>
            </w:r>
            <w:r w:rsidR="004360ED" w:rsidRPr="008F4B68">
              <w:rPr>
                <w:color w:val="000000"/>
                <w:sz w:val="19"/>
                <w:szCs w:val="19"/>
                <w:lang w:val="es-ES" w:eastAsia="en-CA"/>
              </w:rPr>
              <w:t> </w:t>
            </w:r>
            <w:r w:rsidRPr="008F4B68">
              <w:rPr>
                <w:color w:val="000000"/>
                <w:sz w:val="19"/>
                <w:szCs w:val="19"/>
                <w:lang w:val="es-ES" w:eastAsia="en-CA"/>
              </w:rPr>
              <w:t>700</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83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269</w:t>
            </w:r>
            <w:r w:rsidR="004360ED" w:rsidRPr="008F4B68">
              <w:rPr>
                <w:color w:val="000000"/>
                <w:sz w:val="19"/>
                <w:szCs w:val="19"/>
                <w:lang w:val="es-ES" w:eastAsia="en-CA"/>
              </w:rPr>
              <w:t> </w:t>
            </w:r>
            <w:r w:rsidRPr="008F4B68">
              <w:rPr>
                <w:color w:val="000000"/>
                <w:sz w:val="19"/>
                <w:szCs w:val="19"/>
                <w:lang w:val="es-ES" w:eastAsia="en-CA"/>
              </w:rPr>
              <w:t>475</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126</w:t>
            </w:r>
            <w:r w:rsidR="004360ED" w:rsidRPr="008F4B68">
              <w:rPr>
                <w:color w:val="000000"/>
                <w:sz w:val="19"/>
                <w:szCs w:val="19"/>
                <w:lang w:val="es-ES" w:eastAsia="en-CA"/>
              </w:rPr>
              <w:t> </w:t>
            </w:r>
            <w:r w:rsidRPr="008F4B68">
              <w:rPr>
                <w:color w:val="000000"/>
                <w:sz w:val="19"/>
                <w:szCs w:val="19"/>
                <w:lang w:val="es-ES" w:eastAsia="en-CA"/>
              </w:rPr>
              <w:t>948</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t>India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22</w:t>
            </w:r>
            <w:r w:rsidR="004360ED" w:rsidRPr="008F4B68">
              <w:rPr>
                <w:color w:val="000000"/>
                <w:sz w:val="19"/>
                <w:szCs w:val="19"/>
                <w:lang w:val="es-ES" w:eastAsia="en-CA"/>
              </w:rPr>
              <w:t> </w:t>
            </w:r>
            <w:r w:rsidRPr="008F4B68">
              <w:rPr>
                <w:color w:val="000000"/>
                <w:sz w:val="19"/>
                <w:szCs w:val="19"/>
                <w:lang w:val="es-ES" w:eastAsia="en-CA"/>
              </w:rPr>
              <w:t>969</w:t>
            </w:r>
            <w:r w:rsidR="004360ED" w:rsidRPr="008F4B68">
              <w:rPr>
                <w:color w:val="000000"/>
                <w:sz w:val="19"/>
                <w:szCs w:val="19"/>
                <w:lang w:val="es-ES" w:eastAsia="en-CA"/>
              </w:rPr>
              <w:t> </w:t>
            </w:r>
            <w:r w:rsidRPr="008F4B68">
              <w:rPr>
                <w:color w:val="000000"/>
                <w:sz w:val="19"/>
                <w:szCs w:val="19"/>
                <w:lang w:val="es-ES" w:eastAsia="en-CA"/>
              </w:rPr>
              <w:t>344</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21</w:t>
            </w:r>
            <w:r w:rsidR="004360ED" w:rsidRPr="008F4B68">
              <w:rPr>
                <w:color w:val="000000"/>
                <w:sz w:val="19"/>
                <w:szCs w:val="19"/>
                <w:lang w:val="es-ES" w:eastAsia="en-CA"/>
              </w:rPr>
              <w:t> </w:t>
            </w:r>
            <w:r w:rsidRPr="008F4B68">
              <w:rPr>
                <w:color w:val="000000"/>
                <w:sz w:val="19"/>
                <w:szCs w:val="19"/>
                <w:lang w:val="es-ES" w:eastAsia="en-CA"/>
              </w:rPr>
              <w:t>994</w:t>
            </w:r>
            <w:r w:rsidR="004360ED" w:rsidRPr="008F4B68">
              <w:rPr>
                <w:color w:val="000000"/>
                <w:sz w:val="19"/>
                <w:szCs w:val="19"/>
                <w:lang w:val="es-ES" w:eastAsia="en-CA"/>
              </w:rPr>
              <w:t> </w:t>
            </w:r>
            <w:r w:rsidRPr="008F4B68">
              <w:rPr>
                <w:color w:val="000000"/>
                <w:sz w:val="19"/>
                <w:szCs w:val="19"/>
                <w:lang w:val="es-ES" w:eastAsia="en-CA"/>
              </w:rPr>
              <w:t>490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974</w:t>
            </w:r>
            <w:r w:rsidR="004360ED" w:rsidRPr="008F4B68">
              <w:rPr>
                <w:color w:val="000000"/>
                <w:sz w:val="19"/>
                <w:szCs w:val="19"/>
                <w:lang w:val="es-ES" w:eastAsia="en-CA"/>
              </w:rPr>
              <w:t> </w:t>
            </w:r>
            <w:r w:rsidRPr="008F4B68">
              <w:rPr>
                <w:color w:val="000000"/>
                <w:sz w:val="19"/>
                <w:szCs w:val="19"/>
                <w:lang w:val="es-ES" w:eastAsia="en-CA"/>
              </w:rPr>
              <w:t>854</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w:t>
            </w:r>
            <w:r w:rsidR="004360ED" w:rsidRPr="008F4B68">
              <w:rPr>
                <w:color w:val="000000"/>
                <w:sz w:val="19"/>
                <w:szCs w:val="19"/>
                <w:lang w:val="es-ES" w:eastAsia="en-CA"/>
              </w:rPr>
              <w:t>,</w:t>
            </w:r>
            <w:r w:rsidRPr="008F4B68">
              <w:rPr>
                <w:color w:val="000000"/>
                <w:sz w:val="19"/>
                <w:szCs w:val="19"/>
                <w:lang w:val="es-ES" w:eastAsia="en-CA"/>
              </w:rPr>
              <w:t>43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020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204</w:t>
            </w:r>
            <w:r w:rsidR="004360ED" w:rsidRPr="008F4B68">
              <w:rPr>
                <w:color w:val="000000"/>
                <w:sz w:val="19"/>
                <w:szCs w:val="19"/>
                <w:lang w:val="es-ES" w:eastAsia="en-CA"/>
              </w:rPr>
              <w:t> </w:t>
            </w:r>
            <w:r w:rsidRPr="008F4B68">
              <w:rPr>
                <w:color w:val="000000"/>
                <w:sz w:val="19"/>
                <w:szCs w:val="19"/>
                <w:lang w:val="es-ES" w:eastAsia="en-CA"/>
              </w:rPr>
              <w:t>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w:t>
            </w:r>
            <w:r w:rsidR="004360ED" w:rsidRPr="008F4B68">
              <w:rPr>
                <w:color w:val="000000"/>
                <w:sz w:val="19"/>
                <w:szCs w:val="19"/>
                <w:lang w:val="es-ES" w:eastAsia="en-CA"/>
              </w:rPr>
              <w:t>,</w:t>
            </w:r>
            <w:r w:rsidRPr="008F4B68">
              <w:rPr>
                <w:color w:val="000000"/>
                <w:sz w:val="19"/>
                <w:szCs w:val="19"/>
                <w:lang w:val="es-ES" w:eastAsia="en-CA"/>
              </w:rPr>
              <w:t>64</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224</w:t>
            </w:r>
            <w:r w:rsidR="004360ED" w:rsidRPr="008F4B68">
              <w:rPr>
                <w:color w:val="000000"/>
                <w:sz w:val="19"/>
                <w:szCs w:val="19"/>
                <w:lang w:val="es-ES" w:eastAsia="en-CA"/>
              </w:rPr>
              <w:t> </w:t>
            </w:r>
            <w:r w:rsidRPr="008F4B68">
              <w:rPr>
                <w:color w:val="000000"/>
                <w:sz w:val="19"/>
                <w:szCs w:val="19"/>
                <w:lang w:val="es-ES" w:eastAsia="en-CA"/>
              </w:rPr>
              <w:t>194</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244</w:t>
            </w:r>
            <w:r w:rsidR="004360ED" w:rsidRPr="008F4B68">
              <w:rPr>
                <w:color w:val="000000"/>
                <w:sz w:val="19"/>
                <w:szCs w:val="19"/>
                <w:lang w:val="es-ES" w:eastAsia="en-CA"/>
              </w:rPr>
              <w:t> </w:t>
            </w:r>
            <w:r w:rsidRPr="008F4B68">
              <w:rPr>
                <w:color w:val="000000"/>
                <w:sz w:val="19"/>
                <w:szCs w:val="19"/>
                <w:lang w:val="es-ES" w:eastAsia="en-CA"/>
              </w:rPr>
              <w:t>839</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lastRenderedPageBreak/>
              <w:t>Indonesia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13</w:t>
            </w:r>
            <w:r w:rsidR="004360ED" w:rsidRPr="008F4B68">
              <w:rPr>
                <w:color w:val="000000"/>
                <w:sz w:val="19"/>
                <w:szCs w:val="19"/>
                <w:lang w:val="es-ES" w:eastAsia="en-CA"/>
              </w:rPr>
              <w:t> </w:t>
            </w:r>
            <w:r w:rsidRPr="008F4B68">
              <w:rPr>
                <w:color w:val="000000"/>
                <w:sz w:val="19"/>
                <w:szCs w:val="19"/>
                <w:lang w:val="es-ES" w:eastAsia="en-CA"/>
              </w:rPr>
              <w:t>661</w:t>
            </w:r>
            <w:r w:rsidR="004360ED" w:rsidRPr="008F4B68">
              <w:rPr>
                <w:color w:val="000000"/>
                <w:sz w:val="19"/>
                <w:szCs w:val="19"/>
                <w:lang w:val="es-ES" w:eastAsia="en-CA"/>
              </w:rPr>
              <w:t> </w:t>
            </w:r>
            <w:r w:rsidRPr="008F4B68">
              <w:rPr>
                <w:color w:val="000000"/>
                <w:sz w:val="19"/>
                <w:szCs w:val="19"/>
                <w:lang w:val="es-ES" w:eastAsia="en-CA"/>
              </w:rPr>
              <w:t>136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12</w:t>
            </w:r>
            <w:r w:rsidR="004360ED" w:rsidRPr="008F4B68">
              <w:rPr>
                <w:color w:val="000000"/>
                <w:sz w:val="19"/>
                <w:szCs w:val="19"/>
                <w:lang w:val="es-ES" w:eastAsia="en-CA"/>
              </w:rPr>
              <w:t> </w:t>
            </w:r>
            <w:r w:rsidRPr="008F4B68">
              <w:rPr>
                <w:color w:val="000000"/>
                <w:sz w:val="19"/>
                <w:szCs w:val="19"/>
                <w:lang w:val="es-ES" w:eastAsia="en-CA"/>
              </w:rPr>
              <w:t>692</w:t>
            </w:r>
            <w:r w:rsidR="004360ED" w:rsidRPr="008F4B68">
              <w:rPr>
                <w:color w:val="000000"/>
                <w:sz w:val="19"/>
                <w:szCs w:val="19"/>
                <w:lang w:val="es-ES" w:eastAsia="en-CA"/>
              </w:rPr>
              <w:t> </w:t>
            </w:r>
            <w:r w:rsidRPr="008F4B68">
              <w:rPr>
                <w:color w:val="000000"/>
                <w:sz w:val="19"/>
                <w:szCs w:val="19"/>
                <w:lang w:val="es-ES" w:eastAsia="en-CA"/>
              </w:rPr>
              <w:t>684</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968</w:t>
            </w:r>
            <w:r w:rsidR="004360ED" w:rsidRPr="008F4B68">
              <w:rPr>
                <w:color w:val="000000"/>
                <w:sz w:val="19"/>
                <w:szCs w:val="19"/>
                <w:lang w:val="es-ES" w:eastAsia="en-CA"/>
              </w:rPr>
              <w:t> </w:t>
            </w:r>
            <w:r w:rsidRPr="008F4B68">
              <w:rPr>
                <w:color w:val="000000"/>
                <w:sz w:val="19"/>
                <w:szCs w:val="19"/>
                <w:lang w:val="es-ES" w:eastAsia="en-CA"/>
              </w:rPr>
              <w:t>452</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63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450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50</w:t>
            </w:r>
            <w:r w:rsidR="004360ED" w:rsidRPr="008F4B68">
              <w:rPr>
                <w:color w:val="000000"/>
                <w:sz w:val="19"/>
                <w:szCs w:val="19"/>
                <w:lang w:val="es-ES" w:eastAsia="en-CA"/>
              </w:rPr>
              <w:t> </w:t>
            </w:r>
            <w:r w:rsidRPr="008F4B68">
              <w:rPr>
                <w:color w:val="000000"/>
                <w:sz w:val="19"/>
                <w:szCs w:val="19"/>
                <w:lang w:val="es-ES" w:eastAsia="en-CA"/>
              </w:rPr>
              <w:t>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w:t>
            </w:r>
            <w:r w:rsidRPr="008F4B68">
              <w:rPr>
                <w:color w:val="000000"/>
                <w:sz w:val="19"/>
                <w:szCs w:val="19"/>
                <w:lang w:val="es-ES" w:eastAsia="en-CA"/>
              </w:rPr>
              <w:t>55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236</w:t>
            </w:r>
            <w:r w:rsidR="004360ED" w:rsidRPr="008F4B68">
              <w:rPr>
                <w:color w:val="000000"/>
                <w:sz w:val="19"/>
                <w:szCs w:val="19"/>
                <w:lang w:val="es-ES" w:eastAsia="en-CA"/>
              </w:rPr>
              <w:t> </w:t>
            </w:r>
            <w:r w:rsidRPr="008F4B68">
              <w:rPr>
                <w:color w:val="000000"/>
                <w:sz w:val="19"/>
                <w:szCs w:val="19"/>
                <w:lang w:val="es-ES" w:eastAsia="en-CA"/>
              </w:rPr>
              <w:t>880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137</w:t>
            </w:r>
            <w:r w:rsidR="004360ED" w:rsidRPr="008F4B68">
              <w:rPr>
                <w:color w:val="000000"/>
                <w:sz w:val="19"/>
                <w:szCs w:val="19"/>
                <w:lang w:val="es-ES" w:eastAsia="en-CA"/>
              </w:rPr>
              <w:t> </w:t>
            </w:r>
            <w:r w:rsidRPr="008F4B68">
              <w:rPr>
                <w:color w:val="000000"/>
                <w:sz w:val="19"/>
                <w:szCs w:val="19"/>
                <w:lang w:val="es-ES" w:eastAsia="en-CA"/>
              </w:rPr>
              <w:t>431</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2B0536" w:rsidP="002B0536">
            <w:pPr>
              <w:jc w:val="left"/>
              <w:rPr>
                <w:color w:val="000000"/>
                <w:sz w:val="19"/>
                <w:szCs w:val="19"/>
                <w:lang w:val="es-ES" w:eastAsia="en-CA"/>
              </w:rPr>
            </w:pPr>
            <w:r w:rsidRPr="008F4B68">
              <w:rPr>
                <w:color w:val="000000"/>
                <w:sz w:val="19"/>
                <w:szCs w:val="19"/>
                <w:lang w:val="es-ES" w:eastAsia="en-CA"/>
              </w:rPr>
              <w:t xml:space="preserve">República Islámica del </w:t>
            </w:r>
            <w:r w:rsidR="001148A7" w:rsidRPr="008F4B68">
              <w:rPr>
                <w:color w:val="000000"/>
                <w:sz w:val="19"/>
                <w:szCs w:val="19"/>
                <w:lang w:val="es-ES" w:eastAsia="en-CA"/>
              </w:rPr>
              <w:t>Ir</w:t>
            </w:r>
            <w:r w:rsidRPr="008F4B68">
              <w:rPr>
                <w:color w:val="000000"/>
                <w:sz w:val="19"/>
                <w:szCs w:val="19"/>
                <w:lang w:val="es-ES" w:eastAsia="en-CA"/>
              </w:rPr>
              <w:t>á</w:t>
            </w:r>
            <w:r w:rsidR="001148A7" w:rsidRPr="008F4B68">
              <w:rPr>
                <w:color w:val="000000"/>
                <w:sz w:val="19"/>
                <w:szCs w:val="19"/>
                <w:lang w:val="es-ES" w:eastAsia="en-CA"/>
              </w:rPr>
              <w:t>n</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r w:rsidR="004360ED" w:rsidRPr="008F4B68">
              <w:rPr>
                <w:color w:val="000000"/>
                <w:sz w:val="19"/>
                <w:szCs w:val="19"/>
                <w:lang w:val="es-ES" w:eastAsia="en-CA"/>
              </w:rPr>
              <w:t> </w:t>
            </w:r>
            <w:r w:rsidRPr="008F4B68">
              <w:rPr>
                <w:color w:val="000000"/>
                <w:sz w:val="19"/>
                <w:szCs w:val="19"/>
                <w:lang w:val="es-ES" w:eastAsia="en-CA"/>
              </w:rPr>
              <w:t>869</w:t>
            </w:r>
            <w:r w:rsidR="004360ED" w:rsidRPr="008F4B68">
              <w:rPr>
                <w:color w:val="000000"/>
                <w:sz w:val="19"/>
                <w:szCs w:val="19"/>
                <w:lang w:val="es-ES" w:eastAsia="en-CA"/>
              </w:rPr>
              <w:t> </w:t>
            </w:r>
            <w:r w:rsidRPr="008F4B68">
              <w:rPr>
                <w:color w:val="000000"/>
                <w:sz w:val="19"/>
                <w:szCs w:val="19"/>
                <w:lang w:val="es-ES" w:eastAsia="en-CA"/>
              </w:rPr>
              <w:t>327</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r w:rsidR="004360ED" w:rsidRPr="008F4B68">
              <w:rPr>
                <w:color w:val="000000"/>
                <w:sz w:val="19"/>
                <w:szCs w:val="19"/>
                <w:lang w:val="es-ES" w:eastAsia="en-CA"/>
              </w:rPr>
              <w:t> </w:t>
            </w:r>
            <w:r w:rsidRPr="008F4B68">
              <w:rPr>
                <w:color w:val="000000"/>
                <w:sz w:val="19"/>
                <w:szCs w:val="19"/>
                <w:lang w:val="es-ES" w:eastAsia="en-CA"/>
              </w:rPr>
              <w:t>994</w:t>
            </w:r>
            <w:r w:rsidR="004360ED" w:rsidRPr="008F4B68">
              <w:rPr>
                <w:color w:val="000000"/>
                <w:sz w:val="19"/>
                <w:szCs w:val="19"/>
                <w:lang w:val="es-ES" w:eastAsia="en-CA"/>
              </w:rPr>
              <w:t> </w:t>
            </w:r>
            <w:r w:rsidRPr="008F4B68">
              <w:rPr>
                <w:color w:val="000000"/>
                <w:sz w:val="19"/>
                <w:szCs w:val="19"/>
                <w:lang w:val="es-ES" w:eastAsia="en-CA"/>
              </w:rPr>
              <w:t>338</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874</w:t>
            </w:r>
            <w:r w:rsidR="004360ED" w:rsidRPr="008F4B68">
              <w:rPr>
                <w:color w:val="000000"/>
                <w:sz w:val="19"/>
                <w:szCs w:val="19"/>
                <w:lang w:val="es-ES" w:eastAsia="en-CA"/>
              </w:rPr>
              <w:t> </w:t>
            </w:r>
            <w:r w:rsidRPr="008F4B68">
              <w:rPr>
                <w:color w:val="000000"/>
                <w:sz w:val="19"/>
                <w:szCs w:val="19"/>
                <w:lang w:val="es-ES" w:eastAsia="en-CA"/>
              </w:rPr>
              <w:t>989</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w:t>
            </w:r>
            <w:r w:rsidRPr="008F4B68">
              <w:rPr>
                <w:color w:val="000000"/>
                <w:sz w:val="19"/>
                <w:szCs w:val="19"/>
                <w:lang w:val="es-ES" w:eastAsia="en-CA"/>
              </w:rPr>
              <w:t>75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390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43</w:t>
            </w:r>
            <w:r w:rsidR="004360ED" w:rsidRPr="008F4B68">
              <w:rPr>
                <w:color w:val="000000"/>
                <w:sz w:val="19"/>
                <w:szCs w:val="19"/>
                <w:lang w:val="es-ES" w:eastAsia="en-CA"/>
              </w:rPr>
              <w:t> </w:t>
            </w:r>
            <w:r w:rsidRPr="008F4B68">
              <w:rPr>
                <w:color w:val="000000"/>
                <w:sz w:val="19"/>
                <w:szCs w:val="19"/>
                <w:lang w:val="es-ES" w:eastAsia="en-CA"/>
              </w:rPr>
              <w:t>333</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w:t>
            </w:r>
            <w:r w:rsidRPr="008F4B68">
              <w:rPr>
                <w:color w:val="000000"/>
                <w:sz w:val="19"/>
                <w:szCs w:val="19"/>
                <w:lang w:val="es-ES" w:eastAsia="en-CA"/>
              </w:rPr>
              <w:t>90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791</w:t>
            </w:r>
            <w:r w:rsidR="004360ED" w:rsidRPr="008F4B68">
              <w:rPr>
                <w:color w:val="000000"/>
                <w:sz w:val="19"/>
                <w:szCs w:val="19"/>
                <w:lang w:val="es-ES" w:eastAsia="en-CA"/>
              </w:rPr>
              <w:t> </w:t>
            </w:r>
            <w:r w:rsidRPr="008F4B68">
              <w:rPr>
                <w:color w:val="000000"/>
                <w:sz w:val="19"/>
                <w:szCs w:val="19"/>
                <w:lang w:val="es-ES" w:eastAsia="en-CA"/>
              </w:rPr>
              <w:t>210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87</w:t>
            </w:r>
            <w:r w:rsidR="004360ED" w:rsidRPr="008F4B68">
              <w:rPr>
                <w:color w:val="000000"/>
                <w:sz w:val="19"/>
                <w:szCs w:val="19"/>
                <w:lang w:val="es-ES" w:eastAsia="en-CA"/>
              </w:rPr>
              <w:t> </w:t>
            </w:r>
            <w:r w:rsidRPr="008F4B68">
              <w:rPr>
                <w:color w:val="000000"/>
                <w:sz w:val="19"/>
                <w:szCs w:val="19"/>
                <w:lang w:val="es-ES" w:eastAsia="en-CA"/>
              </w:rPr>
              <w:t>912</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t>Jordan</w:t>
            </w:r>
            <w:r w:rsidR="002B0536" w:rsidRPr="008F4B68">
              <w:rPr>
                <w:color w:val="000000"/>
                <w:sz w:val="19"/>
                <w:szCs w:val="19"/>
                <w:lang w:val="es-ES" w:eastAsia="en-CA"/>
              </w:rPr>
              <w:t>ia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 </w:t>
            </w:r>
            <w:r w:rsidRPr="008F4B68">
              <w:rPr>
                <w:color w:val="000000"/>
                <w:sz w:val="19"/>
                <w:szCs w:val="19"/>
                <w:lang w:val="es-ES" w:eastAsia="en-CA"/>
              </w:rPr>
              <w:t>579</w:t>
            </w:r>
            <w:r w:rsidR="004360ED" w:rsidRPr="008F4B68">
              <w:rPr>
                <w:color w:val="000000"/>
                <w:sz w:val="19"/>
                <w:szCs w:val="19"/>
                <w:lang w:val="es-ES" w:eastAsia="en-CA"/>
              </w:rPr>
              <w:t> </w:t>
            </w:r>
            <w:r w:rsidRPr="008F4B68">
              <w:rPr>
                <w:color w:val="000000"/>
                <w:sz w:val="19"/>
                <w:szCs w:val="19"/>
                <w:lang w:val="es-ES" w:eastAsia="en-CA"/>
              </w:rPr>
              <w:t>964</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 </w:t>
            </w:r>
            <w:r w:rsidRPr="008F4B68">
              <w:rPr>
                <w:color w:val="000000"/>
                <w:sz w:val="19"/>
                <w:szCs w:val="19"/>
                <w:lang w:val="es-ES" w:eastAsia="en-CA"/>
              </w:rPr>
              <w:t>329</w:t>
            </w:r>
            <w:r w:rsidR="004360ED" w:rsidRPr="008F4B68">
              <w:rPr>
                <w:color w:val="000000"/>
                <w:sz w:val="19"/>
                <w:szCs w:val="19"/>
                <w:lang w:val="es-ES" w:eastAsia="en-CA"/>
              </w:rPr>
              <w:t> </w:t>
            </w:r>
            <w:r w:rsidRPr="008F4B68">
              <w:rPr>
                <w:color w:val="000000"/>
                <w:sz w:val="19"/>
                <w:szCs w:val="19"/>
                <w:lang w:val="es-ES" w:eastAsia="en-CA"/>
              </w:rPr>
              <w:t>317</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250</w:t>
            </w:r>
            <w:r w:rsidR="004360ED" w:rsidRPr="008F4B68">
              <w:rPr>
                <w:color w:val="000000"/>
                <w:sz w:val="19"/>
                <w:szCs w:val="19"/>
                <w:lang w:val="es-ES" w:eastAsia="en-CA"/>
              </w:rPr>
              <w:t> </w:t>
            </w:r>
            <w:r w:rsidRPr="008F4B68">
              <w:rPr>
                <w:color w:val="000000"/>
                <w:sz w:val="19"/>
                <w:szCs w:val="19"/>
                <w:lang w:val="es-ES" w:eastAsia="en-CA"/>
              </w:rPr>
              <w:t>647</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11</w:t>
            </w:r>
            <w:r w:rsidR="004360ED" w:rsidRPr="008F4B68">
              <w:rPr>
                <w:color w:val="000000"/>
                <w:sz w:val="19"/>
                <w:szCs w:val="19"/>
                <w:lang w:val="es-ES" w:eastAsia="en-CA"/>
              </w:rPr>
              <w:t> </w:t>
            </w:r>
            <w:r w:rsidRPr="008F4B68">
              <w:rPr>
                <w:color w:val="000000"/>
                <w:sz w:val="19"/>
                <w:szCs w:val="19"/>
                <w:lang w:val="es-ES" w:eastAsia="en-CA"/>
              </w:rPr>
              <w:t>111</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w:t>
            </w:r>
            <w:r w:rsidRPr="008F4B68">
              <w:rPr>
                <w:color w:val="000000"/>
                <w:sz w:val="19"/>
                <w:szCs w:val="19"/>
                <w:lang w:val="es-ES" w:eastAsia="en-CA"/>
              </w:rPr>
              <w:t>00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819</w:t>
            </w:r>
            <w:r w:rsidR="004360ED" w:rsidRPr="008F4B68">
              <w:rPr>
                <w:color w:val="000000"/>
                <w:sz w:val="19"/>
                <w:szCs w:val="19"/>
                <w:lang w:val="es-ES" w:eastAsia="en-CA"/>
              </w:rPr>
              <w:t> </w:t>
            </w:r>
            <w:r w:rsidRPr="008F4B68">
              <w:rPr>
                <w:color w:val="000000"/>
                <w:sz w:val="19"/>
                <w:szCs w:val="19"/>
                <w:lang w:val="es-ES" w:eastAsia="en-CA"/>
              </w:rPr>
              <w:t>171</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91</w:t>
            </w:r>
            <w:r w:rsidR="004360ED" w:rsidRPr="008F4B68">
              <w:rPr>
                <w:color w:val="000000"/>
                <w:sz w:val="19"/>
                <w:szCs w:val="19"/>
                <w:lang w:val="es-ES" w:eastAsia="en-CA"/>
              </w:rPr>
              <w:t> </w:t>
            </w:r>
            <w:r w:rsidRPr="008F4B68">
              <w:rPr>
                <w:color w:val="000000"/>
                <w:sz w:val="19"/>
                <w:szCs w:val="19"/>
                <w:lang w:val="es-ES" w:eastAsia="en-CA"/>
              </w:rPr>
              <w:t>019</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Ken</w:t>
            </w:r>
            <w:r w:rsidR="002B0536" w:rsidRPr="008F4B68">
              <w:rPr>
                <w:color w:val="000000"/>
                <w:sz w:val="19"/>
                <w:szCs w:val="19"/>
                <w:lang w:val="es-ES" w:eastAsia="en-CA"/>
              </w:rPr>
              <w:t>i</w:t>
            </w:r>
            <w:r w:rsidRPr="008F4B68">
              <w:rPr>
                <w:color w:val="000000"/>
                <w:sz w:val="19"/>
                <w:szCs w:val="19"/>
                <w:lang w:val="es-ES" w:eastAsia="en-CA"/>
              </w:rPr>
              <w:t>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009</w:t>
            </w:r>
            <w:r w:rsidR="004360ED" w:rsidRPr="008F4B68">
              <w:rPr>
                <w:color w:val="000000"/>
                <w:sz w:val="19"/>
                <w:szCs w:val="19"/>
                <w:lang w:val="es-ES" w:eastAsia="en-CA"/>
              </w:rPr>
              <w:t> </w:t>
            </w:r>
            <w:r w:rsidRPr="008F4B68">
              <w:rPr>
                <w:color w:val="000000"/>
                <w:sz w:val="19"/>
                <w:szCs w:val="19"/>
                <w:lang w:val="es-ES" w:eastAsia="en-CA"/>
              </w:rPr>
              <w:t>000</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900</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109</w:t>
            </w:r>
            <w:r w:rsidR="004360ED" w:rsidRPr="008F4B68">
              <w:rPr>
                <w:color w:val="000000"/>
                <w:sz w:val="19"/>
                <w:szCs w:val="19"/>
                <w:lang w:val="es-ES" w:eastAsia="en-CA"/>
              </w:rPr>
              <w:t> </w:t>
            </w:r>
            <w:r w:rsidRPr="008F4B68">
              <w:rPr>
                <w:color w:val="000000"/>
                <w:sz w:val="19"/>
                <w:szCs w:val="19"/>
                <w:lang w:val="es-ES" w:eastAsia="en-CA"/>
              </w:rPr>
              <w:t>000</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12</w:t>
            </w:r>
            <w:r w:rsidR="004360ED" w:rsidRPr="008F4B68">
              <w:rPr>
                <w:color w:val="000000"/>
                <w:sz w:val="19"/>
                <w:szCs w:val="19"/>
                <w:lang w:val="es-ES" w:eastAsia="en-CA"/>
              </w:rPr>
              <w:t>,</w:t>
            </w:r>
            <w:r w:rsidRPr="008F4B68">
              <w:rPr>
                <w:color w:val="000000"/>
                <w:sz w:val="19"/>
                <w:szCs w:val="19"/>
                <w:lang w:val="es-ES" w:eastAsia="en-CA"/>
              </w:rPr>
              <w:t>11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12</w:t>
            </w:r>
            <w:r w:rsidR="004360ED" w:rsidRPr="008F4B68">
              <w:rPr>
                <w:color w:val="000000"/>
                <w:sz w:val="19"/>
                <w:szCs w:val="19"/>
                <w:lang w:val="es-ES" w:eastAsia="en-CA"/>
              </w:rPr>
              <w:t> </w:t>
            </w:r>
            <w:r w:rsidRPr="008F4B68">
              <w:rPr>
                <w:color w:val="000000"/>
                <w:sz w:val="19"/>
                <w:szCs w:val="19"/>
                <w:lang w:val="es-ES" w:eastAsia="en-CA"/>
              </w:rPr>
              <w:t>857</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r w:rsidR="004360ED" w:rsidRPr="008F4B68">
              <w:rPr>
                <w:color w:val="000000"/>
                <w:sz w:val="19"/>
                <w:szCs w:val="19"/>
                <w:lang w:val="es-ES" w:eastAsia="en-CA"/>
              </w:rPr>
              <w:t>,</w:t>
            </w:r>
            <w:r w:rsidRPr="008F4B68">
              <w:rPr>
                <w:color w:val="000000"/>
                <w:sz w:val="19"/>
                <w:szCs w:val="19"/>
                <w:lang w:val="es-ES" w:eastAsia="en-CA"/>
              </w:rPr>
              <w:t>00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497</w:t>
            </w:r>
            <w:r w:rsidR="004360ED" w:rsidRPr="008F4B68">
              <w:rPr>
                <w:color w:val="000000"/>
                <w:sz w:val="19"/>
                <w:szCs w:val="19"/>
                <w:lang w:val="es-ES" w:eastAsia="en-CA"/>
              </w:rPr>
              <w:t> </w:t>
            </w:r>
            <w:r w:rsidRPr="008F4B68">
              <w:rPr>
                <w:color w:val="000000"/>
                <w:sz w:val="19"/>
                <w:szCs w:val="19"/>
                <w:lang w:val="es-ES" w:eastAsia="en-CA"/>
              </w:rPr>
              <w:t>468</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71</w:t>
            </w:r>
            <w:r w:rsidR="004360ED" w:rsidRPr="008F4B68">
              <w:rPr>
                <w:color w:val="000000"/>
                <w:sz w:val="19"/>
                <w:szCs w:val="19"/>
                <w:lang w:val="es-ES" w:eastAsia="en-CA"/>
              </w:rPr>
              <w:t> </w:t>
            </w:r>
            <w:r w:rsidRPr="008F4B68">
              <w:rPr>
                <w:color w:val="000000"/>
                <w:sz w:val="19"/>
                <w:szCs w:val="19"/>
                <w:lang w:val="es-ES" w:eastAsia="en-CA"/>
              </w:rPr>
              <w:t>067</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L</w:t>
            </w:r>
            <w:r w:rsidR="002B0536" w:rsidRPr="008F4B68">
              <w:rPr>
                <w:color w:val="000000"/>
                <w:sz w:val="19"/>
                <w:szCs w:val="19"/>
                <w:lang w:val="es-ES" w:eastAsia="en-CA"/>
              </w:rPr>
              <w:t>íbano</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682</w:t>
            </w:r>
            <w:r w:rsidR="004360ED" w:rsidRPr="008F4B68">
              <w:rPr>
                <w:color w:val="000000"/>
                <w:sz w:val="19"/>
                <w:szCs w:val="19"/>
                <w:lang w:val="es-ES" w:eastAsia="en-CA"/>
              </w:rPr>
              <w:t> </w:t>
            </w:r>
            <w:r w:rsidRPr="008F4B68">
              <w:rPr>
                <w:color w:val="000000"/>
                <w:sz w:val="19"/>
                <w:szCs w:val="19"/>
                <w:lang w:val="es-ES" w:eastAsia="en-CA"/>
              </w:rPr>
              <w:t>242</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495</w:t>
            </w:r>
            <w:r w:rsidR="004360ED" w:rsidRPr="008F4B68">
              <w:rPr>
                <w:color w:val="000000"/>
                <w:sz w:val="19"/>
                <w:szCs w:val="19"/>
                <w:lang w:val="es-ES" w:eastAsia="en-CA"/>
              </w:rPr>
              <w:t> </w:t>
            </w:r>
            <w:r w:rsidRPr="008F4B68">
              <w:rPr>
                <w:color w:val="000000"/>
                <w:sz w:val="19"/>
                <w:szCs w:val="19"/>
                <w:lang w:val="es-ES" w:eastAsia="en-CA"/>
              </w:rPr>
              <w:t>109</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187</w:t>
            </w:r>
            <w:r w:rsidR="004360ED" w:rsidRPr="008F4B68">
              <w:rPr>
                <w:color w:val="000000"/>
                <w:sz w:val="19"/>
                <w:szCs w:val="19"/>
                <w:lang w:val="es-ES" w:eastAsia="en-CA"/>
              </w:rPr>
              <w:t> </w:t>
            </w:r>
            <w:r w:rsidRPr="008F4B68">
              <w:rPr>
                <w:color w:val="000000"/>
                <w:sz w:val="19"/>
                <w:szCs w:val="19"/>
                <w:lang w:val="es-ES" w:eastAsia="en-CA"/>
              </w:rPr>
              <w:t>133</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232</w:t>
            </w:r>
            <w:r w:rsidR="004360ED" w:rsidRPr="008F4B68">
              <w:rPr>
                <w:color w:val="000000"/>
                <w:sz w:val="19"/>
                <w:szCs w:val="19"/>
                <w:lang w:val="es-ES" w:eastAsia="en-CA"/>
              </w:rPr>
              <w:t> </w:t>
            </w:r>
            <w:r w:rsidRPr="008F4B68">
              <w:rPr>
                <w:color w:val="000000"/>
                <w:sz w:val="19"/>
                <w:szCs w:val="19"/>
                <w:lang w:val="es-ES" w:eastAsia="en-CA"/>
              </w:rPr>
              <w:t>300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29</w:t>
            </w:r>
            <w:r w:rsidR="004360ED" w:rsidRPr="008F4B68">
              <w:rPr>
                <w:color w:val="000000"/>
                <w:sz w:val="19"/>
                <w:szCs w:val="19"/>
                <w:lang w:val="es-ES" w:eastAsia="en-CA"/>
              </w:rPr>
              <w:t> </w:t>
            </w:r>
            <w:r w:rsidRPr="008F4B68">
              <w:rPr>
                <w:color w:val="000000"/>
                <w:sz w:val="19"/>
                <w:szCs w:val="19"/>
                <w:lang w:val="es-ES" w:eastAsia="en-CA"/>
              </w:rPr>
              <w:t>038</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r w:rsidR="004360ED" w:rsidRPr="008F4B68">
              <w:rPr>
                <w:color w:val="000000"/>
                <w:sz w:val="19"/>
                <w:szCs w:val="19"/>
                <w:lang w:val="es-ES" w:eastAsia="en-CA"/>
              </w:rPr>
              <w:t>,</w:t>
            </w:r>
            <w:r w:rsidRPr="008F4B68">
              <w:rPr>
                <w:color w:val="000000"/>
                <w:sz w:val="19"/>
                <w:szCs w:val="19"/>
                <w:lang w:val="es-ES" w:eastAsia="en-CA"/>
              </w:rPr>
              <w:t>31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707</w:t>
            </w:r>
            <w:r w:rsidR="004360ED" w:rsidRPr="008F4B68">
              <w:rPr>
                <w:color w:val="000000"/>
                <w:sz w:val="19"/>
                <w:szCs w:val="19"/>
                <w:lang w:val="es-ES" w:eastAsia="en-CA"/>
              </w:rPr>
              <w:t> </w:t>
            </w:r>
            <w:r w:rsidRPr="008F4B68">
              <w:rPr>
                <w:color w:val="000000"/>
                <w:sz w:val="19"/>
                <w:szCs w:val="19"/>
                <w:lang w:val="es-ES" w:eastAsia="en-CA"/>
              </w:rPr>
              <w:t>210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88</w:t>
            </w:r>
            <w:r w:rsidR="004360ED" w:rsidRPr="008F4B68">
              <w:rPr>
                <w:color w:val="000000"/>
                <w:sz w:val="19"/>
                <w:szCs w:val="19"/>
                <w:lang w:val="es-ES" w:eastAsia="en-CA"/>
              </w:rPr>
              <w:t> </w:t>
            </w:r>
            <w:r w:rsidRPr="008F4B68">
              <w:rPr>
                <w:color w:val="000000"/>
                <w:sz w:val="19"/>
                <w:szCs w:val="19"/>
                <w:lang w:val="es-ES" w:eastAsia="en-CA"/>
              </w:rPr>
              <w:t>401</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1148A7" w:rsidP="002B0536">
            <w:pPr>
              <w:rPr>
                <w:sz w:val="19"/>
                <w:szCs w:val="19"/>
                <w:lang w:val="es-ES"/>
              </w:rPr>
            </w:pPr>
            <w:r w:rsidRPr="008F4B68">
              <w:rPr>
                <w:sz w:val="19"/>
                <w:szCs w:val="19"/>
                <w:lang w:val="es-ES"/>
              </w:rPr>
              <w:t>Lib</w:t>
            </w:r>
            <w:r w:rsidR="002B0536" w:rsidRPr="008F4B68">
              <w:rPr>
                <w:sz w:val="19"/>
                <w:szCs w:val="19"/>
                <w:lang w:val="es-ES"/>
              </w:rPr>
              <w:t>i</w:t>
            </w:r>
            <w:r w:rsidRPr="008F4B68">
              <w:rPr>
                <w:sz w:val="19"/>
                <w:szCs w:val="19"/>
                <w:lang w:val="es-ES"/>
              </w:rPr>
              <w:t>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5</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2</w:t>
            </w:r>
            <w:r w:rsidR="004360ED" w:rsidRPr="008F4B68">
              <w:rPr>
                <w:sz w:val="19"/>
                <w:szCs w:val="19"/>
                <w:lang w:val="es-ES"/>
              </w:rPr>
              <w:t> </w:t>
            </w:r>
            <w:r w:rsidRPr="008F4B68">
              <w:rPr>
                <w:sz w:val="19"/>
                <w:szCs w:val="19"/>
                <w:lang w:val="es-ES"/>
              </w:rPr>
              <w:t>042</w:t>
            </w:r>
            <w:r w:rsidR="004360ED" w:rsidRPr="008F4B68">
              <w:rPr>
                <w:sz w:val="19"/>
                <w:szCs w:val="19"/>
                <w:lang w:val="es-ES"/>
              </w:rPr>
              <w:t> </w:t>
            </w:r>
            <w:r w:rsidRPr="008F4B68">
              <w:rPr>
                <w:sz w:val="19"/>
                <w:szCs w:val="19"/>
                <w:lang w:val="es-ES"/>
              </w:rPr>
              <w:t>462</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1</w:t>
            </w:r>
            <w:r w:rsidR="004360ED" w:rsidRPr="008F4B68">
              <w:rPr>
                <w:sz w:val="19"/>
                <w:szCs w:val="19"/>
                <w:lang w:val="es-ES"/>
              </w:rPr>
              <w:t> </w:t>
            </w:r>
            <w:r w:rsidRPr="008F4B68">
              <w:rPr>
                <w:sz w:val="19"/>
                <w:szCs w:val="19"/>
                <w:lang w:val="es-ES"/>
              </w:rPr>
              <w:t>908</w:t>
            </w:r>
            <w:r w:rsidR="004360ED" w:rsidRPr="008F4B68">
              <w:rPr>
                <w:sz w:val="19"/>
                <w:szCs w:val="19"/>
                <w:lang w:val="es-ES"/>
              </w:rPr>
              <w:t> </w:t>
            </w:r>
            <w:r w:rsidRPr="008F4B68">
              <w:rPr>
                <w:sz w:val="19"/>
                <w:szCs w:val="19"/>
                <w:lang w:val="es-ES"/>
              </w:rPr>
              <w:t>843</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133</w:t>
            </w:r>
            <w:r w:rsidR="004360ED" w:rsidRPr="008F4B68">
              <w:rPr>
                <w:sz w:val="19"/>
                <w:szCs w:val="19"/>
                <w:lang w:val="es-ES"/>
              </w:rPr>
              <w:t> </w:t>
            </w:r>
            <w:r w:rsidRPr="008F4B68">
              <w:rPr>
                <w:sz w:val="19"/>
                <w:szCs w:val="19"/>
                <w:lang w:val="es-ES"/>
              </w:rPr>
              <w:t>619</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7</w:t>
            </w:r>
            <w:r w:rsidR="004360ED" w:rsidRPr="008F4B68">
              <w:rPr>
                <w:sz w:val="19"/>
                <w:szCs w:val="19"/>
                <w:lang w:val="es-ES"/>
              </w:rPr>
              <w:t>,</w:t>
            </w:r>
            <w:r w:rsidRPr="008F4B68">
              <w:rPr>
                <w:sz w:val="19"/>
                <w:szCs w:val="19"/>
                <w:lang w:val="es-ES"/>
              </w:rPr>
              <w:t>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4</w:t>
            </w:r>
            <w:r w:rsidR="004360ED" w:rsidRPr="008F4B68">
              <w:rPr>
                <w:sz w:val="19"/>
                <w:szCs w:val="19"/>
                <w:lang w:val="es-ES"/>
              </w:rPr>
              <w:t> </w:t>
            </w:r>
            <w:r w:rsidRPr="008F4B68">
              <w:rPr>
                <w:sz w:val="19"/>
                <w:szCs w:val="19"/>
                <w:lang w:val="es-ES"/>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800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0</w:t>
            </w:r>
            <w:r w:rsidR="004360ED" w:rsidRPr="008F4B68">
              <w:rPr>
                <w:sz w:val="19"/>
                <w:szCs w:val="19"/>
                <w:lang w:val="es-ES"/>
              </w:rPr>
              <w:t>,</w:t>
            </w:r>
            <w:r w:rsidRPr="008F4B68">
              <w:rPr>
                <w:sz w:val="19"/>
                <w:szCs w:val="19"/>
                <w:lang w:val="es-ES"/>
              </w:rPr>
              <w:t>21</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329</w:t>
            </w:r>
            <w:r w:rsidR="004360ED" w:rsidRPr="008F4B68">
              <w:rPr>
                <w:sz w:val="19"/>
                <w:szCs w:val="19"/>
                <w:lang w:val="es-ES"/>
              </w:rPr>
              <w:t> </w:t>
            </w:r>
            <w:r w:rsidRPr="008F4B68">
              <w:rPr>
                <w:sz w:val="19"/>
                <w:szCs w:val="19"/>
                <w:lang w:val="es-ES"/>
              </w:rPr>
              <w:t>279</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1148A7" w:rsidRPr="008F4B68" w:rsidRDefault="001148A7" w:rsidP="00CF2D8C">
            <w:pPr>
              <w:jc w:val="right"/>
              <w:rPr>
                <w:sz w:val="19"/>
                <w:szCs w:val="19"/>
                <w:lang w:val="es-ES"/>
              </w:rPr>
            </w:pPr>
            <w:r w:rsidRPr="008F4B68">
              <w:rPr>
                <w:sz w:val="19"/>
                <w:szCs w:val="19"/>
                <w:lang w:val="es-ES"/>
              </w:rPr>
              <w:t>65</w:t>
            </w:r>
            <w:r w:rsidR="004360ED" w:rsidRPr="008F4B68">
              <w:rPr>
                <w:sz w:val="19"/>
                <w:szCs w:val="19"/>
                <w:lang w:val="es-ES"/>
              </w:rPr>
              <w:t> </w:t>
            </w:r>
            <w:r w:rsidRPr="008F4B68">
              <w:rPr>
                <w:sz w:val="19"/>
                <w:szCs w:val="19"/>
                <w:lang w:val="es-ES"/>
              </w:rPr>
              <w:t>856</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Malasia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r w:rsidR="004360ED" w:rsidRPr="008F4B68">
              <w:rPr>
                <w:color w:val="000000"/>
                <w:sz w:val="19"/>
                <w:szCs w:val="19"/>
                <w:lang w:val="es-ES" w:eastAsia="en-CA"/>
              </w:rPr>
              <w:t> </w:t>
            </w:r>
            <w:r w:rsidRPr="008F4B68">
              <w:rPr>
                <w:color w:val="000000"/>
                <w:sz w:val="19"/>
                <w:szCs w:val="19"/>
                <w:lang w:val="es-ES" w:eastAsia="en-CA"/>
              </w:rPr>
              <w:t>306</w:t>
            </w:r>
            <w:r w:rsidR="004360ED" w:rsidRPr="008F4B68">
              <w:rPr>
                <w:color w:val="000000"/>
                <w:sz w:val="19"/>
                <w:szCs w:val="19"/>
                <w:lang w:val="es-ES" w:eastAsia="en-CA"/>
              </w:rPr>
              <w:t> </w:t>
            </w:r>
            <w:r w:rsidRPr="008F4B68">
              <w:rPr>
                <w:color w:val="000000"/>
                <w:sz w:val="19"/>
                <w:szCs w:val="19"/>
                <w:lang w:val="es-ES" w:eastAsia="en-CA"/>
              </w:rPr>
              <w:t>530</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r w:rsidR="004360ED" w:rsidRPr="008F4B68">
              <w:rPr>
                <w:color w:val="000000"/>
                <w:sz w:val="19"/>
                <w:szCs w:val="19"/>
                <w:lang w:val="es-ES" w:eastAsia="en-CA"/>
              </w:rPr>
              <w:t> </w:t>
            </w:r>
            <w:r w:rsidRPr="008F4B68">
              <w:rPr>
                <w:color w:val="000000"/>
                <w:sz w:val="19"/>
                <w:szCs w:val="19"/>
                <w:lang w:val="es-ES" w:eastAsia="en-CA"/>
              </w:rPr>
              <w:t>587</w:t>
            </w:r>
            <w:r w:rsidR="004360ED" w:rsidRPr="008F4B68">
              <w:rPr>
                <w:color w:val="000000"/>
                <w:sz w:val="19"/>
                <w:szCs w:val="19"/>
                <w:lang w:val="es-ES" w:eastAsia="en-CA"/>
              </w:rPr>
              <w:t> </w:t>
            </w:r>
            <w:r w:rsidRPr="008F4B68">
              <w:rPr>
                <w:color w:val="000000"/>
                <w:sz w:val="19"/>
                <w:szCs w:val="19"/>
                <w:lang w:val="es-ES" w:eastAsia="en-CA"/>
              </w:rPr>
              <w:t>470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719</w:t>
            </w:r>
            <w:r w:rsidR="004360ED" w:rsidRPr="008F4B68">
              <w:rPr>
                <w:color w:val="000000"/>
                <w:sz w:val="19"/>
                <w:szCs w:val="19"/>
                <w:lang w:val="es-ES" w:eastAsia="en-CA"/>
              </w:rPr>
              <w:t> </w:t>
            </w:r>
            <w:r w:rsidRPr="008F4B68">
              <w:rPr>
                <w:color w:val="000000"/>
                <w:sz w:val="19"/>
                <w:szCs w:val="19"/>
                <w:lang w:val="es-ES" w:eastAsia="en-CA"/>
              </w:rPr>
              <w:t>060</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600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85</w:t>
            </w:r>
            <w:r w:rsidR="004360ED" w:rsidRPr="008F4B68">
              <w:rPr>
                <w:color w:val="000000"/>
                <w:sz w:val="19"/>
                <w:szCs w:val="19"/>
                <w:lang w:val="es-ES" w:eastAsia="en-CA"/>
              </w:rPr>
              <w:t> </w:t>
            </w:r>
            <w:r w:rsidRPr="008F4B68">
              <w:rPr>
                <w:color w:val="000000"/>
                <w:sz w:val="19"/>
                <w:szCs w:val="19"/>
                <w:lang w:val="es-ES" w:eastAsia="en-CA"/>
              </w:rPr>
              <w:t>714</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w:t>
            </w:r>
            <w:r w:rsidRPr="008F4B68">
              <w:rPr>
                <w:color w:val="000000"/>
                <w:sz w:val="19"/>
                <w:szCs w:val="19"/>
                <w:lang w:val="es-ES" w:eastAsia="en-CA"/>
              </w:rPr>
              <w:t>26</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274</w:t>
            </w:r>
            <w:r w:rsidR="004360ED" w:rsidRPr="008F4B68">
              <w:rPr>
                <w:color w:val="000000"/>
                <w:sz w:val="19"/>
                <w:szCs w:val="19"/>
                <w:lang w:val="es-ES" w:eastAsia="en-CA"/>
              </w:rPr>
              <w:t> </w:t>
            </w:r>
            <w:r w:rsidRPr="008F4B68">
              <w:rPr>
                <w:color w:val="000000"/>
                <w:sz w:val="19"/>
                <w:szCs w:val="19"/>
                <w:lang w:val="es-ES" w:eastAsia="en-CA"/>
              </w:rPr>
              <w:t>520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182</w:t>
            </w:r>
            <w:r w:rsidR="004360ED" w:rsidRPr="008F4B68">
              <w:rPr>
                <w:color w:val="000000"/>
                <w:sz w:val="19"/>
                <w:szCs w:val="19"/>
                <w:lang w:val="es-ES" w:eastAsia="en-CA"/>
              </w:rPr>
              <w:t> </w:t>
            </w:r>
            <w:r w:rsidRPr="008F4B68">
              <w:rPr>
                <w:color w:val="000000"/>
                <w:sz w:val="19"/>
                <w:szCs w:val="19"/>
                <w:lang w:val="es-ES" w:eastAsia="en-CA"/>
              </w:rPr>
              <w:t>074</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M</w:t>
            </w:r>
            <w:r w:rsidR="002B0536" w:rsidRPr="008F4B68">
              <w:rPr>
                <w:color w:val="000000"/>
                <w:sz w:val="19"/>
                <w:szCs w:val="19"/>
                <w:lang w:val="es-ES" w:eastAsia="en-CA"/>
              </w:rPr>
              <w:t>é</w:t>
            </w:r>
            <w:r w:rsidRPr="008F4B68">
              <w:rPr>
                <w:color w:val="000000"/>
                <w:sz w:val="19"/>
                <w:szCs w:val="19"/>
                <w:lang w:val="es-ES" w:eastAsia="en-CA"/>
              </w:rPr>
              <w:t>xico</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19</w:t>
            </w:r>
            <w:r w:rsidR="004360ED" w:rsidRPr="008F4B68">
              <w:rPr>
                <w:color w:val="000000"/>
                <w:sz w:val="19"/>
                <w:szCs w:val="19"/>
                <w:lang w:val="es-ES" w:eastAsia="en-CA"/>
              </w:rPr>
              <w:t> </w:t>
            </w:r>
            <w:r w:rsidRPr="008F4B68">
              <w:rPr>
                <w:color w:val="000000"/>
                <w:sz w:val="19"/>
                <w:szCs w:val="19"/>
                <w:lang w:val="es-ES" w:eastAsia="en-CA"/>
              </w:rPr>
              <w:t>421</w:t>
            </w:r>
            <w:r w:rsidR="004360ED" w:rsidRPr="008F4B68">
              <w:rPr>
                <w:color w:val="000000"/>
                <w:sz w:val="19"/>
                <w:szCs w:val="19"/>
                <w:lang w:val="es-ES" w:eastAsia="en-CA"/>
              </w:rPr>
              <w:t> </w:t>
            </w:r>
            <w:r w:rsidRPr="008F4B68">
              <w:rPr>
                <w:color w:val="000000"/>
                <w:sz w:val="19"/>
                <w:szCs w:val="19"/>
                <w:lang w:val="es-ES" w:eastAsia="en-CA"/>
              </w:rPr>
              <w:t>177</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18</w:t>
            </w:r>
            <w:r w:rsidR="004360ED" w:rsidRPr="008F4B68">
              <w:rPr>
                <w:color w:val="000000"/>
                <w:sz w:val="19"/>
                <w:szCs w:val="19"/>
                <w:lang w:val="es-ES" w:eastAsia="en-CA"/>
              </w:rPr>
              <w:t> </w:t>
            </w:r>
            <w:r w:rsidRPr="008F4B68">
              <w:rPr>
                <w:color w:val="000000"/>
                <w:sz w:val="19"/>
                <w:szCs w:val="19"/>
                <w:lang w:val="es-ES" w:eastAsia="en-CA"/>
              </w:rPr>
              <w:t>066</w:t>
            </w:r>
            <w:r w:rsidR="004360ED" w:rsidRPr="008F4B68">
              <w:rPr>
                <w:color w:val="000000"/>
                <w:sz w:val="19"/>
                <w:szCs w:val="19"/>
                <w:lang w:val="es-ES" w:eastAsia="en-CA"/>
              </w:rPr>
              <w:t> </w:t>
            </w:r>
            <w:r w:rsidRPr="008F4B68">
              <w:rPr>
                <w:color w:val="000000"/>
                <w:sz w:val="19"/>
                <w:szCs w:val="19"/>
                <w:lang w:val="es-ES" w:eastAsia="en-CA"/>
              </w:rPr>
              <w:t>211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354</w:t>
            </w:r>
            <w:r w:rsidR="004360ED" w:rsidRPr="008F4B68">
              <w:rPr>
                <w:color w:val="000000"/>
                <w:sz w:val="19"/>
                <w:szCs w:val="19"/>
                <w:lang w:val="es-ES" w:eastAsia="en-CA"/>
              </w:rPr>
              <w:t> </w:t>
            </w:r>
            <w:r w:rsidRPr="008F4B68">
              <w:rPr>
                <w:color w:val="000000"/>
                <w:sz w:val="19"/>
                <w:szCs w:val="19"/>
                <w:lang w:val="es-ES" w:eastAsia="en-CA"/>
              </w:rPr>
              <w:t>966</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242</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22</w:t>
            </w:r>
            <w:r w:rsidR="004360ED" w:rsidRPr="008F4B68">
              <w:rPr>
                <w:color w:val="000000"/>
                <w:sz w:val="19"/>
                <w:szCs w:val="19"/>
                <w:lang w:val="es-ES" w:eastAsia="en-CA"/>
              </w:rPr>
              <w:t> </w:t>
            </w:r>
            <w:r w:rsidRPr="008F4B68">
              <w:rPr>
                <w:color w:val="000000"/>
                <w:sz w:val="19"/>
                <w:szCs w:val="19"/>
                <w:lang w:val="es-ES" w:eastAsia="en-CA"/>
              </w:rPr>
              <w:t>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w:t>
            </w:r>
            <w:r w:rsidRPr="008F4B68">
              <w:rPr>
                <w:color w:val="000000"/>
                <w:sz w:val="19"/>
                <w:szCs w:val="19"/>
                <w:lang w:val="es-ES" w:eastAsia="en-CA"/>
              </w:rPr>
              <w:t>34</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558</w:t>
            </w:r>
            <w:r w:rsidR="004360ED" w:rsidRPr="008F4B68">
              <w:rPr>
                <w:color w:val="000000"/>
                <w:sz w:val="19"/>
                <w:szCs w:val="19"/>
                <w:lang w:val="es-ES" w:eastAsia="en-CA"/>
              </w:rPr>
              <w:t> </w:t>
            </w:r>
            <w:r w:rsidRPr="008F4B68">
              <w:rPr>
                <w:color w:val="000000"/>
                <w:sz w:val="19"/>
                <w:szCs w:val="19"/>
                <w:lang w:val="es-ES" w:eastAsia="en-CA"/>
              </w:rPr>
              <w:t>570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141</w:t>
            </w:r>
            <w:r w:rsidR="004360ED" w:rsidRPr="008F4B68">
              <w:rPr>
                <w:color w:val="000000"/>
                <w:sz w:val="19"/>
                <w:szCs w:val="19"/>
                <w:lang w:val="es-ES" w:eastAsia="en-CA"/>
              </w:rPr>
              <w:t> </w:t>
            </w:r>
            <w:r w:rsidRPr="008F4B68">
              <w:rPr>
                <w:color w:val="000000"/>
                <w:sz w:val="19"/>
                <w:szCs w:val="19"/>
                <w:lang w:val="es-ES" w:eastAsia="en-CA"/>
              </w:rPr>
              <w:t>688</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M</w:t>
            </w:r>
            <w:r w:rsidR="002B0536" w:rsidRPr="008F4B68">
              <w:rPr>
                <w:color w:val="000000"/>
                <w:sz w:val="19"/>
                <w:szCs w:val="19"/>
                <w:lang w:val="es-ES" w:eastAsia="en-CA"/>
              </w:rPr>
              <w:t>arruecos</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383</w:t>
            </w:r>
            <w:r w:rsidR="004360ED" w:rsidRPr="008F4B68">
              <w:rPr>
                <w:color w:val="000000"/>
                <w:sz w:val="19"/>
                <w:szCs w:val="19"/>
                <w:lang w:val="es-ES" w:eastAsia="en-CA"/>
              </w:rPr>
              <w:t> </w:t>
            </w:r>
            <w:r w:rsidRPr="008F4B68">
              <w:rPr>
                <w:color w:val="000000"/>
                <w:sz w:val="19"/>
                <w:szCs w:val="19"/>
                <w:lang w:val="es-ES" w:eastAsia="en-CA"/>
              </w:rPr>
              <w:t>246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286</w:t>
            </w:r>
            <w:r w:rsidR="004360ED" w:rsidRPr="008F4B68">
              <w:rPr>
                <w:color w:val="000000"/>
                <w:sz w:val="19"/>
                <w:szCs w:val="19"/>
                <w:lang w:val="es-ES" w:eastAsia="en-CA"/>
              </w:rPr>
              <w:t> </w:t>
            </w:r>
            <w:r w:rsidRPr="008F4B68">
              <w:rPr>
                <w:color w:val="000000"/>
                <w:sz w:val="19"/>
                <w:szCs w:val="19"/>
                <w:lang w:val="es-ES" w:eastAsia="en-CA"/>
              </w:rPr>
              <w:t>740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96</w:t>
            </w:r>
            <w:r w:rsidR="004360ED" w:rsidRPr="008F4B68">
              <w:rPr>
                <w:color w:val="000000"/>
                <w:sz w:val="19"/>
                <w:szCs w:val="19"/>
                <w:lang w:val="es-ES" w:eastAsia="en-CA"/>
              </w:rPr>
              <w:t> </w:t>
            </w:r>
            <w:r w:rsidRPr="008F4B68">
              <w:rPr>
                <w:color w:val="000000"/>
                <w:sz w:val="19"/>
                <w:szCs w:val="19"/>
                <w:lang w:val="es-ES" w:eastAsia="en-CA"/>
              </w:rPr>
              <w:t>506</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 </w:t>
            </w:r>
            <w:r w:rsidRPr="008F4B68">
              <w:rPr>
                <w:color w:val="000000"/>
                <w:sz w:val="19"/>
                <w:szCs w:val="19"/>
                <w:lang w:val="es-ES" w:eastAsia="en-CA"/>
              </w:rPr>
              <w:t>889</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w:t>
            </w:r>
            <w:r w:rsidRPr="008F4B68">
              <w:rPr>
                <w:color w:val="000000"/>
                <w:sz w:val="19"/>
                <w:szCs w:val="19"/>
                <w:lang w:val="es-ES" w:eastAsia="en-CA"/>
              </w:rPr>
              <w:t>22</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0</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t>Nigeria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 </w:t>
            </w:r>
            <w:r w:rsidRPr="008F4B68">
              <w:rPr>
                <w:color w:val="000000"/>
                <w:sz w:val="19"/>
                <w:szCs w:val="19"/>
                <w:lang w:val="es-ES" w:eastAsia="en-CA"/>
              </w:rPr>
              <w:t>309</w:t>
            </w:r>
            <w:r w:rsidR="004360ED" w:rsidRPr="008F4B68">
              <w:rPr>
                <w:color w:val="000000"/>
                <w:sz w:val="19"/>
                <w:szCs w:val="19"/>
                <w:lang w:val="es-ES" w:eastAsia="en-CA"/>
              </w:rPr>
              <w:t> </w:t>
            </w:r>
            <w:r w:rsidRPr="008F4B68">
              <w:rPr>
                <w:color w:val="000000"/>
                <w:sz w:val="19"/>
                <w:szCs w:val="19"/>
                <w:lang w:val="es-ES" w:eastAsia="en-CA"/>
              </w:rPr>
              <w:t>242</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w:t>
            </w:r>
            <w:r w:rsidR="004360ED" w:rsidRPr="008F4B68">
              <w:rPr>
                <w:color w:val="000000"/>
                <w:sz w:val="19"/>
                <w:szCs w:val="19"/>
                <w:lang w:val="es-ES" w:eastAsia="en-CA"/>
              </w:rPr>
              <w:t> </w:t>
            </w:r>
            <w:r w:rsidRPr="008F4B68">
              <w:rPr>
                <w:color w:val="000000"/>
                <w:sz w:val="19"/>
                <w:szCs w:val="19"/>
                <w:lang w:val="es-ES" w:eastAsia="en-CA"/>
              </w:rPr>
              <w:t>938</w:t>
            </w:r>
            <w:r w:rsidR="004360ED" w:rsidRPr="008F4B68">
              <w:rPr>
                <w:color w:val="000000"/>
                <w:sz w:val="19"/>
                <w:szCs w:val="19"/>
                <w:lang w:val="es-ES" w:eastAsia="en-CA"/>
              </w:rPr>
              <w:t> </w:t>
            </w:r>
            <w:r w:rsidRPr="008F4B68">
              <w:rPr>
                <w:color w:val="000000"/>
                <w:sz w:val="19"/>
                <w:szCs w:val="19"/>
                <w:lang w:val="es-ES" w:eastAsia="en-CA"/>
              </w:rPr>
              <w:t>830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370</w:t>
            </w:r>
            <w:r w:rsidR="004360ED" w:rsidRPr="008F4B68">
              <w:rPr>
                <w:color w:val="000000"/>
                <w:sz w:val="19"/>
                <w:szCs w:val="19"/>
                <w:lang w:val="es-ES" w:eastAsia="en-CA"/>
              </w:rPr>
              <w:t> </w:t>
            </w:r>
            <w:r w:rsidRPr="008F4B68">
              <w:rPr>
                <w:color w:val="000000"/>
                <w:sz w:val="19"/>
                <w:szCs w:val="19"/>
                <w:lang w:val="es-ES" w:eastAsia="en-CA"/>
              </w:rPr>
              <w:t>412</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356</w:t>
            </w:r>
            <w:r w:rsidR="004360ED" w:rsidRPr="008F4B68">
              <w:rPr>
                <w:color w:val="000000"/>
                <w:sz w:val="19"/>
                <w:szCs w:val="19"/>
                <w:lang w:val="es-ES" w:eastAsia="en-CA"/>
              </w:rPr>
              <w:t> </w:t>
            </w:r>
            <w:r w:rsidRPr="008F4B68">
              <w:rPr>
                <w:color w:val="000000"/>
                <w:sz w:val="19"/>
                <w:szCs w:val="19"/>
                <w:lang w:val="es-ES" w:eastAsia="en-CA"/>
              </w:rPr>
              <w:t>634</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50</w:t>
            </w:r>
            <w:r w:rsidR="004360ED" w:rsidRPr="008F4B68">
              <w:rPr>
                <w:color w:val="000000"/>
                <w:sz w:val="19"/>
                <w:szCs w:val="19"/>
                <w:lang w:val="es-ES" w:eastAsia="en-CA"/>
              </w:rPr>
              <w:t> </w:t>
            </w:r>
            <w:r w:rsidRPr="008F4B68">
              <w:rPr>
                <w:color w:val="000000"/>
                <w:sz w:val="19"/>
                <w:szCs w:val="19"/>
                <w:lang w:val="es-ES" w:eastAsia="en-CA"/>
              </w:rPr>
              <w:t>948</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22</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445</w:t>
            </w:r>
            <w:r w:rsidR="004360ED" w:rsidRPr="008F4B68">
              <w:rPr>
                <w:color w:val="000000"/>
                <w:sz w:val="19"/>
                <w:szCs w:val="19"/>
                <w:lang w:val="es-ES" w:eastAsia="en-CA"/>
              </w:rPr>
              <w:t> </w:t>
            </w:r>
            <w:r w:rsidRPr="008F4B68">
              <w:rPr>
                <w:color w:val="000000"/>
                <w:sz w:val="19"/>
                <w:szCs w:val="19"/>
                <w:lang w:val="es-ES" w:eastAsia="en-CA"/>
              </w:rPr>
              <w:t>600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206</w:t>
            </w:r>
            <w:r w:rsidR="004360ED" w:rsidRPr="008F4B68">
              <w:rPr>
                <w:color w:val="000000"/>
                <w:sz w:val="19"/>
                <w:szCs w:val="19"/>
                <w:lang w:val="es-ES" w:eastAsia="en-CA"/>
              </w:rPr>
              <w:t> </w:t>
            </w:r>
            <w:r w:rsidRPr="008F4B68">
              <w:rPr>
                <w:color w:val="000000"/>
                <w:sz w:val="19"/>
                <w:szCs w:val="19"/>
                <w:lang w:val="es-ES" w:eastAsia="en-CA"/>
              </w:rPr>
              <w:t>514</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Pa</w:t>
            </w:r>
            <w:r w:rsidR="002B0536" w:rsidRPr="008F4B68">
              <w:rPr>
                <w:color w:val="000000"/>
                <w:sz w:val="19"/>
                <w:szCs w:val="19"/>
                <w:lang w:val="es-ES" w:eastAsia="en-CA"/>
              </w:rPr>
              <w:t>quistán</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 </w:t>
            </w:r>
            <w:r w:rsidRPr="008F4B68">
              <w:rPr>
                <w:color w:val="000000"/>
                <w:sz w:val="19"/>
                <w:szCs w:val="19"/>
                <w:lang w:val="es-ES" w:eastAsia="en-CA"/>
              </w:rPr>
              <w:t>881</w:t>
            </w:r>
            <w:r w:rsidR="004360ED" w:rsidRPr="008F4B68">
              <w:rPr>
                <w:color w:val="000000"/>
                <w:sz w:val="19"/>
                <w:szCs w:val="19"/>
                <w:lang w:val="es-ES" w:eastAsia="en-CA"/>
              </w:rPr>
              <w:t> </w:t>
            </w:r>
            <w:r w:rsidRPr="008F4B68">
              <w:rPr>
                <w:color w:val="000000"/>
                <w:sz w:val="19"/>
                <w:szCs w:val="19"/>
                <w:lang w:val="es-ES" w:eastAsia="en-CA"/>
              </w:rPr>
              <w:t>713</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 </w:t>
            </w:r>
            <w:r w:rsidRPr="008F4B68">
              <w:rPr>
                <w:color w:val="000000"/>
                <w:sz w:val="19"/>
                <w:szCs w:val="19"/>
                <w:lang w:val="es-ES" w:eastAsia="en-CA"/>
              </w:rPr>
              <w:t>448</w:t>
            </w:r>
            <w:r w:rsidR="004360ED" w:rsidRPr="008F4B68">
              <w:rPr>
                <w:color w:val="000000"/>
                <w:sz w:val="19"/>
                <w:szCs w:val="19"/>
                <w:lang w:val="es-ES" w:eastAsia="en-CA"/>
              </w:rPr>
              <w:t> </w:t>
            </w:r>
            <w:r w:rsidRPr="008F4B68">
              <w:rPr>
                <w:color w:val="000000"/>
                <w:sz w:val="19"/>
                <w:szCs w:val="19"/>
                <w:lang w:val="es-ES" w:eastAsia="en-CA"/>
              </w:rPr>
              <w:t>849</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432</w:t>
            </w:r>
            <w:r w:rsidR="004360ED" w:rsidRPr="008F4B68">
              <w:rPr>
                <w:color w:val="000000"/>
                <w:sz w:val="19"/>
                <w:szCs w:val="19"/>
                <w:lang w:val="es-ES" w:eastAsia="en-CA"/>
              </w:rPr>
              <w:t> </w:t>
            </w:r>
            <w:r w:rsidRPr="008F4B68">
              <w:rPr>
                <w:color w:val="000000"/>
                <w:sz w:val="19"/>
                <w:szCs w:val="19"/>
                <w:lang w:val="es-ES" w:eastAsia="en-CA"/>
              </w:rPr>
              <w:t>864</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94</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248</w:t>
            </w:r>
            <w:r w:rsidR="004360ED" w:rsidRPr="008F4B68">
              <w:rPr>
                <w:color w:val="000000"/>
                <w:sz w:val="19"/>
                <w:szCs w:val="19"/>
                <w:lang w:val="es-ES" w:eastAsia="en-CA"/>
              </w:rPr>
              <w:t> </w:t>
            </w:r>
            <w:r w:rsidRPr="008F4B68">
              <w:rPr>
                <w:color w:val="000000"/>
                <w:sz w:val="19"/>
                <w:szCs w:val="19"/>
                <w:lang w:val="es-ES" w:eastAsia="en-CA"/>
              </w:rPr>
              <w:t>037</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178</w:t>
            </w:r>
            <w:r w:rsidR="004360ED" w:rsidRPr="008F4B68">
              <w:rPr>
                <w:color w:val="000000"/>
                <w:sz w:val="19"/>
                <w:szCs w:val="19"/>
                <w:lang w:val="es-ES" w:eastAsia="en-CA"/>
              </w:rPr>
              <w:t> </w:t>
            </w:r>
            <w:r w:rsidRPr="008F4B68">
              <w:rPr>
                <w:color w:val="000000"/>
                <w:sz w:val="19"/>
                <w:szCs w:val="19"/>
                <w:lang w:val="es-ES" w:eastAsia="en-CA"/>
              </w:rPr>
              <w:t>291</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Panam</w:t>
            </w:r>
            <w:r w:rsidR="002B0536" w:rsidRPr="008F4B68">
              <w:rPr>
                <w:color w:val="000000"/>
                <w:sz w:val="19"/>
                <w:szCs w:val="19"/>
                <w:lang w:val="es-ES" w:eastAsia="en-CA"/>
              </w:rPr>
              <w:t>á</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364</w:t>
            </w:r>
            <w:r w:rsidR="004360ED" w:rsidRPr="008F4B68">
              <w:rPr>
                <w:color w:val="000000"/>
                <w:sz w:val="19"/>
                <w:szCs w:val="19"/>
                <w:lang w:val="es-ES" w:eastAsia="en-CA"/>
              </w:rPr>
              <w:t> </w:t>
            </w:r>
            <w:r w:rsidRPr="008F4B68">
              <w:rPr>
                <w:color w:val="000000"/>
                <w:sz w:val="19"/>
                <w:szCs w:val="19"/>
                <w:lang w:val="es-ES" w:eastAsia="en-CA"/>
              </w:rPr>
              <w:t>561</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335</w:t>
            </w:r>
            <w:r w:rsidR="004360ED" w:rsidRPr="008F4B68">
              <w:rPr>
                <w:color w:val="000000"/>
                <w:sz w:val="19"/>
                <w:szCs w:val="19"/>
                <w:lang w:val="es-ES" w:eastAsia="en-CA"/>
              </w:rPr>
              <w:t> </w:t>
            </w:r>
            <w:r w:rsidRPr="008F4B68">
              <w:rPr>
                <w:color w:val="000000"/>
                <w:sz w:val="19"/>
                <w:szCs w:val="19"/>
                <w:lang w:val="es-ES" w:eastAsia="en-CA"/>
              </w:rPr>
              <w:t>545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29</w:t>
            </w:r>
            <w:r w:rsidR="004360ED" w:rsidRPr="008F4B68">
              <w:rPr>
                <w:color w:val="000000"/>
                <w:sz w:val="19"/>
                <w:szCs w:val="19"/>
                <w:lang w:val="es-ES" w:eastAsia="en-CA"/>
              </w:rPr>
              <w:t> </w:t>
            </w:r>
            <w:r w:rsidRPr="008F4B68">
              <w:rPr>
                <w:color w:val="000000"/>
                <w:sz w:val="19"/>
                <w:szCs w:val="19"/>
                <w:lang w:val="es-ES" w:eastAsia="en-CA"/>
              </w:rPr>
              <w:t>016</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w:t>
            </w:r>
            <w:r w:rsidRPr="008F4B68">
              <w:rPr>
                <w:color w:val="000000"/>
                <w:sz w:val="19"/>
                <w:szCs w:val="19"/>
                <w:lang w:val="es-ES" w:eastAsia="en-CA"/>
              </w:rPr>
              <w:t>65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39</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 </w:t>
            </w:r>
            <w:r w:rsidRPr="008F4B68">
              <w:rPr>
                <w:color w:val="000000"/>
                <w:sz w:val="19"/>
                <w:szCs w:val="19"/>
                <w:lang w:val="es-ES" w:eastAsia="en-CA"/>
              </w:rPr>
              <w:t>500</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11</w:t>
            </w:r>
            <w:r w:rsidR="004360ED" w:rsidRPr="008F4B68">
              <w:rPr>
                <w:color w:val="000000"/>
                <w:sz w:val="19"/>
                <w:szCs w:val="19"/>
                <w:lang w:val="es-ES" w:eastAsia="en-CA"/>
              </w:rPr>
              <w:t>,</w:t>
            </w:r>
            <w:r w:rsidRPr="008F4B68">
              <w:rPr>
                <w:color w:val="000000"/>
                <w:sz w:val="19"/>
                <w:szCs w:val="19"/>
                <w:lang w:val="es-ES" w:eastAsia="en-CA"/>
              </w:rPr>
              <w:t>62</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681</w:t>
            </w:r>
            <w:r w:rsidR="004360ED" w:rsidRPr="008F4B68">
              <w:rPr>
                <w:color w:val="000000"/>
                <w:sz w:val="19"/>
                <w:szCs w:val="19"/>
                <w:lang w:val="es-ES" w:eastAsia="en-CA"/>
              </w:rPr>
              <w:t> </w:t>
            </w:r>
            <w:r w:rsidRPr="008F4B68">
              <w:rPr>
                <w:color w:val="000000"/>
                <w:sz w:val="19"/>
                <w:szCs w:val="19"/>
                <w:lang w:val="es-ES" w:eastAsia="en-CA"/>
              </w:rPr>
              <w:t>720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113</w:t>
            </w:r>
            <w:r w:rsidR="004360ED" w:rsidRPr="008F4B68">
              <w:rPr>
                <w:color w:val="000000"/>
                <w:sz w:val="19"/>
                <w:szCs w:val="19"/>
                <w:lang w:val="es-ES" w:eastAsia="en-CA"/>
              </w:rPr>
              <w:t> </w:t>
            </w:r>
            <w:r w:rsidRPr="008F4B68">
              <w:rPr>
                <w:color w:val="000000"/>
                <w:sz w:val="19"/>
                <w:szCs w:val="19"/>
                <w:lang w:val="es-ES" w:eastAsia="en-CA"/>
              </w:rPr>
              <w:t>620</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tcPr>
          <w:p w:rsidR="001148A7" w:rsidRPr="008F4B68" w:rsidRDefault="001148A7" w:rsidP="002B0536">
            <w:pPr>
              <w:jc w:val="left"/>
              <w:rPr>
                <w:color w:val="000000"/>
                <w:sz w:val="19"/>
                <w:szCs w:val="19"/>
                <w:lang w:val="es-ES" w:eastAsia="en-CA"/>
              </w:rPr>
            </w:pPr>
            <w:r w:rsidRPr="008F4B68">
              <w:rPr>
                <w:color w:val="000000"/>
                <w:sz w:val="19"/>
                <w:szCs w:val="19"/>
                <w:lang w:val="es-ES" w:eastAsia="en-CA"/>
              </w:rPr>
              <w:t>Per</w:t>
            </w:r>
            <w:r w:rsidR="002B0536" w:rsidRPr="008F4B68">
              <w:rPr>
                <w:color w:val="000000"/>
                <w:sz w:val="19"/>
                <w:szCs w:val="19"/>
                <w:lang w:val="es-ES" w:eastAsia="en-CA"/>
              </w:rPr>
              <w:t>ú</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310</w:t>
            </w:r>
            <w:r w:rsidR="004360ED" w:rsidRPr="008F4B68">
              <w:rPr>
                <w:sz w:val="19"/>
                <w:szCs w:val="19"/>
                <w:lang w:val="es-ES"/>
              </w:rPr>
              <w:t> </w:t>
            </w:r>
            <w:r w:rsidRPr="008F4B68">
              <w:rPr>
                <w:sz w:val="19"/>
                <w:szCs w:val="19"/>
                <w:lang w:val="es-ES"/>
              </w:rPr>
              <w:t>111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282</w:t>
            </w:r>
            <w:r w:rsidR="004360ED" w:rsidRPr="008F4B68">
              <w:rPr>
                <w:sz w:val="19"/>
                <w:szCs w:val="19"/>
                <w:lang w:val="es-ES"/>
              </w:rPr>
              <w:t> </w:t>
            </w:r>
            <w:r w:rsidRPr="008F4B68">
              <w:rPr>
                <w:sz w:val="19"/>
                <w:szCs w:val="19"/>
                <w:lang w:val="es-ES"/>
              </w:rPr>
              <w:t>671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27</w:t>
            </w:r>
            <w:r w:rsidR="004360ED" w:rsidRPr="008F4B68">
              <w:rPr>
                <w:sz w:val="19"/>
                <w:szCs w:val="19"/>
                <w:lang w:val="es-ES"/>
              </w:rPr>
              <w:t> </w:t>
            </w:r>
            <w:r w:rsidRPr="008F4B68">
              <w:rPr>
                <w:sz w:val="19"/>
                <w:szCs w:val="19"/>
                <w:lang w:val="es-ES"/>
              </w:rPr>
              <w:t>440</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9</w:t>
            </w:r>
            <w:r w:rsidR="004360ED" w:rsidRPr="008F4B68">
              <w:rPr>
                <w:sz w:val="19"/>
                <w:szCs w:val="19"/>
                <w:lang w:val="es-ES"/>
              </w:rPr>
              <w:t>,</w:t>
            </w:r>
            <w:r w:rsidRPr="008F4B68">
              <w:rPr>
                <w:sz w:val="19"/>
                <w:szCs w:val="19"/>
                <w:lang w:val="es-ES"/>
              </w:rPr>
              <w:t>71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50</w:t>
            </w:r>
            <w:r w:rsidR="004360ED" w:rsidRPr="008F4B68">
              <w:rPr>
                <w:sz w:val="19"/>
                <w:szCs w:val="19"/>
                <w:lang w:val="es-ES"/>
              </w:rPr>
              <w:t> </w:t>
            </w:r>
            <w:r w:rsidRPr="008F4B68">
              <w:rPr>
                <w:sz w:val="19"/>
                <w:szCs w:val="19"/>
                <w:lang w:val="es-ES"/>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8</w:t>
            </w:r>
            <w:r w:rsidR="004360ED" w:rsidRPr="008F4B68">
              <w:rPr>
                <w:sz w:val="19"/>
                <w:szCs w:val="19"/>
                <w:lang w:val="es-ES"/>
              </w:rPr>
              <w:t> </w:t>
            </w:r>
            <w:r w:rsidRPr="008F4B68">
              <w:rPr>
                <w:sz w:val="19"/>
                <w:szCs w:val="19"/>
                <w:lang w:val="es-ES"/>
              </w:rPr>
              <w:t>333</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17</w:t>
            </w:r>
            <w:r w:rsidR="004360ED" w:rsidRPr="008F4B68">
              <w:rPr>
                <w:sz w:val="19"/>
                <w:szCs w:val="19"/>
                <w:lang w:val="es-ES"/>
              </w:rPr>
              <w:t>,</w:t>
            </w:r>
            <w:r w:rsidRPr="008F4B68">
              <w:rPr>
                <w:sz w:val="19"/>
                <w:szCs w:val="19"/>
                <w:lang w:val="es-ES"/>
              </w:rPr>
              <w:t>69</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304</w:t>
            </w:r>
            <w:r w:rsidR="004360ED" w:rsidRPr="008F4B68">
              <w:rPr>
                <w:sz w:val="19"/>
                <w:szCs w:val="19"/>
                <w:lang w:val="es-ES"/>
              </w:rPr>
              <w:t> </w:t>
            </w:r>
            <w:r w:rsidRPr="008F4B68">
              <w:rPr>
                <w:sz w:val="19"/>
                <w:szCs w:val="19"/>
                <w:lang w:val="es-ES"/>
              </w:rPr>
              <w:t>403</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sz w:val="19"/>
                <w:szCs w:val="19"/>
                <w:lang w:val="es-ES"/>
              </w:rPr>
            </w:pPr>
            <w:r w:rsidRPr="008F4B68">
              <w:rPr>
                <w:sz w:val="19"/>
                <w:szCs w:val="19"/>
                <w:lang w:val="es-ES"/>
              </w:rPr>
              <w:t>50</w:t>
            </w:r>
            <w:r w:rsidR="004360ED" w:rsidRPr="008F4B68">
              <w:rPr>
                <w:sz w:val="19"/>
                <w:szCs w:val="19"/>
                <w:lang w:val="es-ES"/>
              </w:rPr>
              <w:t> </w:t>
            </w:r>
            <w:r w:rsidRPr="008F4B68">
              <w:rPr>
                <w:sz w:val="19"/>
                <w:szCs w:val="19"/>
                <w:lang w:val="es-ES"/>
              </w:rPr>
              <w:t>734</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2B0536" w:rsidP="002B0536">
            <w:pPr>
              <w:jc w:val="left"/>
              <w:rPr>
                <w:color w:val="000000"/>
                <w:sz w:val="19"/>
                <w:szCs w:val="19"/>
                <w:lang w:val="es-ES" w:eastAsia="en-CA"/>
              </w:rPr>
            </w:pPr>
            <w:r w:rsidRPr="008F4B68">
              <w:rPr>
                <w:color w:val="000000"/>
                <w:sz w:val="19"/>
                <w:szCs w:val="19"/>
                <w:lang w:val="es-ES" w:eastAsia="en-CA"/>
              </w:rPr>
              <w:t>Filipinas</w:t>
            </w:r>
            <w:r w:rsidR="001148A7" w:rsidRPr="008F4B68">
              <w:rPr>
                <w:color w:val="000000"/>
                <w:sz w:val="19"/>
                <w:szCs w:val="19"/>
                <w:lang w:val="es-ES" w:eastAsia="en-CA"/>
              </w:rPr>
              <w:t xml:space="preserve"> </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495</w:t>
            </w:r>
            <w:r w:rsidR="004360ED" w:rsidRPr="008F4B68">
              <w:rPr>
                <w:color w:val="000000"/>
                <w:sz w:val="19"/>
                <w:szCs w:val="19"/>
                <w:lang w:val="es-ES" w:eastAsia="en-CA"/>
              </w:rPr>
              <w:t> </w:t>
            </w:r>
            <w:r w:rsidRPr="008F4B68">
              <w:rPr>
                <w:color w:val="000000"/>
                <w:sz w:val="19"/>
                <w:szCs w:val="19"/>
                <w:lang w:val="es-ES" w:eastAsia="en-CA"/>
              </w:rPr>
              <w:t>965</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295</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200</w:t>
            </w:r>
            <w:r w:rsidR="004360ED" w:rsidRPr="008F4B68">
              <w:rPr>
                <w:color w:val="000000"/>
                <w:sz w:val="19"/>
                <w:szCs w:val="19"/>
                <w:lang w:val="es-ES" w:eastAsia="en-CA"/>
              </w:rPr>
              <w:t> </w:t>
            </w:r>
            <w:r w:rsidRPr="008F4B68">
              <w:rPr>
                <w:color w:val="000000"/>
                <w:sz w:val="19"/>
                <w:szCs w:val="19"/>
                <w:lang w:val="es-ES" w:eastAsia="en-CA"/>
              </w:rPr>
              <w:t>965</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w:t>
            </w:r>
            <w:r w:rsidRPr="008F4B68">
              <w:rPr>
                <w:color w:val="000000"/>
                <w:sz w:val="19"/>
                <w:szCs w:val="19"/>
                <w:lang w:val="es-ES" w:eastAsia="en-CA"/>
              </w:rPr>
              <w:t>76</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230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32</w:t>
            </w:r>
            <w:r w:rsidR="004360ED" w:rsidRPr="008F4B68">
              <w:rPr>
                <w:color w:val="000000"/>
                <w:sz w:val="19"/>
                <w:szCs w:val="19"/>
                <w:lang w:val="es-ES" w:eastAsia="en-CA"/>
              </w:rPr>
              <w:t> </w:t>
            </w:r>
            <w:r w:rsidRPr="008F4B68">
              <w:rPr>
                <w:color w:val="000000"/>
                <w:sz w:val="19"/>
                <w:szCs w:val="19"/>
                <w:lang w:val="es-ES" w:eastAsia="en-CA"/>
              </w:rPr>
              <w:t>857</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r w:rsidR="004360ED" w:rsidRPr="008F4B68">
              <w:rPr>
                <w:color w:val="000000"/>
                <w:sz w:val="19"/>
                <w:szCs w:val="19"/>
                <w:lang w:val="es-ES" w:eastAsia="en-CA"/>
              </w:rPr>
              <w:t>,</w:t>
            </w:r>
            <w:r w:rsidRPr="008F4B68">
              <w:rPr>
                <w:color w:val="000000"/>
                <w:sz w:val="19"/>
                <w:szCs w:val="19"/>
                <w:lang w:val="es-ES" w:eastAsia="en-CA"/>
              </w:rPr>
              <w:t>02</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998</w:t>
            </w:r>
            <w:r w:rsidR="004360ED" w:rsidRPr="008F4B68">
              <w:rPr>
                <w:color w:val="000000"/>
                <w:sz w:val="19"/>
                <w:szCs w:val="19"/>
                <w:lang w:val="es-ES" w:eastAsia="en-CA"/>
              </w:rPr>
              <w:t> </w:t>
            </w:r>
            <w:r w:rsidRPr="008F4B68">
              <w:rPr>
                <w:color w:val="000000"/>
                <w:sz w:val="19"/>
                <w:szCs w:val="19"/>
                <w:lang w:val="es-ES" w:eastAsia="en-CA"/>
              </w:rPr>
              <w:t>211</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142</w:t>
            </w:r>
            <w:r w:rsidR="004360ED" w:rsidRPr="008F4B68">
              <w:rPr>
                <w:color w:val="000000"/>
                <w:sz w:val="19"/>
                <w:szCs w:val="19"/>
                <w:lang w:val="es-ES" w:eastAsia="en-CA"/>
              </w:rPr>
              <w:t> </w:t>
            </w:r>
            <w:r w:rsidRPr="008F4B68">
              <w:rPr>
                <w:color w:val="000000"/>
                <w:sz w:val="19"/>
                <w:szCs w:val="19"/>
                <w:lang w:val="es-ES" w:eastAsia="en-CA"/>
              </w:rPr>
              <w:t>602</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2B0536" w:rsidP="002B0536">
            <w:pPr>
              <w:jc w:val="left"/>
              <w:rPr>
                <w:color w:val="000000"/>
                <w:sz w:val="19"/>
                <w:szCs w:val="19"/>
                <w:lang w:val="es-ES" w:eastAsia="en-CA"/>
              </w:rPr>
            </w:pPr>
            <w:r w:rsidRPr="008F4B68">
              <w:rPr>
                <w:color w:val="000000"/>
                <w:sz w:val="19"/>
                <w:szCs w:val="19"/>
                <w:lang w:val="es-ES" w:eastAsia="en-CA"/>
              </w:rPr>
              <w:t>Arabia Saudita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14</w:t>
            </w:r>
            <w:r w:rsidR="004360ED" w:rsidRPr="008F4B68">
              <w:rPr>
                <w:color w:val="000000"/>
                <w:sz w:val="19"/>
                <w:szCs w:val="19"/>
                <w:lang w:val="es-ES" w:eastAsia="en-CA"/>
              </w:rPr>
              <w:t> </w:t>
            </w:r>
            <w:r w:rsidRPr="008F4B68">
              <w:rPr>
                <w:color w:val="000000"/>
                <w:sz w:val="19"/>
                <w:szCs w:val="19"/>
                <w:lang w:val="es-ES" w:eastAsia="en-CA"/>
              </w:rPr>
              <w:t>421</w:t>
            </w:r>
            <w:r w:rsidR="004360ED" w:rsidRPr="008F4B68">
              <w:rPr>
                <w:color w:val="000000"/>
                <w:sz w:val="19"/>
                <w:szCs w:val="19"/>
                <w:lang w:val="es-ES" w:eastAsia="en-CA"/>
              </w:rPr>
              <w:t> </w:t>
            </w:r>
            <w:r w:rsidRPr="008F4B68">
              <w:rPr>
                <w:color w:val="000000"/>
                <w:sz w:val="19"/>
                <w:szCs w:val="19"/>
                <w:lang w:val="es-ES" w:eastAsia="en-CA"/>
              </w:rPr>
              <w:t>066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13</w:t>
            </w:r>
            <w:r w:rsidR="004360ED" w:rsidRPr="008F4B68">
              <w:rPr>
                <w:color w:val="000000"/>
                <w:sz w:val="19"/>
                <w:szCs w:val="19"/>
                <w:lang w:val="es-ES" w:eastAsia="en-CA"/>
              </w:rPr>
              <w:t> </w:t>
            </w:r>
            <w:r w:rsidRPr="008F4B68">
              <w:rPr>
                <w:color w:val="000000"/>
                <w:sz w:val="19"/>
                <w:szCs w:val="19"/>
                <w:lang w:val="es-ES" w:eastAsia="en-CA"/>
              </w:rPr>
              <w:t>420</w:t>
            </w:r>
            <w:r w:rsidR="004360ED" w:rsidRPr="008F4B68">
              <w:rPr>
                <w:color w:val="000000"/>
                <w:sz w:val="19"/>
                <w:szCs w:val="19"/>
                <w:lang w:val="es-ES" w:eastAsia="en-CA"/>
              </w:rPr>
              <w:t> </w:t>
            </w:r>
            <w:r w:rsidRPr="008F4B68">
              <w:rPr>
                <w:color w:val="000000"/>
                <w:sz w:val="19"/>
                <w:szCs w:val="19"/>
                <w:lang w:val="es-ES" w:eastAsia="en-CA"/>
              </w:rPr>
              <w:t>971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000</w:t>
            </w:r>
            <w:r w:rsidR="004360ED" w:rsidRPr="008F4B68">
              <w:rPr>
                <w:color w:val="000000"/>
                <w:sz w:val="19"/>
                <w:szCs w:val="19"/>
                <w:lang w:val="es-ES" w:eastAsia="en-CA"/>
              </w:rPr>
              <w:t> </w:t>
            </w:r>
            <w:r w:rsidRPr="008F4B68">
              <w:rPr>
                <w:color w:val="000000"/>
                <w:sz w:val="19"/>
                <w:szCs w:val="19"/>
                <w:lang w:val="es-ES" w:eastAsia="en-CA"/>
              </w:rPr>
              <w:t>095</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45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500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50</w:t>
            </w:r>
            <w:r w:rsidR="004360ED" w:rsidRPr="008F4B68">
              <w:rPr>
                <w:color w:val="000000"/>
                <w:sz w:val="19"/>
                <w:szCs w:val="19"/>
                <w:lang w:val="es-ES" w:eastAsia="en-CA"/>
              </w:rPr>
              <w:t> </w:t>
            </w:r>
            <w:r w:rsidRPr="008F4B68">
              <w:rPr>
                <w:color w:val="000000"/>
                <w:sz w:val="19"/>
                <w:szCs w:val="19"/>
                <w:lang w:val="es-ES" w:eastAsia="en-CA"/>
              </w:rPr>
              <w:t>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w:t>
            </w:r>
            <w:r w:rsidRPr="008F4B68">
              <w:rPr>
                <w:color w:val="000000"/>
                <w:sz w:val="19"/>
                <w:szCs w:val="19"/>
                <w:lang w:val="es-ES" w:eastAsia="en-CA"/>
              </w:rPr>
              <w:t>73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200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20</w:t>
            </w:r>
            <w:r w:rsidR="004360ED" w:rsidRPr="008F4B68">
              <w:rPr>
                <w:color w:val="000000"/>
                <w:sz w:val="19"/>
                <w:szCs w:val="19"/>
                <w:lang w:val="es-ES" w:eastAsia="en-CA"/>
              </w:rPr>
              <w:t> </w:t>
            </w:r>
            <w:r w:rsidRPr="008F4B68">
              <w:rPr>
                <w:color w:val="000000"/>
                <w:sz w:val="19"/>
                <w:szCs w:val="19"/>
                <w:lang w:val="es-ES" w:eastAsia="en-CA"/>
              </w:rPr>
              <w:t>000</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4360ED" w:rsidP="004360ED">
            <w:pPr>
              <w:jc w:val="left"/>
              <w:rPr>
                <w:color w:val="000000"/>
                <w:sz w:val="19"/>
                <w:szCs w:val="19"/>
                <w:lang w:val="es-ES" w:eastAsia="en-CA"/>
              </w:rPr>
            </w:pPr>
            <w:r w:rsidRPr="008F4B68">
              <w:rPr>
                <w:color w:val="000000"/>
                <w:sz w:val="19"/>
                <w:szCs w:val="19"/>
                <w:lang w:val="es-ES" w:eastAsia="en-CA"/>
              </w:rPr>
              <w:t>Sudáfrica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 </w:t>
            </w:r>
            <w:r w:rsidRPr="008F4B68">
              <w:rPr>
                <w:color w:val="000000"/>
                <w:sz w:val="19"/>
                <w:szCs w:val="19"/>
                <w:lang w:val="es-ES" w:eastAsia="en-CA"/>
              </w:rPr>
              <w:t>990</w:t>
            </w:r>
            <w:r w:rsidR="004360ED" w:rsidRPr="008F4B68">
              <w:rPr>
                <w:color w:val="000000"/>
                <w:sz w:val="19"/>
                <w:szCs w:val="19"/>
                <w:lang w:val="es-ES" w:eastAsia="en-CA"/>
              </w:rPr>
              <w:t> </w:t>
            </w:r>
            <w:r w:rsidRPr="008F4B68">
              <w:rPr>
                <w:color w:val="000000"/>
                <w:sz w:val="19"/>
                <w:szCs w:val="19"/>
                <w:lang w:val="es-ES" w:eastAsia="en-CA"/>
              </w:rPr>
              <w:t>905</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 </w:t>
            </w:r>
            <w:r w:rsidRPr="008F4B68">
              <w:rPr>
                <w:color w:val="000000"/>
                <w:sz w:val="19"/>
                <w:szCs w:val="19"/>
                <w:lang w:val="es-ES" w:eastAsia="en-CA"/>
              </w:rPr>
              <w:t>533</w:t>
            </w:r>
            <w:r w:rsidR="004360ED" w:rsidRPr="008F4B68">
              <w:rPr>
                <w:color w:val="000000"/>
                <w:sz w:val="19"/>
                <w:szCs w:val="19"/>
                <w:lang w:val="es-ES" w:eastAsia="en-CA"/>
              </w:rPr>
              <w:t> </w:t>
            </w:r>
            <w:r w:rsidRPr="008F4B68">
              <w:rPr>
                <w:color w:val="000000"/>
                <w:sz w:val="19"/>
                <w:szCs w:val="19"/>
                <w:lang w:val="es-ES" w:eastAsia="en-CA"/>
              </w:rPr>
              <w:t>556</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457</w:t>
            </w:r>
            <w:r w:rsidR="004360ED" w:rsidRPr="008F4B68">
              <w:rPr>
                <w:color w:val="000000"/>
                <w:sz w:val="19"/>
                <w:szCs w:val="19"/>
                <w:lang w:val="es-ES" w:eastAsia="en-CA"/>
              </w:rPr>
              <w:t> </w:t>
            </w:r>
            <w:r w:rsidRPr="008F4B68">
              <w:rPr>
                <w:color w:val="000000"/>
                <w:sz w:val="19"/>
                <w:szCs w:val="19"/>
                <w:lang w:val="es-ES" w:eastAsia="en-CA"/>
              </w:rPr>
              <w:t>349</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00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420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42</w:t>
            </w:r>
            <w:r w:rsidR="004360ED" w:rsidRPr="008F4B68">
              <w:rPr>
                <w:color w:val="000000"/>
                <w:sz w:val="19"/>
                <w:szCs w:val="19"/>
                <w:lang w:val="es-ES" w:eastAsia="en-CA"/>
              </w:rPr>
              <w:t> </w:t>
            </w:r>
            <w:r w:rsidRPr="008F4B68">
              <w:rPr>
                <w:color w:val="000000"/>
                <w:sz w:val="19"/>
                <w:szCs w:val="19"/>
                <w:lang w:val="es-ES" w:eastAsia="en-CA"/>
              </w:rPr>
              <w:t>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w:t>
            </w:r>
            <w:r w:rsidRPr="008F4B68">
              <w:rPr>
                <w:color w:val="000000"/>
                <w:sz w:val="19"/>
                <w:szCs w:val="19"/>
                <w:lang w:val="es-ES" w:eastAsia="en-CA"/>
              </w:rPr>
              <w:t>43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0</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4360ED">
            <w:pPr>
              <w:jc w:val="left"/>
              <w:rPr>
                <w:color w:val="000000"/>
                <w:sz w:val="19"/>
                <w:szCs w:val="19"/>
                <w:lang w:val="es-ES" w:eastAsia="en-CA"/>
              </w:rPr>
            </w:pPr>
            <w:r w:rsidRPr="008F4B68">
              <w:rPr>
                <w:color w:val="000000"/>
                <w:sz w:val="19"/>
                <w:szCs w:val="19"/>
                <w:lang w:val="es-ES" w:eastAsia="en-CA"/>
              </w:rPr>
              <w:t>T</w:t>
            </w:r>
            <w:r w:rsidR="004360ED" w:rsidRPr="008F4B68">
              <w:rPr>
                <w:color w:val="000000"/>
                <w:sz w:val="19"/>
                <w:szCs w:val="19"/>
                <w:lang w:val="es-ES" w:eastAsia="en-CA"/>
              </w:rPr>
              <w:t>ailandia</w:t>
            </w:r>
            <w:r w:rsidRPr="008F4B68">
              <w:rPr>
                <w:color w:val="000000"/>
                <w:sz w:val="19"/>
                <w:szCs w:val="19"/>
                <w:lang w:val="es-ES" w:eastAsia="en-CA"/>
              </w:rPr>
              <w:t xml:space="preserve"> </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19</w:t>
            </w:r>
            <w:r w:rsidR="004360ED" w:rsidRPr="008F4B68">
              <w:rPr>
                <w:color w:val="000000"/>
                <w:sz w:val="19"/>
                <w:szCs w:val="19"/>
                <w:lang w:val="es-ES" w:eastAsia="en-CA"/>
              </w:rPr>
              <w:t> </w:t>
            </w:r>
            <w:r w:rsidRPr="008F4B68">
              <w:rPr>
                <w:color w:val="000000"/>
                <w:sz w:val="19"/>
                <w:szCs w:val="19"/>
                <w:lang w:val="es-ES" w:eastAsia="en-CA"/>
              </w:rPr>
              <w:t>394</w:t>
            </w:r>
            <w:r w:rsidR="004360ED" w:rsidRPr="008F4B68">
              <w:rPr>
                <w:color w:val="000000"/>
                <w:sz w:val="19"/>
                <w:szCs w:val="19"/>
                <w:lang w:val="es-ES" w:eastAsia="en-CA"/>
              </w:rPr>
              <w:t> </w:t>
            </w:r>
            <w:r w:rsidRPr="008F4B68">
              <w:rPr>
                <w:color w:val="000000"/>
                <w:sz w:val="19"/>
                <w:szCs w:val="19"/>
                <w:lang w:val="es-ES" w:eastAsia="en-CA"/>
              </w:rPr>
              <w:t>412</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18</w:t>
            </w:r>
            <w:r w:rsidR="004360ED" w:rsidRPr="008F4B68">
              <w:rPr>
                <w:color w:val="000000"/>
                <w:sz w:val="19"/>
                <w:szCs w:val="19"/>
                <w:lang w:val="es-ES" w:eastAsia="en-CA"/>
              </w:rPr>
              <w:t> </w:t>
            </w:r>
            <w:r w:rsidRPr="008F4B68">
              <w:rPr>
                <w:color w:val="000000"/>
                <w:sz w:val="19"/>
                <w:szCs w:val="19"/>
                <w:lang w:val="es-ES" w:eastAsia="en-CA"/>
              </w:rPr>
              <w:t>108</w:t>
            </w:r>
            <w:r w:rsidR="004360ED" w:rsidRPr="008F4B68">
              <w:rPr>
                <w:color w:val="000000"/>
                <w:sz w:val="19"/>
                <w:szCs w:val="19"/>
                <w:lang w:val="es-ES" w:eastAsia="en-CA"/>
              </w:rPr>
              <w:t> </w:t>
            </w:r>
            <w:r w:rsidRPr="008F4B68">
              <w:rPr>
                <w:color w:val="000000"/>
                <w:sz w:val="19"/>
                <w:szCs w:val="19"/>
                <w:lang w:val="es-ES" w:eastAsia="en-CA"/>
              </w:rPr>
              <w:t>630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285</w:t>
            </w:r>
            <w:r w:rsidR="004360ED" w:rsidRPr="008F4B68">
              <w:rPr>
                <w:color w:val="000000"/>
                <w:sz w:val="19"/>
                <w:szCs w:val="19"/>
                <w:lang w:val="es-ES" w:eastAsia="en-CA"/>
              </w:rPr>
              <w:t> </w:t>
            </w:r>
            <w:r w:rsidRPr="008F4B68">
              <w:rPr>
                <w:color w:val="000000"/>
                <w:sz w:val="19"/>
                <w:szCs w:val="19"/>
                <w:lang w:val="es-ES" w:eastAsia="en-CA"/>
              </w:rPr>
              <w:t>782</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10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276</w:t>
            </w:r>
            <w:r w:rsidR="004360ED" w:rsidRPr="008F4B68">
              <w:rPr>
                <w:color w:val="000000"/>
                <w:sz w:val="19"/>
                <w:szCs w:val="19"/>
                <w:lang w:val="es-ES" w:eastAsia="en-CA"/>
              </w:rPr>
              <w:t> </w:t>
            </w:r>
            <w:r w:rsidRPr="008F4B68">
              <w:rPr>
                <w:color w:val="000000"/>
                <w:sz w:val="19"/>
                <w:szCs w:val="19"/>
                <w:lang w:val="es-ES" w:eastAsia="en-CA"/>
              </w:rPr>
              <w:t>633</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159</w:t>
            </w:r>
            <w:r w:rsidR="004360ED" w:rsidRPr="008F4B68">
              <w:rPr>
                <w:color w:val="000000"/>
                <w:sz w:val="19"/>
                <w:szCs w:val="19"/>
                <w:lang w:val="es-ES" w:eastAsia="en-CA"/>
              </w:rPr>
              <w:t> </w:t>
            </w:r>
            <w:r w:rsidRPr="008F4B68">
              <w:rPr>
                <w:color w:val="000000"/>
                <w:sz w:val="19"/>
                <w:szCs w:val="19"/>
                <w:lang w:val="es-ES" w:eastAsia="en-CA"/>
              </w:rPr>
              <w:t>579</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05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234</w:t>
            </w:r>
            <w:r w:rsidR="004360ED" w:rsidRPr="008F4B68">
              <w:rPr>
                <w:color w:val="000000"/>
                <w:sz w:val="19"/>
                <w:szCs w:val="19"/>
                <w:lang w:val="es-ES" w:eastAsia="en-CA"/>
              </w:rPr>
              <w:t> </w:t>
            </w:r>
            <w:r w:rsidRPr="008F4B68">
              <w:rPr>
                <w:color w:val="000000"/>
                <w:sz w:val="19"/>
                <w:szCs w:val="19"/>
                <w:lang w:val="es-ES" w:eastAsia="en-CA"/>
              </w:rPr>
              <w:t>138</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154</w:t>
            </w:r>
            <w:r w:rsidR="004360ED" w:rsidRPr="008F4B68">
              <w:rPr>
                <w:color w:val="000000"/>
                <w:sz w:val="19"/>
                <w:szCs w:val="19"/>
                <w:lang w:val="es-ES" w:eastAsia="en-CA"/>
              </w:rPr>
              <w:t> </w:t>
            </w:r>
            <w:r w:rsidRPr="008F4B68">
              <w:rPr>
                <w:color w:val="000000"/>
                <w:sz w:val="19"/>
                <w:szCs w:val="19"/>
                <w:lang w:val="es-ES" w:eastAsia="en-CA"/>
              </w:rPr>
              <w:t>267</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4360ED">
            <w:pPr>
              <w:jc w:val="left"/>
              <w:rPr>
                <w:color w:val="000000"/>
                <w:sz w:val="19"/>
                <w:szCs w:val="19"/>
                <w:lang w:val="es-ES" w:eastAsia="en-CA"/>
              </w:rPr>
            </w:pPr>
            <w:r w:rsidRPr="008F4B68">
              <w:rPr>
                <w:color w:val="000000"/>
                <w:sz w:val="19"/>
                <w:szCs w:val="19"/>
                <w:lang w:val="es-ES" w:eastAsia="en-CA"/>
              </w:rPr>
              <w:t>T</w:t>
            </w:r>
            <w:r w:rsidR="004360ED" w:rsidRPr="008F4B68">
              <w:rPr>
                <w:color w:val="000000"/>
                <w:sz w:val="19"/>
                <w:szCs w:val="19"/>
                <w:lang w:val="es-ES" w:eastAsia="en-CA"/>
              </w:rPr>
              <w:t>únez</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966</w:t>
            </w:r>
            <w:r w:rsidR="004360ED" w:rsidRPr="008F4B68">
              <w:rPr>
                <w:color w:val="000000"/>
                <w:sz w:val="19"/>
                <w:szCs w:val="19"/>
                <w:lang w:val="es-ES" w:eastAsia="en-CA"/>
              </w:rPr>
              <w:t> </w:t>
            </w:r>
            <w:r w:rsidRPr="008F4B68">
              <w:rPr>
                <w:color w:val="000000"/>
                <w:sz w:val="19"/>
                <w:szCs w:val="19"/>
                <w:lang w:val="es-ES" w:eastAsia="en-CA"/>
              </w:rPr>
              <w:t>209</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800</w:t>
            </w:r>
            <w:r w:rsidR="004360ED" w:rsidRPr="008F4B68">
              <w:rPr>
                <w:color w:val="000000"/>
                <w:sz w:val="19"/>
                <w:szCs w:val="19"/>
                <w:lang w:val="es-ES" w:eastAsia="en-CA"/>
              </w:rPr>
              <w:t> </w:t>
            </w:r>
            <w:r w:rsidRPr="008F4B68">
              <w:rPr>
                <w:color w:val="000000"/>
                <w:sz w:val="19"/>
                <w:szCs w:val="19"/>
                <w:lang w:val="es-ES" w:eastAsia="en-CA"/>
              </w:rPr>
              <w:t>195</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166</w:t>
            </w:r>
            <w:r w:rsidR="004360ED" w:rsidRPr="008F4B68">
              <w:rPr>
                <w:color w:val="000000"/>
                <w:sz w:val="19"/>
                <w:szCs w:val="19"/>
                <w:lang w:val="es-ES" w:eastAsia="en-CA"/>
              </w:rPr>
              <w:t> </w:t>
            </w:r>
            <w:r w:rsidRPr="008F4B68">
              <w:rPr>
                <w:color w:val="000000"/>
                <w:sz w:val="19"/>
                <w:szCs w:val="19"/>
                <w:lang w:val="es-ES" w:eastAsia="en-CA"/>
              </w:rPr>
              <w:t>014</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r w:rsidR="004360ED" w:rsidRPr="008F4B68">
              <w:rPr>
                <w:color w:val="000000"/>
                <w:sz w:val="19"/>
                <w:szCs w:val="19"/>
                <w:lang w:val="es-ES" w:eastAsia="en-CA"/>
              </w:rPr>
              <w:t>,</w:t>
            </w:r>
            <w:r w:rsidRPr="008F4B68">
              <w:rPr>
                <w:color w:val="000000"/>
                <w:sz w:val="19"/>
                <w:szCs w:val="19"/>
                <w:lang w:val="es-ES" w:eastAsia="en-CA"/>
              </w:rPr>
              <w:t>22</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150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25</w:t>
            </w:r>
            <w:r w:rsidR="004360ED" w:rsidRPr="008F4B68">
              <w:rPr>
                <w:color w:val="000000"/>
                <w:sz w:val="19"/>
                <w:szCs w:val="19"/>
                <w:lang w:val="es-ES" w:eastAsia="en-CA"/>
              </w:rPr>
              <w:t> </w:t>
            </w:r>
            <w:r w:rsidRPr="008F4B68">
              <w:rPr>
                <w:color w:val="000000"/>
                <w:sz w:val="19"/>
                <w:szCs w:val="19"/>
                <w:lang w:val="es-ES" w:eastAsia="en-CA"/>
              </w:rPr>
              <w:t>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w:t>
            </w:r>
            <w:r w:rsidR="004360ED" w:rsidRPr="008F4B68">
              <w:rPr>
                <w:color w:val="000000"/>
                <w:sz w:val="19"/>
                <w:szCs w:val="19"/>
                <w:lang w:val="es-ES" w:eastAsia="en-CA"/>
              </w:rPr>
              <w:t>,</w:t>
            </w:r>
            <w:r w:rsidRPr="008F4B68">
              <w:rPr>
                <w:color w:val="000000"/>
                <w:sz w:val="19"/>
                <w:szCs w:val="19"/>
                <w:lang w:val="es-ES" w:eastAsia="en-CA"/>
              </w:rPr>
              <w:t>33</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247</w:t>
            </w:r>
            <w:r w:rsidR="004360ED" w:rsidRPr="008F4B68">
              <w:rPr>
                <w:color w:val="000000"/>
                <w:sz w:val="19"/>
                <w:szCs w:val="19"/>
                <w:lang w:val="es-ES" w:eastAsia="en-CA"/>
              </w:rPr>
              <w:t> </w:t>
            </w:r>
            <w:r w:rsidRPr="008F4B68">
              <w:rPr>
                <w:color w:val="000000"/>
                <w:sz w:val="19"/>
                <w:szCs w:val="19"/>
                <w:lang w:val="es-ES" w:eastAsia="en-CA"/>
              </w:rPr>
              <w:t>270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41</w:t>
            </w:r>
            <w:r w:rsidR="004360ED" w:rsidRPr="008F4B68">
              <w:rPr>
                <w:color w:val="000000"/>
                <w:sz w:val="19"/>
                <w:szCs w:val="19"/>
                <w:lang w:val="es-ES" w:eastAsia="en-CA"/>
              </w:rPr>
              <w:t> </w:t>
            </w:r>
            <w:r w:rsidRPr="008F4B68">
              <w:rPr>
                <w:color w:val="000000"/>
                <w:sz w:val="19"/>
                <w:szCs w:val="19"/>
                <w:lang w:val="es-ES" w:eastAsia="en-CA"/>
              </w:rPr>
              <w:t>212</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1148A7" w:rsidP="004360ED">
            <w:pPr>
              <w:jc w:val="left"/>
              <w:rPr>
                <w:color w:val="000000"/>
                <w:sz w:val="19"/>
                <w:szCs w:val="19"/>
                <w:lang w:val="es-ES" w:eastAsia="en-CA"/>
              </w:rPr>
            </w:pPr>
            <w:r w:rsidRPr="008F4B68">
              <w:rPr>
                <w:color w:val="000000"/>
                <w:sz w:val="19"/>
                <w:szCs w:val="19"/>
                <w:lang w:val="es-ES" w:eastAsia="en-CA"/>
              </w:rPr>
              <w:t>T</w:t>
            </w:r>
            <w:r w:rsidR="004360ED" w:rsidRPr="008F4B68">
              <w:rPr>
                <w:color w:val="000000"/>
                <w:sz w:val="19"/>
                <w:szCs w:val="19"/>
                <w:lang w:val="es-ES" w:eastAsia="en-CA"/>
              </w:rPr>
              <w:t>urquía</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15</w:t>
            </w:r>
            <w:r w:rsidR="004360ED" w:rsidRPr="008F4B68">
              <w:rPr>
                <w:color w:val="000000"/>
                <w:sz w:val="19"/>
                <w:szCs w:val="19"/>
                <w:lang w:val="es-ES" w:eastAsia="en-CA"/>
              </w:rPr>
              <w:t> </w:t>
            </w:r>
            <w:r w:rsidRPr="008F4B68">
              <w:rPr>
                <w:color w:val="000000"/>
                <w:sz w:val="19"/>
                <w:szCs w:val="19"/>
                <w:lang w:val="es-ES" w:eastAsia="en-CA"/>
              </w:rPr>
              <w:t>263</w:t>
            </w:r>
            <w:r w:rsidR="004360ED" w:rsidRPr="008F4B68">
              <w:rPr>
                <w:color w:val="000000"/>
                <w:sz w:val="19"/>
                <w:szCs w:val="19"/>
                <w:lang w:val="es-ES" w:eastAsia="en-CA"/>
              </w:rPr>
              <w:t> </w:t>
            </w:r>
            <w:r w:rsidRPr="008F4B68">
              <w:rPr>
                <w:color w:val="000000"/>
                <w:sz w:val="19"/>
                <w:szCs w:val="19"/>
                <w:lang w:val="es-ES" w:eastAsia="en-CA"/>
              </w:rPr>
              <w:t>964</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14</w:t>
            </w:r>
            <w:r w:rsidR="004360ED" w:rsidRPr="008F4B68">
              <w:rPr>
                <w:color w:val="000000"/>
                <w:sz w:val="19"/>
                <w:szCs w:val="19"/>
                <w:lang w:val="es-ES" w:eastAsia="en-CA"/>
              </w:rPr>
              <w:t> </w:t>
            </w:r>
            <w:r w:rsidRPr="008F4B68">
              <w:rPr>
                <w:color w:val="000000"/>
                <w:sz w:val="19"/>
                <w:szCs w:val="19"/>
                <w:lang w:val="es-ES" w:eastAsia="en-CA"/>
              </w:rPr>
              <w:t>223</w:t>
            </w:r>
            <w:r w:rsidR="004360ED" w:rsidRPr="008F4B68">
              <w:rPr>
                <w:color w:val="000000"/>
                <w:sz w:val="19"/>
                <w:szCs w:val="19"/>
                <w:lang w:val="es-ES" w:eastAsia="en-CA"/>
              </w:rPr>
              <w:t> </w:t>
            </w:r>
            <w:r w:rsidRPr="008F4B68">
              <w:rPr>
                <w:color w:val="000000"/>
                <w:sz w:val="19"/>
                <w:szCs w:val="19"/>
                <w:lang w:val="es-ES" w:eastAsia="en-CA"/>
              </w:rPr>
              <w:t>540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040</w:t>
            </w:r>
            <w:r w:rsidR="004360ED" w:rsidRPr="008F4B68">
              <w:rPr>
                <w:color w:val="000000"/>
                <w:sz w:val="19"/>
                <w:szCs w:val="19"/>
                <w:lang w:val="es-ES" w:eastAsia="en-CA"/>
              </w:rPr>
              <w:t> </w:t>
            </w:r>
            <w:r w:rsidRPr="008F4B68">
              <w:rPr>
                <w:color w:val="000000"/>
                <w:sz w:val="19"/>
                <w:szCs w:val="19"/>
                <w:lang w:val="es-ES" w:eastAsia="en-CA"/>
              </w:rPr>
              <w:t>424</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31</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500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55</w:t>
            </w:r>
            <w:r w:rsidR="004360ED" w:rsidRPr="008F4B68">
              <w:rPr>
                <w:color w:val="000000"/>
                <w:sz w:val="19"/>
                <w:szCs w:val="19"/>
                <w:lang w:val="es-ES" w:eastAsia="en-CA"/>
              </w:rPr>
              <w:t> </w:t>
            </w:r>
            <w:r w:rsidRPr="008F4B68">
              <w:rPr>
                <w:color w:val="000000"/>
                <w:sz w:val="19"/>
                <w:szCs w:val="19"/>
                <w:lang w:val="es-ES" w:eastAsia="en-CA"/>
              </w:rPr>
              <w:t>556</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w:t>
            </w:r>
            <w:r w:rsidRPr="008F4B68">
              <w:rPr>
                <w:color w:val="000000"/>
                <w:sz w:val="19"/>
                <w:szCs w:val="19"/>
                <w:lang w:val="es-ES" w:eastAsia="en-CA"/>
              </w:rPr>
              <w:t>52</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112</w:t>
            </w:r>
            <w:r w:rsidR="004360ED" w:rsidRPr="008F4B68">
              <w:rPr>
                <w:color w:val="000000"/>
                <w:sz w:val="19"/>
                <w:szCs w:val="19"/>
                <w:lang w:val="es-ES" w:eastAsia="en-CA"/>
              </w:rPr>
              <w:t> </w:t>
            </w:r>
            <w:r w:rsidRPr="008F4B68">
              <w:rPr>
                <w:color w:val="000000"/>
                <w:sz w:val="19"/>
                <w:szCs w:val="19"/>
                <w:lang w:val="es-ES" w:eastAsia="en-CA"/>
              </w:rPr>
              <w:t>800</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123</w:t>
            </w:r>
            <w:r w:rsidR="004360ED" w:rsidRPr="008F4B68">
              <w:rPr>
                <w:color w:val="000000"/>
                <w:sz w:val="19"/>
                <w:szCs w:val="19"/>
                <w:lang w:val="es-ES" w:eastAsia="en-CA"/>
              </w:rPr>
              <w:t> </w:t>
            </w:r>
            <w:r w:rsidRPr="008F4B68">
              <w:rPr>
                <w:color w:val="000000"/>
                <w:sz w:val="19"/>
                <w:szCs w:val="19"/>
                <w:lang w:val="es-ES" w:eastAsia="en-CA"/>
              </w:rPr>
              <w:t>644</w:t>
            </w:r>
          </w:p>
        </w:tc>
      </w:tr>
      <w:tr w:rsidR="001148A7" w:rsidRPr="008F4B68" w:rsidTr="00CF2D8C">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rsidR="001148A7" w:rsidRPr="008F4B68" w:rsidRDefault="004360ED" w:rsidP="00CF2D8C">
            <w:pPr>
              <w:jc w:val="left"/>
              <w:rPr>
                <w:color w:val="000000"/>
                <w:sz w:val="19"/>
                <w:szCs w:val="19"/>
                <w:lang w:val="es-ES" w:eastAsia="en-CA"/>
              </w:rPr>
            </w:pPr>
            <w:r w:rsidRPr="008F4B68">
              <w:rPr>
                <w:color w:val="000000"/>
                <w:sz w:val="19"/>
                <w:szCs w:val="19"/>
                <w:lang w:val="es-ES" w:eastAsia="en-CA"/>
              </w:rPr>
              <w:t>Viet </w:t>
            </w:r>
            <w:r w:rsidR="001148A7" w:rsidRPr="008F4B68">
              <w:rPr>
                <w:color w:val="000000"/>
                <w:sz w:val="19"/>
                <w:szCs w:val="19"/>
                <w:lang w:val="es-ES" w:eastAsia="en-CA"/>
              </w:rPr>
              <w:t>Nam</w:t>
            </w:r>
          </w:p>
        </w:tc>
        <w:tc>
          <w:tcPr>
            <w:tcW w:w="548"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r w:rsidR="004360ED" w:rsidRPr="008F4B68">
              <w:rPr>
                <w:color w:val="000000"/>
                <w:sz w:val="19"/>
                <w:szCs w:val="19"/>
                <w:lang w:val="es-ES" w:eastAsia="en-CA"/>
              </w:rPr>
              <w:t> </w:t>
            </w:r>
            <w:r w:rsidRPr="008F4B68">
              <w:rPr>
                <w:color w:val="000000"/>
                <w:sz w:val="19"/>
                <w:szCs w:val="19"/>
                <w:lang w:val="es-ES" w:eastAsia="en-CA"/>
              </w:rPr>
              <w:t>809</w:t>
            </w:r>
            <w:r w:rsidR="004360ED" w:rsidRPr="008F4B68">
              <w:rPr>
                <w:color w:val="000000"/>
                <w:sz w:val="19"/>
                <w:szCs w:val="19"/>
                <w:lang w:val="es-ES" w:eastAsia="en-CA"/>
              </w:rPr>
              <w:t> </w:t>
            </w:r>
            <w:r w:rsidRPr="008F4B68">
              <w:rPr>
                <w:color w:val="000000"/>
                <w:sz w:val="19"/>
                <w:szCs w:val="19"/>
                <w:lang w:val="es-ES" w:eastAsia="en-CA"/>
              </w:rPr>
              <w:t>397</w:t>
            </w:r>
          </w:p>
        </w:tc>
        <w:tc>
          <w:tcPr>
            <w:tcW w:w="102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9</w:t>
            </w:r>
            <w:r w:rsidR="004360ED" w:rsidRPr="008F4B68">
              <w:rPr>
                <w:color w:val="000000"/>
                <w:sz w:val="19"/>
                <w:szCs w:val="19"/>
                <w:lang w:val="es-ES" w:eastAsia="en-CA"/>
              </w:rPr>
              <w:t> </w:t>
            </w:r>
            <w:r w:rsidRPr="008F4B68">
              <w:rPr>
                <w:color w:val="000000"/>
                <w:sz w:val="19"/>
                <w:szCs w:val="19"/>
                <w:lang w:val="es-ES" w:eastAsia="en-CA"/>
              </w:rPr>
              <w:t>125</w:t>
            </w:r>
            <w:r w:rsidR="004360ED" w:rsidRPr="008F4B68">
              <w:rPr>
                <w:color w:val="000000"/>
                <w:sz w:val="19"/>
                <w:szCs w:val="19"/>
                <w:lang w:val="es-ES" w:eastAsia="en-CA"/>
              </w:rPr>
              <w:t> </w:t>
            </w:r>
            <w:r w:rsidRPr="008F4B68">
              <w:rPr>
                <w:color w:val="000000"/>
                <w:sz w:val="19"/>
                <w:szCs w:val="19"/>
                <w:lang w:val="es-ES" w:eastAsia="en-CA"/>
              </w:rPr>
              <w:t>020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684</w:t>
            </w:r>
            <w:r w:rsidR="004360ED" w:rsidRPr="008F4B68">
              <w:rPr>
                <w:color w:val="000000"/>
                <w:sz w:val="19"/>
                <w:szCs w:val="19"/>
                <w:lang w:val="es-ES" w:eastAsia="en-CA"/>
              </w:rPr>
              <w:t> </w:t>
            </w:r>
            <w:r w:rsidRPr="008F4B68">
              <w:rPr>
                <w:color w:val="000000"/>
                <w:sz w:val="19"/>
                <w:szCs w:val="19"/>
                <w:lang w:val="es-ES" w:eastAsia="en-CA"/>
              </w:rPr>
              <w:t>377</w:t>
            </w:r>
          </w:p>
        </w:tc>
        <w:tc>
          <w:tcPr>
            <w:tcW w:w="84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532</w:t>
            </w:r>
            <w:r w:rsidR="004360ED" w:rsidRPr="008F4B68">
              <w:rPr>
                <w:color w:val="000000"/>
                <w:sz w:val="19"/>
                <w:szCs w:val="19"/>
                <w:lang w:val="es-ES" w:eastAsia="en-CA"/>
              </w:rPr>
              <w:t> </w:t>
            </w:r>
            <w:r w:rsidRPr="008F4B68">
              <w:rPr>
                <w:color w:val="000000"/>
                <w:sz w:val="19"/>
                <w:szCs w:val="19"/>
                <w:lang w:val="es-ES" w:eastAsia="en-CA"/>
              </w:rPr>
              <w:t>572</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88</w:t>
            </w:r>
            <w:r w:rsidR="004360ED" w:rsidRPr="008F4B68">
              <w:rPr>
                <w:color w:val="000000"/>
                <w:sz w:val="19"/>
                <w:szCs w:val="19"/>
                <w:lang w:val="es-ES" w:eastAsia="en-CA"/>
              </w:rPr>
              <w:t> </w:t>
            </w:r>
            <w:r w:rsidRPr="008F4B68">
              <w:rPr>
                <w:color w:val="000000"/>
                <w:sz w:val="19"/>
                <w:szCs w:val="19"/>
                <w:lang w:val="es-ES" w:eastAsia="en-CA"/>
              </w:rPr>
              <w:t>762</w:t>
            </w:r>
          </w:p>
        </w:tc>
        <w:tc>
          <w:tcPr>
            <w:tcW w:w="73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w:t>
            </w:r>
            <w:r w:rsidRPr="008F4B68">
              <w:rPr>
                <w:color w:val="000000"/>
                <w:sz w:val="19"/>
                <w:szCs w:val="19"/>
                <w:lang w:val="es-ES" w:eastAsia="en-CA"/>
              </w:rPr>
              <w:t>84</w:t>
            </w:r>
          </w:p>
        </w:tc>
        <w:tc>
          <w:tcPr>
            <w:tcW w:w="92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661</w:t>
            </w:r>
            <w:r w:rsidR="004360ED" w:rsidRPr="008F4B68">
              <w:rPr>
                <w:color w:val="000000"/>
                <w:sz w:val="19"/>
                <w:szCs w:val="19"/>
                <w:lang w:val="es-ES" w:eastAsia="en-CA"/>
              </w:rPr>
              <w:t> </w:t>
            </w:r>
            <w:r w:rsidRPr="008F4B68">
              <w:rPr>
                <w:color w:val="000000"/>
                <w:sz w:val="19"/>
                <w:szCs w:val="19"/>
                <w:lang w:val="es-ES" w:eastAsia="en-CA"/>
              </w:rPr>
              <w:t>506</w:t>
            </w:r>
          </w:p>
        </w:tc>
        <w:tc>
          <w:tcPr>
            <w:tcW w:w="87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110</w:t>
            </w:r>
            <w:r w:rsidR="004360ED" w:rsidRPr="008F4B68">
              <w:rPr>
                <w:color w:val="000000"/>
                <w:sz w:val="19"/>
                <w:szCs w:val="19"/>
                <w:lang w:val="es-ES" w:eastAsia="en-CA"/>
              </w:rPr>
              <w:t> </w:t>
            </w:r>
            <w:r w:rsidRPr="008F4B68">
              <w:rPr>
                <w:color w:val="000000"/>
                <w:sz w:val="19"/>
                <w:szCs w:val="19"/>
                <w:lang w:val="es-ES" w:eastAsia="en-CA"/>
              </w:rPr>
              <w:t>251</w:t>
            </w: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rsidR="001148A7" w:rsidRPr="008F4B68" w:rsidRDefault="001148A7" w:rsidP="00CF2D8C">
            <w:pPr>
              <w:rPr>
                <w:color w:val="000000"/>
                <w:sz w:val="19"/>
                <w:szCs w:val="19"/>
                <w:lang w:val="es-ES" w:eastAsia="en-CA"/>
              </w:rPr>
            </w:pPr>
            <w:r w:rsidRPr="008F4B68">
              <w:rPr>
                <w:color w:val="000000"/>
                <w:sz w:val="19"/>
                <w:szCs w:val="19"/>
                <w:lang w:val="es-ES" w:eastAsia="en-CA"/>
              </w:rPr>
              <w:t>Total</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rsidR="001148A7" w:rsidRPr="008F4B68" w:rsidRDefault="001148A7" w:rsidP="00CF2D8C">
            <w:pPr>
              <w:jc w:val="right"/>
              <w:rPr>
                <w:color w:val="000000"/>
                <w:sz w:val="19"/>
                <w:szCs w:val="19"/>
                <w:lang w:val="es-ES" w:eastAsia="en-CA"/>
              </w:rPr>
            </w:pP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sz w:val="19"/>
                <w:szCs w:val="19"/>
                <w:lang w:val="es-ES"/>
              </w:rPr>
            </w:pPr>
            <w:r w:rsidRPr="008F4B68">
              <w:rPr>
                <w:sz w:val="19"/>
                <w:szCs w:val="19"/>
                <w:lang w:val="es-ES"/>
              </w:rPr>
              <w:t>233</w:t>
            </w:r>
            <w:r w:rsidR="004360ED" w:rsidRPr="008F4B68">
              <w:rPr>
                <w:sz w:val="19"/>
                <w:szCs w:val="19"/>
                <w:lang w:val="es-ES"/>
              </w:rPr>
              <w:t> </w:t>
            </w:r>
            <w:r w:rsidRPr="008F4B68">
              <w:rPr>
                <w:sz w:val="19"/>
                <w:szCs w:val="19"/>
                <w:lang w:val="es-ES"/>
              </w:rPr>
              <w:t>756</w:t>
            </w:r>
            <w:r w:rsidR="004360ED" w:rsidRPr="008F4B68">
              <w:rPr>
                <w:sz w:val="19"/>
                <w:szCs w:val="19"/>
                <w:lang w:val="es-ES"/>
              </w:rPr>
              <w:t> </w:t>
            </w:r>
            <w:r w:rsidRPr="008F4B68">
              <w:rPr>
                <w:sz w:val="19"/>
                <w:szCs w:val="19"/>
                <w:lang w:val="es-ES"/>
              </w:rPr>
              <w:t>258</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sz w:val="19"/>
                <w:szCs w:val="19"/>
                <w:lang w:val="es-ES"/>
              </w:rPr>
            </w:pPr>
            <w:r w:rsidRPr="008F4B68">
              <w:rPr>
                <w:sz w:val="19"/>
                <w:szCs w:val="19"/>
                <w:lang w:val="es-ES"/>
              </w:rPr>
              <w:t>217</w:t>
            </w:r>
            <w:r w:rsidR="004360ED" w:rsidRPr="008F4B68">
              <w:rPr>
                <w:sz w:val="19"/>
                <w:szCs w:val="19"/>
                <w:lang w:val="es-ES"/>
              </w:rPr>
              <w:t> </w:t>
            </w:r>
            <w:r w:rsidRPr="008F4B68">
              <w:rPr>
                <w:sz w:val="19"/>
                <w:szCs w:val="19"/>
                <w:lang w:val="es-ES"/>
              </w:rPr>
              <w:t>691</w:t>
            </w:r>
            <w:r w:rsidR="004360ED" w:rsidRPr="008F4B68">
              <w:rPr>
                <w:sz w:val="19"/>
                <w:szCs w:val="19"/>
                <w:lang w:val="es-ES"/>
              </w:rPr>
              <w:t> </w:t>
            </w:r>
            <w:r w:rsidRPr="008F4B68">
              <w:rPr>
                <w:sz w:val="19"/>
                <w:szCs w:val="19"/>
                <w:lang w:val="es-ES"/>
              </w:rPr>
              <w:t>657</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sz w:val="19"/>
                <w:szCs w:val="19"/>
                <w:lang w:val="es-ES"/>
              </w:rPr>
            </w:pPr>
            <w:r w:rsidRPr="008F4B68">
              <w:rPr>
                <w:sz w:val="19"/>
                <w:szCs w:val="19"/>
                <w:lang w:val="es-ES"/>
              </w:rPr>
              <w:t>16</w:t>
            </w:r>
            <w:r w:rsidR="004360ED" w:rsidRPr="008F4B68">
              <w:rPr>
                <w:sz w:val="19"/>
                <w:szCs w:val="19"/>
                <w:lang w:val="es-ES"/>
              </w:rPr>
              <w:t> </w:t>
            </w:r>
            <w:r w:rsidRPr="008F4B68">
              <w:rPr>
                <w:sz w:val="19"/>
                <w:szCs w:val="19"/>
                <w:lang w:val="es-ES"/>
              </w:rPr>
              <w:t>064</w:t>
            </w:r>
            <w:r w:rsidR="004360ED" w:rsidRPr="008F4B68">
              <w:rPr>
                <w:sz w:val="19"/>
                <w:szCs w:val="19"/>
                <w:lang w:val="es-ES"/>
              </w:rPr>
              <w:t> </w:t>
            </w:r>
            <w:r w:rsidRPr="008F4B68">
              <w:rPr>
                <w:sz w:val="19"/>
                <w:szCs w:val="19"/>
                <w:lang w:val="es-ES"/>
              </w:rPr>
              <w:t>601</w:t>
            </w: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sz w:val="19"/>
                <w:szCs w:val="19"/>
                <w:lang w:val="es-ES"/>
              </w:rPr>
            </w:pPr>
            <w:r w:rsidRPr="008F4B68">
              <w:rPr>
                <w:sz w:val="19"/>
                <w:szCs w:val="19"/>
                <w:lang w:val="es-ES"/>
              </w:rPr>
              <w:t>7</w:t>
            </w:r>
            <w:r w:rsidR="004360ED" w:rsidRPr="008F4B68">
              <w:rPr>
                <w:sz w:val="19"/>
                <w:szCs w:val="19"/>
                <w:lang w:val="es-ES"/>
              </w:rPr>
              <w:t>,</w:t>
            </w:r>
            <w:r w:rsidRPr="008F4B68">
              <w:rPr>
                <w:sz w:val="19"/>
                <w:szCs w:val="19"/>
                <w:lang w:val="es-ES"/>
              </w:rPr>
              <w:t>38</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sz w:val="19"/>
                <w:szCs w:val="19"/>
                <w:lang w:val="es-ES"/>
              </w:rPr>
            </w:pPr>
            <w:r w:rsidRPr="008F4B68">
              <w:rPr>
                <w:sz w:val="19"/>
                <w:szCs w:val="19"/>
                <w:lang w:val="es-ES"/>
              </w:rPr>
              <w:t>10</w:t>
            </w:r>
            <w:r w:rsidR="004360ED" w:rsidRPr="008F4B68">
              <w:rPr>
                <w:sz w:val="19"/>
                <w:szCs w:val="19"/>
                <w:lang w:val="es-ES"/>
              </w:rPr>
              <w:t> </w:t>
            </w:r>
            <w:r w:rsidRPr="008F4B68">
              <w:rPr>
                <w:sz w:val="19"/>
                <w:szCs w:val="19"/>
                <w:lang w:val="es-ES"/>
              </w:rPr>
              <w:t>386</w:t>
            </w:r>
            <w:r w:rsidR="004360ED" w:rsidRPr="008F4B68">
              <w:rPr>
                <w:sz w:val="19"/>
                <w:szCs w:val="19"/>
                <w:lang w:val="es-ES"/>
              </w:rPr>
              <w:t> </w:t>
            </w:r>
            <w:r w:rsidRPr="008F4B68">
              <w:rPr>
                <w:sz w:val="19"/>
                <w:szCs w:val="19"/>
                <w:lang w:val="es-ES"/>
              </w:rPr>
              <w:t>804</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sz w:val="19"/>
                <w:szCs w:val="19"/>
                <w:lang w:val="es-ES"/>
              </w:rPr>
            </w:pPr>
            <w:r w:rsidRPr="008F4B68">
              <w:rPr>
                <w:sz w:val="19"/>
                <w:szCs w:val="19"/>
                <w:lang w:val="es-ES"/>
              </w:rPr>
              <w:t>1</w:t>
            </w:r>
            <w:r w:rsidR="004360ED" w:rsidRPr="008F4B68">
              <w:rPr>
                <w:sz w:val="19"/>
                <w:szCs w:val="19"/>
                <w:lang w:val="es-ES"/>
              </w:rPr>
              <w:t> </w:t>
            </w:r>
            <w:r w:rsidRPr="008F4B68">
              <w:rPr>
                <w:sz w:val="19"/>
                <w:szCs w:val="19"/>
                <w:lang w:val="es-ES"/>
              </w:rPr>
              <w:t>386</w:t>
            </w:r>
            <w:r w:rsidR="004360ED" w:rsidRPr="008F4B68">
              <w:rPr>
                <w:sz w:val="19"/>
                <w:szCs w:val="19"/>
                <w:lang w:val="es-ES"/>
              </w:rPr>
              <w:t> </w:t>
            </w:r>
            <w:r w:rsidRPr="008F4B68">
              <w:rPr>
                <w:sz w:val="19"/>
                <w:szCs w:val="19"/>
                <w:lang w:val="es-ES"/>
              </w:rPr>
              <w:t>271</w:t>
            </w: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sz w:val="19"/>
                <w:szCs w:val="19"/>
                <w:lang w:val="es-ES"/>
              </w:rPr>
            </w:pPr>
            <w:r w:rsidRPr="008F4B68">
              <w:rPr>
                <w:sz w:val="19"/>
                <w:szCs w:val="19"/>
                <w:lang w:val="es-ES"/>
              </w:rPr>
              <w:t>4</w:t>
            </w:r>
            <w:r w:rsidR="004360ED" w:rsidRPr="008F4B68">
              <w:rPr>
                <w:sz w:val="19"/>
                <w:szCs w:val="19"/>
                <w:lang w:val="es-ES"/>
              </w:rPr>
              <w:t>,</w:t>
            </w:r>
            <w:r w:rsidRPr="008F4B68">
              <w:rPr>
                <w:sz w:val="19"/>
                <w:szCs w:val="19"/>
                <w:lang w:val="es-ES"/>
              </w:rPr>
              <w:t>77</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sz w:val="19"/>
                <w:szCs w:val="19"/>
                <w:lang w:val="es-ES"/>
              </w:rPr>
            </w:pPr>
            <w:r w:rsidRPr="008F4B68">
              <w:rPr>
                <w:sz w:val="19"/>
                <w:szCs w:val="19"/>
                <w:lang w:val="es-ES"/>
              </w:rPr>
              <w:t>24</w:t>
            </w:r>
            <w:r w:rsidR="004360ED" w:rsidRPr="008F4B68">
              <w:rPr>
                <w:sz w:val="19"/>
                <w:szCs w:val="19"/>
                <w:lang w:val="es-ES"/>
              </w:rPr>
              <w:t> </w:t>
            </w:r>
            <w:r w:rsidRPr="008F4B68">
              <w:rPr>
                <w:sz w:val="19"/>
                <w:szCs w:val="19"/>
                <w:lang w:val="es-ES"/>
              </w:rPr>
              <w:t>719</w:t>
            </w:r>
            <w:r w:rsidR="004360ED" w:rsidRPr="008F4B68">
              <w:rPr>
                <w:sz w:val="19"/>
                <w:szCs w:val="19"/>
                <w:lang w:val="es-ES"/>
              </w:rPr>
              <w:t> </w:t>
            </w:r>
            <w:r w:rsidRPr="008F4B68">
              <w:rPr>
                <w:sz w:val="19"/>
                <w:szCs w:val="19"/>
                <w:lang w:val="es-ES"/>
              </w:rPr>
              <w:t>226</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1148A7" w:rsidRPr="008F4B68" w:rsidRDefault="001148A7" w:rsidP="00CF2D8C">
            <w:pPr>
              <w:jc w:val="right"/>
              <w:rPr>
                <w:sz w:val="19"/>
                <w:szCs w:val="19"/>
                <w:lang w:val="es-ES"/>
              </w:rPr>
            </w:pPr>
            <w:r w:rsidRPr="008F4B68">
              <w:rPr>
                <w:sz w:val="19"/>
                <w:szCs w:val="19"/>
                <w:lang w:val="es-ES"/>
              </w:rPr>
              <w:t>3</w:t>
            </w:r>
            <w:r w:rsidR="004360ED" w:rsidRPr="008F4B68">
              <w:rPr>
                <w:sz w:val="19"/>
                <w:szCs w:val="19"/>
                <w:lang w:val="es-ES"/>
              </w:rPr>
              <w:t> </w:t>
            </w:r>
            <w:r w:rsidRPr="008F4B68">
              <w:rPr>
                <w:sz w:val="19"/>
                <w:szCs w:val="19"/>
                <w:lang w:val="es-ES"/>
              </w:rPr>
              <w:t>232</w:t>
            </w:r>
            <w:r w:rsidR="004360ED" w:rsidRPr="008F4B68">
              <w:rPr>
                <w:sz w:val="19"/>
                <w:szCs w:val="19"/>
                <w:lang w:val="es-ES"/>
              </w:rPr>
              <w:t> </w:t>
            </w:r>
            <w:r w:rsidRPr="008F4B68">
              <w:rPr>
                <w:sz w:val="19"/>
                <w:szCs w:val="19"/>
                <w:lang w:val="es-ES"/>
              </w:rPr>
              <w:t>443</w:t>
            </w: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1148A7" w:rsidP="00CF2D8C">
            <w:pPr>
              <w:jc w:val="left"/>
              <w:rPr>
                <w:b/>
                <w:color w:val="000000"/>
                <w:sz w:val="19"/>
                <w:szCs w:val="19"/>
                <w:lang w:val="es-ES" w:eastAsia="en-CA"/>
              </w:rPr>
            </w:pPr>
            <w:r w:rsidRPr="008F4B68">
              <w:rPr>
                <w:b/>
                <w:color w:val="000000"/>
                <w:sz w:val="19"/>
                <w:szCs w:val="19"/>
                <w:lang w:val="es-ES" w:eastAsia="en-CA"/>
              </w:rPr>
              <w:t>China</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4360ED" w:rsidP="004360ED">
            <w:pPr>
              <w:jc w:val="left"/>
              <w:rPr>
                <w:color w:val="000000"/>
                <w:sz w:val="19"/>
                <w:szCs w:val="19"/>
                <w:lang w:val="es-ES" w:eastAsia="en-CA"/>
              </w:rPr>
            </w:pPr>
            <w:r w:rsidRPr="008F4B68">
              <w:rPr>
                <w:color w:val="000000"/>
                <w:sz w:val="19"/>
                <w:szCs w:val="19"/>
                <w:lang w:val="es-ES" w:eastAsia="en-CA"/>
              </w:rPr>
              <w:t>C</w:t>
            </w:r>
            <w:r w:rsidR="001148A7" w:rsidRPr="008F4B68">
              <w:rPr>
                <w:color w:val="000000"/>
                <w:sz w:val="19"/>
                <w:szCs w:val="19"/>
                <w:lang w:val="es-ES" w:eastAsia="en-CA"/>
              </w:rPr>
              <w:t>oord.</w:t>
            </w:r>
            <w:r w:rsidRPr="008F4B68">
              <w:rPr>
                <w:color w:val="000000"/>
                <w:sz w:val="19"/>
                <w:szCs w:val="19"/>
                <w:lang w:val="es-ES" w:eastAsia="en-CA"/>
              </w:rPr>
              <w:t xml:space="preserve"> Nacional</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387</w:t>
            </w:r>
            <w:r w:rsidR="004360ED" w:rsidRPr="008F4B68">
              <w:rPr>
                <w:color w:val="000000"/>
                <w:sz w:val="19"/>
                <w:szCs w:val="19"/>
                <w:lang w:val="es-ES" w:eastAsia="en-CA"/>
              </w:rPr>
              <w:t> </w:t>
            </w:r>
            <w:r w:rsidRPr="008F4B68">
              <w:rPr>
                <w:color w:val="000000"/>
                <w:sz w:val="19"/>
                <w:szCs w:val="19"/>
                <w:lang w:val="es-ES" w:eastAsia="en-CA"/>
              </w:rPr>
              <w:t>000</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360</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27</w:t>
            </w:r>
            <w:r w:rsidR="004360ED" w:rsidRPr="008F4B68">
              <w:rPr>
                <w:color w:val="000000"/>
                <w:sz w:val="19"/>
                <w:szCs w:val="19"/>
                <w:lang w:val="es-ES" w:eastAsia="en-CA"/>
              </w:rPr>
              <w:t> </w:t>
            </w:r>
            <w:r w:rsidRPr="008F4B68">
              <w:rPr>
                <w:color w:val="000000"/>
                <w:sz w:val="19"/>
                <w:szCs w:val="19"/>
                <w:lang w:val="es-ES" w:eastAsia="en-CA"/>
              </w:rPr>
              <w:t>000</w:t>
            </w: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23</w:t>
            </w:r>
            <w:r w:rsidR="004360ED" w:rsidRPr="008F4B68">
              <w:rPr>
                <w:color w:val="000000"/>
                <w:sz w:val="19"/>
                <w:szCs w:val="19"/>
                <w:lang w:val="es-ES" w:eastAsia="en-CA"/>
              </w:rPr>
              <w:t> </w:t>
            </w:r>
            <w:r w:rsidRPr="008F4B68">
              <w:rPr>
                <w:color w:val="000000"/>
                <w:sz w:val="19"/>
                <w:szCs w:val="19"/>
                <w:lang w:val="es-ES" w:eastAsia="en-CA"/>
              </w:rPr>
              <w:t>400</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 </w:t>
            </w:r>
            <w:r w:rsidRPr="008F4B68">
              <w:rPr>
                <w:color w:val="000000"/>
                <w:sz w:val="19"/>
                <w:szCs w:val="19"/>
                <w:lang w:val="es-ES" w:eastAsia="en-CA"/>
              </w:rPr>
              <w:t>900</w:t>
            </w: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4360ED" w:rsidP="004360ED">
            <w:pPr>
              <w:jc w:val="left"/>
              <w:rPr>
                <w:color w:val="000000"/>
                <w:sz w:val="19"/>
                <w:szCs w:val="19"/>
                <w:lang w:val="es-ES" w:eastAsia="en-CA"/>
              </w:rPr>
            </w:pPr>
            <w:r w:rsidRPr="008F4B68">
              <w:rPr>
                <w:color w:val="000000"/>
                <w:sz w:val="19"/>
                <w:szCs w:val="19"/>
                <w:lang w:val="es-ES" w:eastAsia="en-CA"/>
              </w:rPr>
              <w:t>Espumas de poliuretano (</w:t>
            </w:r>
            <w:r w:rsidR="001148A7" w:rsidRPr="008F4B68">
              <w:rPr>
                <w:color w:val="000000"/>
                <w:sz w:val="19"/>
                <w:szCs w:val="19"/>
                <w:lang w:val="es-ES" w:eastAsia="en-CA"/>
              </w:rPr>
              <w:t>PU</w:t>
            </w:r>
            <w:r w:rsidRPr="008F4B68">
              <w:rPr>
                <w:color w:val="000000"/>
                <w:sz w:val="19"/>
                <w:szCs w:val="19"/>
                <w:lang w:val="es-ES" w:eastAsia="en-CA"/>
              </w:rPr>
              <w:t>)</w:t>
            </w:r>
            <w:r w:rsidR="001148A7" w:rsidRPr="008F4B68">
              <w:rPr>
                <w:color w:val="000000"/>
                <w:sz w:val="19"/>
                <w:szCs w:val="19"/>
                <w:lang w:val="es-ES" w:eastAsia="en-CA"/>
              </w:rPr>
              <w:t xml:space="preserve"> </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78</w:t>
            </w:r>
            <w:r w:rsidR="004360ED" w:rsidRPr="008F4B68">
              <w:rPr>
                <w:color w:val="000000"/>
                <w:sz w:val="19"/>
                <w:szCs w:val="19"/>
                <w:lang w:val="es-ES" w:eastAsia="en-CA"/>
              </w:rPr>
              <w:t> </w:t>
            </w:r>
            <w:r w:rsidRPr="008F4B68">
              <w:rPr>
                <w:color w:val="000000"/>
                <w:sz w:val="19"/>
                <w:szCs w:val="19"/>
                <w:lang w:val="es-ES" w:eastAsia="en-CA"/>
              </w:rPr>
              <w:t>303</w:t>
            </w:r>
            <w:r w:rsidR="004360ED" w:rsidRPr="008F4B68">
              <w:rPr>
                <w:color w:val="000000"/>
                <w:sz w:val="19"/>
                <w:szCs w:val="19"/>
                <w:lang w:val="es-ES" w:eastAsia="en-CA"/>
              </w:rPr>
              <w:t> </w:t>
            </w:r>
            <w:r w:rsidRPr="008F4B68">
              <w:rPr>
                <w:color w:val="000000"/>
                <w:sz w:val="19"/>
                <w:szCs w:val="19"/>
                <w:lang w:val="es-ES" w:eastAsia="en-CA"/>
              </w:rPr>
              <w:t>870</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73</w:t>
            </w:r>
            <w:r w:rsidR="004360ED" w:rsidRPr="008F4B68">
              <w:rPr>
                <w:color w:val="000000"/>
                <w:sz w:val="19"/>
                <w:szCs w:val="19"/>
                <w:lang w:val="es-ES" w:eastAsia="en-CA"/>
              </w:rPr>
              <w:t> </w:t>
            </w:r>
            <w:r w:rsidRPr="008F4B68">
              <w:rPr>
                <w:color w:val="000000"/>
                <w:sz w:val="19"/>
                <w:szCs w:val="19"/>
                <w:lang w:val="es-ES" w:eastAsia="en-CA"/>
              </w:rPr>
              <w:t>000</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 </w:t>
            </w:r>
            <w:r w:rsidRPr="008F4B68">
              <w:rPr>
                <w:color w:val="000000"/>
                <w:sz w:val="19"/>
                <w:szCs w:val="19"/>
                <w:lang w:val="es-ES" w:eastAsia="en-CA"/>
              </w:rPr>
              <w:t>303</w:t>
            </w:r>
            <w:r w:rsidR="004360ED" w:rsidRPr="008F4B68">
              <w:rPr>
                <w:color w:val="000000"/>
                <w:sz w:val="19"/>
                <w:szCs w:val="19"/>
                <w:lang w:val="es-ES" w:eastAsia="en-CA"/>
              </w:rPr>
              <w:t> </w:t>
            </w:r>
            <w:r w:rsidRPr="008F4B68">
              <w:rPr>
                <w:color w:val="000000"/>
                <w:sz w:val="19"/>
                <w:szCs w:val="19"/>
                <w:lang w:val="es-ES" w:eastAsia="en-CA"/>
              </w:rPr>
              <w:t>870</w:t>
            </w: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27</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 </w:t>
            </w:r>
            <w:r w:rsidRPr="008F4B68">
              <w:rPr>
                <w:color w:val="000000"/>
                <w:sz w:val="19"/>
                <w:szCs w:val="19"/>
                <w:lang w:val="es-ES" w:eastAsia="en-CA"/>
              </w:rPr>
              <w:t>650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608</w:t>
            </w:r>
            <w:r w:rsidR="004360ED" w:rsidRPr="008F4B68">
              <w:rPr>
                <w:color w:val="000000"/>
                <w:sz w:val="19"/>
                <w:szCs w:val="19"/>
                <w:lang w:val="es-ES" w:eastAsia="en-CA"/>
              </w:rPr>
              <w:t> </w:t>
            </w:r>
            <w:r w:rsidRPr="008F4B68">
              <w:rPr>
                <w:color w:val="000000"/>
                <w:sz w:val="19"/>
                <w:szCs w:val="19"/>
                <w:lang w:val="es-ES" w:eastAsia="en-CA"/>
              </w:rPr>
              <w:t>333</w:t>
            </w: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w:t>
            </w:r>
            <w:r w:rsidRPr="008F4B68">
              <w:rPr>
                <w:color w:val="000000"/>
                <w:sz w:val="19"/>
                <w:szCs w:val="19"/>
                <w:lang w:val="es-ES" w:eastAsia="en-CA"/>
              </w:rPr>
              <w:t>00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4360ED" w:rsidP="004360ED">
            <w:pPr>
              <w:jc w:val="left"/>
              <w:rPr>
                <w:color w:val="000000"/>
                <w:sz w:val="19"/>
                <w:szCs w:val="19"/>
                <w:lang w:val="es-ES" w:eastAsia="en-CA"/>
              </w:rPr>
            </w:pPr>
            <w:r w:rsidRPr="008F4B68">
              <w:rPr>
                <w:color w:val="000000"/>
                <w:sz w:val="19"/>
                <w:szCs w:val="19"/>
                <w:lang w:val="es-ES" w:eastAsia="en-CA"/>
              </w:rPr>
              <w:t xml:space="preserve">Espumas de </w:t>
            </w:r>
            <w:r w:rsidR="00E926A9" w:rsidRPr="008F4B68">
              <w:rPr>
                <w:color w:val="000000"/>
                <w:sz w:val="19"/>
                <w:szCs w:val="19"/>
                <w:lang w:val="es-ES" w:eastAsia="en-CA"/>
              </w:rPr>
              <w:t>poliestireno</w:t>
            </w:r>
            <w:r w:rsidRPr="008F4B68">
              <w:rPr>
                <w:color w:val="000000"/>
                <w:sz w:val="19"/>
                <w:szCs w:val="19"/>
                <w:lang w:val="es-ES" w:eastAsia="en-CA"/>
              </w:rPr>
              <w:t xml:space="preserve"> extruido</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53</w:t>
            </w:r>
            <w:r w:rsidR="004360ED" w:rsidRPr="008F4B68">
              <w:rPr>
                <w:color w:val="000000"/>
                <w:sz w:val="19"/>
                <w:szCs w:val="19"/>
                <w:lang w:val="es-ES" w:eastAsia="en-CA"/>
              </w:rPr>
              <w:t> </w:t>
            </w:r>
            <w:r w:rsidRPr="008F4B68">
              <w:rPr>
                <w:color w:val="000000"/>
                <w:sz w:val="19"/>
                <w:szCs w:val="19"/>
                <w:lang w:val="es-ES" w:eastAsia="en-CA"/>
              </w:rPr>
              <w:t>670</w:t>
            </w:r>
            <w:r w:rsidR="004360ED" w:rsidRPr="008F4B68">
              <w:rPr>
                <w:color w:val="000000"/>
                <w:sz w:val="19"/>
                <w:szCs w:val="19"/>
                <w:lang w:val="es-ES" w:eastAsia="en-CA"/>
              </w:rPr>
              <w:t> </w:t>
            </w:r>
            <w:r w:rsidRPr="008F4B68">
              <w:rPr>
                <w:color w:val="000000"/>
                <w:sz w:val="19"/>
                <w:szCs w:val="19"/>
                <w:lang w:val="es-ES" w:eastAsia="en-CA"/>
              </w:rPr>
              <w:t>860</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50</w:t>
            </w:r>
            <w:r w:rsidR="004360ED" w:rsidRPr="008F4B68">
              <w:rPr>
                <w:color w:val="000000"/>
                <w:sz w:val="19"/>
                <w:szCs w:val="19"/>
                <w:lang w:val="es-ES" w:eastAsia="en-CA"/>
              </w:rPr>
              <w:t> </w:t>
            </w:r>
            <w:r w:rsidRPr="008F4B68">
              <w:rPr>
                <w:color w:val="000000"/>
                <w:sz w:val="19"/>
                <w:szCs w:val="19"/>
                <w:lang w:val="es-ES" w:eastAsia="en-CA"/>
              </w:rPr>
              <w:t>000</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 </w:t>
            </w:r>
            <w:r w:rsidRPr="008F4B68">
              <w:rPr>
                <w:color w:val="000000"/>
                <w:sz w:val="19"/>
                <w:szCs w:val="19"/>
                <w:lang w:val="es-ES" w:eastAsia="en-CA"/>
              </w:rPr>
              <w:t>670</w:t>
            </w:r>
            <w:r w:rsidR="004360ED" w:rsidRPr="008F4B68">
              <w:rPr>
                <w:color w:val="000000"/>
                <w:sz w:val="19"/>
                <w:szCs w:val="19"/>
                <w:lang w:val="es-ES" w:eastAsia="en-CA"/>
              </w:rPr>
              <w:t> </w:t>
            </w:r>
            <w:r w:rsidRPr="008F4B68">
              <w:rPr>
                <w:color w:val="000000"/>
                <w:sz w:val="19"/>
                <w:szCs w:val="19"/>
                <w:lang w:val="es-ES" w:eastAsia="en-CA"/>
              </w:rPr>
              <w:t>860</w:t>
            </w: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34</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807</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467</w:t>
            </w:r>
            <w:r w:rsidR="004360ED" w:rsidRPr="008F4B68">
              <w:rPr>
                <w:color w:val="000000"/>
                <w:sz w:val="19"/>
                <w:szCs w:val="19"/>
                <w:lang w:val="es-ES" w:eastAsia="en-CA"/>
              </w:rPr>
              <w:t> </w:t>
            </w:r>
            <w:r w:rsidRPr="008F4B68">
              <w:rPr>
                <w:color w:val="000000"/>
                <w:sz w:val="19"/>
                <w:szCs w:val="19"/>
                <w:lang w:val="es-ES" w:eastAsia="en-CA"/>
              </w:rPr>
              <w:t>833</w:t>
            </w: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w:t>
            </w:r>
            <w:r w:rsidRPr="008F4B68">
              <w:rPr>
                <w:color w:val="000000"/>
                <w:sz w:val="19"/>
                <w:szCs w:val="19"/>
                <w:lang w:val="es-ES" w:eastAsia="en-CA"/>
              </w:rPr>
              <w:t>61</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1148A7" w:rsidP="004360ED">
            <w:pPr>
              <w:jc w:val="left"/>
              <w:rPr>
                <w:color w:val="000000"/>
                <w:sz w:val="19"/>
                <w:szCs w:val="19"/>
                <w:lang w:val="es-ES" w:eastAsia="en-CA"/>
              </w:rPr>
            </w:pPr>
            <w:r w:rsidRPr="008F4B68">
              <w:rPr>
                <w:color w:val="000000"/>
                <w:sz w:val="19"/>
                <w:szCs w:val="19"/>
                <w:lang w:val="es-ES" w:eastAsia="en-CA"/>
              </w:rPr>
              <w:t>R</w:t>
            </w:r>
            <w:r w:rsidR="004360ED" w:rsidRPr="008F4B68">
              <w:rPr>
                <w:color w:val="000000"/>
                <w:sz w:val="19"/>
                <w:szCs w:val="19"/>
                <w:lang w:val="es-ES" w:eastAsia="en-CA"/>
              </w:rPr>
              <w:t xml:space="preserve">efrigeración comercial e industrial </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65</w:t>
            </w:r>
            <w:r w:rsidR="004360ED" w:rsidRPr="008F4B68">
              <w:rPr>
                <w:color w:val="000000"/>
                <w:sz w:val="19"/>
                <w:szCs w:val="19"/>
                <w:lang w:val="es-ES" w:eastAsia="en-CA"/>
              </w:rPr>
              <w:t> </w:t>
            </w:r>
            <w:r w:rsidRPr="008F4B68">
              <w:rPr>
                <w:color w:val="000000"/>
                <w:sz w:val="19"/>
                <w:szCs w:val="19"/>
                <w:lang w:val="es-ES" w:eastAsia="en-CA"/>
              </w:rPr>
              <w:t>396</w:t>
            </w:r>
            <w:r w:rsidR="004360ED" w:rsidRPr="008F4B68">
              <w:rPr>
                <w:color w:val="000000"/>
                <w:sz w:val="19"/>
                <w:szCs w:val="19"/>
                <w:lang w:val="es-ES" w:eastAsia="en-CA"/>
              </w:rPr>
              <w:t> </w:t>
            </w:r>
            <w:r w:rsidRPr="008F4B68">
              <w:rPr>
                <w:color w:val="000000"/>
                <w:sz w:val="19"/>
                <w:szCs w:val="19"/>
                <w:lang w:val="es-ES" w:eastAsia="en-CA"/>
              </w:rPr>
              <w:t>900</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61</w:t>
            </w:r>
            <w:r w:rsidR="004360ED" w:rsidRPr="008F4B68">
              <w:rPr>
                <w:color w:val="000000"/>
                <w:sz w:val="19"/>
                <w:szCs w:val="19"/>
                <w:lang w:val="es-ES" w:eastAsia="en-CA"/>
              </w:rPr>
              <w:t> </w:t>
            </w:r>
            <w:r w:rsidRPr="008F4B68">
              <w:rPr>
                <w:color w:val="000000"/>
                <w:sz w:val="19"/>
                <w:szCs w:val="19"/>
                <w:lang w:val="es-ES" w:eastAsia="en-CA"/>
              </w:rPr>
              <w:t>000</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w:t>
            </w:r>
            <w:r w:rsidR="004360ED" w:rsidRPr="008F4B68">
              <w:rPr>
                <w:color w:val="000000"/>
                <w:sz w:val="19"/>
                <w:szCs w:val="19"/>
                <w:lang w:val="es-ES" w:eastAsia="en-CA"/>
              </w:rPr>
              <w:t> </w:t>
            </w:r>
            <w:r w:rsidRPr="008F4B68">
              <w:rPr>
                <w:color w:val="000000"/>
                <w:sz w:val="19"/>
                <w:szCs w:val="19"/>
                <w:lang w:val="es-ES" w:eastAsia="en-CA"/>
              </w:rPr>
              <w:t>396</w:t>
            </w:r>
            <w:r w:rsidR="004360ED" w:rsidRPr="008F4B68">
              <w:rPr>
                <w:color w:val="000000"/>
                <w:sz w:val="19"/>
                <w:szCs w:val="19"/>
                <w:lang w:val="es-ES" w:eastAsia="en-CA"/>
              </w:rPr>
              <w:t> </w:t>
            </w:r>
            <w:r w:rsidRPr="008F4B68">
              <w:rPr>
                <w:color w:val="000000"/>
                <w:sz w:val="19"/>
                <w:szCs w:val="19"/>
                <w:lang w:val="es-ES" w:eastAsia="en-CA"/>
              </w:rPr>
              <w:t>900</w:t>
            </w: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21</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w:t>
            </w:r>
            <w:r w:rsidR="004360ED" w:rsidRPr="008F4B68">
              <w:rPr>
                <w:color w:val="000000"/>
                <w:sz w:val="19"/>
                <w:szCs w:val="19"/>
                <w:lang w:val="es-ES" w:eastAsia="en-CA"/>
              </w:rPr>
              <w:t> </w:t>
            </w:r>
            <w:r w:rsidRPr="008F4B68">
              <w:rPr>
                <w:color w:val="000000"/>
                <w:sz w:val="19"/>
                <w:szCs w:val="19"/>
                <w:lang w:val="es-ES" w:eastAsia="en-CA"/>
              </w:rPr>
              <w:t>965</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660</w:t>
            </w:r>
            <w:r w:rsidR="004360ED" w:rsidRPr="008F4B68">
              <w:rPr>
                <w:color w:val="000000"/>
                <w:sz w:val="19"/>
                <w:szCs w:val="19"/>
                <w:lang w:val="es-ES" w:eastAsia="en-CA"/>
              </w:rPr>
              <w:t> </w:t>
            </w:r>
            <w:r w:rsidRPr="008F4B68">
              <w:rPr>
                <w:color w:val="000000"/>
                <w:sz w:val="19"/>
                <w:szCs w:val="19"/>
                <w:lang w:val="es-ES" w:eastAsia="en-CA"/>
              </w:rPr>
              <w:t>833</w:t>
            </w: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4360ED" w:rsidP="004360ED">
            <w:pPr>
              <w:jc w:val="left"/>
              <w:rPr>
                <w:color w:val="000000"/>
                <w:sz w:val="19"/>
                <w:szCs w:val="19"/>
                <w:lang w:val="es-ES" w:eastAsia="en-CA"/>
              </w:rPr>
            </w:pPr>
            <w:r w:rsidRPr="008F4B68">
              <w:rPr>
                <w:color w:val="000000"/>
                <w:sz w:val="19"/>
                <w:szCs w:val="19"/>
                <w:lang w:val="es-ES" w:eastAsia="en-CA"/>
              </w:rPr>
              <w:t>Refrigeración y climatización</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80</w:t>
            </w:r>
            <w:r w:rsidR="004360ED" w:rsidRPr="008F4B68">
              <w:rPr>
                <w:color w:val="000000"/>
                <w:sz w:val="19"/>
                <w:szCs w:val="19"/>
                <w:lang w:val="es-ES" w:eastAsia="en-CA"/>
              </w:rPr>
              <w:t> </w:t>
            </w:r>
            <w:r w:rsidRPr="008F4B68">
              <w:rPr>
                <w:color w:val="000000"/>
                <w:sz w:val="19"/>
                <w:szCs w:val="19"/>
                <w:lang w:val="es-ES" w:eastAsia="en-CA"/>
              </w:rPr>
              <w:t>432</w:t>
            </w:r>
            <w:r w:rsidR="004360ED" w:rsidRPr="008F4B68">
              <w:rPr>
                <w:color w:val="000000"/>
                <w:sz w:val="19"/>
                <w:szCs w:val="19"/>
                <w:lang w:val="es-ES" w:eastAsia="en-CA"/>
              </w:rPr>
              <w:t> </w:t>
            </w:r>
            <w:r w:rsidRPr="008F4B68">
              <w:rPr>
                <w:color w:val="000000"/>
                <w:sz w:val="19"/>
                <w:szCs w:val="19"/>
                <w:lang w:val="es-ES" w:eastAsia="en-CA"/>
              </w:rPr>
              <w:t>150</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75</w:t>
            </w:r>
            <w:r w:rsidR="004360ED" w:rsidRPr="008F4B68">
              <w:rPr>
                <w:color w:val="000000"/>
                <w:sz w:val="19"/>
                <w:szCs w:val="19"/>
                <w:lang w:val="es-ES" w:eastAsia="en-CA"/>
              </w:rPr>
              <w:t> </w:t>
            </w:r>
            <w:r w:rsidRPr="008F4B68">
              <w:rPr>
                <w:color w:val="000000"/>
                <w:sz w:val="19"/>
                <w:szCs w:val="19"/>
                <w:lang w:val="es-ES" w:eastAsia="en-CA"/>
              </w:rPr>
              <w:t>000</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 </w:t>
            </w:r>
            <w:r w:rsidRPr="008F4B68">
              <w:rPr>
                <w:color w:val="000000"/>
                <w:sz w:val="19"/>
                <w:szCs w:val="19"/>
                <w:lang w:val="es-ES" w:eastAsia="en-CA"/>
              </w:rPr>
              <w:t>432</w:t>
            </w:r>
            <w:r w:rsidR="004360ED" w:rsidRPr="008F4B68">
              <w:rPr>
                <w:color w:val="000000"/>
                <w:sz w:val="19"/>
                <w:szCs w:val="19"/>
                <w:lang w:val="es-ES" w:eastAsia="en-CA"/>
              </w:rPr>
              <w:t> </w:t>
            </w:r>
            <w:r w:rsidRPr="008F4B68">
              <w:rPr>
                <w:color w:val="000000"/>
                <w:sz w:val="19"/>
                <w:szCs w:val="19"/>
                <w:lang w:val="es-ES" w:eastAsia="en-CA"/>
              </w:rPr>
              <w:t>150</w:t>
            </w: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24</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w:t>
            </w:r>
            <w:r w:rsidR="004360ED" w:rsidRPr="008F4B68">
              <w:rPr>
                <w:color w:val="000000"/>
                <w:sz w:val="19"/>
                <w:szCs w:val="19"/>
                <w:lang w:val="es-ES" w:eastAsia="en-CA"/>
              </w:rPr>
              <w:t> </w:t>
            </w:r>
            <w:r w:rsidRPr="008F4B68">
              <w:rPr>
                <w:color w:val="000000"/>
                <w:sz w:val="19"/>
                <w:szCs w:val="19"/>
                <w:lang w:val="es-ES" w:eastAsia="en-CA"/>
              </w:rPr>
              <w:t>236</w:t>
            </w:r>
            <w:r w:rsidR="004360ED" w:rsidRPr="008F4B68">
              <w:rPr>
                <w:color w:val="000000"/>
                <w:sz w:val="19"/>
                <w:szCs w:val="19"/>
                <w:lang w:val="es-ES" w:eastAsia="en-CA"/>
              </w:rPr>
              <w:t> </w:t>
            </w:r>
            <w:r w:rsidRPr="008F4B68">
              <w:rPr>
                <w:color w:val="000000"/>
                <w:sz w:val="19"/>
                <w:szCs w:val="19"/>
                <w:lang w:val="es-ES" w:eastAsia="en-CA"/>
              </w:rPr>
              <w:t>550</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706</w:t>
            </w:r>
            <w:r w:rsidR="004360ED" w:rsidRPr="008F4B68">
              <w:rPr>
                <w:color w:val="000000"/>
                <w:sz w:val="19"/>
                <w:szCs w:val="19"/>
                <w:lang w:val="es-ES" w:eastAsia="en-CA"/>
              </w:rPr>
              <w:t> </w:t>
            </w:r>
            <w:r w:rsidRPr="008F4B68">
              <w:rPr>
                <w:color w:val="000000"/>
                <w:sz w:val="19"/>
                <w:szCs w:val="19"/>
                <w:lang w:val="es-ES" w:eastAsia="en-CA"/>
              </w:rPr>
              <w:t>092</w:t>
            </w: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w:t>
            </w:r>
            <w:r w:rsidRPr="008F4B68">
              <w:rPr>
                <w:color w:val="000000"/>
                <w:sz w:val="19"/>
                <w:szCs w:val="19"/>
                <w:lang w:val="es-ES" w:eastAsia="en-CA"/>
              </w:rPr>
              <w:t>65</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4360ED" w:rsidP="004360ED">
            <w:pPr>
              <w:jc w:val="left"/>
              <w:rPr>
                <w:color w:val="000000"/>
                <w:sz w:val="19"/>
                <w:szCs w:val="19"/>
                <w:lang w:val="es-ES" w:eastAsia="en-CA"/>
              </w:rPr>
            </w:pPr>
            <w:r w:rsidRPr="008F4B68">
              <w:rPr>
                <w:color w:val="000000"/>
                <w:sz w:val="19"/>
                <w:szCs w:val="19"/>
                <w:lang w:val="es-ES" w:eastAsia="en-CA"/>
              </w:rPr>
              <w:t>Disolventes</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 </w:t>
            </w:r>
            <w:r w:rsidRPr="008F4B68">
              <w:rPr>
                <w:color w:val="000000"/>
                <w:sz w:val="19"/>
                <w:szCs w:val="19"/>
                <w:lang w:val="es-ES" w:eastAsia="en-CA"/>
              </w:rPr>
              <w:t>362</w:t>
            </w:r>
            <w:r w:rsidR="004360ED" w:rsidRPr="008F4B68">
              <w:rPr>
                <w:color w:val="000000"/>
                <w:sz w:val="19"/>
                <w:szCs w:val="19"/>
                <w:lang w:val="es-ES" w:eastAsia="en-CA"/>
              </w:rPr>
              <w:t> </w:t>
            </w:r>
            <w:r w:rsidRPr="008F4B68">
              <w:rPr>
                <w:color w:val="000000"/>
                <w:sz w:val="19"/>
                <w:szCs w:val="19"/>
                <w:lang w:val="es-ES" w:eastAsia="en-CA"/>
              </w:rPr>
              <w:t>500</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 </w:t>
            </w:r>
            <w:r w:rsidRPr="008F4B68">
              <w:rPr>
                <w:color w:val="000000"/>
                <w:sz w:val="19"/>
                <w:szCs w:val="19"/>
                <w:lang w:val="es-ES" w:eastAsia="en-CA"/>
              </w:rPr>
              <w:t>000</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362</w:t>
            </w:r>
            <w:r w:rsidR="004360ED" w:rsidRPr="008F4B68">
              <w:rPr>
                <w:color w:val="000000"/>
                <w:sz w:val="19"/>
                <w:szCs w:val="19"/>
                <w:lang w:val="es-ES" w:eastAsia="en-CA"/>
              </w:rPr>
              <w:t> </w:t>
            </w:r>
            <w:r w:rsidRPr="008F4B68">
              <w:rPr>
                <w:color w:val="000000"/>
                <w:sz w:val="19"/>
                <w:szCs w:val="19"/>
                <w:lang w:val="es-ES" w:eastAsia="en-CA"/>
              </w:rPr>
              <w:t>500</w:t>
            </w: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25</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325</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54</w:t>
            </w:r>
            <w:r w:rsidR="004360ED" w:rsidRPr="008F4B68">
              <w:rPr>
                <w:color w:val="000000"/>
                <w:sz w:val="19"/>
                <w:szCs w:val="19"/>
                <w:lang w:val="es-ES" w:eastAsia="en-CA"/>
              </w:rPr>
              <w:t> </w:t>
            </w:r>
            <w:r w:rsidRPr="008F4B68">
              <w:rPr>
                <w:color w:val="000000"/>
                <w:sz w:val="19"/>
                <w:szCs w:val="19"/>
                <w:lang w:val="es-ES" w:eastAsia="en-CA"/>
              </w:rPr>
              <w:t>167</w:t>
            </w: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w:t>
            </w:r>
            <w:r w:rsidRPr="008F4B68">
              <w:rPr>
                <w:color w:val="000000"/>
                <w:sz w:val="19"/>
                <w:szCs w:val="19"/>
                <w:lang w:val="es-ES" w:eastAsia="en-CA"/>
              </w:rPr>
              <w:t>50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1148A7" w:rsidP="004360ED">
            <w:pPr>
              <w:jc w:val="left"/>
              <w:rPr>
                <w:color w:val="000000"/>
                <w:sz w:val="19"/>
                <w:szCs w:val="19"/>
                <w:lang w:val="es-ES" w:eastAsia="en-CA"/>
              </w:rPr>
            </w:pPr>
            <w:r w:rsidRPr="008F4B68">
              <w:rPr>
                <w:color w:val="000000"/>
                <w:sz w:val="19"/>
                <w:szCs w:val="19"/>
                <w:lang w:val="es-ES" w:eastAsia="en-CA"/>
              </w:rPr>
              <w:t>Servici</w:t>
            </w:r>
            <w:r w:rsidR="004360ED" w:rsidRPr="008F4B68">
              <w:rPr>
                <w:color w:val="000000"/>
                <w:sz w:val="19"/>
                <w:szCs w:val="19"/>
                <w:lang w:val="es-ES" w:eastAsia="en-CA"/>
              </w:rPr>
              <w:t>o mantenimiento</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w:t>
            </w:r>
            <w:r w:rsidR="004360ED" w:rsidRPr="008F4B68">
              <w:rPr>
                <w:color w:val="000000"/>
                <w:sz w:val="19"/>
                <w:szCs w:val="19"/>
                <w:lang w:val="es-ES" w:eastAsia="en-CA"/>
              </w:rPr>
              <w:t> </w:t>
            </w:r>
            <w:r w:rsidRPr="008F4B68">
              <w:rPr>
                <w:color w:val="000000"/>
                <w:sz w:val="19"/>
                <w:szCs w:val="19"/>
                <w:lang w:val="es-ES" w:eastAsia="en-CA"/>
              </w:rPr>
              <w:t>278</w:t>
            </w:r>
            <w:r w:rsidR="004360ED" w:rsidRPr="008F4B68">
              <w:rPr>
                <w:color w:val="000000"/>
                <w:sz w:val="19"/>
                <w:szCs w:val="19"/>
                <w:lang w:val="es-ES" w:eastAsia="en-CA"/>
              </w:rPr>
              <w:t> </w:t>
            </w:r>
            <w:r w:rsidRPr="008F4B68">
              <w:rPr>
                <w:color w:val="000000"/>
                <w:sz w:val="19"/>
                <w:szCs w:val="19"/>
                <w:lang w:val="es-ES" w:eastAsia="en-CA"/>
              </w:rPr>
              <w:t>400</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 </w:t>
            </w:r>
            <w:r w:rsidRPr="008F4B68">
              <w:rPr>
                <w:color w:val="000000"/>
                <w:sz w:val="19"/>
                <w:szCs w:val="19"/>
                <w:lang w:val="es-ES" w:eastAsia="en-CA"/>
              </w:rPr>
              <w:t>640</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638</w:t>
            </w:r>
            <w:r w:rsidR="004360ED" w:rsidRPr="008F4B68">
              <w:rPr>
                <w:color w:val="000000"/>
                <w:sz w:val="19"/>
                <w:szCs w:val="19"/>
                <w:lang w:val="es-ES" w:eastAsia="en-CA"/>
              </w:rPr>
              <w:t> </w:t>
            </w:r>
            <w:r w:rsidRPr="008F4B68">
              <w:rPr>
                <w:color w:val="000000"/>
                <w:sz w:val="19"/>
                <w:szCs w:val="19"/>
                <w:lang w:val="es-ES" w:eastAsia="en-CA"/>
              </w:rPr>
              <w:t>400</w:t>
            </w: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11</w:t>
            </w:r>
            <w:r w:rsidR="004360ED" w:rsidRPr="008F4B68">
              <w:rPr>
                <w:color w:val="000000"/>
                <w:sz w:val="19"/>
                <w:szCs w:val="19"/>
                <w:lang w:val="es-ES" w:eastAsia="en-CA"/>
              </w:rPr>
              <w:t>,</w:t>
            </w:r>
            <w:r w:rsidRPr="008F4B68">
              <w:rPr>
                <w:color w:val="000000"/>
                <w:sz w:val="19"/>
                <w:szCs w:val="19"/>
                <w:lang w:val="es-ES" w:eastAsia="en-CA"/>
              </w:rPr>
              <w:t>32</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400</w:t>
            </w:r>
            <w:r w:rsidR="004360ED" w:rsidRPr="008F4B68">
              <w:rPr>
                <w:color w:val="000000"/>
                <w:sz w:val="19"/>
                <w:szCs w:val="19"/>
                <w:lang w:val="es-ES" w:eastAsia="en-CA"/>
              </w:rPr>
              <w:t> </w:t>
            </w:r>
            <w:r w:rsidRPr="008F4B68">
              <w:rPr>
                <w:color w:val="000000"/>
                <w:sz w:val="19"/>
                <w:szCs w:val="19"/>
                <w:lang w:val="es-ES" w:eastAsia="en-CA"/>
              </w:rPr>
              <w:t>000</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66</w:t>
            </w:r>
            <w:r w:rsidR="004360ED" w:rsidRPr="008F4B68">
              <w:rPr>
                <w:color w:val="000000"/>
                <w:sz w:val="19"/>
                <w:szCs w:val="19"/>
                <w:lang w:val="es-ES" w:eastAsia="en-CA"/>
              </w:rPr>
              <w:t> </w:t>
            </w:r>
            <w:r w:rsidRPr="008F4B68">
              <w:rPr>
                <w:color w:val="000000"/>
                <w:sz w:val="19"/>
                <w:szCs w:val="19"/>
                <w:lang w:val="es-ES" w:eastAsia="en-CA"/>
              </w:rPr>
              <w:t>667</w:t>
            </w: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09</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r>
      <w:tr w:rsidR="001148A7" w:rsidRPr="008F4B68" w:rsidTr="00CF2D8C">
        <w:tc>
          <w:tcPr>
            <w:tcW w:w="127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1148A7" w:rsidRPr="008F4B68" w:rsidRDefault="001148A7" w:rsidP="00CF2D8C">
            <w:pPr>
              <w:jc w:val="left"/>
              <w:rPr>
                <w:color w:val="000000"/>
                <w:sz w:val="19"/>
                <w:szCs w:val="19"/>
                <w:lang w:val="es-ES" w:eastAsia="en-CA"/>
              </w:rPr>
            </w:pPr>
            <w:r w:rsidRPr="008F4B68">
              <w:rPr>
                <w:color w:val="000000"/>
                <w:sz w:val="19"/>
                <w:szCs w:val="19"/>
                <w:lang w:val="es-ES" w:eastAsia="en-CA"/>
              </w:rPr>
              <w:t>Total</w:t>
            </w:r>
          </w:p>
        </w:tc>
        <w:tc>
          <w:tcPr>
            <w:tcW w:w="54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289</w:t>
            </w:r>
            <w:r w:rsidR="004360ED" w:rsidRPr="008F4B68">
              <w:rPr>
                <w:color w:val="000000"/>
                <w:sz w:val="19"/>
                <w:szCs w:val="19"/>
                <w:lang w:val="es-ES" w:eastAsia="en-CA"/>
              </w:rPr>
              <w:t> </w:t>
            </w:r>
            <w:r w:rsidRPr="008F4B68">
              <w:rPr>
                <w:color w:val="000000"/>
                <w:sz w:val="19"/>
                <w:szCs w:val="19"/>
                <w:lang w:val="es-ES" w:eastAsia="en-CA"/>
              </w:rPr>
              <w:t>831</w:t>
            </w:r>
            <w:r w:rsidR="004360ED" w:rsidRPr="008F4B68">
              <w:rPr>
                <w:color w:val="000000"/>
                <w:sz w:val="19"/>
                <w:szCs w:val="19"/>
                <w:lang w:val="es-ES" w:eastAsia="en-CA"/>
              </w:rPr>
              <w:t> </w:t>
            </w:r>
            <w:r w:rsidRPr="008F4B68">
              <w:rPr>
                <w:color w:val="000000"/>
                <w:sz w:val="19"/>
                <w:szCs w:val="19"/>
                <w:lang w:val="es-ES" w:eastAsia="en-CA"/>
              </w:rPr>
              <w:t>680</w:t>
            </w:r>
          </w:p>
        </w:tc>
        <w:tc>
          <w:tcPr>
            <w:tcW w:w="102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270</w:t>
            </w:r>
            <w:r w:rsidR="004360ED" w:rsidRPr="008F4B68">
              <w:rPr>
                <w:color w:val="000000"/>
                <w:sz w:val="19"/>
                <w:szCs w:val="19"/>
                <w:lang w:val="es-ES" w:eastAsia="en-CA"/>
              </w:rPr>
              <w:t> </w:t>
            </w:r>
            <w:r w:rsidRPr="008F4B68">
              <w:rPr>
                <w:color w:val="000000"/>
                <w:sz w:val="19"/>
                <w:szCs w:val="19"/>
                <w:lang w:val="es-ES" w:eastAsia="en-CA"/>
              </w:rPr>
              <w:t>000</w:t>
            </w:r>
            <w:r w:rsidR="004360ED" w:rsidRPr="008F4B68">
              <w:rPr>
                <w:color w:val="000000"/>
                <w:sz w:val="19"/>
                <w:szCs w:val="19"/>
                <w:lang w:val="es-ES" w:eastAsia="en-CA"/>
              </w:rPr>
              <w:t> </w:t>
            </w:r>
            <w:r w:rsidRPr="008F4B68">
              <w:rPr>
                <w:color w:val="000000"/>
                <w:sz w:val="19"/>
                <w:szCs w:val="19"/>
                <w:lang w:val="es-ES" w:eastAsia="en-CA"/>
              </w:rPr>
              <w:t>000</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19</w:t>
            </w:r>
            <w:r w:rsidR="004360ED" w:rsidRPr="008F4B68">
              <w:rPr>
                <w:color w:val="000000"/>
                <w:sz w:val="19"/>
                <w:szCs w:val="19"/>
                <w:lang w:val="es-ES" w:eastAsia="en-CA"/>
              </w:rPr>
              <w:t> </w:t>
            </w:r>
            <w:r w:rsidRPr="008F4B68">
              <w:rPr>
                <w:color w:val="000000"/>
                <w:sz w:val="19"/>
                <w:szCs w:val="19"/>
                <w:lang w:val="es-ES" w:eastAsia="en-CA"/>
              </w:rPr>
              <w:t>831</w:t>
            </w:r>
            <w:r w:rsidR="004360ED" w:rsidRPr="008F4B68">
              <w:rPr>
                <w:color w:val="000000"/>
                <w:sz w:val="19"/>
                <w:szCs w:val="19"/>
                <w:lang w:val="es-ES" w:eastAsia="en-CA"/>
              </w:rPr>
              <w:t> </w:t>
            </w:r>
            <w:r w:rsidRPr="008F4B68">
              <w:rPr>
                <w:color w:val="000000"/>
                <w:sz w:val="19"/>
                <w:szCs w:val="19"/>
                <w:lang w:val="es-ES" w:eastAsia="en-CA"/>
              </w:rPr>
              <w:t>680</w:t>
            </w:r>
          </w:p>
        </w:tc>
        <w:tc>
          <w:tcPr>
            <w:tcW w:w="84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7</w:t>
            </w:r>
            <w:r w:rsidR="004360ED" w:rsidRPr="008F4B68">
              <w:rPr>
                <w:color w:val="000000"/>
                <w:sz w:val="19"/>
                <w:szCs w:val="19"/>
                <w:lang w:val="es-ES" w:eastAsia="en-CA"/>
              </w:rPr>
              <w:t>,</w:t>
            </w:r>
            <w:r w:rsidRPr="008F4B68">
              <w:rPr>
                <w:color w:val="000000"/>
                <w:sz w:val="19"/>
                <w:szCs w:val="19"/>
                <w:lang w:val="es-ES" w:eastAsia="en-CA"/>
              </w:rPr>
              <w:t>35</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15</w:t>
            </w:r>
            <w:r w:rsidR="004360ED" w:rsidRPr="008F4B68">
              <w:rPr>
                <w:color w:val="000000"/>
                <w:sz w:val="19"/>
                <w:szCs w:val="19"/>
                <w:lang w:val="es-ES" w:eastAsia="en-CA"/>
              </w:rPr>
              <w:t> </w:t>
            </w:r>
            <w:r w:rsidRPr="008F4B68">
              <w:rPr>
                <w:color w:val="000000"/>
                <w:sz w:val="19"/>
                <w:szCs w:val="19"/>
                <w:lang w:val="es-ES" w:eastAsia="en-CA"/>
              </w:rPr>
              <w:t>406</w:t>
            </w:r>
            <w:r w:rsidR="004360ED" w:rsidRPr="008F4B68">
              <w:rPr>
                <w:color w:val="000000"/>
                <w:sz w:val="19"/>
                <w:szCs w:val="19"/>
                <w:lang w:val="es-ES" w:eastAsia="en-CA"/>
              </w:rPr>
              <w:t> </w:t>
            </w:r>
            <w:r w:rsidRPr="008F4B68">
              <w:rPr>
                <w:color w:val="000000"/>
                <w:sz w:val="19"/>
                <w:szCs w:val="19"/>
                <w:lang w:val="es-ES" w:eastAsia="en-CA"/>
              </w:rPr>
              <w:t>950</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w:t>
            </w:r>
            <w:r w:rsidR="004360ED" w:rsidRPr="008F4B68">
              <w:rPr>
                <w:color w:val="000000"/>
                <w:sz w:val="19"/>
                <w:szCs w:val="19"/>
                <w:lang w:val="es-ES" w:eastAsia="en-CA"/>
              </w:rPr>
              <w:t> </w:t>
            </w:r>
            <w:r w:rsidRPr="008F4B68">
              <w:rPr>
                <w:color w:val="000000"/>
                <w:sz w:val="19"/>
                <w:szCs w:val="19"/>
                <w:lang w:val="es-ES" w:eastAsia="en-CA"/>
              </w:rPr>
              <w:t>567</w:t>
            </w:r>
            <w:r w:rsidR="004360ED" w:rsidRPr="008F4B68">
              <w:rPr>
                <w:color w:val="000000"/>
                <w:sz w:val="19"/>
                <w:szCs w:val="19"/>
                <w:lang w:val="es-ES" w:eastAsia="en-CA"/>
              </w:rPr>
              <w:t> </w:t>
            </w:r>
            <w:r w:rsidRPr="008F4B68">
              <w:rPr>
                <w:color w:val="000000"/>
                <w:sz w:val="19"/>
                <w:szCs w:val="19"/>
                <w:lang w:val="es-ES" w:eastAsia="en-CA"/>
              </w:rPr>
              <w:t>825</w:t>
            </w:r>
          </w:p>
        </w:tc>
        <w:tc>
          <w:tcPr>
            <w:tcW w:w="73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5</w:t>
            </w:r>
            <w:r w:rsidR="004360ED" w:rsidRPr="008F4B68">
              <w:rPr>
                <w:color w:val="000000"/>
                <w:sz w:val="19"/>
                <w:szCs w:val="19"/>
                <w:lang w:val="es-ES" w:eastAsia="en-CA"/>
              </w:rPr>
              <w:t>,</w:t>
            </w:r>
            <w:r w:rsidRPr="008F4B68">
              <w:rPr>
                <w:color w:val="000000"/>
                <w:sz w:val="19"/>
                <w:szCs w:val="19"/>
                <w:lang w:val="es-ES" w:eastAsia="en-CA"/>
              </w:rPr>
              <w:t>71</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1</w:t>
            </w:r>
            <w:r w:rsidR="004360ED" w:rsidRPr="008F4B68">
              <w:rPr>
                <w:color w:val="000000"/>
                <w:sz w:val="19"/>
                <w:szCs w:val="19"/>
                <w:lang w:val="es-ES" w:eastAsia="en-CA"/>
              </w:rPr>
              <w:t> </w:t>
            </w:r>
            <w:r w:rsidRPr="008F4B68">
              <w:rPr>
                <w:color w:val="000000"/>
                <w:sz w:val="19"/>
                <w:szCs w:val="19"/>
                <w:lang w:val="es-ES" w:eastAsia="en-CA"/>
              </w:rPr>
              <w:t>778</w:t>
            </w:r>
            <w:r w:rsidR="004360ED" w:rsidRPr="008F4B68">
              <w:rPr>
                <w:color w:val="000000"/>
                <w:sz w:val="19"/>
                <w:szCs w:val="19"/>
                <w:lang w:val="es-ES" w:eastAsia="en-CA"/>
              </w:rPr>
              <w:t> </w:t>
            </w:r>
            <w:r w:rsidRPr="008F4B68">
              <w:rPr>
                <w:color w:val="000000"/>
                <w:sz w:val="19"/>
                <w:szCs w:val="19"/>
                <w:lang w:val="es-ES" w:eastAsia="en-CA"/>
              </w:rPr>
              <w:t>400</w:t>
            </w:r>
          </w:p>
        </w:tc>
        <w:tc>
          <w:tcPr>
            <w:tcW w:w="876"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1148A7" w:rsidRPr="008F4B68" w:rsidRDefault="001148A7" w:rsidP="00CF2D8C">
            <w:pPr>
              <w:jc w:val="right"/>
              <w:rPr>
                <w:color w:val="000000"/>
                <w:sz w:val="19"/>
                <w:szCs w:val="19"/>
                <w:lang w:val="es-ES" w:eastAsia="en-CA"/>
              </w:rPr>
            </w:pPr>
            <w:r w:rsidRPr="008F4B68">
              <w:rPr>
                <w:color w:val="000000"/>
                <w:sz w:val="19"/>
                <w:szCs w:val="19"/>
                <w:lang w:val="es-ES" w:eastAsia="en-CA"/>
              </w:rPr>
              <w:t>296</w:t>
            </w:r>
            <w:r w:rsidR="004360ED" w:rsidRPr="008F4B68">
              <w:rPr>
                <w:color w:val="000000"/>
                <w:sz w:val="19"/>
                <w:szCs w:val="19"/>
                <w:lang w:val="es-ES" w:eastAsia="en-CA"/>
              </w:rPr>
              <w:t> </w:t>
            </w:r>
            <w:r w:rsidRPr="008F4B68">
              <w:rPr>
                <w:color w:val="000000"/>
                <w:sz w:val="19"/>
                <w:szCs w:val="19"/>
                <w:lang w:val="es-ES" w:eastAsia="en-CA"/>
              </w:rPr>
              <w:t>400</w:t>
            </w:r>
          </w:p>
        </w:tc>
      </w:tr>
    </w:tbl>
    <w:p w:rsidR="001148A7" w:rsidRPr="008F4B68" w:rsidRDefault="001148A7" w:rsidP="001148A7">
      <w:pPr>
        <w:rPr>
          <w:lang w:val="es-ES"/>
        </w:rPr>
      </w:pPr>
    </w:p>
    <w:p w:rsidR="001148A7" w:rsidRPr="008F4B68" w:rsidRDefault="00A50E02" w:rsidP="001148A7">
      <w:pPr>
        <w:pStyle w:val="Heading1"/>
        <w:keepNext/>
        <w:keepLines/>
        <w:rPr>
          <w:lang w:val="es-ES"/>
        </w:rPr>
      </w:pPr>
      <w:r w:rsidRPr="008F4B68">
        <w:rPr>
          <w:lang w:val="es-ES"/>
        </w:rPr>
        <w:t xml:space="preserve">Las observaciones que siguen emanan de los datos del </w:t>
      </w:r>
      <w:r w:rsidR="00D43837" w:rsidRPr="008F4B68">
        <w:rPr>
          <w:lang w:val="es-ES"/>
        </w:rPr>
        <w:t>Cuadro </w:t>
      </w:r>
      <w:r w:rsidR="001148A7" w:rsidRPr="008F4B68">
        <w:rPr>
          <w:lang w:val="es-ES"/>
        </w:rPr>
        <w:t>2:</w:t>
      </w:r>
    </w:p>
    <w:p w:rsidR="001148A7" w:rsidRPr="008F4B68" w:rsidRDefault="00A50E02" w:rsidP="001148A7">
      <w:pPr>
        <w:pStyle w:val="Heading2"/>
        <w:keepNext/>
        <w:keepLines/>
        <w:widowControl/>
        <w:rPr>
          <w:lang w:val="es-ES"/>
        </w:rPr>
      </w:pPr>
      <w:r w:rsidRPr="008F4B68">
        <w:rPr>
          <w:lang w:val="es-ES"/>
        </w:rPr>
        <w:t xml:space="preserve">En lo que respecta a los </w:t>
      </w:r>
      <w:r w:rsidR="001148A7" w:rsidRPr="008F4B68">
        <w:rPr>
          <w:lang w:val="es-ES"/>
        </w:rPr>
        <w:t xml:space="preserve">33 </w:t>
      </w:r>
      <w:r w:rsidR="007B7911" w:rsidRPr="008F4B68">
        <w:rPr>
          <w:lang w:val="es-ES"/>
        </w:rPr>
        <w:t>países que no son de bajo consumo</w:t>
      </w:r>
      <w:r w:rsidR="001148A7" w:rsidRPr="008F4B68">
        <w:rPr>
          <w:lang w:val="es-ES"/>
        </w:rPr>
        <w:t xml:space="preserve">, </w:t>
      </w:r>
      <w:r w:rsidRPr="008F4B68">
        <w:rPr>
          <w:lang w:val="es-ES"/>
        </w:rPr>
        <w:t>excluyendo a China</w:t>
      </w:r>
      <w:r w:rsidR="001148A7" w:rsidRPr="008F4B68">
        <w:rPr>
          <w:lang w:val="es-ES"/>
        </w:rPr>
        <w:t xml:space="preserve">, </w:t>
      </w:r>
      <w:r w:rsidRPr="008F4B68">
        <w:rPr>
          <w:lang w:val="es-ES"/>
        </w:rPr>
        <w:t xml:space="preserve">los </w:t>
      </w:r>
      <w:r w:rsidR="00F850D2" w:rsidRPr="008F4B68">
        <w:rPr>
          <w:lang w:val="es-ES"/>
        </w:rPr>
        <w:t xml:space="preserve">gastos </w:t>
      </w:r>
      <w:r w:rsidRPr="008F4B68">
        <w:rPr>
          <w:lang w:val="es-ES"/>
        </w:rPr>
        <w:t xml:space="preserve">medios </w:t>
      </w:r>
      <w:r w:rsidR="00F850D2" w:rsidRPr="008F4B68">
        <w:rPr>
          <w:lang w:val="es-ES"/>
        </w:rPr>
        <w:t>de apoyo al organismo</w:t>
      </w:r>
      <w:r w:rsidR="001148A7" w:rsidRPr="008F4B68">
        <w:rPr>
          <w:lang w:val="es-ES"/>
        </w:rPr>
        <w:t xml:space="preserve"> </w:t>
      </w:r>
      <w:r w:rsidRPr="008F4B68">
        <w:rPr>
          <w:lang w:val="es-ES"/>
        </w:rPr>
        <w:t xml:space="preserve">representaron el </w:t>
      </w:r>
      <w:r w:rsidR="001148A7" w:rsidRPr="008F4B68">
        <w:rPr>
          <w:lang w:val="es-ES"/>
        </w:rPr>
        <w:t>7</w:t>
      </w:r>
      <w:r w:rsidR="004360ED" w:rsidRPr="008F4B68">
        <w:rPr>
          <w:lang w:val="es-ES"/>
        </w:rPr>
        <w:t>,</w:t>
      </w:r>
      <w:r w:rsidR="001148A7" w:rsidRPr="008F4B68">
        <w:rPr>
          <w:lang w:val="es-ES"/>
        </w:rPr>
        <w:t>38</w:t>
      </w:r>
      <w:r w:rsidR="001F7B07" w:rsidRPr="008F4B68">
        <w:rPr>
          <w:lang w:val="es-ES"/>
        </w:rPr>
        <w:t> por ciento </w:t>
      </w:r>
      <w:r w:rsidRPr="008F4B68">
        <w:rPr>
          <w:lang w:val="es-ES"/>
        </w:rPr>
        <w:t>del costo total del proyecto</w:t>
      </w:r>
      <w:r w:rsidR="001148A7" w:rsidRPr="008F4B68">
        <w:rPr>
          <w:lang w:val="es-ES"/>
        </w:rPr>
        <w:t xml:space="preserve">. </w:t>
      </w:r>
      <w:r w:rsidR="007E16C8" w:rsidRPr="008F4B68">
        <w:rPr>
          <w:lang w:val="es-ES"/>
        </w:rPr>
        <w:t xml:space="preserve"> Los gastos de apoyo al organismo por encima del</w:t>
      </w:r>
      <w:r w:rsidR="001148A7" w:rsidRPr="008F4B68">
        <w:rPr>
          <w:lang w:val="es-ES"/>
        </w:rPr>
        <w:t> 7</w:t>
      </w:r>
      <w:r w:rsidR="007E16C8" w:rsidRPr="008F4B68">
        <w:rPr>
          <w:lang w:val="es-ES"/>
        </w:rPr>
        <w:t>,</w:t>
      </w:r>
      <w:r w:rsidR="001148A7" w:rsidRPr="008F4B68">
        <w:rPr>
          <w:lang w:val="es-ES"/>
        </w:rPr>
        <w:t>5</w:t>
      </w:r>
      <w:r w:rsidR="001F7B07" w:rsidRPr="008F4B68">
        <w:rPr>
          <w:lang w:val="es-ES"/>
        </w:rPr>
        <w:t> por ciento </w:t>
      </w:r>
      <w:r w:rsidR="007E16C8" w:rsidRPr="008F4B68">
        <w:rPr>
          <w:lang w:val="es-ES"/>
        </w:rPr>
        <w:t>de los costos totales se deben a la participación de los organismos bilaterales y al PNUMA en la ejecución del proyecto</w:t>
      </w:r>
      <w:r w:rsidR="001148A7" w:rsidRPr="008F4B68">
        <w:rPr>
          <w:lang w:val="es-ES"/>
        </w:rPr>
        <w:t>;</w:t>
      </w:r>
    </w:p>
    <w:p w:rsidR="001148A7" w:rsidRPr="008F4B68" w:rsidRDefault="007E16C8" w:rsidP="001148A7">
      <w:pPr>
        <w:pStyle w:val="Heading2"/>
        <w:rPr>
          <w:lang w:val="es-ES"/>
        </w:rPr>
      </w:pPr>
      <w:r w:rsidRPr="008F4B68">
        <w:rPr>
          <w:lang w:val="es-ES"/>
        </w:rPr>
        <w:t xml:space="preserve">La financiación media acumulada para las dependencias </w:t>
      </w:r>
      <w:r w:rsidR="006A5484" w:rsidRPr="008F4B68">
        <w:rPr>
          <w:lang w:val="es-ES"/>
        </w:rPr>
        <w:t>de ejecución y supervisión del proyecto</w:t>
      </w:r>
      <w:r w:rsidR="001148A7" w:rsidRPr="008F4B68">
        <w:rPr>
          <w:lang w:val="es-ES"/>
        </w:rPr>
        <w:t xml:space="preserve"> </w:t>
      </w:r>
      <w:r w:rsidRPr="008F4B68">
        <w:rPr>
          <w:lang w:val="es-ES"/>
        </w:rPr>
        <w:t xml:space="preserve">representan el </w:t>
      </w:r>
      <w:r w:rsidR="001148A7" w:rsidRPr="008F4B68">
        <w:rPr>
          <w:lang w:val="es-ES"/>
        </w:rPr>
        <w:t>4</w:t>
      </w:r>
      <w:r w:rsidRPr="008F4B68">
        <w:rPr>
          <w:lang w:val="es-ES"/>
        </w:rPr>
        <w:t>,</w:t>
      </w:r>
      <w:r w:rsidR="001148A7" w:rsidRPr="008F4B68">
        <w:rPr>
          <w:lang w:val="es-ES"/>
        </w:rPr>
        <w:t>77</w:t>
      </w:r>
      <w:r w:rsidR="001F7B07" w:rsidRPr="008F4B68">
        <w:rPr>
          <w:lang w:val="es-ES"/>
        </w:rPr>
        <w:t> por ciento </w:t>
      </w:r>
      <w:r w:rsidRPr="008F4B68">
        <w:rPr>
          <w:lang w:val="es-ES"/>
        </w:rPr>
        <w:t>de los costos totales del proyecto</w:t>
      </w:r>
      <w:r w:rsidR="001148A7" w:rsidRPr="008F4B68">
        <w:rPr>
          <w:lang w:val="es-ES"/>
        </w:rPr>
        <w:t xml:space="preserve">. </w:t>
      </w:r>
      <w:r w:rsidRPr="008F4B68">
        <w:rPr>
          <w:lang w:val="es-ES"/>
        </w:rPr>
        <w:t xml:space="preserve"> La financiación para las d</w:t>
      </w:r>
      <w:r w:rsidR="006A5484" w:rsidRPr="008F4B68">
        <w:rPr>
          <w:lang w:val="es-ES"/>
        </w:rPr>
        <w:t>ependencias de ejecución y supervisión del proyecto</w:t>
      </w:r>
      <w:r w:rsidR="001148A7" w:rsidRPr="008F4B68">
        <w:rPr>
          <w:lang w:val="es-ES"/>
        </w:rPr>
        <w:t xml:space="preserve"> </w:t>
      </w:r>
      <w:r w:rsidRPr="008F4B68">
        <w:rPr>
          <w:lang w:val="es-ES"/>
        </w:rPr>
        <w:t xml:space="preserve">no se solicitó en la </w:t>
      </w:r>
      <w:r w:rsidR="009A1284" w:rsidRPr="008F4B68">
        <w:rPr>
          <w:lang w:val="es-ES"/>
        </w:rPr>
        <w:t>etapa </w:t>
      </w:r>
      <w:r w:rsidR="001148A7" w:rsidRPr="008F4B68">
        <w:rPr>
          <w:lang w:val="es-ES"/>
        </w:rPr>
        <w:t xml:space="preserve">I </w:t>
      </w:r>
      <w:r w:rsidRPr="008F4B68">
        <w:rPr>
          <w:lang w:val="es-ES"/>
        </w:rPr>
        <w:t xml:space="preserve">de los </w:t>
      </w:r>
      <w:r w:rsidR="009A1284" w:rsidRPr="008F4B68">
        <w:rPr>
          <w:lang w:val="es-ES"/>
        </w:rPr>
        <w:t>PGEH</w:t>
      </w:r>
      <w:r w:rsidR="001148A7" w:rsidRPr="008F4B68">
        <w:rPr>
          <w:lang w:val="es-ES"/>
        </w:rPr>
        <w:t xml:space="preserve"> </w:t>
      </w:r>
      <w:r w:rsidRPr="008F4B68">
        <w:rPr>
          <w:lang w:val="es-ES"/>
        </w:rPr>
        <w:t xml:space="preserve">para </w:t>
      </w:r>
      <w:r w:rsidR="001148A7" w:rsidRPr="008F4B68">
        <w:rPr>
          <w:lang w:val="es-ES"/>
        </w:rPr>
        <w:t xml:space="preserve">Bangladesh </w:t>
      </w:r>
      <w:r w:rsidRPr="008F4B68">
        <w:rPr>
          <w:lang w:val="es-ES"/>
        </w:rPr>
        <w:t xml:space="preserve">y </w:t>
      </w:r>
      <w:r w:rsidR="001148A7" w:rsidRPr="008F4B68">
        <w:rPr>
          <w:lang w:val="es-ES"/>
        </w:rPr>
        <w:t>Pa</w:t>
      </w:r>
      <w:r w:rsidRPr="008F4B68">
        <w:rPr>
          <w:lang w:val="es-ES"/>
        </w:rPr>
        <w:t>quistán</w:t>
      </w:r>
      <w:r w:rsidR="001148A7" w:rsidRPr="008F4B68">
        <w:rPr>
          <w:lang w:val="es-ES"/>
        </w:rPr>
        <w:t xml:space="preserve">, </w:t>
      </w:r>
      <w:r w:rsidRPr="008F4B68">
        <w:rPr>
          <w:lang w:val="es-ES"/>
        </w:rPr>
        <w:t xml:space="preserve">al tiempo que la financiación </w:t>
      </w:r>
      <w:r w:rsidRPr="008F4B68">
        <w:rPr>
          <w:lang w:val="es-ES"/>
        </w:rPr>
        <w:lastRenderedPageBreak/>
        <w:t>para las d</w:t>
      </w:r>
      <w:r w:rsidR="006A5484" w:rsidRPr="008F4B68">
        <w:rPr>
          <w:lang w:val="es-ES"/>
        </w:rPr>
        <w:t>ependencias de ejecución y supervisión del proyecto</w:t>
      </w:r>
      <w:r w:rsidR="001148A7" w:rsidRPr="008F4B68">
        <w:rPr>
          <w:lang w:val="es-ES"/>
        </w:rPr>
        <w:t xml:space="preserve"> </w:t>
      </w:r>
      <w:r w:rsidRPr="008F4B68">
        <w:rPr>
          <w:lang w:val="es-ES"/>
        </w:rPr>
        <w:t xml:space="preserve">de la República Democrática del Congo, </w:t>
      </w:r>
      <w:r w:rsidR="001148A7" w:rsidRPr="008F4B68">
        <w:rPr>
          <w:lang w:val="es-ES"/>
        </w:rPr>
        <w:t>Ken</w:t>
      </w:r>
      <w:r w:rsidRPr="008F4B68">
        <w:rPr>
          <w:lang w:val="es-ES"/>
        </w:rPr>
        <w:t>i</w:t>
      </w:r>
      <w:r w:rsidR="001148A7" w:rsidRPr="008F4B68">
        <w:rPr>
          <w:lang w:val="es-ES"/>
        </w:rPr>
        <w:t>a, Panam</w:t>
      </w:r>
      <w:r w:rsidRPr="008F4B68">
        <w:rPr>
          <w:lang w:val="es-ES"/>
        </w:rPr>
        <w:t>á</w:t>
      </w:r>
      <w:r w:rsidR="001148A7" w:rsidRPr="008F4B68">
        <w:rPr>
          <w:lang w:val="es-ES"/>
        </w:rPr>
        <w:t>, Per</w:t>
      </w:r>
      <w:r w:rsidRPr="008F4B68">
        <w:rPr>
          <w:lang w:val="es-ES"/>
        </w:rPr>
        <w:t>ú</w:t>
      </w:r>
      <w:r w:rsidR="001148A7" w:rsidRPr="008F4B68">
        <w:rPr>
          <w:lang w:val="es-ES"/>
        </w:rPr>
        <w:t xml:space="preserve"> </w:t>
      </w:r>
      <w:r w:rsidRPr="008F4B68">
        <w:rPr>
          <w:lang w:val="es-ES"/>
        </w:rPr>
        <w:t xml:space="preserve">y las Filipinas fue del </w:t>
      </w:r>
      <w:r w:rsidR="001148A7" w:rsidRPr="008F4B68">
        <w:rPr>
          <w:lang w:val="es-ES"/>
        </w:rPr>
        <w:t>10</w:t>
      </w:r>
      <w:r w:rsidR="001F7B07" w:rsidRPr="008F4B68">
        <w:rPr>
          <w:lang w:val="es-ES"/>
        </w:rPr>
        <w:t> por ciento</w:t>
      </w:r>
      <w:r w:rsidRPr="008F4B68">
        <w:rPr>
          <w:lang w:val="es-ES"/>
        </w:rPr>
        <w:t>, o más de costo total del proyecto o incluso superior</w:t>
      </w:r>
      <w:r w:rsidR="001148A7" w:rsidRPr="008F4B68">
        <w:rPr>
          <w:lang w:val="es-ES"/>
        </w:rPr>
        <w:t>;</w:t>
      </w:r>
    </w:p>
    <w:p w:rsidR="001148A7" w:rsidRPr="008F4B68" w:rsidRDefault="007E16C8" w:rsidP="001148A7">
      <w:pPr>
        <w:pStyle w:val="Heading2"/>
        <w:rPr>
          <w:lang w:val="es-ES"/>
        </w:rPr>
      </w:pPr>
      <w:r w:rsidRPr="008F4B68">
        <w:rPr>
          <w:lang w:val="es-ES"/>
        </w:rPr>
        <w:t>El volumen de financiación aprobado por las d</w:t>
      </w:r>
      <w:r w:rsidR="006A5484" w:rsidRPr="008F4B68">
        <w:rPr>
          <w:lang w:val="es-ES"/>
        </w:rPr>
        <w:t>ependencias de ejecución y supervisión del proyecto</w:t>
      </w:r>
      <w:r w:rsidR="001148A7" w:rsidRPr="008F4B68">
        <w:rPr>
          <w:lang w:val="es-ES"/>
        </w:rPr>
        <w:t xml:space="preserve"> </w:t>
      </w:r>
      <w:r w:rsidRPr="008F4B68">
        <w:rPr>
          <w:lang w:val="es-ES"/>
        </w:rPr>
        <w:t xml:space="preserve">lo revisó la </w:t>
      </w:r>
      <w:r w:rsidR="006645CE" w:rsidRPr="008F4B68">
        <w:rPr>
          <w:lang w:val="es-ES"/>
        </w:rPr>
        <w:t xml:space="preserve">Secretaría </w:t>
      </w:r>
      <w:r w:rsidRPr="008F4B68">
        <w:rPr>
          <w:lang w:val="es-ES"/>
        </w:rPr>
        <w:t xml:space="preserve">en la fecha en que se presentó la </w:t>
      </w:r>
      <w:r w:rsidR="009A1284" w:rsidRPr="008F4B68">
        <w:rPr>
          <w:lang w:val="es-ES"/>
        </w:rPr>
        <w:t>etapa </w:t>
      </w:r>
      <w:r w:rsidR="001148A7" w:rsidRPr="008F4B68">
        <w:rPr>
          <w:lang w:val="es-ES"/>
        </w:rPr>
        <w:t>I </w:t>
      </w:r>
      <w:r w:rsidRPr="008F4B68">
        <w:rPr>
          <w:lang w:val="es-ES"/>
        </w:rPr>
        <w:t>del</w:t>
      </w:r>
      <w:r w:rsidR="001148A7" w:rsidRPr="008F4B68">
        <w:rPr>
          <w:lang w:val="es-ES"/>
        </w:rPr>
        <w:t xml:space="preserve"> </w:t>
      </w:r>
      <w:r w:rsidR="00890385" w:rsidRPr="008F4B68">
        <w:rPr>
          <w:lang w:val="es-ES"/>
        </w:rPr>
        <w:t>PGEH</w:t>
      </w:r>
      <w:r w:rsidR="001148A7" w:rsidRPr="008F4B68">
        <w:rPr>
          <w:lang w:val="es-ES"/>
        </w:rPr>
        <w:t xml:space="preserve"> </w:t>
      </w:r>
      <w:r w:rsidRPr="008F4B68">
        <w:rPr>
          <w:lang w:val="es-ES"/>
        </w:rPr>
        <w:t xml:space="preserve">a la aprobación del </w:t>
      </w:r>
      <w:r w:rsidR="003920CB" w:rsidRPr="008F4B68">
        <w:rPr>
          <w:lang w:val="es-ES"/>
        </w:rPr>
        <w:t>Comité Ejecutivo</w:t>
      </w:r>
      <w:r w:rsidRPr="008F4B68">
        <w:rPr>
          <w:lang w:val="es-ES"/>
        </w:rPr>
        <w:t xml:space="preserve">.  Los volúmenes de financiación fueron conexos al número de personas de actividad técnica y administrativa de la plantilla </w:t>
      </w:r>
      <w:r w:rsidR="00DA792D" w:rsidRPr="008F4B68">
        <w:rPr>
          <w:lang w:val="es-ES"/>
        </w:rPr>
        <w:t xml:space="preserve">que fue </w:t>
      </w:r>
      <w:r w:rsidRPr="008F4B68">
        <w:rPr>
          <w:lang w:val="es-ES"/>
        </w:rPr>
        <w:t>necesario para las actividades y sectores incluidos, el número de empresas a convertir y su distribución sectorial y geográfica</w:t>
      </w:r>
      <w:r w:rsidR="001148A7" w:rsidRPr="008F4B68">
        <w:rPr>
          <w:lang w:val="es-ES"/>
        </w:rPr>
        <w:t xml:space="preserve">, </w:t>
      </w:r>
      <w:r w:rsidRPr="008F4B68">
        <w:rPr>
          <w:lang w:val="es-ES"/>
        </w:rPr>
        <w:t xml:space="preserve">así como </w:t>
      </w:r>
      <w:r w:rsidR="00DA792D" w:rsidRPr="008F4B68">
        <w:rPr>
          <w:lang w:val="es-ES"/>
        </w:rPr>
        <w:t>las actividades relativas al sector de servicio y mantenimiento de equipos de refrigeración</w:t>
      </w:r>
      <w:r w:rsidR="001148A7" w:rsidRPr="008F4B68">
        <w:rPr>
          <w:lang w:val="es-ES"/>
        </w:rPr>
        <w:t xml:space="preserve">. </w:t>
      </w:r>
      <w:r w:rsidR="00DA792D" w:rsidRPr="008F4B68">
        <w:rPr>
          <w:lang w:val="es-ES"/>
        </w:rPr>
        <w:t xml:space="preserve"> Los </w:t>
      </w:r>
      <w:r w:rsidR="003920CB" w:rsidRPr="008F4B68">
        <w:rPr>
          <w:lang w:val="es-ES"/>
        </w:rPr>
        <w:t>países que operan al amparo del artículo 5</w:t>
      </w:r>
      <w:r w:rsidR="001148A7" w:rsidRPr="008F4B68">
        <w:rPr>
          <w:lang w:val="es-ES"/>
        </w:rPr>
        <w:t xml:space="preserve"> </w:t>
      </w:r>
      <w:r w:rsidR="00DA792D" w:rsidRPr="008F4B68">
        <w:rPr>
          <w:lang w:val="es-ES"/>
        </w:rPr>
        <w:t>con mayor financiación para la d</w:t>
      </w:r>
      <w:r w:rsidR="00EE76D1" w:rsidRPr="008F4B68">
        <w:rPr>
          <w:lang w:val="es-ES"/>
        </w:rPr>
        <w:t>epe</w:t>
      </w:r>
      <w:r w:rsidR="00DA792D" w:rsidRPr="008F4B68">
        <w:rPr>
          <w:lang w:val="es-ES"/>
        </w:rPr>
        <w:t xml:space="preserve">ndencia de gestión de proyectos, en comparación con el costo total del </w:t>
      </w:r>
      <w:r w:rsidR="00890385" w:rsidRPr="008F4B68">
        <w:rPr>
          <w:lang w:val="es-ES"/>
        </w:rPr>
        <w:t>PGEH</w:t>
      </w:r>
      <w:r w:rsidR="001148A7" w:rsidRPr="008F4B68">
        <w:rPr>
          <w:lang w:val="es-ES"/>
        </w:rPr>
        <w:t xml:space="preserve"> </w:t>
      </w:r>
      <w:r w:rsidR="00DA792D" w:rsidRPr="008F4B68">
        <w:rPr>
          <w:lang w:val="es-ES"/>
        </w:rPr>
        <w:t>se encontraban ejecutando, mayormente, actividades relacionadas con el sector de servicio y mantenimiento</w:t>
      </w:r>
      <w:r w:rsidR="001148A7" w:rsidRPr="008F4B68">
        <w:rPr>
          <w:lang w:val="es-ES"/>
        </w:rPr>
        <w:t>;</w:t>
      </w:r>
    </w:p>
    <w:p w:rsidR="001148A7" w:rsidRPr="008F4B68" w:rsidRDefault="00DA792D" w:rsidP="001148A7">
      <w:pPr>
        <w:pStyle w:val="Heading2"/>
        <w:rPr>
          <w:lang w:val="es-ES"/>
        </w:rPr>
      </w:pPr>
      <w:r w:rsidRPr="008F4B68">
        <w:rPr>
          <w:lang w:val="es-ES"/>
        </w:rPr>
        <w:t xml:space="preserve">Varios de los </w:t>
      </w:r>
      <w:r w:rsidR="001148A7" w:rsidRPr="008F4B68">
        <w:rPr>
          <w:lang w:val="es-ES"/>
        </w:rPr>
        <w:t xml:space="preserve">33 </w:t>
      </w:r>
      <w:r w:rsidR="003920CB" w:rsidRPr="008F4B68">
        <w:rPr>
          <w:lang w:val="es-ES"/>
        </w:rPr>
        <w:t xml:space="preserve">países </w:t>
      </w:r>
      <w:r w:rsidRPr="008F4B68">
        <w:rPr>
          <w:lang w:val="es-ES"/>
        </w:rPr>
        <w:t xml:space="preserve">que figuran en el análisis y </w:t>
      </w:r>
      <w:r w:rsidR="003920CB" w:rsidRPr="008F4B68">
        <w:rPr>
          <w:lang w:val="es-ES"/>
        </w:rPr>
        <w:t>que operan al amparo del artículo 5</w:t>
      </w:r>
      <w:r w:rsidR="001148A7" w:rsidRPr="008F4B68">
        <w:rPr>
          <w:lang w:val="es-ES"/>
        </w:rPr>
        <w:t xml:space="preserve"> </w:t>
      </w:r>
      <w:r w:rsidRPr="008F4B68">
        <w:rPr>
          <w:lang w:val="es-ES"/>
        </w:rPr>
        <w:t xml:space="preserve">recibieron financiación para convertir las empresas de fabricación con </w:t>
      </w:r>
      <w:r w:rsidR="001148A7" w:rsidRPr="008F4B68">
        <w:rPr>
          <w:lang w:val="es-ES"/>
        </w:rPr>
        <w:t>HCFC</w:t>
      </w:r>
      <w:r w:rsidRPr="008F4B68">
        <w:rPr>
          <w:lang w:val="es-ES"/>
        </w:rPr>
        <w:t xml:space="preserve"> a guisa de proyectos autónomos para su aprobación de su </w:t>
      </w:r>
      <w:r w:rsidR="009A1284" w:rsidRPr="008F4B68">
        <w:rPr>
          <w:lang w:val="es-ES"/>
        </w:rPr>
        <w:t>etapa </w:t>
      </w:r>
      <w:r w:rsidR="001148A7" w:rsidRPr="008F4B68">
        <w:rPr>
          <w:lang w:val="es-ES"/>
        </w:rPr>
        <w:t>I (</w:t>
      </w:r>
      <w:r w:rsidRPr="008F4B68">
        <w:rPr>
          <w:lang w:val="es-ES"/>
        </w:rPr>
        <w:t>por ejemplo, Argelia</w:t>
      </w:r>
      <w:r w:rsidR="001148A7" w:rsidRPr="008F4B68">
        <w:rPr>
          <w:lang w:val="es-ES"/>
        </w:rPr>
        <w:t xml:space="preserve">, Argentina, Bangladesh, Colombia, </w:t>
      </w:r>
      <w:r w:rsidRPr="008F4B68">
        <w:rPr>
          <w:lang w:val="es-ES"/>
        </w:rPr>
        <w:t>República Dominicana</w:t>
      </w:r>
      <w:r w:rsidR="001148A7" w:rsidRPr="008F4B68">
        <w:rPr>
          <w:lang w:val="es-ES"/>
        </w:rPr>
        <w:t>, Eg</w:t>
      </w:r>
      <w:r w:rsidRPr="008F4B68">
        <w:rPr>
          <w:lang w:val="es-ES"/>
        </w:rPr>
        <w:t>ipto</w:t>
      </w:r>
      <w:r w:rsidR="001148A7" w:rsidRPr="008F4B68">
        <w:rPr>
          <w:lang w:val="es-ES"/>
        </w:rPr>
        <w:t>, Jord</w:t>
      </w:r>
      <w:r w:rsidRPr="008F4B68">
        <w:rPr>
          <w:lang w:val="es-ES"/>
        </w:rPr>
        <w:t>ania</w:t>
      </w:r>
      <w:r w:rsidR="001148A7" w:rsidRPr="008F4B68">
        <w:rPr>
          <w:lang w:val="es-ES"/>
        </w:rPr>
        <w:t>, M</w:t>
      </w:r>
      <w:r w:rsidRPr="008F4B68">
        <w:rPr>
          <w:lang w:val="es-ES"/>
        </w:rPr>
        <w:t>é</w:t>
      </w:r>
      <w:r w:rsidR="001148A7" w:rsidRPr="008F4B68">
        <w:rPr>
          <w:lang w:val="es-ES"/>
        </w:rPr>
        <w:t>xico, M</w:t>
      </w:r>
      <w:r w:rsidRPr="008F4B68">
        <w:rPr>
          <w:lang w:val="es-ES"/>
        </w:rPr>
        <w:t>arruecos</w:t>
      </w:r>
      <w:r w:rsidR="001148A7" w:rsidRPr="008F4B68">
        <w:rPr>
          <w:lang w:val="es-ES"/>
        </w:rPr>
        <w:t>, Pa</w:t>
      </w:r>
      <w:r w:rsidRPr="008F4B68">
        <w:rPr>
          <w:lang w:val="es-ES"/>
        </w:rPr>
        <w:t>quistán</w:t>
      </w:r>
      <w:r w:rsidR="001148A7" w:rsidRPr="008F4B68">
        <w:rPr>
          <w:lang w:val="es-ES"/>
        </w:rPr>
        <w:t xml:space="preserve">, </w:t>
      </w:r>
      <w:r w:rsidRPr="008F4B68">
        <w:rPr>
          <w:lang w:val="es-ES"/>
        </w:rPr>
        <w:t>Filipinas</w:t>
      </w:r>
      <w:r w:rsidR="001148A7" w:rsidRPr="008F4B68">
        <w:rPr>
          <w:lang w:val="es-ES"/>
        </w:rPr>
        <w:t xml:space="preserve">, </w:t>
      </w:r>
      <w:r w:rsidRPr="008F4B68">
        <w:rPr>
          <w:lang w:val="es-ES"/>
        </w:rPr>
        <w:t>Arabia Saudita</w:t>
      </w:r>
      <w:r w:rsidR="001148A7" w:rsidRPr="008F4B68">
        <w:rPr>
          <w:lang w:val="es-ES"/>
        </w:rPr>
        <w:t xml:space="preserve"> </w:t>
      </w:r>
      <w:r w:rsidRPr="008F4B68">
        <w:rPr>
          <w:lang w:val="es-ES"/>
        </w:rPr>
        <w:t>y Turquía</w:t>
      </w:r>
      <w:r w:rsidR="001148A7" w:rsidRPr="008F4B68">
        <w:rPr>
          <w:lang w:val="es-ES"/>
        </w:rPr>
        <w:t xml:space="preserve">). </w:t>
      </w:r>
      <w:r w:rsidRPr="008F4B68">
        <w:rPr>
          <w:lang w:val="es-ES"/>
        </w:rPr>
        <w:t xml:space="preserve"> Estos proyectos autónomos no incluyeron financiación para las d</w:t>
      </w:r>
      <w:r w:rsidR="006A5484" w:rsidRPr="008F4B68">
        <w:rPr>
          <w:lang w:val="es-ES"/>
        </w:rPr>
        <w:t>ependencias de ejecución y supervisión del proyecto</w:t>
      </w:r>
      <w:r w:rsidR="001148A7" w:rsidRPr="008F4B68">
        <w:rPr>
          <w:lang w:val="es-ES"/>
        </w:rPr>
        <w:t xml:space="preserve"> (</w:t>
      </w:r>
      <w:r w:rsidRPr="008F4B68">
        <w:rPr>
          <w:lang w:val="es-ES"/>
        </w:rPr>
        <w:t>asistencia técnica</w:t>
      </w:r>
      <w:r w:rsidR="001148A7" w:rsidRPr="008F4B68">
        <w:rPr>
          <w:lang w:val="es-ES"/>
        </w:rPr>
        <w:t xml:space="preserve">, </w:t>
      </w:r>
      <w:r w:rsidRPr="008F4B68">
        <w:rPr>
          <w:lang w:val="es-ES"/>
        </w:rPr>
        <w:t>apoyo de asesoría y actividades de capacitación, por ejemplo, podrían también considerarse como actividades de asistencia técnica conexas al proyecto</w:t>
      </w:r>
      <w:r w:rsidR="001148A7" w:rsidRPr="008F4B68">
        <w:rPr>
          <w:lang w:val="es-ES"/>
        </w:rPr>
        <w:t xml:space="preserve">, </w:t>
      </w:r>
      <w:r w:rsidRPr="008F4B68">
        <w:rPr>
          <w:lang w:val="es-ES"/>
        </w:rPr>
        <w:t>y forman parte de los costos del proyecto</w:t>
      </w:r>
      <w:r w:rsidR="001148A7" w:rsidRPr="008F4B68">
        <w:rPr>
          <w:lang w:val="es-ES"/>
        </w:rPr>
        <w:t xml:space="preserve">). </w:t>
      </w:r>
      <w:r w:rsidRPr="008F4B68">
        <w:rPr>
          <w:lang w:val="es-ES"/>
        </w:rPr>
        <w:t xml:space="preserve"> La mayor parte de estos proyectos se encontraban </w:t>
      </w:r>
      <w:r w:rsidR="009C737C" w:rsidRPr="008F4B68">
        <w:rPr>
          <w:lang w:val="es-ES"/>
        </w:rPr>
        <w:t xml:space="preserve">y en curso </w:t>
      </w:r>
      <w:r w:rsidRPr="008F4B68">
        <w:rPr>
          <w:lang w:val="es-ES"/>
        </w:rPr>
        <w:t xml:space="preserve">en las fechas </w:t>
      </w:r>
      <w:r w:rsidR="009C737C" w:rsidRPr="008F4B68">
        <w:rPr>
          <w:lang w:val="es-ES"/>
        </w:rPr>
        <w:t xml:space="preserve">en las que se introdujeron en la </w:t>
      </w:r>
      <w:r w:rsidR="009A1284" w:rsidRPr="008F4B68">
        <w:rPr>
          <w:lang w:val="es-ES"/>
        </w:rPr>
        <w:t>etapa </w:t>
      </w:r>
      <w:r w:rsidR="001148A7" w:rsidRPr="008F4B68">
        <w:rPr>
          <w:lang w:val="es-ES"/>
        </w:rPr>
        <w:t xml:space="preserve">I </w:t>
      </w:r>
      <w:r w:rsidR="009C737C" w:rsidRPr="008F4B68">
        <w:rPr>
          <w:lang w:val="es-ES"/>
        </w:rPr>
        <w:t xml:space="preserve">de los </w:t>
      </w:r>
      <w:r w:rsidR="009A1284" w:rsidRPr="008F4B68">
        <w:rPr>
          <w:lang w:val="es-ES"/>
        </w:rPr>
        <w:t>PGEH</w:t>
      </w:r>
      <w:r w:rsidR="001148A7" w:rsidRPr="008F4B68">
        <w:rPr>
          <w:lang w:val="es-ES"/>
        </w:rPr>
        <w:t>;</w:t>
      </w:r>
    </w:p>
    <w:p w:rsidR="001148A7" w:rsidRPr="008F4B68" w:rsidRDefault="001148A7" w:rsidP="001148A7">
      <w:pPr>
        <w:pStyle w:val="Heading2"/>
        <w:keepNext/>
        <w:keepLines/>
        <w:widowControl/>
        <w:rPr>
          <w:lang w:val="es-ES"/>
        </w:rPr>
      </w:pPr>
      <w:r w:rsidRPr="008F4B68">
        <w:rPr>
          <w:lang w:val="es-ES"/>
        </w:rPr>
        <w:t xml:space="preserve">No </w:t>
      </w:r>
      <w:r w:rsidR="009C737C" w:rsidRPr="008F4B68">
        <w:rPr>
          <w:lang w:val="es-ES"/>
        </w:rPr>
        <w:t>todos los</w:t>
      </w:r>
      <w:r w:rsidRPr="008F4B68">
        <w:rPr>
          <w:lang w:val="es-ES"/>
        </w:rPr>
        <w:t xml:space="preserve"> </w:t>
      </w:r>
      <w:r w:rsidR="003920CB" w:rsidRPr="008F4B68">
        <w:rPr>
          <w:lang w:val="es-ES"/>
        </w:rPr>
        <w:t>países que operan al amparo del artículo 5</w:t>
      </w:r>
      <w:r w:rsidRPr="008F4B68">
        <w:rPr>
          <w:lang w:val="es-ES"/>
        </w:rPr>
        <w:t xml:space="preserve"> </w:t>
      </w:r>
      <w:r w:rsidR="009C737C" w:rsidRPr="008F4B68">
        <w:rPr>
          <w:lang w:val="es-ES"/>
        </w:rPr>
        <w:t>presentan solicitudes de financiación para la renovación de los FI cada dos años</w:t>
      </w:r>
      <w:r w:rsidRPr="008F4B68">
        <w:rPr>
          <w:lang w:val="es-ES"/>
        </w:rPr>
        <w:t xml:space="preserve">. </w:t>
      </w:r>
      <w:r w:rsidR="009C737C" w:rsidRPr="008F4B68">
        <w:rPr>
          <w:lang w:val="es-ES"/>
        </w:rPr>
        <w:t xml:space="preserve"> Por ejemplo, la más reciente solicitud de financiación de FI la presentó Marruecos en la </w:t>
      </w:r>
      <w:r w:rsidRPr="008F4B68">
        <w:rPr>
          <w:lang w:val="es-ES"/>
        </w:rPr>
        <w:t>59</w:t>
      </w:r>
      <w:r w:rsidR="009E5024" w:rsidRPr="008F4B68">
        <w:rPr>
          <w:vertAlign w:val="superscript"/>
          <w:lang w:val="es-ES"/>
        </w:rPr>
        <w:t>ª </w:t>
      </w:r>
      <w:r w:rsidR="009E5024" w:rsidRPr="008F4B68">
        <w:rPr>
          <w:lang w:val="es-ES"/>
        </w:rPr>
        <w:t>reunión</w:t>
      </w:r>
      <w:r w:rsidRPr="008F4B68">
        <w:rPr>
          <w:lang w:val="es-ES"/>
        </w:rPr>
        <w:t xml:space="preserve">. </w:t>
      </w:r>
      <w:r w:rsidR="009C737C" w:rsidRPr="008F4B68">
        <w:rPr>
          <w:lang w:val="es-ES"/>
        </w:rPr>
        <w:t xml:space="preserve"> No se ha aprobado financiación para FI desde las fechas en las que Sudáfrica fue reclasificada como país que opera al amparo del artículo 5</w:t>
      </w:r>
      <w:r w:rsidRPr="008F4B68">
        <w:rPr>
          <w:lang w:val="es-ES"/>
        </w:rPr>
        <w:t xml:space="preserve">; </w:t>
      </w:r>
    </w:p>
    <w:p w:rsidR="001148A7" w:rsidRPr="008F4B68" w:rsidRDefault="009C737C" w:rsidP="001148A7">
      <w:pPr>
        <w:pStyle w:val="Heading2"/>
        <w:rPr>
          <w:lang w:val="es-ES"/>
        </w:rPr>
      </w:pPr>
      <w:r w:rsidRPr="008F4B68">
        <w:rPr>
          <w:lang w:val="es-ES"/>
        </w:rPr>
        <w:t xml:space="preserve">El total acumulado de financiación FI aprobado para los </w:t>
      </w:r>
      <w:r w:rsidR="001148A7" w:rsidRPr="008F4B68">
        <w:rPr>
          <w:lang w:val="es-ES"/>
        </w:rPr>
        <w:t xml:space="preserve">33 </w:t>
      </w:r>
      <w:r w:rsidR="003920CB" w:rsidRPr="008F4B68">
        <w:rPr>
          <w:lang w:val="es-ES"/>
        </w:rPr>
        <w:t>países que operan al amparo del artículo 5</w:t>
      </w:r>
      <w:r w:rsidR="001148A7" w:rsidRPr="008F4B68">
        <w:rPr>
          <w:lang w:val="es-ES"/>
        </w:rPr>
        <w:t xml:space="preserve"> (</w:t>
      </w:r>
      <w:r w:rsidRPr="008F4B68">
        <w:rPr>
          <w:lang w:val="es-ES"/>
        </w:rPr>
        <w:t xml:space="preserve">excluyendo </w:t>
      </w:r>
      <w:r w:rsidR="001148A7" w:rsidRPr="008F4B68">
        <w:rPr>
          <w:lang w:val="es-ES"/>
        </w:rPr>
        <w:t xml:space="preserve">China) </w:t>
      </w:r>
      <w:r w:rsidRPr="008F4B68">
        <w:rPr>
          <w:lang w:val="es-ES"/>
        </w:rPr>
        <w:t>alcanzó un total de</w:t>
      </w:r>
      <w:r w:rsidR="002261B4" w:rsidRPr="008F4B68">
        <w:rPr>
          <w:lang w:val="es-ES"/>
        </w:rPr>
        <w:t> </w:t>
      </w:r>
      <w:r w:rsidR="001148A7" w:rsidRPr="008F4B68">
        <w:rPr>
          <w:lang w:val="es-ES"/>
        </w:rPr>
        <w:t>24</w:t>
      </w:r>
      <w:r w:rsidRPr="008F4B68">
        <w:rPr>
          <w:lang w:val="es-ES"/>
        </w:rPr>
        <w:t> </w:t>
      </w:r>
      <w:r w:rsidR="001148A7" w:rsidRPr="008F4B68">
        <w:rPr>
          <w:lang w:val="es-ES"/>
        </w:rPr>
        <w:t>719</w:t>
      </w:r>
      <w:r w:rsidRPr="008F4B68">
        <w:rPr>
          <w:lang w:val="es-ES"/>
        </w:rPr>
        <w:t> </w:t>
      </w:r>
      <w:r w:rsidR="001148A7" w:rsidRPr="008F4B68">
        <w:rPr>
          <w:lang w:val="es-ES"/>
        </w:rPr>
        <w:t>226</w:t>
      </w:r>
      <w:r w:rsidRPr="008F4B68">
        <w:rPr>
          <w:lang w:val="es-ES"/>
        </w:rPr>
        <w:t> $EUA, l</w:t>
      </w:r>
      <w:r w:rsidR="001148A7" w:rsidRPr="008F4B68">
        <w:rPr>
          <w:lang w:val="es-ES"/>
        </w:rPr>
        <w:t xml:space="preserve">o </w:t>
      </w:r>
      <w:r w:rsidRPr="008F4B68">
        <w:rPr>
          <w:lang w:val="es-ES"/>
        </w:rPr>
        <w:t>que representa un </w:t>
      </w:r>
      <w:r w:rsidR="001148A7" w:rsidRPr="008F4B68">
        <w:rPr>
          <w:lang w:val="es-ES"/>
        </w:rPr>
        <w:t>11</w:t>
      </w:r>
      <w:r w:rsidRPr="008F4B68">
        <w:rPr>
          <w:lang w:val="es-ES"/>
        </w:rPr>
        <w:t>,</w:t>
      </w:r>
      <w:r w:rsidR="001148A7" w:rsidRPr="008F4B68">
        <w:rPr>
          <w:lang w:val="es-ES"/>
        </w:rPr>
        <w:t>2</w:t>
      </w:r>
      <w:r w:rsidR="001F7B07" w:rsidRPr="008F4B68">
        <w:rPr>
          <w:lang w:val="es-ES"/>
        </w:rPr>
        <w:t> por ciento </w:t>
      </w:r>
      <w:r w:rsidRPr="008F4B68">
        <w:rPr>
          <w:lang w:val="es-ES"/>
        </w:rPr>
        <w:t xml:space="preserve">de los costos acumulados de los </w:t>
      </w:r>
      <w:r w:rsidR="00890385" w:rsidRPr="008F4B68">
        <w:rPr>
          <w:lang w:val="es-ES"/>
        </w:rPr>
        <w:t>PGEH</w:t>
      </w:r>
      <w:r w:rsidR="001148A7" w:rsidRPr="008F4B68">
        <w:rPr>
          <w:lang w:val="es-ES"/>
        </w:rPr>
        <w:t xml:space="preserve">. </w:t>
      </w:r>
      <w:r w:rsidRPr="008F4B68">
        <w:rPr>
          <w:lang w:val="es-ES"/>
        </w:rPr>
        <w:t>La financiación anual acumulada para FI, de</w:t>
      </w:r>
      <w:r w:rsidR="002261B4" w:rsidRPr="008F4B68">
        <w:rPr>
          <w:lang w:val="es-ES"/>
        </w:rPr>
        <w:t> </w:t>
      </w:r>
      <w:r w:rsidR="001148A7" w:rsidRPr="008F4B68">
        <w:rPr>
          <w:lang w:val="es-ES"/>
        </w:rPr>
        <w:t>3</w:t>
      </w:r>
      <w:r w:rsidRPr="008F4B68">
        <w:rPr>
          <w:lang w:val="es-ES"/>
        </w:rPr>
        <w:t> </w:t>
      </w:r>
      <w:r w:rsidR="001148A7" w:rsidRPr="008F4B68">
        <w:rPr>
          <w:lang w:val="es-ES"/>
        </w:rPr>
        <w:t>232</w:t>
      </w:r>
      <w:r w:rsidRPr="008F4B68">
        <w:rPr>
          <w:lang w:val="es-ES"/>
        </w:rPr>
        <w:t> </w:t>
      </w:r>
      <w:r w:rsidR="001148A7" w:rsidRPr="008F4B68">
        <w:rPr>
          <w:lang w:val="es-ES"/>
        </w:rPr>
        <w:t>443</w:t>
      </w:r>
      <w:r w:rsidRPr="008F4B68">
        <w:rPr>
          <w:lang w:val="es-ES"/>
        </w:rPr>
        <w:t> $EUA, fue aproximadamente tres veces más elevada que la financiación anual acumulada para la d</w:t>
      </w:r>
      <w:r w:rsidR="00EE76D1" w:rsidRPr="008F4B68">
        <w:rPr>
          <w:lang w:val="es-ES"/>
        </w:rPr>
        <w:t>ependencia de gestión de proyectos</w:t>
      </w:r>
      <w:r w:rsidRPr="008F4B68">
        <w:rPr>
          <w:lang w:val="es-ES"/>
        </w:rPr>
        <w:t>, que fue de</w:t>
      </w:r>
      <w:r w:rsidR="002261B4" w:rsidRPr="008F4B68">
        <w:rPr>
          <w:lang w:val="es-ES"/>
        </w:rPr>
        <w:t> </w:t>
      </w:r>
      <w:r w:rsidR="001148A7" w:rsidRPr="008F4B68">
        <w:rPr>
          <w:lang w:val="es-ES"/>
        </w:rPr>
        <w:t>1</w:t>
      </w:r>
      <w:r w:rsidRPr="008F4B68">
        <w:rPr>
          <w:lang w:val="es-ES"/>
        </w:rPr>
        <w:t> </w:t>
      </w:r>
      <w:r w:rsidR="001148A7" w:rsidRPr="008F4B68">
        <w:rPr>
          <w:lang w:val="es-ES"/>
        </w:rPr>
        <w:t>386</w:t>
      </w:r>
      <w:r w:rsidRPr="008F4B68">
        <w:rPr>
          <w:lang w:val="es-ES"/>
        </w:rPr>
        <w:t> </w:t>
      </w:r>
      <w:r w:rsidR="001148A7" w:rsidRPr="008F4B68">
        <w:rPr>
          <w:lang w:val="es-ES"/>
        </w:rPr>
        <w:t>271</w:t>
      </w:r>
      <w:r w:rsidRPr="008F4B68">
        <w:rPr>
          <w:lang w:val="es-ES"/>
        </w:rPr>
        <w:t> $EUA</w:t>
      </w:r>
      <w:r w:rsidR="001148A7" w:rsidRPr="008F4B68">
        <w:rPr>
          <w:lang w:val="es-ES"/>
        </w:rPr>
        <w:t>;</w:t>
      </w:r>
    </w:p>
    <w:p w:rsidR="001148A7" w:rsidRPr="008F4B68" w:rsidRDefault="009C737C" w:rsidP="001148A7">
      <w:pPr>
        <w:pStyle w:val="Heading2"/>
        <w:rPr>
          <w:lang w:val="es-ES"/>
        </w:rPr>
      </w:pPr>
      <w:r w:rsidRPr="008F4B68">
        <w:rPr>
          <w:lang w:val="es-ES"/>
        </w:rPr>
        <w:t xml:space="preserve">En el caso </w:t>
      </w:r>
      <w:r w:rsidR="00E5681B" w:rsidRPr="008F4B68">
        <w:rPr>
          <w:lang w:val="es-ES"/>
        </w:rPr>
        <w:t xml:space="preserve">del </w:t>
      </w:r>
      <w:r w:rsidR="00890385" w:rsidRPr="008F4B68">
        <w:rPr>
          <w:lang w:val="es-ES"/>
        </w:rPr>
        <w:t>PGEH</w:t>
      </w:r>
      <w:r w:rsidR="001148A7" w:rsidRPr="008F4B68">
        <w:rPr>
          <w:lang w:val="es-ES"/>
        </w:rPr>
        <w:t xml:space="preserve"> </w:t>
      </w:r>
      <w:r w:rsidR="00E5681B" w:rsidRPr="008F4B68">
        <w:rPr>
          <w:lang w:val="es-ES"/>
        </w:rPr>
        <w:t xml:space="preserve">para </w:t>
      </w:r>
      <w:r w:rsidR="001148A7" w:rsidRPr="008F4B68">
        <w:rPr>
          <w:lang w:val="es-ES"/>
        </w:rPr>
        <w:t xml:space="preserve">China, </w:t>
      </w:r>
      <w:r w:rsidR="00E5681B" w:rsidRPr="008F4B68">
        <w:rPr>
          <w:lang w:val="es-ES"/>
        </w:rPr>
        <w:t xml:space="preserve">los </w:t>
      </w:r>
      <w:r w:rsidR="00F850D2" w:rsidRPr="008F4B68">
        <w:rPr>
          <w:lang w:val="es-ES"/>
        </w:rPr>
        <w:t xml:space="preserve">gastos </w:t>
      </w:r>
      <w:r w:rsidR="00E5681B" w:rsidRPr="008F4B68">
        <w:rPr>
          <w:lang w:val="es-ES"/>
        </w:rPr>
        <w:t xml:space="preserve">acumulados </w:t>
      </w:r>
      <w:r w:rsidR="00F850D2" w:rsidRPr="008F4B68">
        <w:rPr>
          <w:lang w:val="es-ES"/>
        </w:rPr>
        <w:t>de apoyo al organismo</w:t>
      </w:r>
      <w:r w:rsidR="001148A7" w:rsidRPr="008F4B68">
        <w:rPr>
          <w:lang w:val="es-ES"/>
        </w:rPr>
        <w:t xml:space="preserve"> </w:t>
      </w:r>
      <w:r w:rsidR="00E5681B" w:rsidRPr="008F4B68">
        <w:rPr>
          <w:lang w:val="es-ES"/>
        </w:rPr>
        <w:t>representaron un</w:t>
      </w:r>
      <w:r w:rsidR="001148A7" w:rsidRPr="008F4B68">
        <w:rPr>
          <w:lang w:val="es-ES"/>
        </w:rPr>
        <w:t> 7</w:t>
      </w:r>
      <w:r w:rsidR="00E5681B" w:rsidRPr="008F4B68">
        <w:rPr>
          <w:lang w:val="es-ES"/>
        </w:rPr>
        <w:t>,</w:t>
      </w:r>
      <w:r w:rsidR="001148A7" w:rsidRPr="008F4B68">
        <w:rPr>
          <w:lang w:val="es-ES"/>
        </w:rPr>
        <w:t>35</w:t>
      </w:r>
      <w:r w:rsidR="001F7B07" w:rsidRPr="008F4B68">
        <w:rPr>
          <w:lang w:val="es-ES"/>
        </w:rPr>
        <w:t> por ciento </w:t>
      </w:r>
      <w:r w:rsidR="00E5681B" w:rsidRPr="008F4B68">
        <w:rPr>
          <w:lang w:val="es-ES"/>
        </w:rPr>
        <w:t xml:space="preserve">de los costos totales acumulados correspondientes a la </w:t>
      </w:r>
      <w:r w:rsidR="009A1284" w:rsidRPr="008F4B68">
        <w:rPr>
          <w:lang w:val="es-ES"/>
        </w:rPr>
        <w:t>etapa </w:t>
      </w:r>
      <w:r w:rsidR="001148A7" w:rsidRPr="008F4B68">
        <w:rPr>
          <w:lang w:val="es-ES"/>
        </w:rPr>
        <w:t xml:space="preserve">I </w:t>
      </w:r>
      <w:r w:rsidR="00E5681B" w:rsidRPr="008F4B68">
        <w:rPr>
          <w:lang w:val="es-ES"/>
        </w:rPr>
        <w:t xml:space="preserve">del </w:t>
      </w:r>
      <w:r w:rsidR="00890385" w:rsidRPr="008F4B68">
        <w:rPr>
          <w:lang w:val="es-ES"/>
        </w:rPr>
        <w:t>PGEH</w:t>
      </w:r>
      <w:r w:rsidR="001148A7" w:rsidRPr="008F4B68">
        <w:rPr>
          <w:lang w:val="es-ES"/>
        </w:rPr>
        <w:t xml:space="preserve">, </w:t>
      </w:r>
      <w:r w:rsidR="00E5681B" w:rsidRPr="008F4B68">
        <w:rPr>
          <w:lang w:val="es-ES"/>
        </w:rPr>
        <w:t>mientras que los costos acumulados de la d</w:t>
      </w:r>
      <w:r w:rsidR="00EE76D1" w:rsidRPr="008F4B68">
        <w:rPr>
          <w:lang w:val="es-ES"/>
        </w:rPr>
        <w:t xml:space="preserve">ependencia de gestión de proyectos </w:t>
      </w:r>
      <w:r w:rsidR="00E5681B" w:rsidRPr="008F4B68">
        <w:rPr>
          <w:lang w:val="es-ES"/>
        </w:rPr>
        <w:t>representó un </w:t>
      </w:r>
      <w:r w:rsidR="001148A7" w:rsidRPr="008F4B68">
        <w:rPr>
          <w:lang w:val="es-ES"/>
        </w:rPr>
        <w:t>5</w:t>
      </w:r>
      <w:r w:rsidR="00E5681B" w:rsidRPr="008F4B68">
        <w:rPr>
          <w:lang w:val="es-ES"/>
        </w:rPr>
        <w:t>,</w:t>
      </w:r>
      <w:r w:rsidR="001148A7" w:rsidRPr="008F4B68">
        <w:rPr>
          <w:lang w:val="es-ES"/>
        </w:rPr>
        <w:t>71</w:t>
      </w:r>
      <w:r w:rsidR="001F7B07" w:rsidRPr="008F4B68">
        <w:rPr>
          <w:lang w:val="es-ES"/>
        </w:rPr>
        <w:t> por ciento </w:t>
      </w:r>
      <w:r w:rsidR="00E5681B" w:rsidRPr="008F4B68">
        <w:rPr>
          <w:lang w:val="es-ES"/>
        </w:rPr>
        <w:t xml:space="preserve">del total de costos acumulados de la </w:t>
      </w:r>
      <w:r w:rsidR="009A1284" w:rsidRPr="008F4B68">
        <w:rPr>
          <w:lang w:val="es-ES"/>
        </w:rPr>
        <w:t>etapa </w:t>
      </w:r>
      <w:r w:rsidR="001148A7" w:rsidRPr="008F4B68">
        <w:rPr>
          <w:lang w:val="es-ES"/>
        </w:rPr>
        <w:t xml:space="preserve">I </w:t>
      </w:r>
      <w:r w:rsidR="00E5681B" w:rsidRPr="008F4B68">
        <w:rPr>
          <w:lang w:val="es-ES"/>
        </w:rPr>
        <w:t xml:space="preserve">del </w:t>
      </w:r>
      <w:r w:rsidR="00890385" w:rsidRPr="008F4B68">
        <w:rPr>
          <w:lang w:val="es-ES"/>
        </w:rPr>
        <w:t>PGEH</w:t>
      </w:r>
      <w:r w:rsidR="001148A7" w:rsidRPr="008F4B68">
        <w:rPr>
          <w:lang w:val="es-ES"/>
        </w:rPr>
        <w:t xml:space="preserve">. </w:t>
      </w:r>
      <w:r w:rsidR="00E5681B" w:rsidRPr="008F4B68">
        <w:rPr>
          <w:lang w:val="es-ES"/>
        </w:rPr>
        <w:t xml:space="preserve"> La financiación total de FI para </w:t>
      </w:r>
      <w:r w:rsidR="001148A7" w:rsidRPr="008F4B68">
        <w:rPr>
          <w:lang w:val="es-ES"/>
        </w:rPr>
        <w:t xml:space="preserve">China </w:t>
      </w:r>
      <w:r w:rsidR="00E5681B" w:rsidRPr="008F4B68">
        <w:rPr>
          <w:lang w:val="es-ES"/>
        </w:rPr>
        <w:t xml:space="preserve">desde las fecha en las que se aprobó la </w:t>
      </w:r>
      <w:r w:rsidR="009A1284" w:rsidRPr="008F4B68">
        <w:rPr>
          <w:lang w:val="es-ES"/>
        </w:rPr>
        <w:t>etapa </w:t>
      </w:r>
      <w:r w:rsidR="001148A7" w:rsidRPr="008F4B68">
        <w:rPr>
          <w:lang w:val="es-ES"/>
        </w:rPr>
        <w:t xml:space="preserve">I </w:t>
      </w:r>
      <w:r w:rsidR="00E5681B" w:rsidRPr="008F4B68">
        <w:rPr>
          <w:lang w:val="es-ES"/>
        </w:rPr>
        <w:t xml:space="preserve">del </w:t>
      </w:r>
      <w:r w:rsidR="00890385" w:rsidRPr="008F4B68">
        <w:rPr>
          <w:lang w:val="es-ES"/>
        </w:rPr>
        <w:t>PGEH</w:t>
      </w:r>
      <w:r w:rsidR="001148A7" w:rsidRPr="008F4B68">
        <w:rPr>
          <w:lang w:val="es-ES"/>
        </w:rPr>
        <w:t xml:space="preserve"> </w:t>
      </w:r>
      <w:r w:rsidR="00E5681B" w:rsidRPr="008F4B68">
        <w:rPr>
          <w:lang w:val="es-ES"/>
        </w:rPr>
        <w:t>alcanzaron los</w:t>
      </w:r>
      <w:r w:rsidR="002261B4" w:rsidRPr="008F4B68">
        <w:rPr>
          <w:lang w:val="es-ES"/>
        </w:rPr>
        <w:t> </w:t>
      </w:r>
      <w:r w:rsidR="001148A7" w:rsidRPr="008F4B68">
        <w:rPr>
          <w:lang w:val="es-ES"/>
        </w:rPr>
        <w:t>1</w:t>
      </w:r>
      <w:r w:rsidR="00E5681B" w:rsidRPr="008F4B68">
        <w:rPr>
          <w:lang w:val="es-ES"/>
        </w:rPr>
        <w:t> </w:t>
      </w:r>
      <w:r w:rsidR="001148A7" w:rsidRPr="008F4B68">
        <w:rPr>
          <w:lang w:val="es-ES"/>
        </w:rPr>
        <w:t>778</w:t>
      </w:r>
      <w:r w:rsidR="00E5681B" w:rsidRPr="008F4B68">
        <w:rPr>
          <w:lang w:val="es-ES"/>
        </w:rPr>
        <w:t> </w:t>
      </w:r>
      <w:r w:rsidR="001148A7" w:rsidRPr="008F4B68">
        <w:rPr>
          <w:lang w:val="es-ES"/>
        </w:rPr>
        <w:t>400</w:t>
      </w:r>
      <w:r w:rsidR="00E5681B" w:rsidRPr="008F4B68">
        <w:rPr>
          <w:lang w:val="es-ES"/>
        </w:rPr>
        <w:t> $EUA</w:t>
      </w:r>
      <w:r w:rsidR="001148A7" w:rsidRPr="008F4B68">
        <w:rPr>
          <w:lang w:val="es-ES"/>
        </w:rPr>
        <w:t>,</w:t>
      </w:r>
      <w:r w:rsidR="00E5681B" w:rsidRPr="008F4B68">
        <w:rPr>
          <w:lang w:val="es-ES"/>
        </w:rPr>
        <w:t> lo que representa el </w:t>
      </w:r>
      <w:r w:rsidR="001148A7" w:rsidRPr="008F4B68">
        <w:rPr>
          <w:lang w:val="es-ES"/>
        </w:rPr>
        <w:t>0</w:t>
      </w:r>
      <w:r w:rsidR="00E5681B" w:rsidRPr="008F4B68">
        <w:rPr>
          <w:lang w:val="es-ES"/>
        </w:rPr>
        <w:t>,</w:t>
      </w:r>
      <w:r w:rsidR="001148A7" w:rsidRPr="008F4B68">
        <w:rPr>
          <w:lang w:val="es-ES"/>
        </w:rPr>
        <w:t>66</w:t>
      </w:r>
      <w:r w:rsidR="001F7B07" w:rsidRPr="008F4B68">
        <w:rPr>
          <w:lang w:val="es-ES"/>
        </w:rPr>
        <w:t> por ciento </w:t>
      </w:r>
      <w:r w:rsidR="00E5681B" w:rsidRPr="008F4B68">
        <w:rPr>
          <w:lang w:val="es-ES"/>
        </w:rPr>
        <w:t xml:space="preserve">del costo total del </w:t>
      </w:r>
      <w:r w:rsidR="00890385" w:rsidRPr="008F4B68">
        <w:rPr>
          <w:lang w:val="es-ES"/>
        </w:rPr>
        <w:t>PGEH</w:t>
      </w:r>
      <w:r w:rsidR="001148A7" w:rsidRPr="008F4B68">
        <w:rPr>
          <w:lang w:val="es-ES"/>
        </w:rPr>
        <w:t xml:space="preserve"> </w:t>
      </w:r>
      <w:r w:rsidR="00E5681B" w:rsidRPr="008F4B68">
        <w:rPr>
          <w:lang w:val="es-ES"/>
        </w:rPr>
        <w:t>y el </w:t>
      </w:r>
      <w:r w:rsidR="001148A7" w:rsidRPr="008F4B68">
        <w:rPr>
          <w:lang w:val="es-ES"/>
        </w:rPr>
        <w:t>11</w:t>
      </w:r>
      <w:r w:rsidR="00E5681B" w:rsidRPr="008F4B68">
        <w:rPr>
          <w:lang w:val="es-ES"/>
        </w:rPr>
        <w:t>,</w:t>
      </w:r>
      <w:r w:rsidR="001148A7" w:rsidRPr="008F4B68">
        <w:rPr>
          <w:lang w:val="es-ES"/>
        </w:rPr>
        <w:t>54</w:t>
      </w:r>
      <w:r w:rsidR="001F7B07" w:rsidRPr="008F4B68">
        <w:rPr>
          <w:lang w:val="es-ES"/>
        </w:rPr>
        <w:t> por ciento </w:t>
      </w:r>
      <w:r w:rsidR="00E5681B" w:rsidRPr="008F4B68">
        <w:rPr>
          <w:lang w:val="es-ES"/>
        </w:rPr>
        <w:t>del costo total de la d</w:t>
      </w:r>
      <w:r w:rsidR="00EE76D1" w:rsidRPr="008F4B68">
        <w:rPr>
          <w:lang w:val="es-ES"/>
        </w:rPr>
        <w:t>ependencia de gestión de proyectos</w:t>
      </w:r>
      <w:r w:rsidR="001148A7" w:rsidRPr="008F4B68">
        <w:rPr>
          <w:lang w:val="es-ES"/>
        </w:rPr>
        <w:t xml:space="preserve">; </w:t>
      </w:r>
      <w:r w:rsidR="00E5681B" w:rsidRPr="008F4B68">
        <w:rPr>
          <w:lang w:val="es-ES"/>
        </w:rPr>
        <w:t>y</w:t>
      </w:r>
    </w:p>
    <w:p w:rsidR="001148A7" w:rsidRPr="008F4B68" w:rsidRDefault="00AA7B66" w:rsidP="001148A7">
      <w:pPr>
        <w:pStyle w:val="Heading2"/>
        <w:rPr>
          <w:lang w:val="es-ES"/>
        </w:rPr>
      </w:pPr>
      <w:r w:rsidRPr="008F4B68">
        <w:rPr>
          <w:lang w:val="es-ES"/>
        </w:rPr>
        <w:t>En el Cuadro 1 se recoge un resumen de las actividades ejecutadas en el marco de proyectos de FI, actividades que son diferentes a las correspondientes a las de la d</w:t>
      </w:r>
      <w:r w:rsidR="00EE76D1" w:rsidRPr="008F4B68">
        <w:rPr>
          <w:lang w:val="es-ES"/>
        </w:rPr>
        <w:t>ependencia de gestión de proyectos</w:t>
      </w:r>
      <w:r w:rsidR="001148A7" w:rsidRPr="008F4B68">
        <w:rPr>
          <w:lang w:val="es-ES"/>
        </w:rPr>
        <w:t xml:space="preserve">. </w:t>
      </w:r>
      <w:r w:rsidRPr="008F4B68">
        <w:rPr>
          <w:lang w:val="es-ES"/>
        </w:rPr>
        <w:t xml:space="preserve"> En lo tocante al análisis solicitad</w:t>
      </w:r>
      <w:r w:rsidR="0021752D">
        <w:rPr>
          <w:lang w:val="es-ES"/>
        </w:rPr>
        <w:t>o</w:t>
      </w:r>
      <w:r w:rsidRPr="008F4B68">
        <w:rPr>
          <w:lang w:val="es-ES"/>
        </w:rPr>
        <w:t xml:space="preserve"> de conformidad con la </w:t>
      </w:r>
      <w:r w:rsidR="00A035B3" w:rsidRPr="008F4B68">
        <w:rPr>
          <w:lang w:val="es-ES"/>
        </w:rPr>
        <w:t>decisión </w:t>
      </w:r>
      <w:r w:rsidR="001148A7" w:rsidRPr="008F4B68">
        <w:rPr>
          <w:lang w:val="es-ES"/>
        </w:rPr>
        <w:t>82/82</w:t>
      </w:r>
      <w:r w:rsidRPr="008F4B68">
        <w:rPr>
          <w:lang w:val="es-ES"/>
        </w:rPr>
        <w:t> </w:t>
      </w:r>
      <w:r w:rsidR="001148A7" w:rsidRPr="008F4B68">
        <w:rPr>
          <w:lang w:val="es-ES"/>
        </w:rPr>
        <w:t xml:space="preserve">b), </w:t>
      </w:r>
      <w:r w:rsidRPr="008F4B68">
        <w:rPr>
          <w:lang w:val="es-ES"/>
        </w:rPr>
        <w:t xml:space="preserve">en el anexo </w:t>
      </w:r>
      <w:r w:rsidR="001148A7" w:rsidRPr="008F4B68">
        <w:rPr>
          <w:lang w:val="es-ES"/>
        </w:rPr>
        <w:t xml:space="preserve">II </w:t>
      </w:r>
      <w:r w:rsidRPr="008F4B68">
        <w:rPr>
          <w:lang w:val="es-ES"/>
        </w:rPr>
        <w:t xml:space="preserve">del presente documento se recoge un resumen de las actividades de FI realizadas en el marco de la implantación en curso en los </w:t>
      </w:r>
      <w:r w:rsidR="001148A7" w:rsidRPr="008F4B68">
        <w:rPr>
          <w:lang w:val="es-ES"/>
        </w:rPr>
        <w:t xml:space="preserve">33 </w:t>
      </w:r>
      <w:r w:rsidR="007B7911" w:rsidRPr="008F4B68">
        <w:rPr>
          <w:lang w:val="es-ES"/>
        </w:rPr>
        <w:t xml:space="preserve">países </w:t>
      </w:r>
      <w:r w:rsidR="007B7911" w:rsidRPr="008F4B68">
        <w:rPr>
          <w:lang w:val="es-ES"/>
        </w:rPr>
        <w:lastRenderedPageBreak/>
        <w:t>que no son de bajo consumo</w:t>
      </w:r>
      <w:r w:rsidR="001148A7" w:rsidRPr="008F4B68">
        <w:rPr>
          <w:lang w:val="es-ES"/>
        </w:rPr>
        <w:t xml:space="preserve"> </w:t>
      </w:r>
      <w:r w:rsidR="0021752D">
        <w:rPr>
          <w:lang w:val="es-ES"/>
        </w:rPr>
        <w:t xml:space="preserve">y </w:t>
      </w:r>
      <w:r w:rsidRPr="008F4B68">
        <w:rPr>
          <w:lang w:val="es-ES"/>
        </w:rPr>
        <w:t xml:space="preserve">se enumeran en el </w:t>
      </w:r>
      <w:r w:rsidR="00D43837" w:rsidRPr="008F4B68">
        <w:rPr>
          <w:lang w:val="es-ES"/>
        </w:rPr>
        <w:t>Cuadro </w:t>
      </w:r>
      <w:r w:rsidR="001148A7" w:rsidRPr="008F4B68">
        <w:rPr>
          <w:lang w:val="es-ES"/>
        </w:rPr>
        <w:t>2 (</w:t>
      </w:r>
      <w:r w:rsidRPr="008F4B68">
        <w:rPr>
          <w:lang w:val="es-ES"/>
        </w:rPr>
        <w:t>tomando nota de que la financiación de FI no ha sido aprobada para Sudáfrica</w:t>
      </w:r>
      <w:r w:rsidR="001148A7" w:rsidRPr="008F4B68">
        <w:rPr>
          <w:lang w:val="es-ES"/>
        </w:rPr>
        <w:t xml:space="preserve">). </w:t>
      </w:r>
      <w:r w:rsidRPr="008F4B68">
        <w:rPr>
          <w:lang w:val="es-ES"/>
        </w:rPr>
        <w:t xml:space="preserve"> Esta información se ha extraído de los respectivos programas de trabajo de los organismos de ejecución aprobados por el </w:t>
      </w:r>
      <w:r w:rsidR="003920CB" w:rsidRPr="008F4B68">
        <w:rPr>
          <w:lang w:val="es-ES"/>
        </w:rPr>
        <w:t>Comité Ejecutivo</w:t>
      </w:r>
      <w:r w:rsidR="001148A7" w:rsidRPr="008F4B68">
        <w:rPr>
          <w:lang w:val="es-ES"/>
        </w:rPr>
        <w:t>.</w:t>
      </w:r>
    </w:p>
    <w:p w:rsidR="001148A7" w:rsidRPr="008F4B68" w:rsidRDefault="00AA7B66" w:rsidP="001148A7">
      <w:pPr>
        <w:keepNext/>
        <w:keepLines/>
        <w:spacing w:after="240"/>
        <w:rPr>
          <w:u w:val="single"/>
          <w:lang w:val="es-ES"/>
        </w:rPr>
      </w:pPr>
      <w:r w:rsidRPr="008F4B68">
        <w:rPr>
          <w:u w:val="single"/>
          <w:lang w:val="es-ES"/>
        </w:rPr>
        <w:t>P</w:t>
      </w:r>
      <w:r w:rsidR="007B7911" w:rsidRPr="008F4B68">
        <w:rPr>
          <w:u w:val="single"/>
          <w:lang w:val="es-ES"/>
        </w:rPr>
        <w:t>aíses que son de bajo consumo</w:t>
      </w:r>
    </w:p>
    <w:p w:rsidR="001148A7" w:rsidRPr="008F4B68" w:rsidRDefault="00AA7B66" w:rsidP="001148A7">
      <w:pPr>
        <w:pStyle w:val="Heading1"/>
        <w:keepNext/>
        <w:keepLines/>
        <w:rPr>
          <w:lang w:val="es-ES"/>
        </w:rPr>
      </w:pPr>
      <w:r w:rsidRPr="008F4B68">
        <w:rPr>
          <w:lang w:val="es-ES"/>
        </w:rPr>
        <w:t xml:space="preserve">En el caso de la mayoría de los </w:t>
      </w:r>
      <w:r w:rsidR="007B7911" w:rsidRPr="008F4B68">
        <w:rPr>
          <w:lang w:val="es-ES"/>
        </w:rPr>
        <w:t>países que son de bajo consumo</w:t>
      </w:r>
      <w:r w:rsidR="001148A7" w:rsidRPr="008F4B68">
        <w:rPr>
          <w:lang w:val="es-ES"/>
        </w:rPr>
        <w:t xml:space="preserve">, </w:t>
      </w:r>
      <w:r w:rsidRPr="008F4B68">
        <w:rPr>
          <w:lang w:val="es-ES"/>
        </w:rPr>
        <w:t xml:space="preserve">la </w:t>
      </w:r>
      <w:r w:rsidR="009A1284" w:rsidRPr="008F4B68">
        <w:rPr>
          <w:lang w:val="es-ES"/>
        </w:rPr>
        <w:t>etapa </w:t>
      </w:r>
      <w:r w:rsidR="001148A7" w:rsidRPr="008F4B68">
        <w:rPr>
          <w:lang w:val="es-ES"/>
        </w:rPr>
        <w:t xml:space="preserve">I </w:t>
      </w:r>
      <w:r w:rsidRPr="008F4B68">
        <w:rPr>
          <w:lang w:val="es-ES"/>
        </w:rPr>
        <w:t xml:space="preserve">de sus </w:t>
      </w:r>
      <w:r w:rsidR="009A1284" w:rsidRPr="008F4B68">
        <w:rPr>
          <w:lang w:val="es-ES"/>
        </w:rPr>
        <w:t>PGEH</w:t>
      </w:r>
      <w:r w:rsidR="001148A7" w:rsidRPr="008F4B68">
        <w:rPr>
          <w:lang w:val="es-ES"/>
        </w:rPr>
        <w:t xml:space="preserve"> </w:t>
      </w:r>
      <w:r w:rsidRPr="008F4B68">
        <w:rPr>
          <w:lang w:val="es-ES"/>
        </w:rPr>
        <w:t xml:space="preserve">relativos a la reducción del consumo de </w:t>
      </w:r>
      <w:r w:rsidR="001148A7" w:rsidRPr="008F4B68">
        <w:rPr>
          <w:lang w:val="es-ES"/>
        </w:rPr>
        <w:t>HCFC (</w:t>
      </w:r>
      <w:r w:rsidRPr="008F4B68">
        <w:rPr>
          <w:lang w:val="es-ES"/>
        </w:rPr>
        <w:t xml:space="preserve">mayormente </w:t>
      </w:r>
      <w:r w:rsidR="001148A7" w:rsidRPr="008F4B68">
        <w:rPr>
          <w:lang w:val="es-ES"/>
        </w:rPr>
        <w:t xml:space="preserve">HCFC-22) </w:t>
      </w:r>
      <w:r w:rsidRPr="008F4B68">
        <w:rPr>
          <w:lang w:val="es-ES"/>
        </w:rPr>
        <w:t xml:space="preserve">se dedicó exclusivamente al </w:t>
      </w:r>
      <w:r w:rsidR="00DA792D" w:rsidRPr="008F4B68">
        <w:rPr>
          <w:lang w:val="es-ES"/>
        </w:rPr>
        <w:t>servicio y mantenimiento</w:t>
      </w:r>
      <w:r w:rsidR="001148A7" w:rsidRPr="008F4B68">
        <w:rPr>
          <w:lang w:val="es-ES"/>
        </w:rPr>
        <w:t xml:space="preserve"> </w:t>
      </w:r>
      <w:r w:rsidRPr="008F4B68">
        <w:rPr>
          <w:lang w:val="es-ES"/>
        </w:rPr>
        <w:t>de equipos de refrigeración y de climatización</w:t>
      </w:r>
      <w:r w:rsidR="001148A7" w:rsidRPr="008F4B68">
        <w:rPr>
          <w:lang w:val="es-ES"/>
        </w:rPr>
        <w:t xml:space="preserve">. </w:t>
      </w:r>
      <w:r w:rsidRPr="008F4B68">
        <w:rPr>
          <w:lang w:val="es-ES"/>
        </w:rPr>
        <w:t xml:space="preserve"> El </w:t>
      </w:r>
      <w:r w:rsidR="00CF2D8C" w:rsidRPr="008F4B68">
        <w:rPr>
          <w:lang w:val="es-ES"/>
        </w:rPr>
        <w:t xml:space="preserve">Comité Ejecutivo </w:t>
      </w:r>
      <w:r w:rsidRPr="008F4B68">
        <w:rPr>
          <w:lang w:val="es-ES"/>
        </w:rPr>
        <w:t xml:space="preserve">acordó </w:t>
      </w:r>
      <w:r w:rsidR="0087643C" w:rsidRPr="008F4B68">
        <w:rPr>
          <w:lang w:val="es-ES"/>
        </w:rPr>
        <w:t xml:space="preserve">que </w:t>
      </w:r>
      <w:r w:rsidRPr="008F4B68">
        <w:rPr>
          <w:lang w:val="es-ES"/>
        </w:rPr>
        <w:t xml:space="preserve">los </w:t>
      </w:r>
      <w:r w:rsidR="0087643C" w:rsidRPr="008F4B68">
        <w:rPr>
          <w:lang w:val="es-ES"/>
        </w:rPr>
        <w:t xml:space="preserve">PGEH recibieran los </w:t>
      </w:r>
      <w:r w:rsidRPr="008F4B68">
        <w:rPr>
          <w:lang w:val="es-ES"/>
        </w:rPr>
        <w:t xml:space="preserve">volúmenes de financiación más elevados </w:t>
      </w:r>
      <w:r w:rsidR="0087643C" w:rsidRPr="008F4B68">
        <w:rPr>
          <w:lang w:val="es-ES"/>
        </w:rPr>
        <w:t xml:space="preserve">fundamentándose en el consumo básico de referencia de </w:t>
      </w:r>
      <w:r w:rsidR="001148A7" w:rsidRPr="008F4B68">
        <w:rPr>
          <w:lang w:val="es-ES"/>
        </w:rPr>
        <w:t xml:space="preserve">HCFC </w:t>
      </w:r>
      <w:r w:rsidR="0087643C" w:rsidRPr="008F4B68">
        <w:rPr>
          <w:lang w:val="es-ES"/>
        </w:rPr>
        <w:t>para alcanzar el cumplimiento</w:t>
      </w:r>
      <w:r w:rsidR="001148A7" w:rsidRPr="008F4B68">
        <w:rPr>
          <w:lang w:val="es-ES"/>
        </w:rPr>
        <w:t xml:space="preserve"> (</w:t>
      </w:r>
      <w:r w:rsidR="00A035B3" w:rsidRPr="008F4B68">
        <w:rPr>
          <w:lang w:val="es-ES"/>
        </w:rPr>
        <w:t>decisión </w:t>
      </w:r>
      <w:r w:rsidR="001148A7" w:rsidRPr="008F4B68">
        <w:rPr>
          <w:lang w:val="es-ES"/>
        </w:rPr>
        <w:t>60/44</w:t>
      </w:r>
      <w:r w:rsidR="0087643C" w:rsidRPr="008F4B68">
        <w:rPr>
          <w:lang w:val="es-ES"/>
        </w:rPr>
        <w:t> </w:t>
      </w:r>
      <w:r w:rsidR="001148A7" w:rsidRPr="008F4B68">
        <w:rPr>
          <w:lang w:val="es-ES"/>
        </w:rPr>
        <w:t>f)</w:t>
      </w:r>
      <w:r w:rsidR="0087643C" w:rsidRPr="008F4B68">
        <w:rPr>
          <w:lang w:val="es-ES"/>
        </w:rPr>
        <w:t> </w:t>
      </w:r>
      <w:r w:rsidR="001148A7" w:rsidRPr="008F4B68">
        <w:rPr>
          <w:lang w:val="es-ES"/>
        </w:rPr>
        <w:t xml:space="preserve">xii) </w:t>
      </w:r>
      <w:r w:rsidR="0087643C" w:rsidRPr="008F4B68">
        <w:rPr>
          <w:lang w:val="es-ES"/>
        </w:rPr>
        <w:t>y</w:t>
      </w:r>
      <w:r w:rsidR="001148A7" w:rsidRPr="008F4B68">
        <w:rPr>
          <w:lang w:val="es-ES"/>
        </w:rPr>
        <w:t xml:space="preserve"> </w:t>
      </w:r>
      <w:r w:rsidR="00A035B3" w:rsidRPr="008F4B68">
        <w:rPr>
          <w:lang w:val="es-ES"/>
        </w:rPr>
        <w:t>decisión </w:t>
      </w:r>
      <w:r w:rsidR="001148A7" w:rsidRPr="008F4B68">
        <w:rPr>
          <w:lang w:val="es-ES"/>
        </w:rPr>
        <w:t>74/50</w:t>
      </w:r>
      <w:r w:rsidR="0087643C" w:rsidRPr="008F4B68">
        <w:rPr>
          <w:lang w:val="es-ES"/>
        </w:rPr>
        <w:t> </w:t>
      </w:r>
      <w:r w:rsidR="001148A7" w:rsidRPr="008F4B68">
        <w:rPr>
          <w:lang w:val="es-ES"/>
        </w:rPr>
        <w:t>c)</w:t>
      </w:r>
      <w:r w:rsidR="0087643C" w:rsidRPr="008F4B68">
        <w:rPr>
          <w:lang w:val="es-ES"/>
        </w:rPr>
        <w:t> </w:t>
      </w:r>
      <w:r w:rsidR="001148A7" w:rsidRPr="008F4B68">
        <w:rPr>
          <w:lang w:val="es-ES"/>
        </w:rPr>
        <w:t>xii)).</w:t>
      </w:r>
    </w:p>
    <w:p w:rsidR="001148A7" w:rsidRPr="008F4B68" w:rsidRDefault="0087643C" w:rsidP="001148A7">
      <w:pPr>
        <w:pStyle w:val="Heading1"/>
        <w:rPr>
          <w:lang w:val="es-ES"/>
        </w:rPr>
      </w:pPr>
      <w:r w:rsidRPr="008F4B68">
        <w:rPr>
          <w:lang w:val="es-ES"/>
        </w:rPr>
        <w:t xml:space="preserve">El </w:t>
      </w:r>
      <w:r w:rsidR="00D43837" w:rsidRPr="008F4B68">
        <w:rPr>
          <w:lang w:val="es-ES"/>
        </w:rPr>
        <w:t>Cuadro </w:t>
      </w:r>
      <w:r w:rsidR="001148A7" w:rsidRPr="008F4B68">
        <w:rPr>
          <w:lang w:val="es-ES"/>
        </w:rPr>
        <w:t xml:space="preserve">3 </w:t>
      </w:r>
      <w:r w:rsidRPr="008F4B68">
        <w:rPr>
          <w:lang w:val="es-ES"/>
        </w:rPr>
        <w:t xml:space="preserve">recoge información de </w:t>
      </w:r>
      <w:r w:rsidR="001148A7" w:rsidRPr="008F4B68">
        <w:rPr>
          <w:lang w:val="es-ES"/>
        </w:rPr>
        <w:t xml:space="preserve">29 </w:t>
      </w:r>
      <w:r w:rsidR="007B7911" w:rsidRPr="008F4B68">
        <w:rPr>
          <w:lang w:val="es-ES"/>
        </w:rPr>
        <w:t>países que son de bajo consumo</w:t>
      </w:r>
      <w:r w:rsidR="001148A7" w:rsidRPr="008F4B68">
        <w:rPr>
          <w:lang w:val="es-ES"/>
        </w:rPr>
        <w:t xml:space="preserve"> </w:t>
      </w:r>
      <w:r w:rsidRPr="008F4B68">
        <w:rPr>
          <w:lang w:val="es-ES"/>
        </w:rPr>
        <w:t>seleccionados para el análisis representativo</w:t>
      </w:r>
      <w:r w:rsidR="001148A7" w:rsidRPr="008F4B68">
        <w:rPr>
          <w:lang w:val="es-ES"/>
        </w:rPr>
        <w:t>.</w:t>
      </w:r>
    </w:p>
    <w:p w:rsidR="00CF1AC4" w:rsidRPr="008F4B68" w:rsidRDefault="00D43837" w:rsidP="00CF1AC4">
      <w:pPr>
        <w:pStyle w:val="Heading2"/>
        <w:numPr>
          <w:ilvl w:val="0"/>
          <w:numId w:val="0"/>
        </w:numPr>
        <w:spacing w:after="0"/>
        <w:rPr>
          <w:b/>
          <w:sz w:val="21"/>
          <w:szCs w:val="21"/>
          <w:lang w:val="es-ES"/>
        </w:rPr>
      </w:pPr>
      <w:r w:rsidRPr="008F4B68">
        <w:rPr>
          <w:b/>
          <w:sz w:val="21"/>
          <w:szCs w:val="21"/>
          <w:lang w:val="es-ES"/>
        </w:rPr>
        <w:t>Cuadro </w:t>
      </w:r>
      <w:r w:rsidR="001148A7" w:rsidRPr="008F4B68">
        <w:rPr>
          <w:b/>
          <w:sz w:val="21"/>
          <w:szCs w:val="21"/>
          <w:lang w:val="es-ES"/>
        </w:rPr>
        <w:t>3. Informa</w:t>
      </w:r>
      <w:r w:rsidR="0087643C" w:rsidRPr="008F4B68">
        <w:rPr>
          <w:b/>
          <w:sz w:val="21"/>
          <w:szCs w:val="21"/>
          <w:lang w:val="es-ES"/>
        </w:rPr>
        <w:t xml:space="preserve">ción </w:t>
      </w:r>
      <w:r w:rsidR="0021752D">
        <w:rPr>
          <w:b/>
          <w:sz w:val="21"/>
          <w:szCs w:val="21"/>
          <w:lang w:val="es-ES"/>
        </w:rPr>
        <w:t xml:space="preserve">procedente </w:t>
      </w:r>
      <w:r w:rsidR="0087643C" w:rsidRPr="008F4B68">
        <w:rPr>
          <w:b/>
          <w:sz w:val="21"/>
          <w:szCs w:val="21"/>
          <w:lang w:val="es-ES"/>
        </w:rPr>
        <w:t xml:space="preserve">de </w:t>
      </w:r>
      <w:r w:rsidR="001148A7" w:rsidRPr="008F4B68">
        <w:rPr>
          <w:b/>
          <w:sz w:val="21"/>
          <w:szCs w:val="21"/>
          <w:lang w:val="es-ES"/>
        </w:rPr>
        <w:t xml:space="preserve">29 </w:t>
      </w:r>
      <w:r w:rsidR="007B7911" w:rsidRPr="008F4B68">
        <w:rPr>
          <w:b/>
          <w:sz w:val="21"/>
          <w:szCs w:val="21"/>
          <w:lang w:val="es-ES"/>
        </w:rPr>
        <w:t>países que son de bajo consumo</w:t>
      </w:r>
      <w:r w:rsidR="001148A7" w:rsidRPr="008F4B68">
        <w:rPr>
          <w:b/>
          <w:sz w:val="21"/>
          <w:szCs w:val="21"/>
          <w:lang w:val="es-ES"/>
        </w:rPr>
        <w:t xml:space="preserve"> </w:t>
      </w:r>
      <w:r w:rsidR="0087643C" w:rsidRPr="008F4B68">
        <w:rPr>
          <w:b/>
          <w:sz w:val="21"/>
          <w:szCs w:val="21"/>
          <w:lang w:val="es-ES"/>
        </w:rPr>
        <w:t xml:space="preserve">empleada para el análisis solicitado en virtud de la </w:t>
      </w:r>
      <w:r w:rsidR="00A035B3" w:rsidRPr="008F4B68">
        <w:rPr>
          <w:b/>
          <w:sz w:val="21"/>
          <w:szCs w:val="21"/>
          <w:lang w:val="es-ES"/>
        </w:rPr>
        <w:t>decisión </w:t>
      </w:r>
      <w:r w:rsidR="001148A7" w:rsidRPr="008F4B68">
        <w:rPr>
          <w:b/>
          <w:sz w:val="21"/>
          <w:szCs w:val="21"/>
          <w:lang w:val="es-ES"/>
        </w:rPr>
        <w:t>82/82</w:t>
      </w:r>
      <w:r w:rsidR="0087643C" w:rsidRPr="008F4B68">
        <w:rPr>
          <w:b/>
          <w:sz w:val="21"/>
          <w:szCs w:val="21"/>
          <w:lang w:val="es-ES"/>
        </w:rPr>
        <w:t> </w:t>
      </w:r>
      <w:r w:rsidR="001148A7" w:rsidRPr="008F4B68">
        <w:rPr>
          <w:b/>
          <w:sz w:val="21"/>
          <w:szCs w:val="21"/>
          <w:lang w:val="es-ES"/>
        </w:rPr>
        <w:t>b)</w:t>
      </w:r>
      <w:r w:rsidR="00CF1AC4" w:rsidRPr="008F4B68">
        <w:rPr>
          <w:b/>
          <w:sz w:val="21"/>
          <w:szCs w:val="21"/>
          <w:lang w:val="es-ES"/>
        </w:rPr>
        <w:t xml:space="preserve"> </w:t>
      </w:r>
    </w:p>
    <w:tbl>
      <w:tblPr>
        <w:tblW w:w="9970" w:type="dxa"/>
        <w:tblLook w:val="04A0" w:firstRow="1" w:lastRow="0" w:firstColumn="1" w:lastColumn="0" w:noHBand="0" w:noVBand="1"/>
      </w:tblPr>
      <w:tblGrid>
        <w:gridCol w:w="1272"/>
        <w:gridCol w:w="548"/>
        <w:gridCol w:w="1022"/>
        <w:gridCol w:w="1022"/>
        <w:gridCol w:w="926"/>
        <w:gridCol w:w="846"/>
        <w:gridCol w:w="926"/>
        <w:gridCol w:w="876"/>
        <w:gridCol w:w="1055"/>
        <w:gridCol w:w="926"/>
        <w:gridCol w:w="876"/>
      </w:tblGrid>
      <w:tr w:rsidR="00CF1AC4" w:rsidRPr="008F4B68" w:rsidTr="00A61829">
        <w:trPr>
          <w:tblHeader/>
        </w:trPr>
        <w:tc>
          <w:tcPr>
            <w:tcW w:w="1272" w:type="dxa"/>
            <w:vMerge w:val="restart"/>
            <w:tcBorders>
              <w:top w:val="single" w:sz="4" w:space="0" w:color="auto"/>
              <w:left w:val="single" w:sz="4" w:space="0" w:color="auto"/>
              <w:right w:val="single" w:sz="4" w:space="0" w:color="auto"/>
            </w:tcBorders>
            <w:shd w:val="clear" w:color="auto" w:fill="auto"/>
            <w:noWrap/>
            <w:tcMar>
              <w:left w:w="0" w:type="dxa"/>
              <w:right w:w="0" w:type="dxa"/>
            </w:tcMar>
            <w:vAlign w:val="center"/>
          </w:tcPr>
          <w:p w:rsidR="00CF1AC4" w:rsidRPr="008F4B68" w:rsidRDefault="00CF1AC4" w:rsidP="00A61829">
            <w:pPr>
              <w:jc w:val="left"/>
              <w:rPr>
                <w:b/>
                <w:color w:val="000000"/>
                <w:sz w:val="19"/>
                <w:szCs w:val="19"/>
                <w:lang w:val="es-ES" w:eastAsia="en-CA"/>
              </w:rPr>
            </w:pPr>
            <w:r w:rsidRPr="008F4B68">
              <w:rPr>
                <w:b/>
                <w:color w:val="000000"/>
                <w:sz w:val="19"/>
                <w:szCs w:val="19"/>
                <w:lang w:val="es-ES" w:eastAsia="en-CA"/>
              </w:rPr>
              <w:t>País</w:t>
            </w:r>
          </w:p>
        </w:tc>
        <w:tc>
          <w:tcPr>
            <w:tcW w:w="548" w:type="dxa"/>
            <w:vMerge w:val="restart"/>
            <w:tcBorders>
              <w:top w:val="single" w:sz="4" w:space="0" w:color="auto"/>
              <w:left w:val="nil"/>
              <w:right w:val="single" w:sz="4" w:space="0" w:color="auto"/>
            </w:tcBorders>
            <w:shd w:val="clear" w:color="auto" w:fill="auto"/>
            <w:noWrap/>
            <w:tcMar>
              <w:left w:w="0" w:type="dxa"/>
              <w:right w:w="0" w:type="dxa"/>
            </w:tcMar>
            <w:vAlign w:val="center"/>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 de años</w:t>
            </w:r>
          </w:p>
        </w:tc>
        <w:tc>
          <w:tcPr>
            <w:tcW w:w="2970"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Costo del PGEH ($EUA)</w:t>
            </w:r>
          </w:p>
        </w:tc>
        <w:tc>
          <w:tcPr>
            <w:tcW w:w="846" w:type="dxa"/>
            <w:vMerge w:val="restart"/>
            <w:tcBorders>
              <w:top w:val="single" w:sz="4" w:space="0" w:color="auto"/>
              <w:left w:val="nil"/>
              <w:right w:val="single" w:sz="4" w:space="0" w:color="auto"/>
            </w:tcBorders>
            <w:shd w:val="clear" w:color="auto" w:fill="auto"/>
            <w:noWrap/>
            <w:tcMar>
              <w:left w:w="0" w:type="dxa"/>
              <w:right w:w="0" w:type="dxa"/>
            </w:tcMar>
            <w:vAlign w:val="center"/>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 xml:space="preserve">% </w:t>
            </w:r>
            <w:r w:rsidR="0021752D">
              <w:rPr>
                <w:b/>
                <w:color w:val="000000"/>
                <w:sz w:val="19"/>
                <w:szCs w:val="19"/>
                <w:lang w:val="es-ES" w:eastAsia="en-CA"/>
              </w:rPr>
              <w:t>de</w:t>
            </w:r>
          </w:p>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apoyo $</w:t>
            </w:r>
          </w:p>
        </w:tc>
        <w:tc>
          <w:tcPr>
            <w:tcW w:w="1802"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Costo de la dependencia de gestión de proyectos  ($EUA)</w:t>
            </w:r>
          </w:p>
        </w:tc>
        <w:tc>
          <w:tcPr>
            <w:tcW w:w="730" w:type="dxa"/>
            <w:vMerge w:val="restart"/>
            <w:tcBorders>
              <w:top w:val="single" w:sz="4" w:space="0" w:color="auto"/>
              <w:left w:val="nil"/>
              <w:right w:val="single" w:sz="4" w:space="0" w:color="auto"/>
            </w:tcBorders>
            <w:shd w:val="clear" w:color="auto" w:fill="auto"/>
            <w:noWrap/>
            <w:tcMar>
              <w:left w:w="0" w:type="dxa"/>
              <w:right w:w="0" w:type="dxa"/>
            </w:tcMar>
            <w:vAlign w:val="center"/>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w:t>
            </w:r>
          </w:p>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Dependencia de gestión de proyectos $</w:t>
            </w:r>
          </w:p>
        </w:tc>
        <w:tc>
          <w:tcPr>
            <w:tcW w:w="1802"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Costo de FI ($EUA)</w:t>
            </w:r>
          </w:p>
        </w:tc>
      </w:tr>
      <w:tr w:rsidR="00CF1AC4" w:rsidRPr="008F4B68" w:rsidTr="00A61829">
        <w:trPr>
          <w:tblHeader/>
        </w:trPr>
        <w:tc>
          <w:tcPr>
            <w:tcW w:w="1272"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left"/>
              <w:rPr>
                <w:b/>
                <w:color w:val="000000"/>
                <w:sz w:val="19"/>
                <w:szCs w:val="19"/>
                <w:lang w:val="es-ES" w:eastAsia="en-CA"/>
              </w:rPr>
            </w:pPr>
          </w:p>
        </w:tc>
        <w:tc>
          <w:tcPr>
            <w:tcW w:w="548" w:type="dxa"/>
            <w:vMerge/>
            <w:tcBorders>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p>
        </w:tc>
        <w:tc>
          <w:tcPr>
            <w:tcW w:w="10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Total</w:t>
            </w:r>
          </w:p>
        </w:tc>
        <w:tc>
          <w:tcPr>
            <w:tcW w:w="10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Proyecto</w:t>
            </w:r>
          </w:p>
        </w:tc>
        <w:tc>
          <w:tcPr>
            <w:tcW w:w="92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Apoyo</w:t>
            </w:r>
          </w:p>
        </w:tc>
        <w:tc>
          <w:tcPr>
            <w:tcW w:w="846" w:type="dxa"/>
            <w:vMerge/>
            <w:tcBorders>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p>
        </w:tc>
        <w:tc>
          <w:tcPr>
            <w:tcW w:w="92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Total</w:t>
            </w:r>
          </w:p>
        </w:tc>
        <w:tc>
          <w:tcPr>
            <w:tcW w:w="87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Anual</w:t>
            </w:r>
          </w:p>
        </w:tc>
        <w:tc>
          <w:tcPr>
            <w:tcW w:w="730" w:type="dxa"/>
            <w:vMerge/>
            <w:tcBorders>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p>
        </w:tc>
        <w:tc>
          <w:tcPr>
            <w:tcW w:w="92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Total</w:t>
            </w:r>
          </w:p>
        </w:tc>
        <w:tc>
          <w:tcPr>
            <w:tcW w:w="87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CF1AC4" w:rsidRPr="008F4B68" w:rsidRDefault="00CF1AC4" w:rsidP="00A61829">
            <w:pPr>
              <w:jc w:val="center"/>
              <w:rPr>
                <w:b/>
                <w:color w:val="000000"/>
                <w:sz w:val="19"/>
                <w:szCs w:val="19"/>
                <w:lang w:val="es-ES" w:eastAsia="en-CA"/>
              </w:rPr>
            </w:pPr>
            <w:r w:rsidRPr="008F4B68">
              <w:rPr>
                <w:b/>
                <w:color w:val="000000"/>
                <w:sz w:val="19"/>
                <w:szCs w:val="19"/>
                <w:lang w:val="es-ES" w:eastAsia="en-CA"/>
              </w:rPr>
              <w:t xml:space="preserve">Anual </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Albania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346 750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315 000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31 750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10,08</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4 545</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15,87</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497 952</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45 268</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Angola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191 840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176 000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15 840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36 000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5 143</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20,45</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575 232</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82 176</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Armenia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649 121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601 838</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47 283</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7,86</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667 200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95 314</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Barbados</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312 880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280 000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32 880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11,74</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2 222</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7,14</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299 520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33 280</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Bolivia (Estado plurinacional de)</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347 130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315 000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32 130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10,20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33 500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3 045</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10,63</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258 684</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23 517</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jc w:val="left"/>
              <w:rPr>
                <w:sz w:val="19"/>
                <w:szCs w:val="19"/>
                <w:lang w:val="es-ES"/>
              </w:rPr>
            </w:pPr>
            <w:r w:rsidRPr="008F4B68">
              <w:rPr>
                <w:sz w:val="19"/>
                <w:szCs w:val="19"/>
                <w:lang w:val="es-ES"/>
              </w:rPr>
              <w:t>Bosnia y Herzegovina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1 023 170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953 284</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69 886</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7,33</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312 692</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31 269</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Botswana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616 000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560 000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56 000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4 286</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5,36</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100 061</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14 294</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Burkina Faso</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702 300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630 000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72 300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11,48</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10 000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19,05</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309 915</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25 826</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Eritrea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232 500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210 000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22 500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10,71</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17 000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1 700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8,10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145 000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14 500</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Etiopia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350 350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315 000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35 350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11,22</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3 000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9,52</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145 000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14 500</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Georgia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538 468</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500 900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37 568</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7,50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41 100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3 736</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8,21</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267 001</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24 273</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Guatemala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480 606</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442 137</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38 469</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8,70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66 500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6 045</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15,04</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159 744</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14 522</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Haití</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312 516</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280 000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32 516</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11,61</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23 467</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2 347</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8,38</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128 000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12 800</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 xml:space="preserve">Honduras </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691 000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630 000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61 000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9,68</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8 182</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14,29</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145 000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13 182</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jc w:val="left"/>
              <w:rPr>
                <w:sz w:val="19"/>
                <w:szCs w:val="19"/>
                <w:lang w:val="es-ES"/>
              </w:rPr>
            </w:pPr>
            <w:r w:rsidRPr="008F4B68">
              <w:rPr>
                <w:sz w:val="19"/>
                <w:szCs w:val="19"/>
                <w:lang w:val="es-ES"/>
              </w:rPr>
              <w:t>República Democrática Popular de Lao</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316 400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280 000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36 400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13,00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14 400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1 309</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5,14</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290 000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26 364</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Montenegro</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434 838</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404 500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30 338</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7,50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31 500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2 864</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7,79</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Namibia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16</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1 009 000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900 000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109 000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12,11</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6 250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11,11</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205 000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12 813</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Niger</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617 125</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560 000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57 125</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10,20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45 000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4 500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8,04</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234 828</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23 483</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8"/>
                <w:szCs w:val="18"/>
                <w:lang w:val="es-ES"/>
              </w:rPr>
            </w:pPr>
            <w:r w:rsidRPr="008F4B68">
              <w:rPr>
                <w:sz w:val="18"/>
                <w:szCs w:val="18"/>
                <w:lang w:val="es-ES"/>
              </w:rPr>
              <w:t>Macedonia del Norte</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1 107 250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1 030 000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77 250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7,50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Omán</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471 354</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434 120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37 234</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8,58</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6 667</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9,21</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293 039</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48 840</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Catar</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1 243 000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1 150 907</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92 093</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10 000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7,82</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113 920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12 658</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Senegal</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693 637</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630 000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63 637</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10,10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5 455</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9,52</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693 580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63 053</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Serbia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1 050 408</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973 260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77 148</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7,93</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45 000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3 750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4,62</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430 664</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35 889</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Somalia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337 050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315 000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22 050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66 000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6 600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20,95</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145 000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14 500</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Sudán</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1 564 817</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1 456 341</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108 476</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7,45</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5 556</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3,43</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665 122</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73 902</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Turkmenistán</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700 954</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652 050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48 904</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7,50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2 500</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4,60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77 000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6 417</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Uruguay</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408 504</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380 004</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28 500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7,50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82 000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13 667</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21,58</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687 648</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114 608</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Zambia</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350 350</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315 000</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35 350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11,22</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50 000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4 545</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15,87</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150 520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13 684</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lastRenderedPageBreak/>
              <w:t>Zimbabwe</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1 163 088</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1 038 818</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124 270</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11,96</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100 000</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9 091</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9,63</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486 234</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44 203</w:t>
            </w:r>
          </w:p>
        </w:tc>
      </w:tr>
      <w:tr w:rsidR="00CF1AC4" w:rsidRPr="008F4B68" w:rsidTr="00A61829">
        <w:tc>
          <w:tcPr>
            <w:tcW w:w="127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CF1AC4" w:rsidRPr="008F4B68" w:rsidRDefault="00CF1AC4" w:rsidP="00A61829">
            <w:pPr>
              <w:rPr>
                <w:sz w:val="19"/>
                <w:szCs w:val="19"/>
                <w:lang w:val="es-ES"/>
              </w:rPr>
            </w:pPr>
            <w:r w:rsidRPr="008F4B68">
              <w:rPr>
                <w:sz w:val="19"/>
                <w:szCs w:val="19"/>
                <w:lang w:val="es-ES"/>
              </w:rPr>
              <w:t>Total</w:t>
            </w:r>
          </w:p>
        </w:tc>
        <w:tc>
          <w:tcPr>
            <w:tcW w:w="548"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18 262 406</w:t>
            </w:r>
          </w:p>
        </w:tc>
        <w:tc>
          <w:tcPr>
            <w:tcW w:w="1022"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16 729 159</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1 533 247</w:t>
            </w:r>
          </w:p>
        </w:tc>
        <w:tc>
          <w:tcPr>
            <w:tcW w:w="84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9,17</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1 361 467</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137 005</w:t>
            </w:r>
          </w:p>
        </w:tc>
        <w:tc>
          <w:tcPr>
            <w:tcW w:w="730"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10,06</w:t>
            </w:r>
          </w:p>
        </w:tc>
        <w:tc>
          <w:tcPr>
            <w:tcW w:w="92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8 483 556</w:t>
            </w:r>
          </w:p>
        </w:tc>
        <w:tc>
          <w:tcPr>
            <w:tcW w:w="876" w:type="dxa"/>
            <w:tcBorders>
              <w:top w:val="nil"/>
              <w:left w:val="nil"/>
              <w:bottom w:val="single" w:sz="4" w:space="0" w:color="auto"/>
              <w:right w:val="single" w:sz="4" w:space="0" w:color="auto"/>
            </w:tcBorders>
            <w:shd w:val="clear" w:color="auto" w:fill="auto"/>
            <w:noWrap/>
            <w:tcMar>
              <w:left w:w="29" w:type="dxa"/>
              <w:right w:w="29" w:type="dxa"/>
            </w:tcMar>
          </w:tcPr>
          <w:p w:rsidR="00CF1AC4" w:rsidRPr="008F4B68" w:rsidRDefault="00CF1AC4" w:rsidP="00A61829">
            <w:pPr>
              <w:jc w:val="right"/>
              <w:rPr>
                <w:sz w:val="19"/>
                <w:szCs w:val="19"/>
                <w:lang w:val="es-ES"/>
              </w:rPr>
            </w:pPr>
            <w:r w:rsidRPr="008F4B68">
              <w:rPr>
                <w:sz w:val="19"/>
                <w:szCs w:val="19"/>
                <w:lang w:val="es-ES"/>
              </w:rPr>
              <w:t>935 134</w:t>
            </w:r>
          </w:p>
        </w:tc>
      </w:tr>
    </w:tbl>
    <w:p w:rsidR="00CF1AC4" w:rsidRPr="008F4B68" w:rsidRDefault="00CF1AC4" w:rsidP="00CF1AC4">
      <w:pPr>
        <w:rPr>
          <w:lang w:val="es-ES"/>
        </w:rPr>
      </w:pPr>
    </w:p>
    <w:p w:rsidR="001148A7" w:rsidRPr="008F4B68" w:rsidRDefault="00A61829" w:rsidP="0016405C">
      <w:pPr>
        <w:pStyle w:val="Heading1"/>
        <w:rPr>
          <w:lang w:val="es-ES"/>
        </w:rPr>
      </w:pPr>
      <w:r w:rsidRPr="008F4B68">
        <w:rPr>
          <w:lang w:val="es-ES"/>
        </w:rPr>
        <w:t xml:space="preserve">La siguiente observación se deriva de los datos recogidos en el </w:t>
      </w:r>
      <w:r w:rsidR="00D43837" w:rsidRPr="008F4B68">
        <w:rPr>
          <w:lang w:val="es-ES"/>
        </w:rPr>
        <w:t>Cuadro </w:t>
      </w:r>
      <w:r w:rsidR="001148A7" w:rsidRPr="008F4B68">
        <w:rPr>
          <w:lang w:val="es-ES"/>
        </w:rPr>
        <w:t>2:</w:t>
      </w:r>
    </w:p>
    <w:p w:rsidR="001148A7" w:rsidRPr="008F4B68" w:rsidRDefault="00A61829" w:rsidP="001148A7">
      <w:pPr>
        <w:pStyle w:val="Heading2"/>
        <w:keepNext/>
        <w:keepLines/>
        <w:widowControl/>
        <w:rPr>
          <w:lang w:val="es-ES"/>
        </w:rPr>
      </w:pPr>
      <w:r w:rsidRPr="008F4B68">
        <w:rPr>
          <w:lang w:val="es-ES"/>
        </w:rPr>
        <w:t xml:space="preserve">En el caso de todos los </w:t>
      </w:r>
      <w:r w:rsidR="001148A7" w:rsidRPr="008F4B68">
        <w:rPr>
          <w:lang w:val="es-ES"/>
        </w:rPr>
        <w:t xml:space="preserve">29 </w:t>
      </w:r>
      <w:r w:rsidR="007B7911" w:rsidRPr="008F4B68">
        <w:rPr>
          <w:lang w:val="es-ES"/>
        </w:rPr>
        <w:t xml:space="preserve">países </w:t>
      </w:r>
      <w:r w:rsidRPr="008F4B68">
        <w:rPr>
          <w:lang w:val="es-ES"/>
        </w:rPr>
        <w:t xml:space="preserve">analizados </w:t>
      </w:r>
      <w:r w:rsidR="007B7911" w:rsidRPr="008F4B68">
        <w:rPr>
          <w:lang w:val="es-ES"/>
        </w:rPr>
        <w:t>que son de bajo consumo</w:t>
      </w:r>
      <w:r w:rsidR="001148A7" w:rsidRPr="008F4B68">
        <w:rPr>
          <w:lang w:val="es-ES"/>
        </w:rPr>
        <w:t xml:space="preserve">, </w:t>
      </w:r>
      <w:r w:rsidRPr="008F4B68">
        <w:rPr>
          <w:lang w:val="es-ES"/>
        </w:rPr>
        <w:t xml:space="preserve">los </w:t>
      </w:r>
      <w:r w:rsidR="00F850D2" w:rsidRPr="008F4B68">
        <w:rPr>
          <w:lang w:val="es-ES"/>
        </w:rPr>
        <w:t xml:space="preserve">gastos </w:t>
      </w:r>
      <w:r w:rsidRPr="008F4B68">
        <w:rPr>
          <w:lang w:val="es-ES"/>
        </w:rPr>
        <w:t xml:space="preserve">medios </w:t>
      </w:r>
      <w:r w:rsidR="00F850D2" w:rsidRPr="008F4B68">
        <w:rPr>
          <w:lang w:val="es-ES"/>
        </w:rPr>
        <w:t>de apoyo al organismo</w:t>
      </w:r>
      <w:r w:rsidR="001148A7" w:rsidRPr="008F4B68">
        <w:rPr>
          <w:lang w:val="es-ES"/>
        </w:rPr>
        <w:t xml:space="preserve"> </w:t>
      </w:r>
      <w:r w:rsidRPr="008F4B68">
        <w:rPr>
          <w:lang w:val="es-ES"/>
        </w:rPr>
        <w:t>representaron un</w:t>
      </w:r>
      <w:r w:rsidR="001148A7" w:rsidRPr="008F4B68">
        <w:rPr>
          <w:lang w:val="es-ES"/>
        </w:rPr>
        <w:t> 9</w:t>
      </w:r>
      <w:r w:rsidRPr="008F4B68">
        <w:rPr>
          <w:lang w:val="es-ES"/>
        </w:rPr>
        <w:t>,</w:t>
      </w:r>
      <w:r w:rsidR="001148A7" w:rsidRPr="008F4B68">
        <w:rPr>
          <w:lang w:val="es-ES"/>
        </w:rPr>
        <w:t>17</w:t>
      </w:r>
      <w:r w:rsidR="001F7B07" w:rsidRPr="008F4B68">
        <w:rPr>
          <w:lang w:val="es-ES"/>
        </w:rPr>
        <w:t> por ciento </w:t>
      </w:r>
      <w:r w:rsidRPr="008F4B68">
        <w:rPr>
          <w:lang w:val="es-ES"/>
        </w:rPr>
        <w:t>del costo total del proyecto</w:t>
      </w:r>
      <w:r w:rsidR="001148A7" w:rsidRPr="008F4B68">
        <w:rPr>
          <w:lang w:val="es-ES"/>
        </w:rPr>
        <w:t xml:space="preserve">. </w:t>
      </w:r>
      <w:r w:rsidRPr="008F4B68">
        <w:rPr>
          <w:lang w:val="es-ES"/>
        </w:rPr>
        <w:t xml:space="preserve"> Estos costos indican el alto grado de asistencia aportado por los organismos bilaterales, y especialmente, por el PNUMA, en la implantación de los </w:t>
      </w:r>
      <w:r w:rsidR="009A1284" w:rsidRPr="008F4B68">
        <w:rPr>
          <w:lang w:val="es-ES"/>
        </w:rPr>
        <w:t>PGEH</w:t>
      </w:r>
      <w:r w:rsidR="001148A7" w:rsidRPr="008F4B68">
        <w:rPr>
          <w:lang w:val="es-ES"/>
        </w:rPr>
        <w:t xml:space="preserve"> </w:t>
      </w:r>
      <w:r w:rsidRPr="008F4B68">
        <w:rPr>
          <w:lang w:val="es-ES"/>
        </w:rPr>
        <w:t xml:space="preserve">en </w:t>
      </w:r>
      <w:r w:rsidR="007B7911" w:rsidRPr="008F4B68">
        <w:rPr>
          <w:lang w:val="es-ES"/>
        </w:rPr>
        <w:t>países que son de bajo consumo</w:t>
      </w:r>
      <w:r w:rsidR="001148A7" w:rsidRPr="008F4B68">
        <w:rPr>
          <w:rStyle w:val="FootnoteReference"/>
          <w:lang w:val="es-ES"/>
        </w:rPr>
        <w:footnoteReference w:id="10"/>
      </w:r>
      <w:r w:rsidR="001148A7" w:rsidRPr="008F4B68">
        <w:rPr>
          <w:lang w:val="es-ES"/>
        </w:rPr>
        <w:t>;</w:t>
      </w:r>
    </w:p>
    <w:p w:rsidR="001148A7" w:rsidRPr="008F4B68" w:rsidRDefault="00A61829" w:rsidP="001148A7">
      <w:pPr>
        <w:pStyle w:val="Heading2"/>
        <w:rPr>
          <w:lang w:val="es-ES"/>
        </w:rPr>
      </w:pPr>
      <w:r w:rsidRPr="008F4B68">
        <w:rPr>
          <w:lang w:val="es-ES"/>
        </w:rPr>
        <w:t>La financiación media acumulada para las d</w:t>
      </w:r>
      <w:r w:rsidR="006A5484" w:rsidRPr="008F4B68">
        <w:rPr>
          <w:lang w:val="es-ES"/>
        </w:rPr>
        <w:t>ependencias de ejecución y supervisión del proyecto</w:t>
      </w:r>
      <w:r w:rsidR="001148A7" w:rsidRPr="008F4B68">
        <w:rPr>
          <w:lang w:val="es-ES"/>
        </w:rPr>
        <w:t xml:space="preserve"> </w:t>
      </w:r>
      <w:r w:rsidRPr="008F4B68">
        <w:rPr>
          <w:lang w:val="es-ES"/>
        </w:rPr>
        <w:t>representa un </w:t>
      </w:r>
      <w:r w:rsidR="001148A7" w:rsidRPr="008F4B68">
        <w:rPr>
          <w:lang w:val="es-ES"/>
        </w:rPr>
        <w:t>10</w:t>
      </w:r>
      <w:r w:rsidRPr="008F4B68">
        <w:rPr>
          <w:lang w:val="es-ES"/>
        </w:rPr>
        <w:t>,</w:t>
      </w:r>
      <w:r w:rsidR="001148A7" w:rsidRPr="008F4B68">
        <w:rPr>
          <w:lang w:val="es-ES"/>
        </w:rPr>
        <w:t>06</w:t>
      </w:r>
      <w:r w:rsidR="001F7B07" w:rsidRPr="008F4B68">
        <w:rPr>
          <w:lang w:val="es-ES"/>
        </w:rPr>
        <w:t> por ciento </w:t>
      </w:r>
      <w:r w:rsidRPr="008F4B68">
        <w:rPr>
          <w:lang w:val="es-ES"/>
        </w:rPr>
        <w:t xml:space="preserve">de los costos totales de los proyectos, y varía considerablemente, yendo de países que no solicitaron financiación </w:t>
      </w:r>
      <w:r w:rsidR="001148A7" w:rsidRPr="008F4B68">
        <w:rPr>
          <w:lang w:val="es-ES"/>
        </w:rPr>
        <w:t xml:space="preserve">(Armenia, Bosnia </w:t>
      </w:r>
      <w:r w:rsidRPr="008F4B68">
        <w:rPr>
          <w:lang w:val="es-ES"/>
        </w:rPr>
        <w:t xml:space="preserve">y </w:t>
      </w:r>
      <w:r w:rsidR="001148A7" w:rsidRPr="008F4B68">
        <w:rPr>
          <w:lang w:val="es-ES"/>
        </w:rPr>
        <w:t xml:space="preserve">Herzegovina </w:t>
      </w:r>
      <w:r w:rsidRPr="008F4B68">
        <w:rPr>
          <w:lang w:val="es-ES"/>
        </w:rPr>
        <w:t xml:space="preserve">y </w:t>
      </w:r>
      <w:r w:rsidR="001148A7" w:rsidRPr="008F4B68">
        <w:rPr>
          <w:lang w:val="es-ES"/>
        </w:rPr>
        <w:t>Macedonia</w:t>
      </w:r>
      <w:r w:rsidRPr="008F4B68">
        <w:rPr>
          <w:lang w:val="es-ES"/>
        </w:rPr>
        <w:t xml:space="preserve"> del Norte</w:t>
      </w:r>
      <w:r w:rsidR="001148A7" w:rsidRPr="008F4B68">
        <w:rPr>
          <w:lang w:val="es-ES"/>
        </w:rPr>
        <w:t xml:space="preserve">) </w:t>
      </w:r>
      <w:r w:rsidRPr="008F4B68">
        <w:rPr>
          <w:lang w:val="es-ES"/>
        </w:rPr>
        <w:t xml:space="preserve">hasta otros que solicitaron más del </w:t>
      </w:r>
      <w:r w:rsidR="001148A7" w:rsidRPr="008F4B68">
        <w:rPr>
          <w:lang w:val="es-ES"/>
        </w:rPr>
        <w:t>20</w:t>
      </w:r>
      <w:r w:rsidR="001F7B07" w:rsidRPr="008F4B68">
        <w:rPr>
          <w:lang w:val="es-ES"/>
        </w:rPr>
        <w:t> por ciento </w:t>
      </w:r>
      <w:r w:rsidR="001148A7" w:rsidRPr="008F4B68">
        <w:rPr>
          <w:lang w:val="es-ES"/>
        </w:rPr>
        <w:t xml:space="preserve">(Somalia). </w:t>
      </w:r>
      <w:r w:rsidRPr="008F4B68">
        <w:rPr>
          <w:lang w:val="es-ES"/>
        </w:rPr>
        <w:t xml:space="preserve"> Conforme a las decisiones del </w:t>
      </w:r>
      <w:r w:rsidR="003920CB" w:rsidRPr="008F4B68">
        <w:rPr>
          <w:lang w:val="es-ES"/>
        </w:rPr>
        <w:t>Comité Ejecutivo</w:t>
      </w:r>
      <w:r w:rsidR="001148A7" w:rsidRPr="008F4B68">
        <w:rPr>
          <w:lang w:val="es-ES"/>
        </w:rPr>
        <w:t xml:space="preserve">, </w:t>
      </w:r>
      <w:r w:rsidRPr="008F4B68">
        <w:rPr>
          <w:lang w:val="es-ES"/>
        </w:rPr>
        <w:t>la financiación de la</w:t>
      </w:r>
      <w:r w:rsidR="00966318" w:rsidRPr="008F4B68">
        <w:rPr>
          <w:lang w:val="es-ES"/>
        </w:rPr>
        <w:t>s</w:t>
      </w:r>
      <w:r w:rsidRPr="008F4B68">
        <w:rPr>
          <w:lang w:val="es-ES"/>
        </w:rPr>
        <w:t xml:space="preserve"> d</w:t>
      </w:r>
      <w:r w:rsidR="00EE76D1" w:rsidRPr="008F4B68">
        <w:rPr>
          <w:lang w:val="es-ES"/>
        </w:rPr>
        <w:t>ependencia</w:t>
      </w:r>
      <w:r w:rsidR="00966318" w:rsidRPr="008F4B68">
        <w:rPr>
          <w:lang w:val="es-ES"/>
        </w:rPr>
        <w:t>s</w:t>
      </w:r>
      <w:r w:rsidR="00EE76D1" w:rsidRPr="008F4B68">
        <w:rPr>
          <w:lang w:val="es-ES"/>
        </w:rPr>
        <w:t xml:space="preserve"> de gestión de proyectos </w:t>
      </w:r>
      <w:r w:rsidRPr="008F4B68">
        <w:rPr>
          <w:lang w:val="es-ES"/>
        </w:rPr>
        <w:t xml:space="preserve">forma parte de la máxima financiación permitida para las actividades de </w:t>
      </w:r>
      <w:r w:rsidR="009A1284" w:rsidRPr="008F4B68">
        <w:rPr>
          <w:lang w:val="es-ES"/>
        </w:rPr>
        <w:t>PGEH</w:t>
      </w:r>
      <w:r w:rsidR="001148A7" w:rsidRPr="008F4B68">
        <w:rPr>
          <w:lang w:val="es-ES"/>
        </w:rPr>
        <w:t xml:space="preserve"> </w:t>
      </w:r>
      <w:r w:rsidRPr="008F4B68">
        <w:rPr>
          <w:lang w:val="es-ES"/>
        </w:rPr>
        <w:t xml:space="preserve">relativas al sector de </w:t>
      </w:r>
      <w:r w:rsidR="00DA792D" w:rsidRPr="008F4B68">
        <w:rPr>
          <w:lang w:val="es-ES"/>
        </w:rPr>
        <w:t>servicio y mantenimiento</w:t>
      </w:r>
      <w:r w:rsidR="001148A7" w:rsidRPr="008F4B68">
        <w:rPr>
          <w:lang w:val="es-ES"/>
        </w:rPr>
        <w:t xml:space="preserve"> </w:t>
      </w:r>
      <w:r w:rsidRPr="008F4B68">
        <w:rPr>
          <w:lang w:val="es-ES"/>
        </w:rPr>
        <w:t xml:space="preserve">de </w:t>
      </w:r>
      <w:r w:rsidR="007B7911" w:rsidRPr="008F4B68">
        <w:rPr>
          <w:lang w:val="es-ES"/>
        </w:rPr>
        <w:t>países que son de bajo consumo</w:t>
      </w:r>
      <w:r w:rsidR="001148A7" w:rsidRPr="008F4B68">
        <w:rPr>
          <w:lang w:val="es-ES"/>
        </w:rPr>
        <w:t>;</w:t>
      </w:r>
    </w:p>
    <w:p w:rsidR="001148A7" w:rsidRPr="008F4B68" w:rsidRDefault="00966318" w:rsidP="001148A7">
      <w:pPr>
        <w:pStyle w:val="Heading2"/>
        <w:rPr>
          <w:lang w:val="es-ES"/>
        </w:rPr>
      </w:pPr>
      <w:r w:rsidRPr="008F4B68">
        <w:rPr>
          <w:lang w:val="es-ES"/>
        </w:rPr>
        <w:t xml:space="preserve">Los proyectos de FI para </w:t>
      </w:r>
      <w:r w:rsidR="001148A7" w:rsidRPr="008F4B68">
        <w:rPr>
          <w:lang w:val="es-ES"/>
        </w:rPr>
        <w:t xml:space="preserve">Montenegro </w:t>
      </w:r>
      <w:r w:rsidRPr="008F4B68">
        <w:rPr>
          <w:lang w:val="es-ES"/>
        </w:rPr>
        <w:t xml:space="preserve">y </w:t>
      </w:r>
      <w:r w:rsidR="001148A7" w:rsidRPr="008F4B68">
        <w:rPr>
          <w:lang w:val="es-ES"/>
        </w:rPr>
        <w:t xml:space="preserve">Macedonia </w:t>
      </w:r>
      <w:r w:rsidRPr="008F4B68">
        <w:rPr>
          <w:lang w:val="es-ES"/>
        </w:rPr>
        <w:t xml:space="preserve">del Norte se incluyeron en la financiación aprobada para la </w:t>
      </w:r>
      <w:r w:rsidR="009A1284" w:rsidRPr="008F4B68">
        <w:rPr>
          <w:lang w:val="es-ES"/>
        </w:rPr>
        <w:t>etapa </w:t>
      </w:r>
      <w:r w:rsidR="001148A7" w:rsidRPr="008F4B68">
        <w:rPr>
          <w:lang w:val="es-ES"/>
        </w:rPr>
        <w:t xml:space="preserve">I </w:t>
      </w:r>
      <w:r w:rsidRPr="008F4B68">
        <w:rPr>
          <w:lang w:val="es-ES"/>
        </w:rPr>
        <w:t xml:space="preserve">de los </w:t>
      </w:r>
      <w:r w:rsidR="00890385" w:rsidRPr="008F4B68">
        <w:rPr>
          <w:lang w:val="es-ES"/>
        </w:rPr>
        <w:t>PGEH</w:t>
      </w:r>
      <w:r w:rsidR="001148A7" w:rsidRPr="008F4B68">
        <w:rPr>
          <w:lang w:val="es-ES"/>
        </w:rPr>
        <w:t xml:space="preserve">, </w:t>
      </w:r>
      <w:r w:rsidRPr="008F4B68">
        <w:rPr>
          <w:lang w:val="es-ES"/>
        </w:rPr>
        <w:t xml:space="preserve">y, por ende, no se incluyeron en el </w:t>
      </w:r>
      <w:r w:rsidR="00D43837" w:rsidRPr="008F4B68">
        <w:rPr>
          <w:lang w:val="es-ES"/>
        </w:rPr>
        <w:t>Cuadro </w:t>
      </w:r>
      <w:r w:rsidR="001148A7" w:rsidRPr="008F4B68">
        <w:rPr>
          <w:lang w:val="es-ES"/>
        </w:rPr>
        <w:t xml:space="preserve">3; </w:t>
      </w:r>
    </w:p>
    <w:p w:rsidR="001148A7" w:rsidRPr="008F4B68" w:rsidRDefault="00966318" w:rsidP="001148A7">
      <w:pPr>
        <w:pStyle w:val="Heading2"/>
        <w:rPr>
          <w:lang w:val="es-ES"/>
        </w:rPr>
      </w:pPr>
      <w:r w:rsidRPr="008F4B68">
        <w:rPr>
          <w:lang w:val="es-ES"/>
        </w:rPr>
        <w:t xml:space="preserve">El </w:t>
      </w:r>
      <w:r w:rsidR="001148A7" w:rsidRPr="008F4B68">
        <w:rPr>
          <w:lang w:val="es-ES"/>
        </w:rPr>
        <w:t xml:space="preserve">total </w:t>
      </w:r>
      <w:r w:rsidRPr="008F4B68">
        <w:rPr>
          <w:lang w:val="es-ES"/>
        </w:rPr>
        <w:t>acumulado de financiación de FI aprobad</w:t>
      </w:r>
      <w:r w:rsidR="00D215ED" w:rsidRPr="008F4B68">
        <w:rPr>
          <w:lang w:val="es-ES"/>
        </w:rPr>
        <w:t>a</w:t>
      </w:r>
      <w:r w:rsidRPr="008F4B68">
        <w:rPr>
          <w:lang w:val="es-ES"/>
        </w:rPr>
        <w:t xml:space="preserve"> para </w:t>
      </w:r>
      <w:r w:rsidR="001148A7" w:rsidRPr="008F4B68">
        <w:rPr>
          <w:lang w:val="es-ES"/>
        </w:rPr>
        <w:t xml:space="preserve">27 </w:t>
      </w:r>
      <w:r w:rsidR="003920CB" w:rsidRPr="008F4B68">
        <w:rPr>
          <w:lang w:val="es-ES"/>
        </w:rPr>
        <w:t>países que operan al amparo del artículo 5</w:t>
      </w:r>
      <w:r w:rsidR="001148A7" w:rsidRPr="008F4B68">
        <w:rPr>
          <w:lang w:val="es-ES"/>
        </w:rPr>
        <w:t xml:space="preserve"> (exclu</w:t>
      </w:r>
      <w:r w:rsidRPr="008F4B68">
        <w:rPr>
          <w:lang w:val="es-ES"/>
        </w:rPr>
        <w:t xml:space="preserve">yendo </w:t>
      </w:r>
      <w:r w:rsidR="001148A7" w:rsidRPr="008F4B68">
        <w:rPr>
          <w:lang w:val="es-ES"/>
        </w:rPr>
        <w:t xml:space="preserve">Montenegro </w:t>
      </w:r>
      <w:r w:rsidRPr="008F4B68">
        <w:rPr>
          <w:lang w:val="es-ES"/>
        </w:rPr>
        <w:t xml:space="preserve">y </w:t>
      </w:r>
      <w:r w:rsidR="001148A7" w:rsidRPr="008F4B68">
        <w:rPr>
          <w:lang w:val="es-ES"/>
        </w:rPr>
        <w:t>Macedonia</w:t>
      </w:r>
      <w:r w:rsidRPr="008F4B68">
        <w:rPr>
          <w:lang w:val="es-ES"/>
        </w:rPr>
        <w:t xml:space="preserve"> del Norte</w:t>
      </w:r>
      <w:r w:rsidR="001148A7" w:rsidRPr="008F4B68">
        <w:rPr>
          <w:lang w:val="es-ES"/>
        </w:rPr>
        <w:t xml:space="preserve">) </w:t>
      </w:r>
      <w:r w:rsidRPr="008F4B68">
        <w:rPr>
          <w:lang w:val="es-ES"/>
        </w:rPr>
        <w:t>ascendió a</w:t>
      </w:r>
      <w:r w:rsidR="002261B4" w:rsidRPr="008F4B68">
        <w:rPr>
          <w:lang w:val="es-ES"/>
        </w:rPr>
        <w:t> </w:t>
      </w:r>
      <w:r w:rsidR="001148A7" w:rsidRPr="008F4B68">
        <w:rPr>
          <w:lang w:val="es-ES"/>
        </w:rPr>
        <w:t>8</w:t>
      </w:r>
      <w:r w:rsidRPr="008F4B68">
        <w:rPr>
          <w:lang w:val="es-ES"/>
        </w:rPr>
        <w:t> </w:t>
      </w:r>
      <w:r w:rsidR="001148A7" w:rsidRPr="008F4B68">
        <w:rPr>
          <w:lang w:val="es-ES"/>
        </w:rPr>
        <w:t>483</w:t>
      </w:r>
      <w:r w:rsidRPr="008F4B68">
        <w:rPr>
          <w:lang w:val="es-ES"/>
        </w:rPr>
        <w:t> </w:t>
      </w:r>
      <w:r w:rsidR="001148A7" w:rsidRPr="008F4B68">
        <w:rPr>
          <w:lang w:val="es-ES"/>
        </w:rPr>
        <w:t>556</w:t>
      </w:r>
      <w:r w:rsidRPr="008F4B68">
        <w:rPr>
          <w:lang w:val="es-ES"/>
        </w:rPr>
        <w:t> $EUA</w:t>
      </w:r>
      <w:r w:rsidR="001148A7" w:rsidRPr="008F4B68">
        <w:rPr>
          <w:lang w:val="es-ES"/>
        </w:rPr>
        <w:t>,</w:t>
      </w:r>
      <w:r w:rsidRPr="008F4B68">
        <w:rPr>
          <w:lang w:val="es-ES"/>
        </w:rPr>
        <w:t xml:space="preserve"> lo que representa casi el </w:t>
      </w:r>
      <w:r w:rsidR="001148A7" w:rsidRPr="008F4B68">
        <w:rPr>
          <w:lang w:val="es-ES"/>
        </w:rPr>
        <w:t>50</w:t>
      </w:r>
      <w:r w:rsidR="001F7B07" w:rsidRPr="008F4B68">
        <w:rPr>
          <w:lang w:val="es-ES"/>
        </w:rPr>
        <w:t> por ciento </w:t>
      </w:r>
      <w:r w:rsidRPr="008F4B68">
        <w:rPr>
          <w:lang w:val="es-ES"/>
        </w:rPr>
        <w:t xml:space="preserve">del costo acumulado de los </w:t>
      </w:r>
      <w:r w:rsidR="00890385" w:rsidRPr="008F4B68">
        <w:rPr>
          <w:lang w:val="es-ES"/>
        </w:rPr>
        <w:t>PGEH</w:t>
      </w:r>
      <w:r w:rsidR="001148A7" w:rsidRPr="008F4B68">
        <w:rPr>
          <w:lang w:val="es-ES"/>
        </w:rPr>
        <w:t xml:space="preserve">. </w:t>
      </w:r>
      <w:r w:rsidRPr="008F4B68">
        <w:rPr>
          <w:lang w:val="es-ES"/>
        </w:rPr>
        <w:t xml:space="preserve"> La financiación de FI anual acumulada de</w:t>
      </w:r>
      <w:r w:rsidR="002261B4" w:rsidRPr="008F4B68">
        <w:rPr>
          <w:lang w:val="es-ES"/>
        </w:rPr>
        <w:t> </w:t>
      </w:r>
      <w:r w:rsidR="001148A7" w:rsidRPr="008F4B68">
        <w:rPr>
          <w:lang w:val="es-ES"/>
        </w:rPr>
        <w:t>935</w:t>
      </w:r>
      <w:r w:rsidRPr="008F4B68">
        <w:rPr>
          <w:lang w:val="es-ES"/>
        </w:rPr>
        <w:t> </w:t>
      </w:r>
      <w:r w:rsidR="001148A7" w:rsidRPr="008F4B68">
        <w:rPr>
          <w:lang w:val="es-ES"/>
        </w:rPr>
        <w:t>134</w:t>
      </w:r>
      <w:r w:rsidRPr="008F4B68">
        <w:rPr>
          <w:lang w:val="es-ES"/>
        </w:rPr>
        <w:t xml:space="preserve"> $EUA fue aproximadamente </w:t>
      </w:r>
      <w:r w:rsidR="00D215ED" w:rsidRPr="008F4B68">
        <w:rPr>
          <w:lang w:val="es-ES"/>
        </w:rPr>
        <w:t xml:space="preserve">de </w:t>
      </w:r>
      <w:r w:rsidRPr="008F4B68">
        <w:rPr>
          <w:lang w:val="es-ES"/>
        </w:rPr>
        <w:t>siete veces superior a la financiación anual acumulada para la d</w:t>
      </w:r>
      <w:r w:rsidR="00EE76D1" w:rsidRPr="008F4B68">
        <w:rPr>
          <w:lang w:val="es-ES"/>
        </w:rPr>
        <w:t>ependencia de gestión de proyectos</w:t>
      </w:r>
      <w:r w:rsidRPr="008F4B68">
        <w:rPr>
          <w:lang w:val="es-ES"/>
        </w:rPr>
        <w:t>,</w:t>
      </w:r>
      <w:r w:rsidR="00EE76D1" w:rsidRPr="008F4B68">
        <w:rPr>
          <w:lang w:val="es-ES"/>
        </w:rPr>
        <w:t xml:space="preserve"> </w:t>
      </w:r>
      <w:r w:rsidRPr="008F4B68">
        <w:rPr>
          <w:lang w:val="es-ES"/>
        </w:rPr>
        <w:t>que fue de</w:t>
      </w:r>
      <w:r w:rsidR="002261B4" w:rsidRPr="008F4B68">
        <w:rPr>
          <w:lang w:val="es-ES"/>
        </w:rPr>
        <w:t> </w:t>
      </w:r>
      <w:r w:rsidR="001148A7" w:rsidRPr="008F4B68">
        <w:rPr>
          <w:lang w:val="es-ES"/>
        </w:rPr>
        <w:t>137</w:t>
      </w:r>
      <w:r w:rsidRPr="008F4B68">
        <w:rPr>
          <w:lang w:val="es-ES"/>
        </w:rPr>
        <w:t> </w:t>
      </w:r>
      <w:r w:rsidR="001148A7" w:rsidRPr="008F4B68">
        <w:rPr>
          <w:lang w:val="es-ES"/>
        </w:rPr>
        <w:t>005</w:t>
      </w:r>
      <w:r w:rsidRPr="008F4B68">
        <w:rPr>
          <w:lang w:val="es-ES"/>
        </w:rPr>
        <w:t> $EUA</w:t>
      </w:r>
      <w:r w:rsidR="001148A7" w:rsidRPr="008F4B68">
        <w:rPr>
          <w:lang w:val="es-ES"/>
        </w:rPr>
        <w:t xml:space="preserve">. </w:t>
      </w:r>
      <w:r w:rsidRPr="008F4B68">
        <w:rPr>
          <w:lang w:val="es-ES"/>
        </w:rPr>
        <w:t xml:space="preserve"> De ello se desprende el activo papel que juegan las </w:t>
      </w:r>
      <w:r w:rsidR="006A5484" w:rsidRPr="008F4B68">
        <w:rPr>
          <w:lang w:val="es-ES"/>
        </w:rPr>
        <w:t>Oficinas Nacionales del Ozono</w:t>
      </w:r>
      <w:r w:rsidR="001148A7" w:rsidRPr="008F4B68">
        <w:rPr>
          <w:lang w:val="es-ES"/>
        </w:rPr>
        <w:t xml:space="preserve"> </w:t>
      </w:r>
      <w:r w:rsidRPr="008F4B68">
        <w:rPr>
          <w:lang w:val="es-ES"/>
        </w:rPr>
        <w:t>e</w:t>
      </w:r>
      <w:r w:rsidR="001148A7" w:rsidRPr="008F4B68">
        <w:rPr>
          <w:lang w:val="es-ES"/>
        </w:rPr>
        <w:t xml:space="preserve">n </w:t>
      </w:r>
      <w:r w:rsidR="007B7911" w:rsidRPr="008F4B68">
        <w:rPr>
          <w:lang w:val="es-ES"/>
        </w:rPr>
        <w:t>países que son de bajo consumo</w:t>
      </w:r>
      <w:r w:rsidR="001148A7" w:rsidRPr="008F4B68">
        <w:rPr>
          <w:lang w:val="es-ES"/>
        </w:rPr>
        <w:t xml:space="preserve"> </w:t>
      </w:r>
      <w:r w:rsidRPr="008F4B68">
        <w:rPr>
          <w:lang w:val="es-ES"/>
        </w:rPr>
        <w:t xml:space="preserve">a la hora de implantar los </w:t>
      </w:r>
      <w:r w:rsidR="009A1284" w:rsidRPr="008F4B68">
        <w:rPr>
          <w:lang w:val="es-ES"/>
        </w:rPr>
        <w:t>PGEH</w:t>
      </w:r>
      <w:r w:rsidR="001148A7" w:rsidRPr="008F4B68">
        <w:rPr>
          <w:lang w:val="es-ES"/>
        </w:rPr>
        <w:t xml:space="preserve">; </w:t>
      </w:r>
      <w:r w:rsidRPr="008F4B68">
        <w:rPr>
          <w:lang w:val="es-ES"/>
        </w:rPr>
        <w:t xml:space="preserve">y </w:t>
      </w:r>
    </w:p>
    <w:p w:rsidR="001148A7" w:rsidRPr="008F4B68" w:rsidRDefault="00966318" w:rsidP="001148A7">
      <w:pPr>
        <w:pStyle w:val="Heading2"/>
        <w:keepNext/>
        <w:keepLines/>
        <w:rPr>
          <w:lang w:val="es-ES"/>
        </w:rPr>
      </w:pPr>
      <w:r w:rsidRPr="008F4B68">
        <w:rPr>
          <w:lang w:val="es-ES"/>
        </w:rPr>
        <w:t xml:space="preserve">De forma similar al caso de los </w:t>
      </w:r>
      <w:r w:rsidR="007B7911" w:rsidRPr="008F4B68">
        <w:rPr>
          <w:lang w:val="es-ES"/>
        </w:rPr>
        <w:t>países que no son de bajo consumo</w:t>
      </w:r>
      <w:r w:rsidR="001148A7" w:rsidRPr="008F4B68">
        <w:rPr>
          <w:lang w:val="es-ES"/>
        </w:rPr>
        <w:t xml:space="preserve">, </w:t>
      </w:r>
      <w:r w:rsidR="0021752D">
        <w:rPr>
          <w:lang w:val="es-ES"/>
        </w:rPr>
        <w:t xml:space="preserve">en </w:t>
      </w:r>
      <w:r w:rsidRPr="008F4B68">
        <w:rPr>
          <w:lang w:val="es-ES"/>
        </w:rPr>
        <w:t>el anexo </w:t>
      </w:r>
      <w:r w:rsidR="001148A7" w:rsidRPr="008F4B68">
        <w:rPr>
          <w:lang w:val="es-ES"/>
        </w:rPr>
        <w:t>III</w:t>
      </w:r>
      <w:r w:rsidRPr="008F4B68">
        <w:rPr>
          <w:lang w:val="es-ES"/>
        </w:rPr>
        <w:t xml:space="preserve"> del presente documento </w:t>
      </w:r>
      <w:r w:rsidR="0021752D">
        <w:rPr>
          <w:lang w:val="es-ES"/>
        </w:rPr>
        <w:t xml:space="preserve">se </w:t>
      </w:r>
      <w:r w:rsidRPr="008F4B68">
        <w:rPr>
          <w:lang w:val="es-ES"/>
        </w:rPr>
        <w:t>recoge un resumen de las actuales actividades de FI en curso de ejecución en los </w:t>
      </w:r>
      <w:r w:rsidR="001148A7" w:rsidRPr="008F4B68">
        <w:rPr>
          <w:lang w:val="es-ES"/>
        </w:rPr>
        <w:t>27 </w:t>
      </w:r>
      <w:r w:rsidR="007B7911" w:rsidRPr="008F4B68">
        <w:rPr>
          <w:lang w:val="es-ES"/>
        </w:rPr>
        <w:t>países que son de bajo consumo</w:t>
      </w:r>
      <w:r w:rsidR="001148A7" w:rsidRPr="008F4B68">
        <w:rPr>
          <w:lang w:val="es-ES"/>
        </w:rPr>
        <w:t xml:space="preserve"> </w:t>
      </w:r>
      <w:r w:rsidRPr="008F4B68">
        <w:rPr>
          <w:lang w:val="es-ES"/>
        </w:rPr>
        <w:t xml:space="preserve">y que se enuncian en el </w:t>
      </w:r>
      <w:r w:rsidR="00D43837" w:rsidRPr="008F4B68">
        <w:rPr>
          <w:lang w:val="es-ES"/>
        </w:rPr>
        <w:t>Cuadro </w:t>
      </w:r>
      <w:r w:rsidR="001148A7" w:rsidRPr="008F4B68">
        <w:rPr>
          <w:lang w:val="es-ES"/>
        </w:rPr>
        <w:t xml:space="preserve">3. </w:t>
      </w:r>
      <w:r w:rsidRPr="008F4B68">
        <w:rPr>
          <w:lang w:val="es-ES"/>
        </w:rPr>
        <w:t xml:space="preserve"> Las actividades de verificación se llevan a cabo con una financiación especial aprobada para esos países</w:t>
      </w:r>
      <w:r w:rsidR="001148A7" w:rsidRPr="008F4B68">
        <w:rPr>
          <w:lang w:val="es-ES"/>
        </w:rPr>
        <w:t>.</w:t>
      </w:r>
    </w:p>
    <w:p w:rsidR="001148A7" w:rsidRPr="008F4B68" w:rsidRDefault="001148A7" w:rsidP="001148A7">
      <w:pPr>
        <w:spacing w:after="240"/>
        <w:rPr>
          <w:b/>
          <w:lang w:val="es-ES"/>
        </w:rPr>
      </w:pPr>
      <w:r w:rsidRPr="008F4B68">
        <w:rPr>
          <w:b/>
          <w:lang w:val="es-ES"/>
        </w:rPr>
        <w:t>Observa</w:t>
      </w:r>
      <w:r w:rsidR="00966318" w:rsidRPr="008F4B68">
        <w:rPr>
          <w:b/>
          <w:lang w:val="es-ES"/>
        </w:rPr>
        <w:t xml:space="preserve">ciones de </w:t>
      </w:r>
      <w:r w:rsidR="006645CE" w:rsidRPr="008F4B68">
        <w:rPr>
          <w:b/>
          <w:lang w:val="es-ES"/>
        </w:rPr>
        <w:t>la Secretaría</w:t>
      </w:r>
    </w:p>
    <w:p w:rsidR="001148A7" w:rsidRPr="008F4B68" w:rsidRDefault="00D215ED" w:rsidP="001148A7">
      <w:pPr>
        <w:pStyle w:val="Heading1"/>
        <w:rPr>
          <w:lang w:val="es-ES"/>
        </w:rPr>
      </w:pPr>
      <w:r w:rsidRPr="008F4B68">
        <w:rPr>
          <w:lang w:val="es-ES"/>
        </w:rPr>
        <w:lastRenderedPageBreak/>
        <w:t xml:space="preserve">Todas las actividades presentadas en busca del apoyo del </w:t>
      </w:r>
      <w:r w:rsidR="009E5024" w:rsidRPr="008F4B68">
        <w:rPr>
          <w:lang w:val="es-ES"/>
        </w:rPr>
        <w:t>Fondo Multilateral</w:t>
      </w:r>
      <w:r w:rsidR="001148A7" w:rsidRPr="008F4B68">
        <w:rPr>
          <w:lang w:val="es-ES"/>
        </w:rPr>
        <w:t xml:space="preserve">, </w:t>
      </w:r>
      <w:r w:rsidRPr="008F4B68">
        <w:rPr>
          <w:lang w:val="es-ES"/>
        </w:rPr>
        <w:t xml:space="preserve">incluidos los </w:t>
      </w:r>
      <w:r w:rsidR="009A1284" w:rsidRPr="008F4B68">
        <w:rPr>
          <w:lang w:val="es-ES"/>
        </w:rPr>
        <w:t>PGEH</w:t>
      </w:r>
      <w:r w:rsidR="001148A7" w:rsidRPr="008F4B68">
        <w:rPr>
          <w:lang w:val="es-ES"/>
        </w:rPr>
        <w:t xml:space="preserve"> </w:t>
      </w:r>
      <w:r w:rsidRPr="008F4B68">
        <w:rPr>
          <w:lang w:val="es-ES"/>
        </w:rPr>
        <w:t xml:space="preserve">y los planes de gestión de eliminación del consumo en el sector de producción de HCFC </w:t>
      </w:r>
      <w:r w:rsidR="001148A7" w:rsidRPr="008F4B68">
        <w:rPr>
          <w:lang w:val="es-ES"/>
        </w:rPr>
        <w:t>(</w:t>
      </w:r>
      <w:r w:rsidRPr="008F4B68">
        <w:rPr>
          <w:lang w:val="es-ES"/>
        </w:rPr>
        <w:t>las</w:t>
      </w:r>
      <w:r w:rsidR="001148A7" w:rsidRPr="008F4B68">
        <w:rPr>
          <w:lang w:val="es-ES"/>
        </w:rPr>
        <w:t> </w:t>
      </w:r>
      <w:r w:rsidRPr="008F4B68">
        <w:rPr>
          <w:lang w:val="es-ES"/>
        </w:rPr>
        <w:t>d</w:t>
      </w:r>
      <w:r w:rsidR="00EE76D1" w:rsidRPr="008F4B68">
        <w:rPr>
          <w:lang w:val="es-ES"/>
        </w:rPr>
        <w:t>ependencia</w:t>
      </w:r>
      <w:r w:rsidRPr="008F4B68">
        <w:rPr>
          <w:lang w:val="es-ES"/>
        </w:rPr>
        <w:t>s</w:t>
      </w:r>
      <w:r w:rsidR="00EE76D1" w:rsidRPr="008F4B68">
        <w:rPr>
          <w:lang w:val="es-ES"/>
        </w:rPr>
        <w:t xml:space="preserve"> de gestión de proyectos </w:t>
      </w:r>
      <w:r w:rsidRPr="008F4B68">
        <w:rPr>
          <w:lang w:val="es-ES"/>
        </w:rPr>
        <w:t>es uno de los componentes del costo</w:t>
      </w:r>
      <w:r w:rsidR="001148A7" w:rsidRPr="008F4B68">
        <w:rPr>
          <w:lang w:val="es-ES"/>
        </w:rPr>
        <w:t xml:space="preserve">); </w:t>
      </w:r>
      <w:r w:rsidRPr="008F4B68">
        <w:rPr>
          <w:lang w:val="es-ES"/>
        </w:rPr>
        <w:t>los proyectos de FI</w:t>
      </w:r>
      <w:r w:rsidR="001148A7" w:rsidRPr="008F4B68">
        <w:rPr>
          <w:lang w:val="es-ES"/>
        </w:rPr>
        <w:t xml:space="preserve">; </w:t>
      </w:r>
      <w:r w:rsidRPr="008F4B68">
        <w:rPr>
          <w:lang w:val="es-ES"/>
        </w:rPr>
        <w:t xml:space="preserve">los procesos de verificación para </w:t>
      </w:r>
      <w:r w:rsidR="007B7911" w:rsidRPr="008F4B68">
        <w:rPr>
          <w:lang w:val="es-ES"/>
        </w:rPr>
        <w:t>países que son de bajo consumo</w:t>
      </w:r>
      <w:r w:rsidR="001148A7" w:rsidRPr="008F4B68">
        <w:rPr>
          <w:lang w:val="es-ES"/>
        </w:rPr>
        <w:t xml:space="preserve"> (</w:t>
      </w:r>
      <w:r w:rsidRPr="008F4B68">
        <w:rPr>
          <w:lang w:val="es-ES"/>
        </w:rPr>
        <w:t xml:space="preserve">financiado desde fuera del marco del </w:t>
      </w:r>
      <w:r w:rsidR="00890385" w:rsidRPr="008F4B68">
        <w:rPr>
          <w:lang w:val="es-ES"/>
        </w:rPr>
        <w:t>PGEH</w:t>
      </w:r>
      <w:r w:rsidR="001148A7" w:rsidRPr="008F4B68">
        <w:rPr>
          <w:lang w:val="es-ES"/>
        </w:rPr>
        <w:t xml:space="preserve">); </w:t>
      </w:r>
      <w:r w:rsidR="0016405C" w:rsidRPr="008F4B68">
        <w:rPr>
          <w:lang w:val="es-ES"/>
        </w:rPr>
        <w:t xml:space="preserve">el </w:t>
      </w:r>
      <w:r w:rsidR="001148A7" w:rsidRPr="008F4B68">
        <w:rPr>
          <w:lang w:val="es-ES"/>
        </w:rPr>
        <w:t xml:space="preserve">CAP; </w:t>
      </w:r>
      <w:r w:rsidR="0016405C" w:rsidRPr="008F4B68">
        <w:rPr>
          <w:lang w:val="es-ES"/>
        </w:rPr>
        <w:t xml:space="preserve">y los costos de las dependencias centrales del </w:t>
      </w:r>
      <w:r w:rsidR="00E250D7" w:rsidRPr="008F4B68">
        <w:rPr>
          <w:lang w:val="es-ES"/>
        </w:rPr>
        <w:t>PNUD</w:t>
      </w:r>
      <w:r w:rsidR="001148A7" w:rsidRPr="008F4B68">
        <w:rPr>
          <w:lang w:val="es-ES"/>
        </w:rPr>
        <w:t xml:space="preserve">, </w:t>
      </w:r>
      <w:r w:rsidR="009A1284" w:rsidRPr="008F4B68">
        <w:rPr>
          <w:lang w:val="es-ES"/>
        </w:rPr>
        <w:t>la ONUDI</w:t>
      </w:r>
      <w:r w:rsidR="001148A7" w:rsidRPr="008F4B68">
        <w:rPr>
          <w:lang w:val="es-ES"/>
        </w:rPr>
        <w:t xml:space="preserve"> </w:t>
      </w:r>
      <w:r w:rsidR="0016405C" w:rsidRPr="008F4B68">
        <w:rPr>
          <w:lang w:val="es-ES"/>
        </w:rPr>
        <w:t>y el</w:t>
      </w:r>
      <w:r w:rsidR="009A1284" w:rsidRPr="008F4B68">
        <w:rPr>
          <w:lang w:val="es-ES"/>
        </w:rPr>
        <w:t> Banco </w:t>
      </w:r>
      <w:r w:rsidR="001F7B07" w:rsidRPr="008F4B68">
        <w:rPr>
          <w:lang w:val="es-ES"/>
        </w:rPr>
        <w:t>Mundial</w:t>
      </w:r>
      <w:r w:rsidR="001148A7" w:rsidRPr="008F4B68">
        <w:rPr>
          <w:lang w:val="es-ES"/>
        </w:rPr>
        <w:t xml:space="preserve">, </w:t>
      </w:r>
      <w:r w:rsidR="0016405C" w:rsidRPr="008F4B68">
        <w:rPr>
          <w:lang w:val="es-ES"/>
        </w:rPr>
        <w:t xml:space="preserve">y de los costos de apoyo a los </w:t>
      </w:r>
      <w:r w:rsidR="006A5484" w:rsidRPr="008F4B68">
        <w:rPr>
          <w:lang w:val="es-ES"/>
        </w:rPr>
        <w:t>organismos bilaterales y de ejecución</w:t>
      </w:r>
      <w:r w:rsidR="001148A7" w:rsidRPr="008F4B68">
        <w:rPr>
          <w:lang w:val="es-ES"/>
        </w:rPr>
        <w:t xml:space="preserve">, </w:t>
      </w:r>
      <w:r w:rsidR="0016405C" w:rsidRPr="008F4B68">
        <w:rPr>
          <w:lang w:val="es-ES"/>
        </w:rPr>
        <w:t xml:space="preserve">se dirigen </w:t>
      </w:r>
      <w:r w:rsidR="0021752D">
        <w:rPr>
          <w:lang w:val="es-ES"/>
        </w:rPr>
        <w:t xml:space="preserve">y gestionan </w:t>
      </w:r>
      <w:r w:rsidR="0016405C" w:rsidRPr="008F4B68">
        <w:rPr>
          <w:lang w:val="es-ES"/>
        </w:rPr>
        <w:t xml:space="preserve">conforme a las decisiones del </w:t>
      </w:r>
      <w:r w:rsidR="003920CB" w:rsidRPr="008F4B68">
        <w:rPr>
          <w:lang w:val="es-ES"/>
        </w:rPr>
        <w:t>Comité Ejecutivo</w:t>
      </w:r>
      <w:r w:rsidR="001148A7" w:rsidRPr="008F4B68">
        <w:rPr>
          <w:lang w:val="es-ES"/>
        </w:rPr>
        <w:t xml:space="preserve">.  </w:t>
      </w:r>
    </w:p>
    <w:p w:rsidR="001148A7" w:rsidRPr="008F4B68" w:rsidRDefault="0016405C" w:rsidP="001148A7">
      <w:pPr>
        <w:pStyle w:val="Heading1"/>
        <w:rPr>
          <w:lang w:val="es-ES"/>
        </w:rPr>
      </w:pPr>
      <w:r w:rsidRPr="008F4B68">
        <w:rPr>
          <w:lang w:val="es-ES"/>
        </w:rPr>
        <w:t xml:space="preserve">Las </w:t>
      </w:r>
      <w:r w:rsidR="00FA35F9">
        <w:rPr>
          <w:lang w:val="es-ES"/>
        </w:rPr>
        <w:t xml:space="preserve">solicitudes de </w:t>
      </w:r>
      <w:r w:rsidRPr="008F4B68">
        <w:rPr>
          <w:lang w:val="es-ES"/>
        </w:rPr>
        <w:t xml:space="preserve">financiación </w:t>
      </w:r>
      <w:r w:rsidR="00FA35F9">
        <w:rPr>
          <w:lang w:val="es-ES"/>
        </w:rPr>
        <w:t xml:space="preserve">para los </w:t>
      </w:r>
      <w:r w:rsidRPr="008F4B68">
        <w:rPr>
          <w:lang w:val="es-ES"/>
        </w:rPr>
        <w:t>tramo</w:t>
      </w:r>
      <w:r w:rsidR="00FA35F9">
        <w:rPr>
          <w:lang w:val="es-ES"/>
        </w:rPr>
        <w:t>s</w:t>
      </w:r>
      <w:r w:rsidRPr="008F4B68">
        <w:rPr>
          <w:lang w:val="es-ES"/>
        </w:rPr>
        <w:t xml:space="preserve"> de financiación de los </w:t>
      </w:r>
      <w:r w:rsidR="00890385" w:rsidRPr="008F4B68">
        <w:rPr>
          <w:lang w:val="es-ES"/>
        </w:rPr>
        <w:t>PGEH</w:t>
      </w:r>
      <w:r w:rsidR="001148A7" w:rsidRPr="008F4B68">
        <w:rPr>
          <w:lang w:val="es-ES"/>
        </w:rPr>
        <w:t xml:space="preserve"> </w:t>
      </w:r>
      <w:r w:rsidRPr="008F4B68">
        <w:rPr>
          <w:lang w:val="es-ES"/>
        </w:rPr>
        <w:t xml:space="preserve">y de la renovación de los FI facilitan datos generales e información sobre la marcha de las actividades, las funciones y responsabilidades de los organismos de ejecución, las </w:t>
      </w:r>
      <w:r w:rsidR="00FA35F9">
        <w:rPr>
          <w:lang w:val="es-ES"/>
        </w:rPr>
        <w:t>Dependencias N</w:t>
      </w:r>
      <w:r w:rsidR="006A5484" w:rsidRPr="008F4B68">
        <w:rPr>
          <w:lang w:val="es-ES"/>
        </w:rPr>
        <w:t>acionales del Ozono</w:t>
      </w:r>
      <w:r w:rsidR="001148A7" w:rsidRPr="008F4B68">
        <w:rPr>
          <w:lang w:val="es-ES"/>
        </w:rPr>
        <w:t xml:space="preserve"> </w:t>
      </w:r>
      <w:r w:rsidRPr="008F4B68">
        <w:rPr>
          <w:lang w:val="es-ES"/>
        </w:rPr>
        <w:t xml:space="preserve">y </w:t>
      </w:r>
      <w:r w:rsidR="006A5484" w:rsidRPr="008F4B68">
        <w:rPr>
          <w:lang w:val="es-ES"/>
        </w:rPr>
        <w:t>las Dependencias de ejecución y supervisión de proyecto</w:t>
      </w:r>
      <w:r w:rsidR="00FA35F9">
        <w:rPr>
          <w:lang w:val="es-ES"/>
        </w:rPr>
        <w:t>s</w:t>
      </w:r>
      <w:r w:rsidR="001148A7" w:rsidRPr="008F4B68">
        <w:rPr>
          <w:lang w:val="es-ES"/>
        </w:rPr>
        <w:t xml:space="preserve">, </w:t>
      </w:r>
      <w:r w:rsidRPr="008F4B68">
        <w:rPr>
          <w:lang w:val="es-ES"/>
        </w:rPr>
        <w:t xml:space="preserve">así como de los costos conexos a </w:t>
      </w:r>
      <w:r w:rsidR="00FA35F9">
        <w:rPr>
          <w:lang w:val="es-ES"/>
        </w:rPr>
        <w:t xml:space="preserve">sus </w:t>
      </w:r>
      <w:r w:rsidRPr="008F4B68">
        <w:rPr>
          <w:lang w:val="es-ES"/>
        </w:rPr>
        <w:t>funciones y responsabilidades</w:t>
      </w:r>
      <w:r w:rsidR="001148A7" w:rsidRPr="008F4B68">
        <w:rPr>
          <w:lang w:val="es-ES"/>
        </w:rPr>
        <w:t xml:space="preserve">. </w:t>
      </w:r>
      <w:r w:rsidRPr="008F4B68">
        <w:rPr>
          <w:lang w:val="es-ES"/>
        </w:rPr>
        <w:t xml:space="preserve"> En aquellos países que </w:t>
      </w:r>
      <w:r w:rsidR="003920CB" w:rsidRPr="008F4B68">
        <w:rPr>
          <w:lang w:val="es-ES"/>
        </w:rPr>
        <w:t>operan al amparo del artículo 5</w:t>
      </w:r>
      <w:r w:rsidR="001148A7" w:rsidRPr="008F4B68">
        <w:rPr>
          <w:lang w:val="es-ES"/>
        </w:rPr>
        <w:t xml:space="preserve"> </w:t>
      </w:r>
      <w:r w:rsidRPr="008F4B68">
        <w:rPr>
          <w:lang w:val="es-ES"/>
        </w:rPr>
        <w:t xml:space="preserve">sin presupuesto para la </w:t>
      </w:r>
      <w:r w:rsidR="00EE76D1" w:rsidRPr="008F4B68">
        <w:rPr>
          <w:lang w:val="es-ES"/>
        </w:rPr>
        <w:t xml:space="preserve">Dependencia de gestión de proyectos </w:t>
      </w:r>
      <w:r w:rsidRPr="008F4B68">
        <w:rPr>
          <w:lang w:val="es-ES"/>
        </w:rPr>
        <w:t xml:space="preserve">en el marco de los </w:t>
      </w:r>
      <w:r w:rsidR="00890385" w:rsidRPr="008F4B68">
        <w:rPr>
          <w:lang w:val="es-ES"/>
        </w:rPr>
        <w:t>PGEH</w:t>
      </w:r>
      <w:r w:rsidR="001148A7" w:rsidRPr="008F4B68">
        <w:rPr>
          <w:lang w:val="es-ES"/>
        </w:rPr>
        <w:t xml:space="preserve">, </w:t>
      </w:r>
      <w:r w:rsidRPr="008F4B68">
        <w:rPr>
          <w:lang w:val="es-ES"/>
        </w:rPr>
        <w:t xml:space="preserve">la </w:t>
      </w:r>
      <w:r w:rsidR="003920CB" w:rsidRPr="008F4B68">
        <w:rPr>
          <w:lang w:val="es-ES"/>
        </w:rPr>
        <w:t>Dependencia Nacional del Ozono</w:t>
      </w:r>
      <w:r w:rsidR="001148A7" w:rsidRPr="008F4B68">
        <w:rPr>
          <w:lang w:val="es-ES"/>
        </w:rPr>
        <w:t xml:space="preserve"> </w:t>
      </w:r>
      <w:r w:rsidRPr="008F4B68">
        <w:rPr>
          <w:lang w:val="es-ES"/>
        </w:rPr>
        <w:t xml:space="preserve">constituye un eje </w:t>
      </w:r>
      <w:r w:rsidR="001148A7" w:rsidRPr="008F4B68">
        <w:rPr>
          <w:lang w:val="es-ES"/>
        </w:rPr>
        <w:t xml:space="preserve">central </w:t>
      </w:r>
      <w:r w:rsidRPr="008F4B68">
        <w:rPr>
          <w:lang w:val="es-ES"/>
        </w:rPr>
        <w:t>para la ejecución de todas las actividades</w:t>
      </w:r>
      <w:r w:rsidR="001148A7" w:rsidRPr="008F4B68">
        <w:rPr>
          <w:lang w:val="es-ES"/>
        </w:rPr>
        <w:t xml:space="preserve">, </w:t>
      </w:r>
      <w:r w:rsidRPr="008F4B68">
        <w:rPr>
          <w:lang w:val="es-ES"/>
        </w:rPr>
        <w:t>incluyendo la notificación de los datos del programa de país y de los datos en virtud del artículo</w:t>
      </w:r>
      <w:r w:rsidR="001148A7" w:rsidRPr="008F4B68">
        <w:rPr>
          <w:lang w:val="es-ES"/>
        </w:rPr>
        <w:t xml:space="preserve"> 7. </w:t>
      </w:r>
      <w:r w:rsidRPr="008F4B68">
        <w:rPr>
          <w:lang w:val="es-ES"/>
        </w:rPr>
        <w:t xml:space="preserve"> Los informes sobre la marcha de las actividades incluyen indicadores verificables del desempeño</w:t>
      </w:r>
      <w:r w:rsidR="001148A7" w:rsidRPr="008F4B68">
        <w:rPr>
          <w:lang w:val="es-ES"/>
        </w:rPr>
        <w:t xml:space="preserve">, </w:t>
      </w:r>
      <w:r w:rsidRPr="008F4B68">
        <w:rPr>
          <w:lang w:val="es-ES"/>
        </w:rPr>
        <w:t xml:space="preserve">siendo el principal objetivo que cada país cumpla con sus obligaciones para con el </w:t>
      </w:r>
      <w:r w:rsidR="003920CB" w:rsidRPr="008F4B68">
        <w:rPr>
          <w:lang w:val="es-ES"/>
        </w:rPr>
        <w:t>Protocolo de Montreal</w:t>
      </w:r>
      <w:r w:rsidR="001148A7" w:rsidRPr="008F4B68">
        <w:rPr>
          <w:lang w:val="es-ES"/>
        </w:rPr>
        <w:t xml:space="preserve"> </w:t>
      </w:r>
      <w:r w:rsidRPr="008F4B68">
        <w:rPr>
          <w:lang w:val="es-ES"/>
        </w:rPr>
        <w:t xml:space="preserve">y los objetivos especificados en su Acuerdo con el </w:t>
      </w:r>
      <w:r w:rsidR="003920CB" w:rsidRPr="008F4B68">
        <w:rPr>
          <w:lang w:val="es-ES"/>
        </w:rPr>
        <w:t>Comité Ejecutivo</w:t>
      </w:r>
      <w:r w:rsidR="001148A7" w:rsidRPr="008F4B68">
        <w:rPr>
          <w:lang w:val="es-ES"/>
        </w:rPr>
        <w:t>.</w:t>
      </w:r>
    </w:p>
    <w:p w:rsidR="001148A7" w:rsidRPr="008F4B68" w:rsidRDefault="0016405C" w:rsidP="001148A7">
      <w:pPr>
        <w:pStyle w:val="Heading1"/>
        <w:rPr>
          <w:lang w:val="es-ES"/>
        </w:rPr>
      </w:pPr>
      <w:r w:rsidRPr="008F4B68">
        <w:rPr>
          <w:lang w:val="es-ES"/>
        </w:rPr>
        <w:t xml:space="preserve">Todas las propuestas quedan sujetas al análisis general y detallado de la </w:t>
      </w:r>
      <w:r w:rsidR="006645CE" w:rsidRPr="008F4B68">
        <w:rPr>
          <w:lang w:val="es-ES"/>
        </w:rPr>
        <w:t>Secretaría</w:t>
      </w:r>
      <w:r w:rsidR="001148A7" w:rsidRPr="008F4B68">
        <w:rPr>
          <w:lang w:val="es-ES"/>
        </w:rPr>
        <w:t xml:space="preserve">, </w:t>
      </w:r>
      <w:r w:rsidR="00130AFD" w:rsidRPr="008F4B68">
        <w:rPr>
          <w:lang w:val="es-ES"/>
        </w:rPr>
        <w:t xml:space="preserve">incluyendo la notificación financiera y la supervisión, antes de pasar a presentarlas a la consideración y decisión del </w:t>
      </w:r>
      <w:r w:rsidR="00CF2D8C" w:rsidRPr="008F4B68">
        <w:rPr>
          <w:lang w:val="es-ES"/>
        </w:rPr>
        <w:t>Comité Ejecutivo</w:t>
      </w:r>
      <w:r w:rsidR="001148A7" w:rsidRPr="008F4B68">
        <w:rPr>
          <w:lang w:val="es-ES"/>
        </w:rPr>
        <w:t xml:space="preserve">. </w:t>
      </w:r>
      <w:r w:rsidR="00130AFD" w:rsidRPr="008F4B68">
        <w:rPr>
          <w:lang w:val="es-ES"/>
        </w:rPr>
        <w:t xml:space="preserve"> En dicho análisis se sopesa el riesgo de solape en las funciones y obligaciones de las diferentes </w:t>
      </w:r>
      <w:r w:rsidR="00072EED" w:rsidRPr="008F4B68">
        <w:rPr>
          <w:lang w:val="es-ES"/>
        </w:rPr>
        <w:t>partes interesadas</w:t>
      </w:r>
      <w:r w:rsidR="001148A7" w:rsidRPr="008F4B68">
        <w:rPr>
          <w:lang w:val="es-ES"/>
        </w:rPr>
        <w:t xml:space="preserve"> </w:t>
      </w:r>
      <w:r w:rsidR="00130AFD" w:rsidRPr="008F4B68">
        <w:rPr>
          <w:lang w:val="es-ES"/>
        </w:rPr>
        <w:t>y los costos conexos a las actividades y supervisión del proyecto</w:t>
      </w:r>
      <w:r w:rsidR="001148A7" w:rsidRPr="008F4B68">
        <w:rPr>
          <w:lang w:val="es-ES"/>
        </w:rPr>
        <w:t xml:space="preserve">, </w:t>
      </w:r>
      <w:r w:rsidR="00130AFD" w:rsidRPr="008F4B68">
        <w:rPr>
          <w:lang w:val="es-ES"/>
        </w:rPr>
        <w:t xml:space="preserve">y se concluye que no existe una doble contabilidad y que el riesgo de que los costos aumenten sin control </w:t>
      </w:r>
      <w:r w:rsidR="00FA35F9">
        <w:rPr>
          <w:lang w:val="es-ES"/>
        </w:rPr>
        <w:t>es</w:t>
      </w:r>
      <w:r w:rsidR="00130AFD" w:rsidRPr="008F4B68">
        <w:rPr>
          <w:lang w:val="es-ES"/>
        </w:rPr>
        <w:t xml:space="preserve"> bien limitado o no existe</w:t>
      </w:r>
      <w:r w:rsidR="001148A7" w:rsidRPr="008F4B68">
        <w:rPr>
          <w:lang w:val="es-ES"/>
        </w:rPr>
        <w:t xml:space="preserve">. </w:t>
      </w:r>
    </w:p>
    <w:p w:rsidR="001148A7" w:rsidRPr="008F4B68" w:rsidRDefault="00130AFD" w:rsidP="001148A7">
      <w:pPr>
        <w:pStyle w:val="Heading1"/>
        <w:rPr>
          <w:lang w:val="es-ES"/>
        </w:rPr>
      </w:pPr>
      <w:r w:rsidRPr="008F4B68">
        <w:rPr>
          <w:lang w:val="es-ES"/>
        </w:rPr>
        <w:t>Los organismos bilaterales y de ejecución están sometidos a medidas de gestión y de desempeño</w:t>
      </w:r>
      <w:r w:rsidR="001148A7" w:rsidRPr="008F4B68">
        <w:rPr>
          <w:lang w:val="es-ES"/>
        </w:rPr>
        <w:t xml:space="preserve">, </w:t>
      </w:r>
      <w:r w:rsidRPr="008F4B68">
        <w:rPr>
          <w:lang w:val="es-ES"/>
        </w:rPr>
        <w:t>que se reseñan en los documentos de los proyectos, facilitando así la redacción de informes periódicos sobre la marcha de las actividades y los desembolsos, contratándolos con los desembolsos que se procesen, y qué</w:t>
      </w:r>
      <w:r w:rsidR="001148A7" w:rsidRPr="008F4B68">
        <w:rPr>
          <w:lang w:val="es-ES"/>
        </w:rPr>
        <w:t xml:space="preserve"> </w:t>
      </w:r>
      <w:r w:rsidRPr="008F4B68">
        <w:rPr>
          <w:lang w:val="es-ES"/>
        </w:rPr>
        <w:t xml:space="preserve">solicitudes de financiación de tramo de </w:t>
      </w:r>
      <w:r w:rsidR="00890385" w:rsidRPr="008F4B68">
        <w:rPr>
          <w:lang w:val="es-ES"/>
        </w:rPr>
        <w:t>PGEH</w:t>
      </w:r>
      <w:r w:rsidR="001148A7" w:rsidRPr="008F4B68">
        <w:rPr>
          <w:lang w:val="es-ES"/>
        </w:rPr>
        <w:t xml:space="preserve"> </w:t>
      </w:r>
      <w:r w:rsidRPr="008F4B68">
        <w:rPr>
          <w:lang w:val="es-ES"/>
        </w:rPr>
        <w:t>y fase de FI están preparadas y listas para su presentación</w:t>
      </w:r>
      <w:r w:rsidR="001148A7" w:rsidRPr="008F4B68">
        <w:rPr>
          <w:lang w:val="es-ES"/>
        </w:rPr>
        <w:t xml:space="preserve">. </w:t>
      </w:r>
    </w:p>
    <w:p w:rsidR="001148A7" w:rsidRPr="008F4B68" w:rsidRDefault="001148A7" w:rsidP="001148A7">
      <w:pPr>
        <w:keepNext/>
        <w:keepLines/>
        <w:spacing w:after="240"/>
        <w:rPr>
          <w:b/>
          <w:lang w:val="es-ES"/>
        </w:rPr>
      </w:pPr>
      <w:r w:rsidRPr="008F4B68">
        <w:rPr>
          <w:b/>
          <w:lang w:val="es-ES"/>
        </w:rPr>
        <w:t>Recomenda</w:t>
      </w:r>
      <w:r w:rsidR="00130AFD" w:rsidRPr="008F4B68">
        <w:rPr>
          <w:b/>
          <w:lang w:val="es-ES"/>
        </w:rPr>
        <w:t>ciones</w:t>
      </w:r>
    </w:p>
    <w:p w:rsidR="001148A7" w:rsidRPr="008F4B68" w:rsidRDefault="008F4B68" w:rsidP="005B28DC">
      <w:pPr>
        <w:pStyle w:val="Heading1"/>
        <w:keepNext/>
        <w:keepLines/>
        <w:rPr>
          <w:lang w:val="es-ES"/>
        </w:rPr>
      </w:pPr>
      <w:r w:rsidRPr="008F4B68">
        <w:rPr>
          <w:lang w:val="es-ES"/>
        </w:rPr>
        <w:t>El Comité Ejecutivo puede estimar oportuno tomar nota del análisis del régimen de costo</w:t>
      </w:r>
      <w:r w:rsidR="00FA35F9">
        <w:rPr>
          <w:lang w:val="es-ES"/>
        </w:rPr>
        <w:t>s</w:t>
      </w:r>
      <w:r w:rsidRPr="008F4B68">
        <w:rPr>
          <w:lang w:val="es-ES"/>
        </w:rPr>
        <w:t xml:space="preserve"> administrativo</w:t>
      </w:r>
      <w:r w:rsidR="00FA35F9">
        <w:rPr>
          <w:lang w:val="es-ES"/>
        </w:rPr>
        <w:t>s</w:t>
      </w:r>
      <w:r w:rsidRPr="008F4B68">
        <w:rPr>
          <w:lang w:val="es-ES"/>
        </w:rPr>
        <w:t>, por país, sobre las dependencias de gestión de proyecto, los proyectos de fortalecimiento institucional y los organismos de ejecución, incluidas actividades y financiación en el marco del programa de asistencia al cumplimiento, los costos de unidad central y otros elementos del régimen de costos administrativos, e información sobre la verificación independiente a nivel nacional (decisión 82/82 b)), tal y como se recogen en el documento</w:t>
      </w:r>
      <w:r w:rsidR="001148A7" w:rsidRPr="008F4B68">
        <w:rPr>
          <w:lang w:val="es-ES"/>
        </w:rPr>
        <w:t xml:space="preserve"> UNEP/OzL.Pro/ExCom/83/</w:t>
      </w:r>
      <w:r w:rsidR="005B28DC">
        <w:rPr>
          <w:lang w:val="es-ES"/>
        </w:rPr>
        <w:t>39</w:t>
      </w:r>
      <w:r w:rsidR="001148A7" w:rsidRPr="008F4B68">
        <w:rPr>
          <w:lang w:val="es-ES"/>
        </w:rPr>
        <w:t>.</w:t>
      </w:r>
    </w:p>
    <w:p w:rsidR="001148A7" w:rsidRPr="008F4B68" w:rsidRDefault="001148A7" w:rsidP="00130AFD">
      <w:pPr>
        <w:jc w:val="left"/>
        <w:rPr>
          <w:lang w:val="es-ES"/>
        </w:rPr>
      </w:pPr>
    </w:p>
    <w:p w:rsidR="0087455A" w:rsidRPr="008F4B68" w:rsidRDefault="0087455A">
      <w:pPr>
        <w:pStyle w:val="StyleHeader4Para4Left0Firstline0"/>
        <w:numPr>
          <w:ilvl w:val="0"/>
          <w:numId w:val="0"/>
        </w:numPr>
        <w:rPr>
          <w:lang w:val="es-ES"/>
        </w:rPr>
      </w:pPr>
    </w:p>
    <w:p w:rsidR="0087455A" w:rsidRPr="008F4B68" w:rsidRDefault="0087455A">
      <w:pPr>
        <w:rPr>
          <w:lang w:val="es-ES"/>
        </w:rPr>
        <w:sectPr w:rsidR="0087455A" w:rsidRPr="008F4B68">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87455A" w:rsidRPr="008F4B68" w:rsidRDefault="0087455A">
      <w:pPr>
        <w:jc w:val="center"/>
        <w:rPr>
          <w:b/>
          <w:bCs/>
          <w:lang w:val="es-ES"/>
        </w:rPr>
      </w:pPr>
    </w:p>
    <w:p w:rsidR="0087455A" w:rsidRPr="008F4B68" w:rsidRDefault="0024162E">
      <w:pPr>
        <w:jc w:val="center"/>
        <w:rPr>
          <w:b/>
          <w:bCs/>
          <w:lang w:val="es-ES"/>
        </w:rPr>
      </w:pPr>
      <w:r w:rsidRPr="008F4B68">
        <w:rPr>
          <w:b/>
          <w:bCs/>
          <w:lang w:val="es-ES"/>
        </w:rPr>
        <w:t>Anexo I</w:t>
      </w:r>
    </w:p>
    <w:p w:rsidR="0087455A" w:rsidRPr="008F4B68" w:rsidRDefault="0087455A">
      <w:pPr>
        <w:jc w:val="center"/>
        <w:rPr>
          <w:b/>
          <w:bCs/>
          <w:lang w:val="es-ES"/>
        </w:rPr>
      </w:pPr>
    </w:p>
    <w:p w:rsidR="0087455A" w:rsidRPr="008F4B68" w:rsidRDefault="0087455A">
      <w:pPr>
        <w:jc w:val="center"/>
        <w:rPr>
          <w:b/>
          <w:bCs/>
          <w:lang w:val="es-ES"/>
        </w:rPr>
      </w:pPr>
    </w:p>
    <w:p w:rsidR="0087455A" w:rsidRPr="008F4B68" w:rsidRDefault="0087455A">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7455A" w:rsidRPr="008F4B68">
        <w:tc>
          <w:tcPr>
            <w:tcW w:w="1915" w:type="dxa"/>
          </w:tcPr>
          <w:p w:rsidR="0087455A" w:rsidRPr="008F4B68" w:rsidRDefault="0087455A">
            <w:pPr>
              <w:rPr>
                <w:lang w:val="es-ES"/>
              </w:rPr>
            </w:pPr>
          </w:p>
        </w:tc>
        <w:tc>
          <w:tcPr>
            <w:tcW w:w="1915" w:type="dxa"/>
          </w:tcPr>
          <w:p w:rsidR="0087455A" w:rsidRPr="008F4B68" w:rsidRDefault="0087455A">
            <w:pPr>
              <w:rPr>
                <w:lang w:val="es-ES"/>
              </w:rPr>
            </w:pPr>
          </w:p>
        </w:tc>
        <w:tc>
          <w:tcPr>
            <w:tcW w:w="1915" w:type="dxa"/>
            <w:tcBorders>
              <w:bottom w:val="single" w:sz="4" w:space="0" w:color="auto"/>
            </w:tcBorders>
          </w:tcPr>
          <w:p w:rsidR="0087455A" w:rsidRPr="008F4B68" w:rsidRDefault="0087455A">
            <w:pPr>
              <w:rPr>
                <w:b/>
                <w:bCs/>
                <w:lang w:val="es-ES"/>
              </w:rPr>
            </w:pPr>
          </w:p>
        </w:tc>
        <w:tc>
          <w:tcPr>
            <w:tcW w:w="1915" w:type="dxa"/>
          </w:tcPr>
          <w:p w:rsidR="0087455A" w:rsidRPr="008F4B68" w:rsidRDefault="0087455A">
            <w:pPr>
              <w:rPr>
                <w:lang w:val="es-ES"/>
              </w:rPr>
            </w:pPr>
          </w:p>
        </w:tc>
        <w:tc>
          <w:tcPr>
            <w:tcW w:w="1916" w:type="dxa"/>
          </w:tcPr>
          <w:p w:rsidR="0087455A" w:rsidRPr="008F4B68" w:rsidRDefault="0087455A">
            <w:pPr>
              <w:rPr>
                <w:lang w:val="es-ES"/>
              </w:rPr>
            </w:pPr>
          </w:p>
        </w:tc>
      </w:tr>
    </w:tbl>
    <w:p w:rsidR="0087455A" w:rsidRPr="008F4B68" w:rsidRDefault="0087455A">
      <w:pPr>
        <w:rPr>
          <w:lang w:val="es-ES"/>
        </w:rPr>
      </w:pPr>
    </w:p>
    <w:p w:rsidR="0087455A" w:rsidRPr="008F4B68" w:rsidRDefault="0087455A">
      <w:pPr>
        <w:jc w:val="center"/>
        <w:rPr>
          <w:b/>
          <w:bCs/>
          <w:lang w:val="es-ES"/>
        </w:rPr>
      </w:pPr>
    </w:p>
    <w:sectPr w:rsidR="0087455A" w:rsidRPr="008F4B68">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24" w:rsidRDefault="00694E24">
      <w:r>
        <w:separator/>
      </w:r>
    </w:p>
  </w:endnote>
  <w:endnote w:type="continuationSeparator" w:id="0">
    <w:p w:rsidR="00694E24" w:rsidRDefault="0069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29" w:rsidRPr="008F4B68" w:rsidRDefault="00A61829">
    <w:pPr>
      <w:jc w:val="center"/>
      <w:rPr>
        <w:lang w:val="es-ES"/>
      </w:rPr>
    </w:pPr>
    <w:r w:rsidRPr="008F4B68">
      <w:rPr>
        <w:lang w:val="es-ES"/>
      </w:rPr>
      <w:fldChar w:fldCharType="begin"/>
    </w:r>
    <w:r w:rsidRPr="008F4B68">
      <w:rPr>
        <w:lang w:val="es-ES"/>
      </w:rPr>
      <w:instrText xml:space="preserve"> PAGE </w:instrText>
    </w:r>
    <w:r w:rsidRPr="008F4B68">
      <w:rPr>
        <w:lang w:val="es-ES"/>
      </w:rPr>
      <w:fldChar w:fldCharType="separate"/>
    </w:r>
    <w:r w:rsidR="004549C0">
      <w:rPr>
        <w:noProof/>
        <w:lang w:val="es-ES"/>
      </w:rPr>
      <w:t>6</w:t>
    </w:r>
    <w:r w:rsidRPr="008F4B68">
      <w:rPr>
        <w:noProof/>
        <w:lang w:val="es-E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29" w:rsidRPr="008F4B68" w:rsidRDefault="00A61829">
    <w:pPr>
      <w:jc w:val="center"/>
      <w:rPr>
        <w:lang w:val="es-ES"/>
      </w:rPr>
    </w:pPr>
    <w:r w:rsidRPr="008F4B68">
      <w:rPr>
        <w:lang w:val="es-ES"/>
      </w:rPr>
      <w:fldChar w:fldCharType="begin"/>
    </w:r>
    <w:r w:rsidRPr="008F4B68">
      <w:rPr>
        <w:lang w:val="es-ES"/>
      </w:rPr>
      <w:instrText xml:space="preserve"> PAGE </w:instrText>
    </w:r>
    <w:r w:rsidRPr="008F4B68">
      <w:rPr>
        <w:lang w:val="es-ES"/>
      </w:rPr>
      <w:fldChar w:fldCharType="separate"/>
    </w:r>
    <w:r w:rsidR="004549C0">
      <w:rPr>
        <w:noProof/>
        <w:lang w:val="es-ES"/>
      </w:rPr>
      <w:t>5</w:t>
    </w:r>
    <w:r w:rsidRPr="008F4B68">
      <w:rPr>
        <w:noProof/>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29" w:rsidRDefault="00A61829">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A61829" w:rsidRDefault="00A61829">
        <w:pPr>
          <w:pStyle w:val="Footer"/>
          <w:jc w:val="center"/>
        </w:pPr>
        <w:r>
          <w:fldChar w:fldCharType="begin"/>
        </w:r>
        <w:r>
          <w:instrText xml:space="preserve"> PAGE   \* MERGEFORMAT </w:instrText>
        </w:r>
        <w:r>
          <w:fldChar w:fldCharType="separate"/>
        </w:r>
        <w:r w:rsidR="004549C0">
          <w:rPr>
            <w:noProof/>
          </w:rPr>
          <w:t>1</w:t>
        </w:r>
        <w:r>
          <w:rPr>
            <w:noProof/>
          </w:rPr>
          <w:fldChar w:fldCharType="end"/>
        </w:r>
      </w:p>
    </w:sdtContent>
  </w:sdt>
  <w:p w:rsidR="00A61829" w:rsidRDefault="00A618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24" w:rsidRDefault="00694E24">
      <w:r>
        <w:separator/>
      </w:r>
    </w:p>
  </w:footnote>
  <w:footnote w:type="continuationSeparator" w:id="0">
    <w:p w:rsidR="00694E24" w:rsidRDefault="00694E24">
      <w:r>
        <w:continuationSeparator/>
      </w:r>
    </w:p>
  </w:footnote>
  <w:footnote w:id="1">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El documento tenía por objeto, entre otras cosas, determinar el nivel adecuado de los gastos de apoyo al programa necesarios para administrar proyectos/programas financiados por el Fondo Multilateral; actualizar las definiciones de todos los componentes pertinentes de los costos administrativos, incluidos los costos de las </w:t>
      </w:r>
      <w:r w:rsidR="00E926A9">
        <w:rPr>
          <w:lang w:val="es-ES"/>
        </w:rPr>
        <w:t xml:space="preserve">dependencias </w:t>
      </w:r>
      <w:r w:rsidRPr="00E926A9">
        <w:rPr>
          <w:lang w:val="es-ES"/>
        </w:rPr>
        <w:t>centrales, el Programa de Asistencia al Cumplimiento, los servicios centrales</w:t>
      </w:r>
      <w:r w:rsidR="009511E2">
        <w:rPr>
          <w:lang w:val="es-ES"/>
        </w:rPr>
        <w:t>, el organismo de ejecución, el </w:t>
      </w:r>
      <w:r w:rsidRPr="00E926A9">
        <w:rPr>
          <w:lang w:val="es-ES"/>
        </w:rPr>
        <w:t>intermediario financiero, y la dependencia que gestione el proyecto (UNEP/OzL.Pro/ExCom/79/43).</w:t>
      </w:r>
    </w:p>
  </w:footnote>
  <w:footnote w:id="2">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UNEP/OzL.Pro/ExCom/82/63</w:t>
      </w:r>
    </w:p>
  </w:footnote>
  <w:footnote w:id="3">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Párrafo 283 del documento UNEP/OzL.Pro/ExCom/82/72</w:t>
      </w:r>
    </w:p>
    <w:p w:rsidR="00A61829" w:rsidRPr="00E926A9" w:rsidRDefault="00A61829" w:rsidP="001148A7">
      <w:pPr>
        <w:pStyle w:val="FootnoteText"/>
        <w:rPr>
          <w:sz w:val="10"/>
          <w:szCs w:val="10"/>
          <w:lang w:val="es-ES"/>
        </w:rPr>
      </w:pPr>
    </w:p>
  </w:footnote>
  <w:footnote w:id="4">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UNEP/OzL.Pro/ExCom/35/67.</w:t>
      </w:r>
    </w:p>
  </w:footnote>
  <w:footnote w:id="5">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El actual régimen administrativo aplicable al PNUD, a la ONUDI y al Banco Mundial, consta de la financiación anual de la dependencia central, con un incremento anual del 0,7 por ciento , como máximo, sujeto a un examen anual, así como de los gastos de apoyo al organismo del 7,0 por ciento para proyectos cuyo costo sea igual o superior a los 250 000 $EUA, incluyéndose las renovaciones de FI y la preparación de proyectos; los gastos de apoyo al organismo de un 9,0 por ciento para proyectos de cuantía inferior a los 250 000 $EUA; y gastos de apoyo al organismo inferiores al 6,5 por ciento, que habrán de determinarse caso a caso para proyectos del sector de producción.</w:t>
      </w:r>
    </w:p>
  </w:footnote>
  <w:footnote w:id="6">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El Comité Ejecutivo aprobó todos los proyectos y renovaciones de FI a un nivel un 28 por ciento más elevado que el del nivel acordado históricamente, con un </w:t>
      </w:r>
      <w:r w:rsidR="00F17F7A">
        <w:rPr>
          <w:lang w:val="es-ES"/>
        </w:rPr>
        <w:t xml:space="preserve">volumen </w:t>
      </w:r>
      <w:r w:rsidRPr="00E926A9">
        <w:rPr>
          <w:lang w:val="es-ES"/>
        </w:rPr>
        <w:t>mínimo de financiación de FI de 42 500 $EUA anuales, a fin de seguir respaldando el cumplimiento del Protocolo de Montreal y con objeto de abordar los retos conexos a la eliminación de los HCFC.  El Comité decidió también examinar la situación relativa al FI, incluyendo los niveles de financiación, en el transcurso de la primera reunión del Comité Ejecutivo de 2020.</w:t>
      </w:r>
    </w:p>
  </w:footnote>
  <w:footnote w:id="7">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Esta reseña se fundamenta en la información recogida en anteriores documentos que el Comité Ejecutivo había examinado.</w:t>
      </w:r>
    </w:p>
  </w:footnote>
  <w:footnote w:id="8">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Decisión 60/44 y 74/50</w:t>
      </w:r>
    </w:p>
  </w:footnote>
  <w:footnote w:id="9">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El CAP respalda a 145 países que operan al amparo del artículo 5 </w:t>
      </w:r>
      <w:r w:rsidR="00B50717">
        <w:rPr>
          <w:lang w:val="es-ES"/>
        </w:rPr>
        <w:t xml:space="preserve">y </w:t>
      </w:r>
      <w:r w:rsidRPr="00E926A9">
        <w:rPr>
          <w:lang w:val="es-ES"/>
        </w:rPr>
        <w:t xml:space="preserve">que incluyen un amplio espectro en término de tamaño, población, consumo y producción de substancias controladas.  Los servicios que presta el CAP incluyen el apoyo a la creación de capacidad técnica al respecto de las infraestructuras regulatorias, políticas-normativas, sistemas de concesión de cuotas y licencias, ejecución de la ley y técnicos en equipos de refrigeración. </w:t>
      </w:r>
    </w:p>
  </w:footnote>
  <w:footnote w:id="10">
    <w:p w:rsidR="00A61829" w:rsidRPr="00E926A9" w:rsidRDefault="00A61829" w:rsidP="001148A7">
      <w:pPr>
        <w:pStyle w:val="FootnoteText"/>
        <w:rPr>
          <w:lang w:val="es-ES"/>
        </w:rPr>
      </w:pPr>
      <w:r w:rsidRPr="00E926A9">
        <w:rPr>
          <w:rStyle w:val="FootnoteReference"/>
          <w:lang w:val="es-ES"/>
        </w:rPr>
        <w:footnoteRef/>
      </w:r>
      <w:r w:rsidRPr="00E926A9">
        <w:rPr>
          <w:lang w:val="es-ES"/>
        </w:rPr>
        <w:t xml:space="preserve"> </w:t>
      </w:r>
      <w:r w:rsidR="00966318" w:rsidRPr="00E926A9">
        <w:rPr>
          <w:lang w:val="es-ES"/>
        </w:rPr>
        <w:t xml:space="preserve">El PNUMA ha indicado que en la mayoría de los casos en los que trabaja con mayoría de países de bajo consumo </w:t>
      </w:r>
      <w:r w:rsidRPr="00E926A9">
        <w:rPr>
          <w:lang w:val="es-ES" w:eastAsia="en-CA"/>
        </w:rPr>
        <w:t xml:space="preserve">UNEP </w:t>
      </w:r>
      <w:r w:rsidR="00D215ED" w:rsidRPr="00E926A9">
        <w:rPr>
          <w:lang w:val="es-ES" w:eastAsia="en-CA"/>
        </w:rPr>
        <w:t xml:space="preserve">en su calidad de organismo director para la ejecución de los </w:t>
      </w:r>
      <w:r w:rsidRPr="00E926A9">
        <w:rPr>
          <w:lang w:val="es-ES" w:eastAsia="en-CA"/>
        </w:rPr>
        <w:t xml:space="preserve">PGEH, </w:t>
      </w:r>
      <w:r w:rsidR="00D215ED" w:rsidRPr="00E926A9">
        <w:rPr>
          <w:lang w:val="es-ES" w:eastAsia="en-CA"/>
        </w:rPr>
        <w:t xml:space="preserve">los proyectos de los </w:t>
      </w:r>
      <w:r w:rsidRPr="00E926A9">
        <w:rPr>
          <w:lang w:val="es-ES" w:eastAsia="en-CA"/>
        </w:rPr>
        <w:t xml:space="preserve">PGEH </w:t>
      </w:r>
      <w:r w:rsidR="00D215ED" w:rsidRPr="00E926A9">
        <w:rPr>
          <w:lang w:val="es-ES" w:eastAsia="en-CA"/>
        </w:rPr>
        <w:t>no incluyen una d</w:t>
      </w:r>
      <w:r w:rsidRPr="00E926A9">
        <w:rPr>
          <w:lang w:val="es-ES" w:eastAsia="en-CA"/>
        </w:rPr>
        <w:t xml:space="preserve">ependencia de gestión de proyectos. </w:t>
      </w:r>
      <w:r w:rsidR="00D215ED" w:rsidRPr="00E926A9">
        <w:rPr>
          <w:lang w:val="es-ES" w:eastAsia="en-CA"/>
        </w:rPr>
        <w:t xml:space="preserve"> En todos estos proyectos existe un componente por separado para la supervisión y la evaluación</w:t>
      </w:r>
      <w:r w:rsidRPr="00E926A9">
        <w:rPr>
          <w:lang w:val="es-ES" w:eastAsia="en-CA"/>
        </w:rPr>
        <w:t xml:space="preserve">. </w:t>
      </w:r>
      <w:r w:rsidR="00D215ED" w:rsidRPr="00E926A9">
        <w:rPr>
          <w:lang w:val="es-ES" w:eastAsia="en-CA"/>
        </w:rPr>
        <w:t xml:space="preserve"> Dicho componente se ha concebido y diseñado para asistir a los países de bajo consumo a que aseguren la efectiva ejecución de todos los componentes del proyecto perteneciente al </w:t>
      </w:r>
      <w:r w:rsidRPr="00E926A9">
        <w:rPr>
          <w:lang w:val="es-ES" w:eastAsia="en-CA"/>
        </w:rPr>
        <w:t xml:space="preserve">PGEH </w:t>
      </w:r>
      <w:r w:rsidR="00D215ED" w:rsidRPr="00E926A9">
        <w:rPr>
          <w:lang w:val="es-ES" w:eastAsia="en-CA"/>
        </w:rPr>
        <w:t>sirviéndose de una supervisión y recogida de datos periódica a fin de medir el avance en relación con los criterios de desempeño</w:t>
      </w:r>
      <w:r w:rsidRPr="00E926A9">
        <w:rPr>
          <w:lang w:val="es-ES" w:eastAsia="en-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29" w:rsidRPr="008F4B68" w:rsidRDefault="00A61829">
    <w:pPr>
      <w:rPr>
        <w:lang w:val="es-ES"/>
      </w:rPr>
    </w:pPr>
    <w:r w:rsidRPr="008F4B68">
      <w:rPr>
        <w:lang w:val="es-ES"/>
      </w:rPr>
      <w:fldChar w:fldCharType="begin"/>
    </w:r>
    <w:r w:rsidRPr="008F4B68">
      <w:rPr>
        <w:lang w:val="es-ES"/>
      </w:rPr>
      <w:instrText xml:space="preserve"> DOCPROPERTY "Document number"  \* MERGEFORMAT </w:instrText>
    </w:r>
    <w:r w:rsidRPr="008F4B68">
      <w:rPr>
        <w:lang w:val="es-ES"/>
      </w:rPr>
      <w:fldChar w:fldCharType="separate"/>
    </w:r>
    <w:r w:rsidR="009511E2">
      <w:rPr>
        <w:lang w:val="es-ES"/>
      </w:rPr>
      <w:t>UNEP/OzL.Pro/ExCom/83/39</w:t>
    </w:r>
    <w:r w:rsidRPr="008F4B68">
      <w:rPr>
        <w:lang w:val="es-ES"/>
      </w:rPr>
      <w:fldChar w:fldCharType="end"/>
    </w:r>
  </w:p>
  <w:p w:rsidR="00A61829" w:rsidRPr="008F4B68" w:rsidRDefault="00A61829">
    <w:pPr>
      <w:rPr>
        <w:lang w:val="es-ES"/>
      </w:rPr>
    </w:pPr>
  </w:p>
  <w:p w:rsidR="00A61829" w:rsidRPr="008F4B68" w:rsidRDefault="00A61829">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29" w:rsidRPr="008F4B68" w:rsidRDefault="00A61829">
    <w:pPr>
      <w:jc w:val="right"/>
      <w:rPr>
        <w:lang w:val="es-ES"/>
      </w:rPr>
    </w:pPr>
    <w:r w:rsidRPr="008F4B68">
      <w:rPr>
        <w:lang w:val="es-ES"/>
      </w:rPr>
      <w:fldChar w:fldCharType="begin"/>
    </w:r>
    <w:r w:rsidRPr="008F4B68">
      <w:rPr>
        <w:lang w:val="es-ES"/>
      </w:rPr>
      <w:instrText xml:space="preserve"> DOCPROPERTY "Document number"  \* MERGEFORMAT </w:instrText>
    </w:r>
    <w:r w:rsidRPr="008F4B68">
      <w:rPr>
        <w:lang w:val="es-ES"/>
      </w:rPr>
      <w:fldChar w:fldCharType="separate"/>
    </w:r>
    <w:r w:rsidR="009511E2">
      <w:rPr>
        <w:lang w:val="es-ES"/>
      </w:rPr>
      <w:t>UNEP/OzL.Pro/ExCom/83/39</w:t>
    </w:r>
    <w:r w:rsidRPr="008F4B68">
      <w:rPr>
        <w:lang w:val="es-ES"/>
      </w:rPr>
      <w:fldChar w:fldCharType="end"/>
    </w:r>
  </w:p>
  <w:p w:rsidR="00A61829" w:rsidRPr="008F4B68" w:rsidRDefault="00A61829">
    <w:pPr>
      <w:rPr>
        <w:lang w:val="es-ES"/>
      </w:rPr>
    </w:pPr>
  </w:p>
  <w:p w:rsidR="00A61829" w:rsidRPr="008F4B68" w:rsidRDefault="00A61829">
    <w:pPr>
      <w:pStyle w:val="Header"/>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29" w:rsidRPr="005B28DC" w:rsidRDefault="00A61829">
    <w:pPr>
      <w:jc w:val="right"/>
      <w:rPr>
        <w:lang w:val="en-CA"/>
      </w:rPr>
    </w:pPr>
    <w:r w:rsidRPr="008F4B68">
      <w:rPr>
        <w:lang w:val="es-ES"/>
      </w:rPr>
      <w:fldChar w:fldCharType="begin"/>
    </w:r>
    <w:r w:rsidRPr="005B28DC">
      <w:rPr>
        <w:lang w:val="en-CA"/>
      </w:rPr>
      <w:instrText xml:space="preserve"> DOCPROPERTY "Document number"  \* MERGEFORMAT </w:instrText>
    </w:r>
    <w:r w:rsidRPr="008F4B68">
      <w:rPr>
        <w:lang w:val="es-ES"/>
      </w:rPr>
      <w:fldChar w:fldCharType="separate"/>
    </w:r>
    <w:r w:rsidRPr="005B28DC">
      <w:rPr>
        <w:lang w:val="en-CA"/>
      </w:rPr>
      <w:t>UNEP/OzL.Pro/ExCom/83/39</w:t>
    </w:r>
    <w:r w:rsidRPr="008F4B68">
      <w:rPr>
        <w:lang w:val="es-ES"/>
      </w:rPr>
      <w:fldChar w:fldCharType="end"/>
    </w:r>
  </w:p>
  <w:p w:rsidR="00A61829" w:rsidRPr="005B28DC" w:rsidRDefault="008F4B68" w:rsidP="008F4B68">
    <w:pPr>
      <w:jc w:val="right"/>
      <w:rPr>
        <w:lang w:val="en-CA"/>
      </w:rPr>
    </w:pPr>
    <w:r w:rsidRPr="005B28DC">
      <w:rPr>
        <w:lang w:val="en-CA"/>
      </w:rPr>
      <w:t>Anexo I</w:t>
    </w:r>
  </w:p>
  <w:p w:rsidR="00A61829" w:rsidRPr="005B28DC" w:rsidRDefault="008F4B68" w:rsidP="008F4B68">
    <w:pPr>
      <w:pStyle w:val="Header"/>
      <w:tabs>
        <w:tab w:val="clear" w:pos="4320"/>
        <w:tab w:val="clear" w:pos="8640"/>
        <w:tab w:val="left" w:pos="7684"/>
      </w:tabs>
      <w:rPr>
        <w:lang w:val="en-CA"/>
      </w:rPr>
    </w:pPr>
    <w:r w:rsidRPr="005B28DC">
      <w:rPr>
        <w:lang w:val="en-C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324E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4D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7EE7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9AE3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0AB3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EC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CE8E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9C6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B2B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D9E2868"/>
    <w:lvl w:ilvl="0">
      <w:start w:val="1"/>
      <w:numFmt w:val="decimal"/>
      <w:pStyle w:val="Heading1"/>
      <w:lvlText w:val="%1."/>
      <w:lvlJc w:val="left"/>
      <w:pPr>
        <w:tabs>
          <w:tab w:val="num" w:pos="0"/>
        </w:tabs>
        <w:ind w:left="0" w:firstLine="0"/>
      </w:pPr>
      <w:rPr>
        <w:lang w:val="es-ES"/>
      </w:rPr>
    </w:lvl>
    <w:lvl w:ilvl="1">
      <w:start w:val="1"/>
      <w:numFmt w:val="lowerLetter"/>
      <w:pStyle w:val="Heading2"/>
      <w:lvlText w:val="%2)"/>
      <w:lvlJc w:val="left"/>
      <w:pPr>
        <w:tabs>
          <w:tab w:val="num" w:pos="0"/>
        </w:tabs>
        <w:ind w:left="1440" w:hanging="720"/>
      </w:pPr>
      <w:rPr>
        <w:lang w:val="es-ES"/>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91B5C8A"/>
    <w:multiLevelType w:val="hybridMultilevel"/>
    <w:tmpl w:val="093C8FAA"/>
    <w:lvl w:ilvl="0" w:tplc="02EED61C">
      <w:start w:val="1"/>
      <w:numFmt w:val="bullet"/>
      <w:lvlText w:val=""/>
      <w:lvlJc w:val="left"/>
      <w:pPr>
        <w:ind w:left="502" w:hanging="360"/>
      </w:pPr>
      <w:rPr>
        <w:rFonts w:ascii="Symbol" w:hAnsi="Symbol" w:hint="default"/>
        <w:lang w:val="es-E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AE45D5"/>
    <w:multiLevelType w:val="multilevel"/>
    <w:tmpl w:val="B4B2C02E"/>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66" w:hanging="706"/>
      </w:pPr>
      <w:rPr>
        <w:rFonts w:cs="Times New Roman" w:hint="default"/>
      </w:rPr>
    </w:lvl>
    <w:lvl w:ilvl="4">
      <w:start w:val="1"/>
      <w:numFmt w:val="decimal"/>
      <w:lvlText w:val="(%5)"/>
      <w:lvlJc w:val="left"/>
      <w:pPr>
        <w:tabs>
          <w:tab w:val="num" w:pos="0"/>
        </w:tabs>
        <w:ind w:left="3571" w:hanging="705"/>
      </w:pPr>
      <w:rPr>
        <w:rFonts w:cs="Times New Roman" w:hint="default"/>
      </w:rPr>
    </w:lvl>
    <w:lvl w:ilvl="5">
      <w:start w:val="1"/>
      <w:numFmt w:val="lowerLetter"/>
      <w:lvlText w:val="(%6)"/>
      <w:lvlJc w:val="left"/>
      <w:pPr>
        <w:tabs>
          <w:tab w:val="num" w:pos="0"/>
        </w:tabs>
        <w:ind w:left="4291" w:hanging="720"/>
      </w:pPr>
      <w:rPr>
        <w:rFonts w:cs="Times New Roman" w:hint="default"/>
      </w:rPr>
    </w:lvl>
    <w:lvl w:ilvl="6">
      <w:start w:val="1"/>
      <w:numFmt w:val="lowerRoman"/>
      <w:lvlText w:val="(%7)"/>
      <w:lvlJc w:val="left"/>
      <w:pPr>
        <w:tabs>
          <w:tab w:val="num" w:pos="0"/>
        </w:tabs>
        <w:ind w:left="4997" w:hanging="706"/>
      </w:pPr>
      <w:rPr>
        <w:rFonts w:cs="Times New Roman" w:hint="default"/>
      </w:rPr>
    </w:lvl>
    <w:lvl w:ilvl="7">
      <w:start w:val="1"/>
      <w:numFmt w:val="lowerLetter"/>
      <w:lvlText w:val="(%8)"/>
      <w:lvlJc w:val="left"/>
      <w:pPr>
        <w:tabs>
          <w:tab w:val="num" w:pos="0"/>
        </w:tabs>
        <w:ind w:left="5702" w:hanging="705"/>
      </w:pPr>
      <w:rPr>
        <w:rFonts w:cs="Times New Roman" w:hint="default"/>
      </w:rPr>
    </w:lvl>
    <w:lvl w:ilvl="8">
      <w:start w:val="1"/>
      <w:numFmt w:val="lowerRoman"/>
      <w:lvlText w:val="(%9)"/>
      <w:lvlJc w:val="left"/>
      <w:pPr>
        <w:tabs>
          <w:tab w:val="num" w:pos="0"/>
        </w:tabs>
        <w:ind w:left="6408" w:hanging="706"/>
      </w:pPr>
      <w:rPr>
        <w:rFonts w:cs="Times New Roman" w:hint="default"/>
      </w:rPr>
    </w:lvl>
  </w:abstractNum>
  <w:abstractNum w:abstractNumId="13" w15:restartNumberingAfterBreak="0">
    <w:nsid w:val="299E5893"/>
    <w:multiLevelType w:val="hybridMultilevel"/>
    <w:tmpl w:val="7D522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7C77FEE"/>
    <w:multiLevelType w:val="hybridMultilevel"/>
    <w:tmpl w:val="B742DD26"/>
    <w:lvl w:ilvl="0" w:tplc="88F0FAFC">
      <w:start w:val="1"/>
      <w:numFmt w:val="bullet"/>
      <w:lvlText w:val=""/>
      <w:lvlJc w:val="left"/>
      <w:pPr>
        <w:ind w:left="502" w:hanging="360"/>
      </w:pPr>
      <w:rPr>
        <w:rFonts w:ascii="Symbol" w:hAnsi="Symbol" w:hint="default"/>
        <w:lang w:val="es-E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B80066"/>
    <w:multiLevelType w:val="hybridMultilevel"/>
    <w:tmpl w:val="DDA818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49B1317"/>
    <w:multiLevelType w:val="hybridMultilevel"/>
    <w:tmpl w:val="7C58BAF0"/>
    <w:lvl w:ilvl="0" w:tplc="1E8E75D4">
      <w:start w:val="1"/>
      <w:numFmt w:val="bullet"/>
      <w:lvlText w:val=""/>
      <w:lvlJc w:val="left"/>
      <w:pPr>
        <w:ind w:left="936" w:hanging="360"/>
      </w:pPr>
      <w:rPr>
        <w:rFonts w:ascii="Symbol" w:hAnsi="Symbol" w:hint="default"/>
        <w:lang w:val="es-ES"/>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1"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1904FB"/>
    <w:multiLevelType w:val="hybridMultilevel"/>
    <w:tmpl w:val="C4B04FDC"/>
    <w:lvl w:ilvl="0" w:tplc="FFFFFFFF">
      <w:start w:val="1"/>
      <w:numFmt w:val="upperRoman"/>
      <w:pStyle w:val="I"/>
      <w:lvlText w:val="%1."/>
      <w:lvlJc w:val="left"/>
      <w:pPr>
        <w:tabs>
          <w:tab w:val="num" w:pos="720"/>
        </w:tabs>
        <w:ind w:left="720" w:hanging="720"/>
      </w:pPr>
      <w:rPr>
        <w:rFonts w:hint="default"/>
        <w:b/>
        <w:i w:val="0"/>
        <w:color w:val="auto"/>
        <w:sz w:val="24"/>
        <w:szCs w:val="24"/>
      </w:rPr>
    </w:lvl>
    <w:lvl w:ilvl="1" w:tplc="FFFFFFFF">
      <w:start w:val="1"/>
      <w:numFmt w:val="decimal"/>
      <w:lvlText w:val="%2."/>
      <w:lvlJc w:val="left"/>
      <w:pPr>
        <w:tabs>
          <w:tab w:val="num" w:pos="1440"/>
        </w:tabs>
        <w:ind w:left="1440" w:hanging="360"/>
      </w:pPr>
      <w:rPr>
        <w:rFonts w:hint="default"/>
        <w:b/>
        <w:i w:val="0"/>
        <w:color w:val="auto"/>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6F74163"/>
    <w:multiLevelType w:val="hybridMultilevel"/>
    <w:tmpl w:val="42ECE428"/>
    <w:lvl w:ilvl="0" w:tplc="6C1872A0">
      <w:start w:val="1"/>
      <w:numFmt w:val="bullet"/>
      <w:lvlText w:val=""/>
      <w:lvlJc w:val="left"/>
      <w:pPr>
        <w:ind w:left="502" w:hanging="360"/>
      </w:pPr>
      <w:rPr>
        <w:rFonts w:ascii="Symbol" w:hAnsi="Symbol" w:hint="default"/>
        <w:lang w:val="es-ES"/>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15:restartNumberingAfterBreak="0">
    <w:nsid w:val="7F390393"/>
    <w:multiLevelType w:val="hybridMultilevel"/>
    <w:tmpl w:val="BFF47BB4"/>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9"/>
  </w:num>
  <w:num w:numId="19">
    <w:abstractNumId w:val="24"/>
  </w:num>
  <w:num w:numId="20">
    <w:abstractNumId w:val="15"/>
  </w:num>
  <w:num w:numId="21">
    <w:abstractNumId w:val="21"/>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22"/>
  </w:num>
  <w:num w:numId="30">
    <w:abstractNumId w:val="23"/>
  </w:num>
  <w:num w:numId="31">
    <w:abstractNumId w:val="11"/>
  </w:num>
  <w:num w:numId="32">
    <w:abstractNumId w:val="16"/>
  </w:num>
  <w:num w:numId="33">
    <w:abstractNumId w:val="25"/>
  </w:num>
  <w:num w:numId="34">
    <w:abstractNumId w:val="20"/>
  </w:num>
  <w:num w:numId="35">
    <w:abstractNumId w:val="17"/>
  </w:num>
  <w:num w:numId="36">
    <w:abstractNumId w:val="13"/>
  </w:num>
  <w:num w:numId="37">
    <w:abstractNumId w:val="1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A7"/>
    <w:rsid w:val="00072EED"/>
    <w:rsid w:val="00106F6E"/>
    <w:rsid w:val="001148A7"/>
    <w:rsid w:val="00114CAA"/>
    <w:rsid w:val="00127A89"/>
    <w:rsid w:val="00130AFD"/>
    <w:rsid w:val="0016405C"/>
    <w:rsid w:val="0017132A"/>
    <w:rsid w:val="00174732"/>
    <w:rsid w:val="001C2D22"/>
    <w:rsid w:val="001F739A"/>
    <w:rsid w:val="001F7B07"/>
    <w:rsid w:val="0021752D"/>
    <w:rsid w:val="002261B4"/>
    <w:rsid w:val="00235D4C"/>
    <w:rsid w:val="0024162E"/>
    <w:rsid w:val="00287B90"/>
    <w:rsid w:val="002904DE"/>
    <w:rsid w:val="002954DC"/>
    <w:rsid w:val="002B0536"/>
    <w:rsid w:val="002F406D"/>
    <w:rsid w:val="00317F5D"/>
    <w:rsid w:val="00355317"/>
    <w:rsid w:val="003920CB"/>
    <w:rsid w:val="003A520F"/>
    <w:rsid w:val="003B7115"/>
    <w:rsid w:val="004360ED"/>
    <w:rsid w:val="004549C0"/>
    <w:rsid w:val="00455352"/>
    <w:rsid w:val="004C7985"/>
    <w:rsid w:val="005B28DC"/>
    <w:rsid w:val="0063588D"/>
    <w:rsid w:val="006645CE"/>
    <w:rsid w:val="00694E24"/>
    <w:rsid w:val="006A5484"/>
    <w:rsid w:val="006A674E"/>
    <w:rsid w:val="007A435F"/>
    <w:rsid w:val="007B7911"/>
    <w:rsid w:val="007E16C8"/>
    <w:rsid w:val="007F0A40"/>
    <w:rsid w:val="0087455A"/>
    <w:rsid w:val="0087643C"/>
    <w:rsid w:val="00890385"/>
    <w:rsid w:val="008F4B68"/>
    <w:rsid w:val="00935122"/>
    <w:rsid w:val="009511E2"/>
    <w:rsid w:val="00966318"/>
    <w:rsid w:val="009A1284"/>
    <w:rsid w:val="009C737C"/>
    <w:rsid w:val="009E012F"/>
    <w:rsid w:val="009E5024"/>
    <w:rsid w:val="00A035B3"/>
    <w:rsid w:val="00A23B86"/>
    <w:rsid w:val="00A50E02"/>
    <w:rsid w:val="00A61829"/>
    <w:rsid w:val="00AA7B66"/>
    <w:rsid w:val="00AB56E5"/>
    <w:rsid w:val="00AE1C30"/>
    <w:rsid w:val="00AF51D9"/>
    <w:rsid w:val="00B43DF4"/>
    <w:rsid w:val="00B50717"/>
    <w:rsid w:val="00B76935"/>
    <w:rsid w:val="00BB78E9"/>
    <w:rsid w:val="00BC4B4D"/>
    <w:rsid w:val="00C14E67"/>
    <w:rsid w:val="00CF1AC4"/>
    <w:rsid w:val="00CF2D8C"/>
    <w:rsid w:val="00D215ED"/>
    <w:rsid w:val="00D43837"/>
    <w:rsid w:val="00D9644B"/>
    <w:rsid w:val="00DA792D"/>
    <w:rsid w:val="00DB795B"/>
    <w:rsid w:val="00DF3918"/>
    <w:rsid w:val="00E17F97"/>
    <w:rsid w:val="00E250D7"/>
    <w:rsid w:val="00E5681B"/>
    <w:rsid w:val="00E926A9"/>
    <w:rsid w:val="00EE76D1"/>
    <w:rsid w:val="00F17F7A"/>
    <w:rsid w:val="00F25F7C"/>
    <w:rsid w:val="00F850D2"/>
    <w:rsid w:val="00FA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EDA68"/>
  <w15:docId w15:val="{81D82761-B8DA-4147-954E-97CF208B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link w:val="PlainTextChar"/>
    <w:uiPriority w:val="99"/>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1148A7"/>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1148A7"/>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basedOn w:val="DefaultParagraphFont"/>
    <w:link w:val="CharCharCharCharCarChar"/>
    <w:uiPriority w:val="99"/>
    <w:unhideWhenUsed/>
    <w:qFormat/>
    <w:rsid w:val="001148A7"/>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1148A7"/>
    <w:pPr>
      <w:spacing w:after="160" w:line="240" w:lineRule="exact"/>
    </w:pPr>
    <w:rPr>
      <w:sz w:val="20"/>
      <w:szCs w:val="20"/>
      <w:vertAlign w:val="superscript"/>
      <w:lang w:val="en-US"/>
    </w:rPr>
  </w:style>
  <w:style w:type="paragraph" w:styleId="ListParagraph">
    <w:name w:val="List Paragraph"/>
    <w:basedOn w:val="Normal"/>
    <w:uiPriority w:val="34"/>
    <w:qFormat/>
    <w:rsid w:val="001148A7"/>
    <w:pPr>
      <w:ind w:left="720"/>
      <w:contextualSpacing/>
    </w:pPr>
  </w:style>
  <w:style w:type="character" w:styleId="PageNumber">
    <w:name w:val="page number"/>
    <w:rsid w:val="001148A7"/>
    <w:rPr>
      <w:sz w:val="22"/>
      <w:szCs w:val="22"/>
    </w:rPr>
  </w:style>
  <w:style w:type="character" w:customStyle="1" w:styleId="HeaderChar">
    <w:name w:val="Header Char"/>
    <w:link w:val="Header"/>
    <w:uiPriority w:val="99"/>
    <w:rsid w:val="001148A7"/>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148A7"/>
    <w:rPr>
      <w:sz w:val="22"/>
      <w:szCs w:val="22"/>
      <w:lang w:val="en-GB"/>
    </w:rPr>
  </w:style>
  <w:style w:type="paragraph" w:customStyle="1" w:styleId="Default">
    <w:name w:val="Default"/>
    <w:rsid w:val="001148A7"/>
    <w:pPr>
      <w:widowControl w:val="0"/>
      <w:autoSpaceDE w:val="0"/>
      <w:autoSpaceDN w:val="0"/>
      <w:adjustRightInd w:val="0"/>
    </w:pPr>
    <w:rPr>
      <w:color w:val="000000"/>
      <w:sz w:val="24"/>
      <w:szCs w:val="24"/>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1148A7"/>
    <w:rPr>
      <w:sz w:val="22"/>
      <w:szCs w:val="22"/>
      <w:lang w:val="en-GB"/>
    </w:rPr>
  </w:style>
  <w:style w:type="paragraph" w:styleId="BodyText">
    <w:name w:val="Body Text"/>
    <w:basedOn w:val="Normal"/>
    <w:link w:val="BodyTextChar"/>
    <w:semiHidden/>
    <w:rsid w:val="001148A7"/>
    <w:pPr>
      <w:spacing w:after="120"/>
    </w:pPr>
  </w:style>
  <w:style w:type="character" w:customStyle="1" w:styleId="BodyTextChar">
    <w:name w:val="Body Text Char"/>
    <w:basedOn w:val="DefaultParagraphFont"/>
    <w:link w:val="BodyText"/>
    <w:semiHidden/>
    <w:rsid w:val="001148A7"/>
    <w:rPr>
      <w:sz w:val="22"/>
      <w:szCs w:val="22"/>
      <w:lang w:val="en-GB"/>
    </w:rPr>
  </w:style>
  <w:style w:type="paragraph" w:styleId="BodyText2">
    <w:name w:val="Body Text 2"/>
    <w:basedOn w:val="Normal"/>
    <w:link w:val="BodyText2Char"/>
    <w:semiHidden/>
    <w:rsid w:val="001148A7"/>
    <w:pPr>
      <w:spacing w:after="120" w:line="480" w:lineRule="auto"/>
    </w:pPr>
  </w:style>
  <w:style w:type="character" w:customStyle="1" w:styleId="BodyText2Char">
    <w:name w:val="Body Text 2 Char"/>
    <w:basedOn w:val="DefaultParagraphFont"/>
    <w:link w:val="BodyText2"/>
    <w:semiHidden/>
    <w:rsid w:val="001148A7"/>
    <w:rPr>
      <w:sz w:val="22"/>
      <w:szCs w:val="22"/>
      <w:lang w:val="en-GB"/>
    </w:rPr>
  </w:style>
  <w:style w:type="paragraph" w:styleId="BodyTextFirstIndent">
    <w:name w:val="Body Text First Indent"/>
    <w:basedOn w:val="BodyText"/>
    <w:link w:val="BodyTextFirstIndentChar"/>
    <w:semiHidden/>
    <w:rsid w:val="001148A7"/>
    <w:pPr>
      <w:ind w:firstLine="210"/>
    </w:pPr>
  </w:style>
  <w:style w:type="character" w:customStyle="1" w:styleId="BodyTextFirstIndentChar">
    <w:name w:val="Body Text First Indent Char"/>
    <w:basedOn w:val="BodyTextChar"/>
    <w:link w:val="BodyTextFirstIndent"/>
    <w:semiHidden/>
    <w:rsid w:val="001148A7"/>
    <w:rPr>
      <w:sz w:val="22"/>
      <w:szCs w:val="22"/>
      <w:lang w:val="en-GB"/>
    </w:rPr>
  </w:style>
  <w:style w:type="paragraph" w:styleId="BodyTextIndent">
    <w:name w:val="Body Text Indent"/>
    <w:basedOn w:val="Normal"/>
    <w:link w:val="BodyTextIndentChar"/>
    <w:semiHidden/>
    <w:rsid w:val="001148A7"/>
    <w:pPr>
      <w:spacing w:after="120"/>
      <w:ind w:left="360"/>
    </w:pPr>
  </w:style>
  <w:style w:type="character" w:customStyle="1" w:styleId="BodyTextIndentChar">
    <w:name w:val="Body Text Indent Char"/>
    <w:basedOn w:val="DefaultParagraphFont"/>
    <w:link w:val="BodyTextIndent"/>
    <w:semiHidden/>
    <w:rsid w:val="001148A7"/>
    <w:rPr>
      <w:sz w:val="22"/>
      <w:szCs w:val="22"/>
      <w:lang w:val="en-GB"/>
    </w:rPr>
  </w:style>
  <w:style w:type="paragraph" w:styleId="BodyTextFirstIndent2">
    <w:name w:val="Body Text First Indent 2"/>
    <w:basedOn w:val="BodyTextIndent"/>
    <w:link w:val="BodyTextFirstIndent2Char"/>
    <w:semiHidden/>
    <w:rsid w:val="001148A7"/>
    <w:pPr>
      <w:ind w:firstLine="210"/>
    </w:pPr>
  </w:style>
  <w:style w:type="character" w:customStyle="1" w:styleId="BodyTextFirstIndent2Char">
    <w:name w:val="Body Text First Indent 2 Char"/>
    <w:basedOn w:val="BodyTextIndentChar"/>
    <w:link w:val="BodyTextFirstIndent2"/>
    <w:semiHidden/>
    <w:rsid w:val="001148A7"/>
    <w:rPr>
      <w:sz w:val="22"/>
      <w:szCs w:val="22"/>
      <w:lang w:val="en-GB"/>
    </w:rPr>
  </w:style>
  <w:style w:type="paragraph" w:styleId="BodyTextIndent2">
    <w:name w:val="Body Text Indent 2"/>
    <w:basedOn w:val="Normal"/>
    <w:link w:val="BodyTextIndent2Char"/>
    <w:semiHidden/>
    <w:rsid w:val="001148A7"/>
    <w:pPr>
      <w:spacing w:after="120" w:line="480" w:lineRule="auto"/>
      <w:ind w:left="360"/>
    </w:pPr>
  </w:style>
  <w:style w:type="character" w:customStyle="1" w:styleId="BodyTextIndent2Char">
    <w:name w:val="Body Text Indent 2 Char"/>
    <w:basedOn w:val="DefaultParagraphFont"/>
    <w:link w:val="BodyTextIndent2"/>
    <w:semiHidden/>
    <w:rsid w:val="001148A7"/>
    <w:rPr>
      <w:sz w:val="22"/>
      <w:szCs w:val="22"/>
      <w:lang w:val="en-GB"/>
    </w:rPr>
  </w:style>
  <w:style w:type="paragraph" w:styleId="Closing">
    <w:name w:val="Closing"/>
    <w:basedOn w:val="Normal"/>
    <w:link w:val="ClosingChar"/>
    <w:semiHidden/>
    <w:rsid w:val="001148A7"/>
    <w:pPr>
      <w:ind w:left="4320"/>
    </w:pPr>
  </w:style>
  <w:style w:type="character" w:customStyle="1" w:styleId="ClosingChar">
    <w:name w:val="Closing Char"/>
    <w:basedOn w:val="DefaultParagraphFont"/>
    <w:link w:val="Closing"/>
    <w:semiHidden/>
    <w:rsid w:val="001148A7"/>
    <w:rPr>
      <w:sz w:val="22"/>
      <w:szCs w:val="22"/>
      <w:lang w:val="en-GB"/>
    </w:rPr>
  </w:style>
  <w:style w:type="paragraph" w:styleId="E-mailSignature">
    <w:name w:val="E-mail Signature"/>
    <w:basedOn w:val="Normal"/>
    <w:link w:val="E-mailSignatureChar"/>
    <w:semiHidden/>
    <w:rsid w:val="001148A7"/>
  </w:style>
  <w:style w:type="character" w:customStyle="1" w:styleId="E-mailSignatureChar">
    <w:name w:val="E-mail Signature Char"/>
    <w:basedOn w:val="DefaultParagraphFont"/>
    <w:link w:val="E-mailSignature"/>
    <w:semiHidden/>
    <w:rsid w:val="001148A7"/>
    <w:rPr>
      <w:sz w:val="22"/>
      <w:szCs w:val="22"/>
      <w:lang w:val="en-GB"/>
    </w:rPr>
  </w:style>
  <w:style w:type="character" w:styleId="Emphasis">
    <w:name w:val="Emphasis"/>
    <w:qFormat/>
    <w:rsid w:val="001148A7"/>
    <w:rPr>
      <w:i/>
      <w:iCs/>
    </w:rPr>
  </w:style>
  <w:style w:type="paragraph" w:styleId="EnvelopeAddress">
    <w:name w:val="envelope address"/>
    <w:basedOn w:val="Normal"/>
    <w:semiHidden/>
    <w:rsid w:val="001148A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1148A7"/>
    <w:rPr>
      <w:rFonts w:ascii="Arial" w:hAnsi="Arial" w:cs="Arial"/>
      <w:sz w:val="20"/>
    </w:rPr>
  </w:style>
  <w:style w:type="character" w:styleId="FollowedHyperlink">
    <w:name w:val="FollowedHyperlink"/>
    <w:uiPriority w:val="99"/>
    <w:semiHidden/>
    <w:rsid w:val="001148A7"/>
    <w:rPr>
      <w:color w:val="800080"/>
      <w:u w:val="single"/>
    </w:rPr>
  </w:style>
  <w:style w:type="character" w:styleId="HTMLAcronym">
    <w:name w:val="HTML Acronym"/>
    <w:basedOn w:val="DefaultParagraphFont"/>
    <w:semiHidden/>
    <w:rsid w:val="001148A7"/>
  </w:style>
  <w:style w:type="paragraph" w:styleId="HTMLAddress">
    <w:name w:val="HTML Address"/>
    <w:basedOn w:val="Normal"/>
    <w:link w:val="HTMLAddressChar"/>
    <w:semiHidden/>
    <w:rsid w:val="001148A7"/>
    <w:rPr>
      <w:i/>
      <w:iCs/>
    </w:rPr>
  </w:style>
  <w:style w:type="character" w:customStyle="1" w:styleId="HTMLAddressChar">
    <w:name w:val="HTML Address Char"/>
    <w:basedOn w:val="DefaultParagraphFont"/>
    <w:link w:val="HTMLAddress"/>
    <w:semiHidden/>
    <w:rsid w:val="001148A7"/>
    <w:rPr>
      <w:i/>
      <w:iCs/>
      <w:sz w:val="22"/>
      <w:szCs w:val="22"/>
      <w:lang w:val="en-GB"/>
    </w:rPr>
  </w:style>
  <w:style w:type="character" w:styleId="HTMLCite">
    <w:name w:val="HTML Cite"/>
    <w:semiHidden/>
    <w:rsid w:val="001148A7"/>
    <w:rPr>
      <w:i/>
      <w:iCs/>
    </w:rPr>
  </w:style>
  <w:style w:type="character" w:styleId="HTMLCode">
    <w:name w:val="HTML Code"/>
    <w:semiHidden/>
    <w:rsid w:val="001148A7"/>
    <w:rPr>
      <w:rFonts w:ascii="Courier New" w:hAnsi="Courier New" w:cs="Courier New"/>
      <w:sz w:val="20"/>
      <w:szCs w:val="20"/>
    </w:rPr>
  </w:style>
  <w:style w:type="character" w:styleId="HTMLDefinition">
    <w:name w:val="HTML Definition"/>
    <w:semiHidden/>
    <w:rsid w:val="001148A7"/>
    <w:rPr>
      <w:i/>
      <w:iCs/>
    </w:rPr>
  </w:style>
  <w:style w:type="character" w:styleId="HTMLKeyboard">
    <w:name w:val="HTML Keyboard"/>
    <w:semiHidden/>
    <w:rsid w:val="001148A7"/>
    <w:rPr>
      <w:rFonts w:ascii="Courier New" w:hAnsi="Courier New" w:cs="Courier New"/>
      <w:sz w:val="20"/>
      <w:szCs w:val="20"/>
    </w:rPr>
  </w:style>
  <w:style w:type="paragraph" w:styleId="HTMLPreformatted">
    <w:name w:val="HTML Preformatted"/>
    <w:basedOn w:val="Normal"/>
    <w:link w:val="HTMLPreformattedChar"/>
    <w:semiHidden/>
    <w:rsid w:val="001148A7"/>
    <w:rPr>
      <w:rFonts w:ascii="Courier New" w:hAnsi="Courier New" w:cs="Courier New"/>
      <w:sz w:val="20"/>
    </w:rPr>
  </w:style>
  <w:style w:type="character" w:customStyle="1" w:styleId="HTMLPreformattedChar">
    <w:name w:val="HTML Preformatted Char"/>
    <w:basedOn w:val="DefaultParagraphFont"/>
    <w:link w:val="HTMLPreformatted"/>
    <w:semiHidden/>
    <w:rsid w:val="001148A7"/>
    <w:rPr>
      <w:rFonts w:ascii="Courier New" w:hAnsi="Courier New" w:cs="Courier New"/>
      <w:szCs w:val="22"/>
      <w:lang w:val="en-GB"/>
    </w:rPr>
  </w:style>
  <w:style w:type="character" w:styleId="HTMLSample">
    <w:name w:val="HTML Sample"/>
    <w:semiHidden/>
    <w:rsid w:val="001148A7"/>
    <w:rPr>
      <w:rFonts w:ascii="Courier New" w:hAnsi="Courier New" w:cs="Courier New"/>
    </w:rPr>
  </w:style>
  <w:style w:type="character" w:styleId="HTMLTypewriter">
    <w:name w:val="HTML Typewriter"/>
    <w:semiHidden/>
    <w:rsid w:val="001148A7"/>
    <w:rPr>
      <w:rFonts w:ascii="Courier New" w:hAnsi="Courier New" w:cs="Courier New"/>
      <w:sz w:val="20"/>
      <w:szCs w:val="20"/>
    </w:rPr>
  </w:style>
  <w:style w:type="character" w:styleId="HTMLVariable">
    <w:name w:val="HTML Variable"/>
    <w:semiHidden/>
    <w:rsid w:val="001148A7"/>
    <w:rPr>
      <w:i/>
      <w:iCs/>
    </w:rPr>
  </w:style>
  <w:style w:type="character" w:styleId="Hyperlink">
    <w:name w:val="Hyperlink"/>
    <w:uiPriority w:val="99"/>
    <w:semiHidden/>
    <w:rsid w:val="001148A7"/>
    <w:rPr>
      <w:color w:val="0000FF"/>
      <w:u w:val="single"/>
    </w:rPr>
  </w:style>
  <w:style w:type="character" w:styleId="LineNumber">
    <w:name w:val="line number"/>
    <w:basedOn w:val="DefaultParagraphFont"/>
    <w:semiHidden/>
    <w:rsid w:val="001148A7"/>
  </w:style>
  <w:style w:type="paragraph" w:styleId="List">
    <w:name w:val="List"/>
    <w:basedOn w:val="Normal"/>
    <w:semiHidden/>
    <w:rsid w:val="001148A7"/>
    <w:pPr>
      <w:ind w:left="360" w:hanging="360"/>
    </w:pPr>
  </w:style>
  <w:style w:type="paragraph" w:styleId="List2">
    <w:name w:val="List 2"/>
    <w:basedOn w:val="Normal"/>
    <w:semiHidden/>
    <w:rsid w:val="001148A7"/>
    <w:pPr>
      <w:ind w:left="720" w:hanging="360"/>
    </w:pPr>
  </w:style>
  <w:style w:type="paragraph" w:styleId="List3">
    <w:name w:val="List 3"/>
    <w:basedOn w:val="Normal"/>
    <w:semiHidden/>
    <w:rsid w:val="001148A7"/>
    <w:pPr>
      <w:ind w:left="1080" w:hanging="360"/>
    </w:pPr>
  </w:style>
  <w:style w:type="paragraph" w:styleId="List4">
    <w:name w:val="List 4"/>
    <w:basedOn w:val="Normal"/>
    <w:semiHidden/>
    <w:rsid w:val="001148A7"/>
    <w:pPr>
      <w:ind w:left="1440" w:hanging="360"/>
    </w:pPr>
  </w:style>
  <w:style w:type="paragraph" w:styleId="List5">
    <w:name w:val="List 5"/>
    <w:basedOn w:val="Normal"/>
    <w:semiHidden/>
    <w:rsid w:val="001148A7"/>
    <w:pPr>
      <w:ind w:left="1800" w:hanging="360"/>
    </w:pPr>
  </w:style>
  <w:style w:type="paragraph" w:styleId="ListBullet">
    <w:name w:val="List Bullet"/>
    <w:basedOn w:val="Normal"/>
    <w:autoRedefine/>
    <w:semiHidden/>
    <w:rsid w:val="001148A7"/>
    <w:pPr>
      <w:tabs>
        <w:tab w:val="num" w:pos="360"/>
      </w:tabs>
      <w:ind w:left="360" w:hanging="360"/>
    </w:pPr>
  </w:style>
  <w:style w:type="paragraph" w:styleId="ListBullet2">
    <w:name w:val="List Bullet 2"/>
    <w:basedOn w:val="Normal"/>
    <w:autoRedefine/>
    <w:semiHidden/>
    <w:rsid w:val="001148A7"/>
    <w:pPr>
      <w:tabs>
        <w:tab w:val="num" w:pos="720"/>
      </w:tabs>
      <w:ind w:left="720" w:hanging="360"/>
    </w:pPr>
  </w:style>
  <w:style w:type="paragraph" w:styleId="ListBullet3">
    <w:name w:val="List Bullet 3"/>
    <w:basedOn w:val="Normal"/>
    <w:autoRedefine/>
    <w:semiHidden/>
    <w:rsid w:val="001148A7"/>
    <w:pPr>
      <w:tabs>
        <w:tab w:val="num" w:pos="1080"/>
      </w:tabs>
      <w:ind w:left="1080" w:hanging="360"/>
    </w:pPr>
  </w:style>
  <w:style w:type="paragraph" w:styleId="ListBullet4">
    <w:name w:val="List Bullet 4"/>
    <w:basedOn w:val="Normal"/>
    <w:autoRedefine/>
    <w:semiHidden/>
    <w:rsid w:val="001148A7"/>
    <w:pPr>
      <w:tabs>
        <w:tab w:val="num" w:pos="1440"/>
      </w:tabs>
      <w:ind w:left="1440" w:hanging="360"/>
    </w:pPr>
  </w:style>
  <w:style w:type="paragraph" w:styleId="ListBullet5">
    <w:name w:val="List Bullet 5"/>
    <w:basedOn w:val="Normal"/>
    <w:autoRedefine/>
    <w:semiHidden/>
    <w:rsid w:val="001148A7"/>
    <w:pPr>
      <w:tabs>
        <w:tab w:val="num" w:pos="1800"/>
      </w:tabs>
      <w:ind w:left="1800" w:hanging="360"/>
    </w:pPr>
  </w:style>
  <w:style w:type="paragraph" w:styleId="ListContinue">
    <w:name w:val="List Continue"/>
    <w:basedOn w:val="Normal"/>
    <w:semiHidden/>
    <w:rsid w:val="001148A7"/>
    <w:pPr>
      <w:spacing w:after="120"/>
      <w:ind w:left="360"/>
    </w:pPr>
  </w:style>
  <w:style w:type="paragraph" w:styleId="ListContinue2">
    <w:name w:val="List Continue 2"/>
    <w:basedOn w:val="Normal"/>
    <w:semiHidden/>
    <w:rsid w:val="001148A7"/>
    <w:pPr>
      <w:spacing w:after="120"/>
      <w:ind w:left="720"/>
    </w:pPr>
  </w:style>
  <w:style w:type="paragraph" w:styleId="ListContinue3">
    <w:name w:val="List Continue 3"/>
    <w:basedOn w:val="Normal"/>
    <w:semiHidden/>
    <w:rsid w:val="001148A7"/>
    <w:pPr>
      <w:spacing w:after="120"/>
      <w:ind w:left="1080"/>
    </w:pPr>
  </w:style>
  <w:style w:type="paragraph" w:styleId="ListContinue4">
    <w:name w:val="List Continue 4"/>
    <w:basedOn w:val="Normal"/>
    <w:semiHidden/>
    <w:rsid w:val="001148A7"/>
    <w:pPr>
      <w:spacing w:after="120"/>
      <w:ind w:left="1440"/>
    </w:pPr>
  </w:style>
  <w:style w:type="paragraph" w:styleId="ListContinue5">
    <w:name w:val="List Continue 5"/>
    <w:basedOn w:val="Normal"/>
    <w:semiHidden/>
    <w:rsid w:val="001148A7"/>
    <w:pPr>
      <w:spacing w:after="120"/>
      <w:ind w:left="1800"/>
    </w:pPr>
  </w:style>
  <w:style w:type="paragraph" w:styleId="ListNumber">
    <w:name w:val="List Number"/>
    <w:basedOn w:val="Normal"/>
    <w:semiHidden/>
    <w:rsid w:val="001148A7"/>
    <w:pPr>
      <w:tabs>
        <w:tab w:val="num" w:pos="360"/>
      </w:tabs>
      <w:ind w:left="360" w:hanging="360"/>
    </w:pPr>
  </w:style>
  <w:style w:type="paragraph" w:styleId="ListNumber2">
    <w:name w:val="List Number 2"/>
    <w:basedOn w:val="Normal"/>
    <w:semiHidden/>
    <w:rsid w:val="001148A7"/>
    <w:pPr>
      <w:tabs>
        <w:tab w:val="num" w:pos="720"/>
      </w:tabs>
      <w:ind w:left="720" w:hanging="360"/>
    </w:pPr>
  </w:style>
  <w:style w:type="paragraph" w:styleId="ListNumber3">
    <w:name w:val="List Number 3"/>
    <w:basedOn w:val="Normal"/>
    <w:semiHidden/>
    <w:rsid w:val="001148A7"/>
    <w:pPr>
      <w:tabs>
        <w:tab w:val="num" w:pos="1080"/>
      </w:tabs>
      <w:ind w:left="1080" w:hanging="360"/>
    </w:pPr>
  </w:style>
  <w:style w:type="paragraph" w:styleId="ListNumber4">
    <w:name w:val="List Number 4"/>
    <w:basedOn w:val="Normal"/>
    <w:semiHidden/>
    <w:rsid w:val="001148A7"/>
    <w:pPr>
      <w:tabs>
        <w:tab w:val="num" w:pos="1440"/>
      </w:tabs>
      <w:ind w:left="1440" w:hanging="360"/>
    </w:pPr>
  </w:style>
  <w:style w:type="paragraph" w:styleId="ListNumber5">
    <w:name w:val="List Number 5"/>
    <w:basedOn w:val="Normal"/>
    <w:semiHidden/>
    <w:rsid w:val="001148A7"/>
    <w:pPr>
      <w:tabs>
        <w:tab w:val="num" w:pos="1800"/>
      </w:tabs>
      <w:ind w:left="1800" w:hanging="360"/>
    </w:pPr>
  </w:style>
  <w:style w:type="paragraph" w:styleId="MessageHeader">
    <w:name w:val="Message Header"/>
    <w:basedOn w:val="Normal"/>
    <w:link w:val="MessageHeaderChar"/>
    <w:semiHidden/>
    <w:rsid w:val="001148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1148A7"/>
    <w:rPr>
      <w:rFonts w:ascii="Arial" w:hAnsi="Arial" w:cs="Arial"/>
      <w:sz w:val="22"/>
      <w:szCs w:val="24"/>
      <w:shd w:val="pct20" w:color="auto" w:fill="auto"/>
      <w:lang w:val="en-GB"/>
    </w:rPr>
  </w:style>
  <w:style w:type="paragraph" w:styleId="NormalWeb">
    <w:name w:val="Normal (Web)"/>
    <w:basedOn w:val="Normal"/>
    <w:semiHidden/>
    <w:rsid w:val="001148A7"/>
    <w:rPr>
      <w:szCs w:val="24"/>
    </w:rPr>
  </w:style>
  <w:style w:type="paragraph" w:styleId="NormalIndent">
    <w:name w:val="Normal Indent"/>
    <w:basedOn w:val="Normal"/>
    <w:semiHidden/>
    <w:rsid w:val="001148A7"/>
    <w:pPr>
      <w:ind w:left="720"/>
    </w:pPr>
  </w:style>
  <w:style w:type="paragraph" w:styleId="NoteHeading">
    <w:name w:val="Note Heading"/>
    <w:basedOn w:val="Normal"/>
    <w:next w:val="Normal"/>
    <w:link w:val="NoteHeadingChar"/>
    <w:semiHidden/>
    <w:rsid w:val="001148A7"/>
  </w:style>
  <w:style w:type="character" w:customStyle="1" w:styleId="NoteHeadingChar">
    <w:name w:val="Note Heading Char"/>
    <w:basedOn w:val="DefaultParagraphFont"/>
    <w:link w:val="NoteHeading"/>
    <w:semiHidden/>
    <w:rsid w:val="001148A7"/>
    <w:rPr>
      <w:sz w:val="22"/>
      <w:szCs w:val="22"/>
      <w:lang w:val="en-GB"/>
    </w:rPr>
  </w:style>
  <w:style w:type="paragraph" w:styleId="Salutation">
    <w:name w:val="Salutation"/>
    <w:basedOn w:val="Normal"/>
    <w:next w:val="Normal"/>
    <w:link w:val="SalutationChar"/>
    <w:semiHidden/>
    <w:rsid w:val="001148A7"/>
  </w:style>
  <w:style w:type="character" w:customStyle="1" w:styleId="SalutationChar">
    <w:name w:val="Salutation Char"/>
    <w:basedOn w:val="DefaultParagraphFont"/>
    <w:link w:val="Salutation"/>
    <w:semiHidden/>
    <w:rsid w:val="001148A7"/>
    <w:rPr>
      <w:sz w:val="22"/>
      <w:szCs w:val="22"/>
      <w:lang w:val="en-GB"/>
    </w:rPr>
  </w:style>
  <w:style w:type="paragraph" w:styleId="Signature">
    <w:name w:val="Signature"/>
    <w:basedOn w:val="Normal"/>
    <w:link w:val="SignatureChar"/>
    <w:semiHidden/>
    <w:rsid w:val="001148A7"/>
    <w:pPr>
      <w:ind w:left="4320"/>
    </w:pPr>
  </w:style>
  <w:style w:type="character" w:customStyle="1" w:styleId="SignatureChar">
    <w:name w:val="Signature Char"/>
    <w:basedOn w:val="DefaultParagraphFont"/>
    <w:link w:val="Signature"/>
    <w:semiHidden/>
    <w:rsid w:val="001148A7"/>
    <w:rPr>
      <w:sz w:val="22"/>
      <w:szCs w:val="22"/>
      <w:lang w:val="en-GB"/>
    </w:rPr>
  </w:style>
  <w:style w:type="character" w:styleId="Strong">
    <w:name w:val="Strong"/>
    <w:uiPriority w:val="22"/>
    <w:qFormat/>
    <w:rsid w:val="001148A7"/>
    <w:rPr>
      <w:b/>
      <w:bCs/>
    </w:rPr>
  </w:style>
  <w:style w:type="paragraph" w:customStyle="1" w:styleId="xl68">
    <w:name w:val="xl68"/>
    <w:basedOn w:val="Normal"/>
    <w:rsid w:val="001148A7"/>
    <w:pPr>
      <w:spacing w:before="100" w:beforeAutospacing="1" w:after="100" w:afterAutospacing="1"/>
      <w:jc w:val="left"/>
      <w:textAlignment w:val="top"/>
    </w:pPr>
    <w:rPr>
      <w:sz w:val="24"/>
      <w:szCs w:val="24"/>
      <w:lang w:val="en-US"/>
    </w:rPr>
  </w:style>
  <w:style w:type="paragraph" w:customStyle="1" w:styleId="xl69">
    <w:name w:val="xl69"/>
    <w:basedOn w:val="Normal"/>
    <w:rsid w:val="001148A7"/>
    <w:pPr>
      <w:spacing w:before="100" w:beforeAutospacing="1" w:after="100" w:afterAutospacing="1"/>
      <w:jc w:val="left"/>
      <w:textAlignment w:val="top"/>
    </w:pPr>
    <w:rPr>
      <w:sz w:val="18"/>
      <w:szCs w:val="18"/>
      <w:lang w:val="en-US"/>
    </w:rPr>
  </w:style>
  <w:style w:type="paragraph" w:customStyle="1" w:styleId="xl70">
    <w:name w:val="xl70"/>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71">
    <w:name w:val="xl71"/>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72">
    <w:name w:val="xl72"/>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3">
    <w:name w:val="xl73"/>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4">
    <w:name w:val="xl74"/>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5">
    <w:name w:val="xl75"/>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6">
    <w:name w:val="xl76"/>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7">
    <w:name w:val="xl77"/>
    <w:basedOn w:val="Normal"/>
    <w:rsid w:val="001148A7"/>
    <w:pPr>
      <w:spacing w:before="100" w:beforeAutospacing="1" w:after="100" w:afterAutospacing="1"/>
      <w:jc w:val="left"/>
      <w:textAlignment w:val="top"/>
    </w:pPr>
    <w:rPr>
      <w:b/>
      <w:bCs/>
      <w:sz w:val="18"/>
      <w:szCs w:val="18"/>
      <w:lang w:val="en-US"/>
    </w:rPr>
  </w:style>
  <w:style w:type="paragraph" w:customStyle="1" w:styleId="xl78">
    <w:name w:val="xl78"/>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9">
    <w:name w:val="xl79"/>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80">
    <w:name w:val="xl80"/>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81">
    <w:name w:val="xl81"/>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rPr>
  </w:style>
  <w:style w:type="paragraph" w:customStyle="1" w:styleId="xl82">
    <w:name w:val="xl82"/>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rPr>
  </w:style>
  <w:style w:type="paragraph" w:customStyle="1" w:styleId="xl83">
    <w:name w:val="xl83"/>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84">
    <w:name w:val="xl84"/>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85">
    <w:name w:val="xl85"/>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86">
    <w:name w:val="xl86"/>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US"/>
    </w:rPr>
  </w:style>
  <w:style w:type="paragraph" w:customStyle="1" w:styleId="xl87">
    <w:name w:val="xl87"/>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rPr>
  </w:style>
  <w:style w:type="paragraph" w:customStyle="1" w:styleId="xl88">
    <w:name w:val="xl88"/>
    <w:basedOn w:val="Normal"/>
    <w:rsid w:val="001148A7"/>
    <w:pPr>
      <w:shd w:val="clear" w:color="000000" w:fill="auto"/>
      <w:spacing w:before="100" w:beforeAutospacing="1" w:after="100" w:afterAutospacing="1"/>
      <w:jc w:val="left"/>
      <w:textAlignment w:val="top"/>
    </w:pPr>
    <w:rPr>
      <w:sz w:val="18"/>
      <w:szCs w:val="18"/>
      <w:lang w:val="en-US"/>
    </w:rPr>
  </w:style>
  <w:style w:type="paragraph" w:customStyle="1" w:styleId="xl89">
    <w:name w:val="xl89"/>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90">
    <w:name w:val="xl90"/>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1">
    <w:name w:val="xl91"/>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2">
    <w:name w:val="xl92"/>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3">
    <w:name w:val="xl93"/>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4">
    <w:name w:val="xl94"/>
    <w:basedOn w:val="Normal"/>
    <w:rsid w:val="001148A7"/>
    <w:pPr>
      <w:shd w:val="clear" w:color="000000" w:fill="FFFFFF"/>
      <w:spacing w:before="100" w:beforeAutospacing="1" w:after="100" w:afterAutospacing="1"/>
      <w:jc w:val="left"/>
      <w:textAlignment w:val="top"/>
    </w:pPr>
    <w:rPr>
      <w:sz w:val="18"/>
      <w:szCs w:val="18"/>
      <w:lang w:val="en-US"/>
    </w:rPr>
  </w:style>
  <w:style w:type="paragraph" w:customStyle="1" w:styleId="xl95">
    <w:name w:val="xl95"/>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en-US"/>
    </w:rPr>
  </w:style>
  <w:style w:type="paragraph" w:customStyle="1" w:styleId="xl96">
    <w:name w:val="xl96"/>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en-US"/>
    </w:rPr>
  </w:style>
  <w:style w:type="paragraph" w:customStyle="1" w:styleId="xl97">
    <w:name w:val="xl97"/>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98">
    <w:name w:val="xl98"/>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99">
    <w:name w:val="xl99"/>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0">
    <w:name w:val="xl100"/>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101">
    <w:name w:val="xl101"/>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102">
    <w:name w:val="xl102"/>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4"/>
      <w:szCs w:val="24"/>
      <w:lang w:val="en-US"/>
    </w:rPr>
  </w:style>
  <w:style w:type="paragraph" w:customStyle="1" w:styleId="xl103">
    <w:name w:val="xl103"/>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lang w:val="en-US"/>
    </w:rPr>
  </w:style>
  <w:style w:type="paragraph" w:customStyle="1" w:styleId="xl104">
    <w:name w:val="xl104"/>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5">
    <w:name w:val="xl105"/>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lang w:val="en-US"/>
    </w:rPr>
  </w:style>
  <w:style w:type="paragraph" w:customStyle="1" w:styleId="xl106">
    <w:name w:val="xl106"/>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4"/>
      <w:szCs w:val="24"/>
      <w:lang w:val="en-US"/>
    </w:rPr>
  </w:style>
  <w:style w:type="paragraph" w:customStyle="1" w:styleId="xl107">
    <w:name w:val="xl107"/>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en-US"/>
    </w:rPr>
  </w:style>
  <w:style w:type="paragraph" w:customStyle="1" w:styleId="xl108">
    <w:name w:val="xl108"/>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109">
    <w:name w:val="xl109"/>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lang w:val="en-US"/>
    </w:rPr>
  </w:style>
  <w:style w:type="paragraph" w:customStyle="1" w:styleId="xl110">
    <w:name w:val="xl110"/>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rPr>
  </w:style>
  <w:style w:type="paragraph" w:customStyle="1" w:styleId="xl111">
    <w:name w:val="xl111"/>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112">
    <w:name w:val="xl112"/>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113">
    <w:name w:val="xl113"/>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character" w:customStyle="1" w:styleId="PlainTextChar">
    <w:name w:val="Plain Text Char"/>
    <w:basedOn w:val="DefaultParagraphFont"/>
    <w:link w:val="PlainText"/>
    <w:uiPriority w:val="99"/>
    <w:rsid w:val="001148A7"/>
    <w:rPr>
      <w:rFonts w:ascii="Courier New" w:hAnsi="Courier New" w:cs="Courier New"/>
      <w:szCs w:val="22"/>
      <w:lang w:val="en-GB"/>
    </w:rPr>
  </w:style>
  <w:style w:type="paragraph" w:styleId="Revision">
    <w:name w:val="Revision"/>
    <w:hidden/>
    <w:uiPriority w:val="99"/>
    <w:semiHidden/>
    <w:rsid w:val="001148A7"/>
    <w:rPr>
      <w:sz w:val="22"/>
      <w:szCs w:val="22"/>
      <w:lang w:val="en-GB"/>
    </w:rPr>
  </w:style>
  <w:style w:type="paragraph" w:customStyle="1" w:styleId="I">
    <w:name w:val="I"/>
    <w:basedOn w:val="Normal"/>
    <w:rsid w:val="001148A7"/>
    <w:pPr>
      <w:numPr>
        <w:numId w:val="29"/>
      </w:numPr>
      <w:autoSpaceDE w:val="0"/>
      <w:autoSpaceDN w:val="0"/>
      <w:adjustRightInd w:val="0"/>
    </w:pPr>
    <w:rPr>
      <w:rFonts w:cs="Arial"/>
      <w:b/>
      <w:sz w:val="24"/>
      <w:szCs w:val="24"/>
    </w:rPr>
  </w:style>
  <w:style w:type="character" w:customStyle="1" w:styleId="st">
    <w:name w:val="st"/>
    <w:basedOn w:val="DefaultParagraphFont"/>
    <w:rsid w:val="001148A7"/>
  </w:style>
  <w:style w:type="paragraph" w:customStyle="1" w:styleId="msonormal0">
    <w:name w:val="msonormal"/>
    <w:basedOn w:val="Normal"/>
    <w:rsid w:val="001148A7"/>
    <w:pPr>
      <w:spacing w:before="100" w:beforeAutospacing="1" w:after="100" w:afterAutospacing="1"/>
      <w:jc w:val="left"/>
    </w:pPr>
    <w:rPr>
      <w:sz w:val="24"/>
      <w:szCs w:val="24"/>
      <w:lang w:val="en-CA" w:eastAsia="en-CA"/>
    </w:rPr>
  </w:style>
  <w:style w:type="paragraph" w:customStyle="1" w:styleId="font5">
    <w:name w:val="font5"/>
    <w:basedOn w:val="Normal"/>
    <w:rsid w:val="001148A7"/>
    <w:pPr>
      <w:spacing w:before="100" w:beforeAutospacing="1" w:after="100" w:afterAutospacing="1"/>
      <w:jc w:val="left"/>
    </w:pPr>
    <w:rPr>
      <w:rFonts w:ascii="Tahoma" w:hAnsi="Tahoma" w:cs="Tahoma"/>
      <w:color w:val="000000"/>
      <w:sz w:val="18"/>
      <w:szCs w:val="18"/>
      <w:lang w:val="en-CA" w:eastAsia="en-CA"/>
    </w:rPr>
  </w:style>
  <w:style w:type="paragraph" w:customStyle="1" w:styleId="font6">
    <w:name w:val="font6"/>
    <w:basedOn w:val="Normal"/>
    <w:rsid w:val="001148A7"/>
    <w:pPr>
      <w:spacing w:before="100" w:beforeAutospacing="1" w:after="100" w:afterAutospacing="1"/>
      <w:jc w:val="left"/>
    </w:pPr>
    <w:rPr>
      <w:rFonts w:ascii="Tahoma" w:hAnsi="Tahoma" w:cs="Tahoma"/>
      <w:b/>
      <w:bCs/>
      <w:color w:val="000000"/>
      <w:sz w:val="18"/>
      <w:szCs w:val="18"/>
      <w:lang w:val="en-CA" w:eastAsia="en-CA"/>
    </w:rPr>
  </w:style>
  <w:style w:type="paragraph" w:customStyle="1" w:styleId="xl65">
    <w:name w:val="xl65"/>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66">
    <w:name w:val="xl66"/>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67">
    <w:name w:val="xl67"/>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114">
    <w:name w:val="xl114"/>
    <w:basedOn w:val="Normal"/>
    <w:rsid w:val="001148A7"/>
    <w:pPr>
      <w:pBdr>
        <w:left w:val="single" w:sz="4" w:space="0" w:color="auto"/>
        <w:bottom w:val="single" w:sz="4" w:space="0" w:color="auto"/>
        <w:right w:val="single" w:sz="4" w:space="0" w:color="auto"/>
      </w:pBdr>
      <w:spacing w:before="100" w:beforeAutospacing="1" w:after="100" w:afterAutospacing="1"/>
      <w:jc w:val="left"/>
      <w:textAlignment w:val="top"/>
    </w:pPr>
    <w:rPr>
      <w:color w:val="FF0000"/>
      <w:sz w:val="20"/>
      <w:szCs w:val="20"/>
      <w:lang w:val="en-CA" w:eastAsia="en-CA"/>
    </w:rPr>
  </w:style>
  <w:style w:type="paragraph" w:customStyle="1" w:styleId="xl115">
    <w:name w:val="xl115"/>
    <w:basedOn w:val="Normal"/>
    <w:rsid w:val="001148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20"/>
      <w:szCs w:val="20"/>
      <w:lang w:val="en-CA" w:eastAsia="en-CA"/>
    </w:rPr>
  </w:style>
  <w:style w:type="paragraph" w:customStyle="1" w:styleId="xl116">
    <w:name w:val="xl116"/>
    <w:basedOn w:val="Normal"/>
    <w:rsid w:val="001148A7"/>
    <w:pPr>
      <w:pBdr>
        <w:left w:val="single" w:sz="4" w:space="0" w:color="auto"/>
        <w:right w:val="single" w:sz="4" w:space="0" w:color="auto"/>
      </w:pBdr>
      <w:spacing w:before="100" w:beforeAutospacing="1" w:after="100" w:afterAutospacing="1"/>
      <w:jc w:val="center"/>
      <w:textAlignment w:val="top"/>
    </w:pPr>
    <w:rPr>
      <w:sz w:val="20"/>
      <w:szCs w:val="20"/>
      <w:lang w:val="en-CA" w:eastAsia="en-CA"/>
    </w:rPr>
  </w:style>
  <w:style w:type="paragraph" w:customStyle="1" w:styleId="xl117">
    <w:name w:val="xl117"/>
    <w:basedOn w:val="Normal"/>
    <w:rsid w:val="001148A7"/>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118">
    <w:name w:val="xl118"/>
    <w:basedOn w:val="Normal"/>
    <w:rsid w:val="001148A7"/>
    <w:pPr>
      <w:pBdr>
        <w:top w:val="single" w:sz="4" w:space="0" w:color="auto"/>
        <w:left w:val="single" w:sz="4" w:space="0" w:color="auto"/>
        <w:right w:val="single" w:sz="4" w:space="0" w:color="auto"/>
      </w:pBdr>
      <w:shd w:val="clear" w:color="000000" w:fill="C6E0B4"/>
      <w:spacing w:before="100" w:beforeAutospacing="1" w:after="100" w:afterAutospacing="1"/>
      <w:jc w:val="left"/>
      <w:textAlignment w:val="top"/>
    </w:pPr>
    <w:rPr>
      <w:sz w:val="20"/>
      <w:szCs w:val="20"/>
      <w:lang w:val="en-CA" w:eastAsia="en-CA"/>
    </w:rPr>
  </w:style>
  <w:style w:type="paragraph" w:customStyle="1" w:styleId="xl119">
    <w:name w:val="xl119"/>
    <w:basedOn w:val="Normal"/>
    <w:rsid w:val="001148A7"/>
    <w:pPr>
      <w:pBdr>
        <w:top w:val="single" w:sz="4" w:space="0" w:color="auto"/>
        <w:left w:val="single" w:sz="4" w:space="0" w:color="auto"/>
        <w:right w:val="single" w:sz="4" w:space="0" w:color="auto"/>
      </w:pBdr>
      <w:shd w:val="clear" w:color="000000" w:fill="C6E0B4"/>
      <w:spacing w:before="100" w:beforeAutospacing="1" w:after="100" w:afterAutospacing="1"/>
      <w:jc w:val="left"/>
      <w:textAlignment w:val="top"/>
    </w:pPr>
    <w:rPr>
      <w:sz w:val="20"/>
      <w:szCs w:val="20"/>
      <w:lang w:val="en-CA" w:eastAsia="en-CA"/>
    </w:rPr>
  </w:style>
  <w:style w:type="paragraph" w:customStyle="1" w:styleId="xl120">
    <w:name w:val="xl120"/>
    <w:basedOn w:val="Normal"/>
    <w:rsid w:val="001148A7"/>
    <w:pPr>
      <w:pBdr>
        <w:left w:val="single" w:sz="4" w:space="0" w:color="auto"/>
        <w:bottom w:val="single" w:sz="4" w:space="0" w:color="auto"/>
        <w:right w:val="single" w:sz="4" w:space="0" w:color="auto"/>
      </w:pBdr>
      <w:shd w:val="clear" w:color="000000" w:fill="C6E0B4"/>
      <w:spacing w:before="100" w:beforeAutospacing="1" w:after="100" w:afterAutospacing="1"/>
      <w:jc w:val="left"/>
      <w:textAlignment w:val="top"/>
    </w:pPr>
    <w:rPr>
      <w:sz w:val="20"/>
      <w:szCs w:val="20"/>
      <w:lang w:val="en-CA" w:eastAsia="en-CA"/>
    </w:rPr>
  </w:style>
  <w:style w:type="paragraph" w:customStyle="1" w:styleId="xl121">
    <w:name w:val="xl121"/>
    <w:basedOn w:val="Normal"/>
    <w:rsid w:val="001148A7"/>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top"/>
    </w:pPr>
    <w:rPr>
      <w:sz w:val="20"/>
      <w:szCs w:val="20"/>
      <w:lang w:val="en-CA" w:eastAsia="en-CA"/>
    </w:rPr>
  </w:style>
  <w:style w:type="paragraph" w:customStyle="1" w:styleId="xl122">
    <w:name w:val="xl122"/>
    <w:basedOn w:val="Normal"/>
    <w:rsid w:val="001148A7"/>
    <w:pPr>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top"/>
    </w:pPr>
    <w:rPr>
      <w:sz w:val="20"/>
      <w:szCs w:val="20"/>
      <w:lang w:val="en-CA" w:eastAsia="en-CA"/>
    </w:rPr>
  </w:style>
  <w:style w:type="paragraph" w:customStyle="1" w:styleId="xl123">
    <w:name w:val="xl123"/>
    <w:basedOn w:val="Normal"/>
    <w:rsid w:val="001148A7"/>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124">
    <w:name w:val="xl124"/>
    <w:basedOn w:val="Normal"/>
    <w:rsid w:val="001148A7"/>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125">
    <w:name w:val="xl125"/>
    <w:basedOn w:val="Normal"/>
    <w:rsid w:val="001148A7"/>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126">
    <w:name w:val="xl126"/>
    <w:basedOn w:val="Normal"/>
    <w:rsid w:val="001148A7"/>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127">
    <w:name w:val="xl127"/>
    <w:basedOn w:val="Normal"/>
    <w:rsid w:val="001148A7"/>
    <w:pPr>
      <w:pBdr>
        <w:left w:val="single" w:sz="4" w:space="0" w:color="auto"/>
        <w:bottom w:val="single" w:sz="4" w:space="0" w:color="auto"/>
        <w:right w:val="single" w:sz="4" w:space="0" w:color="auto"/>
      </w:pBdr>
      <w:shd w:val="clear" w:color="000000" w:fill="C6E0B4"/>
      <w:spacing w:before="100" w:beforeAutospacing="1" w:after="100" w:afterAutospacing="1"/>
      <w:jc w:val="left"/>
      <w:textAlignment w:val="top"/>
    </w:pPr>
    <w:rPr>
      <w:sz w:val="20"/>
      <w:szCs w:val="20"/>
      <w:lang w:val="en-CA" w:eastAsia="en-CA"/>
    </w:rPr>
  </w:style>
  <w:style w:type="paragraph" w:customStyle="1" w:styleId="xl128">
    <w:name w:val="xl128"/>
    <w:basedOn w:val="Normal"/>
    <w:rsid w:val="001148A7"/>
    <w:pPr>
      <w:pBdr>
        <w:top w:val="single" w:sz="4" w:space="0" w:color="auto"/>
        <w:left w:val="single" w:sz="4" w:space="0" w:color="auto"/>
        <w:right w:val="single" w:sz="4" w:space="0" w:color="auto"/>
      </w:pBdr>
      <w:spacing w:before="100" w:beforeAutospacing="1" w:after="100" w:afterAutospacing="1"/>
      <w:jc w:val="left"/>
      <w:textAlignment w:val="top"/>
    </w:pPr>
    <w:rPr>
      <w:color w:val="FF0000"/>
      <w:sz w:val="20"/>
      <w:szCs w:val="20"/>
      <w:lang w:val="en-CA" w:eastAsia="en-CA"/>
    </w:rPr>
  </w:style>
  <w:style w:type="paragraph" w:styleId="EndnoteText">
    <w:name w:val="endnote text"/>
    <w:basedOn w:val="Normal"/>
    <w:link w:val="EndnoteTextChar"/>
    <w:uiPriority w:val="99"/>
    <w:semiHidden/>
    <w:unhideWhenUsed/>
    <w:rsid w:val="001148A7"/>
    <w:pPr>
      <w:jc w:val="left"/>
    </w:pPr>
    <w:rPr>
      <w:rFonts w:eastAsiaTheme="minorHAnsi"/>
      <w:sz w:val="20"/>
      <w:szCs w:val="20"/>
      <w:lang w:val="en-CA"/>
    </w:rPr>
  </w:style>
  <w:style w:type="character" w:customStyle="1" w:styleId="EndnoteTextChar">
    <w:name w:val="Endnote Text Char"/>
    <w:basedOn w:val="DefaultParagraphFont"/>
    <w:link w:val="EndnoteText"/>
    <w:uiPriority w:val="99"/>
    <w:semiHidden/>
    <w:rsid w:val="001148A7"/>
    <w:rPr>
      <w:rFonts w:eastAsiaTheme="minorHAnsi"/>
      <w:lang w:val="en-CA"/>
    </w:rPr>
  </w:style>
  <w:style w:type="character" w:styleId="EndnoteReference">
    <w:name w:val="endnote reference"/>
    <w:basedOn w:val="DefaultParagraphFont"/>
    <w:uiPriority w:val="99"/>
    <w:semiHidden/>
    <w:unhideWhenUsed/>
    <w:rsid w:val="00114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A%20-%20ONU\UN%20UNMLF\83\REF\S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UNEP/OzL.Pro/ExCom/83/39</Document_x0020_Number>
  </documentManagement>
</p:properties>
</file>

<file path=customXml/itemProps1.xml><?xml version="1.0" encoding="utf-8"?>
<ds:datastoreItem xmlns:ds="http://schemas.openxmlformats.org/officeDocument/2006/customXml" ds:itemID="{63ABE49D-F6C1-4542-A6D5-5609E349C636}"/>
</file>

<file path=customXml/itemProps2.xml><?xml version="1.0" encoding="utf-8"?>
<ds:datastoreItem xmlns:ds="http://schemas.openxmlformats.org/officeDocument/2006/customXml" ds:itemID="{9A1F6C14-575D-4F5B-8530-20D7A7222ACD}"/>
</file>

<file path=customXml/itemProps3.xml><?xml version="1.0" encoding="utf-8"?>
<ds:datastoreItem xmlns:ds="http://schemas.openxmlformats.org/officeDocument/2006/customXml" ds:itemID="{8706F83D-A89A-48D6-99B9-99DC689E75DB}"/>
</file>

<file path=customXml/itemProps4.xml><?xml version="1.0" encoding="utf-8"?>
<ds:datastoreItem xmlns:ds="http://schemas.openxmlformats.org/officeDocument/2006/customXml" ds:itemID="{E813E18C-EC72-4078-9867-EC667BCE0DB1}"/>
</file>

<file path=docProps/app.xml><?xml version="1.0" encoding="utf-8"?>
<Properties xmlns="http://schemas.openxmlformats.org/officeDocument/2006/extended-properties" xmlns:vt="http://schemas.openxmlformats.org/officeDocument/2006/docPropsVTypes">
  <Template>S83-template</Template>
  <TotalTime>615</TotalTime>
  <Pages>15</Pages>
  <Words>6211</Words>
  <Characters>35403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Examen del régimen de costos administrativos</vt:lpstr>
    </vt:vector>
  </TitlesOfParts>
  <Company>UNMFS</Company>
  <LinksUpToDate>false</LinksUpToDate>
  <CharactersWithSpaces>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del régimen de costos administrativos</dc:title>
  <dc:creator>Fernando</dc:creator>
  <cp:lastModifiedBy>HBE</cp:lastModifiedBy>
  <cp:revision>15</cp:revision>
  <cp:lastPrinted>2001-05-26T16:40:00Z</cp:lastPrinted>
  <dcterms:created xsi:type="dcterms:W3CDTF">2019-05-04T18:52:00Z</dcterms:created>
  <dcterms:modified xsi:type="dcterms:W3CDTF">2019-05-16T15:18:00Z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UNEP/OzL.Pro/ExCom/83/39</vt:lpwstr>
  </property>
  <property fmtid="{D5CDD505-2E9C-101B-9397-08002B2CF9AE}" pid="3" name="Revision date">
    <vt:lpwstr>10/15/2018</vt:lpwstr>
  </property>
  <property fmtid="{D5CDD505-2E9C-101B-9397-08002B2CF9AE}" pid="4" name="ContentTypeId">
    <vt:lpwstr>0x010100AA786487C9FB6F4EBDAE4F9BF2BADC67</vt:lpwstr>
  </property>
</Properties>
</file>