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9252BB" w:rsidRPr="009252BB" w14:paraId="33256EC6" w14:textId="77777777" w:rsidTr="00194B3F">
        <w:trPr>
          <w:trHeight w:val="720"/>
        </w:trPr>
        <w:tc>
          <w:tcPr>
            <w:tcW w:w="5490" w:type="dxa"/>
            <w:gridSpan w:val="2"/>
            <w:tcBorders>
              <w:bottom w:val="single" w:sz="18" w:space="0" w:color="auto"/>
            </w:tcBorders>
          </w:tcPr>
          <w:p w14:paraId="79D68946" w14:textId="77777777" w:rsidR="009252BB" w:rsidRPr="009252BB" w:rsidRDefault="009252BB" w:rsidP="009252B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0" w:after="0" w:line="240" w:lineRule="auto"/>
              <w:jc w:val="both"/>
              <w:rPr>
                <w:rFonts w:cs="Times New Roman"/>
                <w:b/>
                <w:bCs/>
                <w:sz w:val="28"/>
                <w:szCs w:val="28"/>
                <w:lang w:val="en-GB" w:eastAsia="en-US"/>
              </w:rPr>
            </w:pPr>
            <w:r w:rsidRPr="009252BB">
              <w:rPr>
                <w:rFonts w:cs="Times New Roman"/>
                <w:b/>
                <w:bCs/>
                <w:color w:val="000000"/>
                <w:sz w:val="36"/>
                <w:szCs w:val="36"/>
                <w:lang w:val="en-GB" w:eastAsia="en-US"/>
              </w:rPr>
              <w:t>联</w:t>
            </w:r>
            <w:r w:rsidRPr="009252BB">
              <w:rPr>
                <w:rFonts w:cs="Times New Roman"/>
                <w:b/>
                <w:bCs/>
                <w:color w:val="000000"/>
                <w:sz w:val="36"/>
                <w:szCs w:val="36"/>
                <w:lang w:val="en-GB" w:eastAsia="en-US"/>
              </w:rPr>
              <w:t xml:space="preserve">  </w:t>
            </w:r>
            <w:r w:rsidRPr="009252BB">
              <w:rPr>
                <w:rFonts w:cs="Times New Roman"/>
                <w:b/>
                <w:bCs/>
                <w:color w:val="000000"/>
                <w:sz w:val="36"/>
                <w:szCs w:val="36"/>
                <w:lang w:val="en-GB" w:eastAsia="en-US"/>
              </w:rPr>
              <w:t>合</w:t>
            </w:r>
            <w:r w:rsidRPr="009252BB">
              <w:rPr>
                <w:rFonts w:cs="Times New Roman"/>
                <w:b/>
                <w:bCs/>
                <w:color w:val="000000"/>
                <w:sz w:val="36"/>
                <w:szCs w:val="36"/>
                <w:lang w:val="en-GB" w:eastAsia="en-US"/>
              </w:rPr>
              <w:t xml:space="preserve">  </w:t>
            </w:r>
            <w:r w:rsidRPr="009252BB">
              <w:rPr>
                <w:rFonts w:cs="Times New Roman"/>
                <w:b/>
                <w:bCs/>
                <w:color w:val="000000"/>
                <w:sz w:val="36"/>
                <w:szCs w:val="36"/>
                <w:lang w:val="en-GB" w:eastAsia="en-US"/>
              </w:rPr>
              <w:t>国</w:t>
            </w:r>
          </w:p>
        </w:tc>
        <w:tc>
          <w:tcPr>
            <w:tcW w:w="4590" w:type="dxa"/>
            <w:tcBorders>
              <w:bottom w:val="single" w:sz="18" w:space="0" w:color="auto"/>
            </w:tcBorders>
          </w:tcPr>
          <w:p w14:paraId="365D44CE" w14:textId="77777777" w:rsidR="009252BB" w:rsidRPr="009252BB" w:rsidRDefault="009252BB" w:rsidP="009252BB">
            <w:pPr>
              <w:spacing w:before="0" w:after="0" w:line="240" w:lineRule="auto"/>
              <w:jc w:val="right"/>
              <w:rPr>
                <w:rFonts w:ascii="Arial" w:hAnsi="Arial" w:cs="Arial"/>
                <w:sz w:val="52"/>
                <w:szCs w:val="52"/>
                <w:lang w:val="en-GB" w:eastAsia="en-US"/>
              </w:rPr>
            </w:pPr>
            <w:r w:rsidRPr="009252BB">
              <w:rPr>
                <w:rFonts w:ascii="Arial" w:hAnsi="Arial" w:cs="Arial"/>
                <w:b/>
                <w:sz w:val="72"/>
                <w:lang w:val="en-GB" w:eastAsia="en-US"/>
              </w:rPr>
              <w:t>EP</w:t>
            </w:r>
          </w:p>
        </w:tc>
      </w:tr>
      <w:tr w:rsidR="009252BB" w:rsidRPr="009252BB" w14:paraId="3A20E968" w14:textId="77777777" w:rsidTr="00194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3E1776E6" w14:textId="77777777" w:rsidR="009252BB" w:rsidRPr="009252BB" w:rsidRDefault="009252BB" w:rsidP="009252BB">
            <w:pPr>
              <w:spacing w:after="0" w:line="240" w:lineRule="auto"/>
              <w:jc w:val="both"/>
              <w:rPr>
                <w:rFonts w:cs="Times New Roman"/>
                <w:sz w:val="22"/>
                <w:lang w:val="en-GB" w:eastAsia="en-US"/>
              </w:rPr>
            </w:pPr>
            <w:r w:rsidRPr="009252BB">
              <w:rPr>
                <w:rFonts w:cs="Times New Roman"/>
                <w:noProof/>
                <w:sz w:val="22"/>
                <w:lang w:val="en-CA" w:eastAsia="en-CA"/>
              </w:rPr>
              <w:drawing>
                <wp:anchor distT="0" distB="0" distL="114300" distR="114300" simplePos="0" relativeHeight="251659264" behindDoc="0" locked="0" layoutInCell="1" allowOverlap="1" wp14:anchorId="4A877602" wp14:editId="49C6F6A1">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0" cstate="print"/>
                          <a:srcRect/>
                          <a:stretch>
                            <a:fillRect/>
                          </a:stretch>
                        </pic:blipFill>
                        <pic:spPr bwMode="auto">
                          <a:xfrm>
                            <a:off x="0" y="0"/>
                            <a:ext cx="800100" cy="705485"/>
                          </a:xfrm>
                          <a:prstGeom prst="rect">
                            <a:avLst/>
                          </a:prstGeom>
                          <a:noFill/>
                        </pic:spPr>
                      </pic:pic>
                    </a:graphicData>
                  </a:graphic>
                </wp:anchor>
              </w:drawing>
            </w:r>
            <w:r w:rsidRPr="009252BB">
              <w:rPr>
                <w:rFonts w:cs="Times New Roman"/>
                <w:noProof/>
                <w:sz w:val="22"/>
                <w:lang w:val="en-CA" w:eastAsia="en-CA"/>
              </w:rPr>
              <w:drawing>
                <wp:anchor distT="0" distB="0" distL="114300" distR="114300" simplePos="0" relativeHeight="251660288" behindDoc="1" locked="0" layoutInCell="0" allowOverlap="1" wp14:anchorId="70F05866" wp14:editId="4F7C400F">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14:paraId="25392EA5" w14:textId="77777777" w:rsidR="009252BB" w:rsidRPr="009252BB" w:rsidRDefault="009252BB" w:rsidP="009252BB">
            <w:pPr>
              <w:widowControl w:val="0"/>
              <w:spacing w:before="0" w:after="0" w:line="240" w:lineRule="auto"/>
              <w:outlineLvl w:val="2"/>
              <w:rPr>
                <w:rFonts w:cs="Times New Roman"/>
                <w:b/>
                <w:sz w:val="32"/>
                <w:lang w:val="en-CA" w:eastAsia="en-US"/>
              </w:rPr>
            </w:pPr>
          </w:p>
          <w:p w14:paraId="1DBF48A9" w14:textId="77777777" w:rsidR="009252BB" w:rsidRPr="009252BB" w:rsidRDefault="009252BB" w:rsidP="009252BB">
            <w:pPr>
              <w:widowControl w:val="0"/>
              <w:spacing w:before="0" w:after="0" w:line="240" w:lineRule="auto"/>
              <w:outlineLvl w:val="2"/>
              <w:rPr>
                <w:rFonts w:cs="Times New Roman"/>
                <w:b/>
                <w:bCs/>
                <w:sz w:val="32"/>
                <w:lang w:val="ru-RU" w:eastAsia="en-US"/>
              </w:rPr>
            </w:pPr>
            <w:r w:rsidRPr="009252BB">
              <w:rPr>
                <w:rFonts w:cs="Times New Roman"/>
                <w:b/>
                <w:bCs/>
                <w:color w:val="000000"/>
                <w:sz w:val="44"/>
                <w:lang w:val="en-GB" w:eastAsia="en-US"/>
              </w:rPr>
              <w:t>联</w:t>
            </w:r>
            <w:r w:rsidRPr="009252BB">
              <w:rPr>
                <w:rFonts w:cs="Times New Roman"/>
                <w:b/>
                <w:bCs/>
                <w:color w:val="000000"/>
                <w:sz w:val="44"/>
                <w:lang w:val="en-GB" w:eastAsia="en-US"/>
              </w:rPr>
              <w:t xml:space="preserve"> </w:t>
            </w:r>
            <w:r w:rsidRPr="009252BB">
              <w:rPr>
                <w:rFonts w:cs="Times New Roman"/>
                <w:b/>
                <w:bCs/>
                <w:color w:val="000000"/>
                <w:sz w:val="44"/>
                <w:lang w:val="en-GB" w:eastAsia="en-US"/>
              </w:rPr>
              <w:t>合</w:t>
            </w:r>
            <w:r w:rsidRPr="009252BB">
              <w:rPr>
                <w:rFonts w:cs="Times New Roman"/>
                <w:b/>
                <w:bCs/>
                <w:color w:val="000000"/>
                <w:sz w:val="44"/>
                <w:lang w:val="en-GB" w:eastAsia="en-US"/>
              </w:rPr>
              <w:t xml:space="preserve"> </w:t>
            </w:r>
            <w:r w:rsidRPr="009252BB">
              <w:rPr>
                <w:rFonts w:cs="Times New Roman"/>
                <w:b/>
                <w:bCs/>
                <w:color w:val="000000"/>
                <w:sz w:val="44"/>
                <w:lang w:val="en-GB" w:eastAsia="en-US"/>
              </w:rPr>
              <w:t>国</w:t>
            </w:r>
          </w:p>
          <w:p w14:paraId="4E533144" w14:textId="77777777" w:rsidR="009252BB" w:rsidRPr="009252BB" w:rsidRDefault="009252BB" w:rsidP="009252B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0" w:after="0" w:line="240" w:lineRule="auto"/>
              <w:rPr>
                <w:rFonts w:ascii="SimHei" w:eastAsia="SimHei" w:cs="Times New Roman"/>
                <w:color w:val="000000"/>
                <w:sz w:val="44"/>
                <w:lang w:val="en-GB" w:eastAsia="en-US"/>
              </w:rPr>
            </w:pPr>
            <w:r w:rsidRPr="009252BB">
              <w:rPr>
                <w:rFonts w:cs="Times New Roman"/>
                <w:b/>
                <w:bCs/>
                <w:color w:val="000000"/>
                <w:sz w:val="44"/>
                <w:lang w:val="en-GB" w:eastAsia="en-US"/>
              </w:rPr>
              <w:t>环</w:t>
            </w:r>
            <w:r w:rsidRPr="009252BB">
              <w:rPr>
                <w:rFonts w:cs="Times New Roman"/>
                <w:b/>
                <w:bCs/>
                <w:color w:val="000000"/>
                <w:sz w:val="44"/>
                <w:lang w:val="ru-RU" w:eastAsia="en-US"/>
              </w:rPr>
              <w:t xml:space="preserve"> </w:t>
            </w:r>
            <w:r w:rsidRPr="009252BB">
              <w:rPr>
                <w:rFonts w:cs="Times New Roman"/>
                <w:b/>
                <w:bCs/>
                <w:color w:val="000000"/>
                <w:sz w:val="44"/>
                <w:lang w:val="en-GB" w:eastAsia="en-US"/>
              </w:rPr>
              <w:t>境</w:t>
            </w:r>
            <w:r w:rsidRPr="009252BB">
              <w:rPr>
                <w:rFonts w:cs="Times New Roman"/>
                <w:b/>
                <w:bCs/>
                <w:color w:val="000000"/>
                <w:sz w:val="44"/>
                <w:lang w:val="ru-RU" w:eastAsia="en-US"/>
              </w:rPr>
              <w:t xml:space="preserve"> </w:t>
            </w:r>
            <w:r w:rsidRPr="009252BB">
              <w:rPr>
                <w:rFonts w:cs="Times New Roman"/>
                <w:b/>
                <w:bCs/>
                <w:color w:val="000000"/>
                <w:sz w:val="44"/>
                <w:lang w:val="en-GB" w:eastAsia="en-US"/>
              </w:rPr>
              <w:t>规</w:t>
            </w:r>
            <w:r w:rsidRPr="009252BB">
              <w:rPr>
                <w:rFonts w:cs="Times New Roman"/>
                <w:b/>
                <w:bCs/>
                <w:color w:val="000000"/>
                <w:sz w:val="44"/>
                <w:lang w:val="ru-RU" w:eastAsia="en-US"/>
              </w:rPr>
              <w:t xml:space="preserve"> </w:t>
            </w:r>
            <w:r w:rsidRPr="009252BB">
              <w:rPr>
                <w:rFonts w:cs="Times New Roman"/>
                <w:b/>
                <w:bCs/>
                <w:color w:val="000000"/>
                <w:sz w:val="44"/>
                <w:lang w:val="en-GB" w:eastAsia="en-US"/>
              </w:rPr>
              <w:t>划</w:t>
            </w:r>
            <w:r w:rsidRPr="009252BB">
              <w:rPr>
                <w:rFonts w:cs="Times New Roman"/>
                <w:b/>
                <w:bCs/>
                <w:color w:val="000000"/>
                <w:sz w:val="44"/>
                <w:lang w:val="ru-RU" w:eastAsia="en-US"/>
              </w:rPr>
              <w:t xml:space="preserve"> </w:t>
            </w:r>
            <w:r w:rsidRPr="009252BB">
              <w:rPr>
                <w:rFonts w:cs="Times New Roman"/>
                <w:b/>
                <w:bCs/>
                <w:color w:val="000000"/>
                <w:sz w:val="44"/>
                <w:lang w:val="en-GB" w:eastAsia="en-US"/>
              </w:rPr>
              <w:t>署</w:t>
            </w:r>
          </w:p>
          <w:p w14:paraId="6895EE8B" w14:textId="77777777" w:rsidR="009252BB" w:rsidRPr="009252BB" w:rsidRDefault="009252BB" w:rsidP="009252B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0" w:after="0" w:line="240" w:lineRule="auto"/>
              <w:rPr>
                <w:rFonts w:ascii="SimHei" w:eastAsia="SimHei" w:cs="Times New Roman"/>
                <w:color w:val="000000"/>
                <w:sz w:val="44"/>
                <w:lang w:val="en-GB" w:eastAsia="en-US"/>
              </w:rPr>
            </w:pPr>
          </w:p>
          <w:p w14:paraId="5AED3977" w14:textId="77777777" w:rsidR="009252BB" w:rsidRPr="009252BB" w:rsidRDefault="009252BB" w:rsidP="009252B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0" w:after="0" w:line="240" w:lineRule="auto"/>
              <w:rPr>
                <w:rFonts w:ascii="Univers Bold" w:hAnsi="Univers Bold" w:cs="Times New Roman"/>
                <w:b/>
                <w:sz w:val="32"/>
                <w:lang w:val="ru-RU" w:eastAsia="en-US"/>
              </w:rPr>
            </w:pPr>
          </w:p>
        </w:tc>
        <w:tc>
          <w:tcPr>
            <w:tcW w:w="4590" w:type="dxa"/>
            <w:tcBorders>
              <w:top w:val="nil"/>
              <w:left w:val="nil"/>
              <w:bottom w:val="single" w:sz="36" w:space="0" w:color="auto"/>
              <w:right w:val="nil"/>
            </w:tcBorders>
          </w:tcPr>
          <w:p w14:paraId="59C26471" w14:textId="77777777" w:rsidR="009252BB" w:rsidRPr="009252BB" w:rsidRDefault="009252BB" w:rsidP="009252BB">
            <w:pPr>
              <w:spacing w:before="0" w:after="0" w:line="240" w:lineRule="auto"/>
              <w:jc w:val="both"/>
              <w:rPr>
                <w:rFonts w:cs="Times New Roman"/>
                <w:color w:val="000000"/>
                <w:sz w:val="22"/>
                <w:szCs w:val="24"/>
                <w:lang w:val="ru-RU" w:eastAsia="en-US"/>
              </w:rPr>
            </w:pPr>
          </w:p>
          <w:p w14:paraId="11943791" w14:textId="77777777" w:rsidR="009252BB" w:rsidRPr="009252BB" w:rsidRDefault="009252BB" w:rsidP="009252BB">
            <w:pPr>
              <w:spacing w:before="0" w:after="0" w:line="240" w:lineRule="auto"/>
              <w:jc w:val="both"/>
              <w:rPr>
                <w:rFonts w:cs="Times New Roman"/>
                <w:color w:val="000000"/>
                <w:sz w:val="22"/>
                <w:szCs w:val="24"/>
                <w:lang w:val="en-GB" w:eastAsia="en-US"/>
              </w:rPr>
            </w:pPr>
            <w:r w:rsidRPr="009252BB">
              <w:rPr>
                <w:rFonts w:cs="Times New Roman"/>
                <w:color w:val="000000"/>
                <w:sz w:val="22"/>
                <w:szCs w:val="24"/>
                <w:lang w:val="en-GB" w:eastAsia="en-US"/>
              </w:rPr>
              <w:t>Distr.</w:t>
            </w:r>
          </w:p>
          <w:p w14:paraId="7E247A75" w14:textId="77777777" w:rsidR="009252BB" w:rsidRPr="009252BB" w:rsidRDefault="009252BB" w:rsidP="009252BB">
            <w:pPr>
              <w:spacing w:before="0" w:after="0" w:line="240" w:lineRule="auto"/>
              <w:jc w:val="both"/>
              <w:rPr>
                <w:rFonts w:cs="Times New Roman"/>
                <w:color w:val="000000"/>
                <w:sz w:val="22"/>
                <w:szCs w:val="24"/>
                <w:lang w:val="en-GB" w:eastAsia="en-US"/>
              </w:rPr>
            </w:pPr>
            <w:r w:rsidRPr="009252BB">
              <w:rPr>
                <w:rFonts w:cs="Times New Roman" w:hint="eastAsia"/>
                <w:color w:val="000000"/>
                <w:sz w:val="22"/>
                <w:szCs w:val="24"/>
                <w:lang w:val="en-GB" w:eastAsia="en-US"/>
              </w:rPr>
              <w:t>GENERAL</w:t>
            </w:r>
          </w:p>
          <w:p w14:paraId="587AD0F7" w14:textId="77777777" w:rsidR="009252BB" w:rsidRPr="009252BB" w:rsidRDefault="009252BB" w:rsidP="009252BB">
            <w:pPr>
              <w:spacing w:before="0" w:after="0" w:line="240" w:lineRule="auto"/>
              <w:jc w:val="both"/>
              <w:rPr>
                <w:rFonts w:cs="Times New Roman"/>
                <w:color w:val="000000"/>
                <w:sz w:val="22"/>
                <w:szCs w:val="24"/>
                <w:lang w:val="en-GB" w:eastAsia="en-US"/>
              </w:rPr>
            </w:pPr>
          </w:p>
          <w:p w14:paraId="7827851D" w14:textId="1B0279A2" w:rsidR="00696A48" w:rsidRPr="00696A48" w:rsidRDefault="00532133" w:rsidP="004C23D0">
            <w:pPr>
              <w:spacing w:before="0" w:after="0" w:line="240" w:lineRule="auto"/>
              <w:jc w:val="both"/>
              <w:rPr>
                <w:rFonts w:cs="Times New Roman"/>
                <w:sz w:val="22"/>
                <w:szCs w:val="24"/>
                <w:lang w:val="en-GB" w:eastAsia="en-US"/>
              </w:rPr>
            </w:pPr>
            <w:r w:rsidRPr="00532133">
              <w:rPr>
                <w:rFonts w:cs="Times New Roman"/>
                <w:sz w:val="22"/>
                <w:lang w:val="en-CA" w:eastAsia="en-US"/>
              </w:rPr>
              <w:fldChar w:fldCharType="begin"/>
            </w:r>
            <w:r w:rsidRPr="00532133">
              <w:rPr>
                <w:rFonts w:cs="Times New Roman"/>
                <w:sz w:val="22"/>
                <w:lang w:val="en-CA" w:eastAsia="en-US"/>
              </w:rPr>
              <w:instrText xml:space="preserve"> DOCPROPERTY "Document number"  \* MERGEFORMAT </w:instrText>
            </w:r>
            <w:r w:rsidRPr="00532133">
              <w:rPr>
                <w:rFonts w:cs="Times New Roman"/>
                <w:sz w:val="22"/>
                <w:lang w:val="en-CA" w:eastAsia="en-US"/>
              </w:rPr>
              <w:fldChar w:fldCharType="separate"/>
            </w:r>
            <w:r w:rsidR="00A13C09">
              <w:rPr>
                <w:rFonts w:cs="Times New Roman"/>
                <w:sz w:val="22"/>
                <w:lang w:val="en-CA" w:eastAsia="en-US"/>
              </w:rPr>
              <w:t>UNEP/</w:t>
            </w:r>
            <w:proofErr w:type="spellStart"/>
            <w:r w:rsidR="00A13C09">
              <w:rPr>
                <w:rFonts w:cs="Times New Roman"/>
                <w:sz w:val="22"/>
                <w:lang w:val="en-CA" w:eastAsia="en-US"/>
              </w:rPr>
              <w:t>OzL.Pro</w:t>
            </w:r>
            <w:proofErr w:type="spellEnd"/>
            <w:r w:rsidR="00A13C09">
              <w:rPr>
                <w:rFonts w:cs="Times New Roman"/>
                <w:sz w:val="22"/>
                <w:lang w:val="en-CA" w:eastAsia="en-US"/>
              </w:rPr>
              <w:t>/ExCom/84/22/Add.3</w:t>
            </w:r>
            <w:r w:rsidRPr="00532133">
              <w:rPr>
                <w:rFonts w:cs="Times New Roman"/>
                <w:sz w:val="22"/>
                <w:lang w:val="en-GB" w:eastAsia="en-US"/>
              </w:rPr>
              <w:fldChar w:fldCharType="end"/>
            </w:r>
            <w:r w:rsidRPr="00532133">
              <w:rPr>
                <w:rFonts w:cs="Times New Roman"/>
                <w:sz w:val="22"/>
                <w:lang w:val="en-CA" w:eastAsia="en-US"/>
              </w:rPr>
              <w:br/>
            </w:r>
            <w:r w:rsidRPr="00532133">
              <w:rPr>
                <w:rFonts w:cs="Times New Roman"/>
                <w:sz w:val="22"/>
                <w:lang w:val="en-CA" w:eastAsia="en-US"/>
              </w:rPr>
              <w:fldChar w:fldCharType="begin"/>
            </w:r>
            <w:r w:rsidRPr="00532133">
              <w:rPr>
                <w:rFonts w:cs="Times New Roman"/>
                <w:sz w:val="22"/>
                <w:lang w:val="en-CA" w:eastAsia="en-US"/>
              </w:rPr>
              <w:instrText xml:space="preserve"> DOCPROPERTY "Revision date" \@ "d MMMM YYYY"  \* MERGEFORMAT </w:instrText>
            </w:r>
            <w:r w:rsidRPr="00532133">
              <w:rPr>
                <w:rFonts w:cs="Times New Roman"/>
                <w:sz w:val="22"/>
                <w:lang w:val="en-CA" w:eastAsia="en-US"/>
              </w:rPr>
              <w:fldChar w:fldCharType="separate"/>
            </w:r>
            <w:r w:rsidR="008247D5">
              <w:rPr>
                <w:rFonts w:cs="Times New Roman"/>
                <w:sz w:val="22"/>
                <w:lang w:val="en-CA" w:eastAsia="en-US"/>
              </w:rPr>
              <w:t>13 December 2019</w:t>
            </w:r>
            <w:r w:rsidRPr="00532133">
              <w:rPr>
                <w:rFonts w:cs="Times New Roman"/>
                <w:sz w:val="22"/>
                <w:lang w:val="en-GB" w:eastAsia="en-US"/>
              </w:rPr>
              <w:fldChar w:fldCharType="end"/>
            </w:r>
          </w:p>
          <w:p w14:paraId="0C2598AB" w14:textId="77777777" w:rsidR="009252BB" w:rsidRPr="009252BB" w:rsidRDefault="009252BB" w:rsidP="009252BB">
            <w:pPr>
              <w:spacing w:before="0" w:after="0" w:line="240" w:lineRule="auto"/>
              <w:jc w:val="both"/>
              <w:rPr>
                <w:rFonts w:cs="Times New Roman"/>
                <w:color w:val="000000"/>
                <w:sz w:val="22"/>
                <w:szCs w:val="24"/>
                <w:lang w:val="en-GB" w:eastAsia="en-US"/>
              </w:rPr>
            </w:pPr>
          </w:p>
          <w:p w14:paraId="195EA1B4" w14:textId="77777777" w:rsidR="009252BB" w:rsidRPr="009252BB" w:rsidRDefault="009252BB" w:rsidP="009252BB">
            <w:pPr>
              <w:tabs>
                <w:tab w:val="left" w:pos="10080"/>
              </w:tabs>
              <w:spacing w:before="0" w:after="0" w:line="240" w:lineRule="auto"/>
              <w:jc w:val="both"/>
              <w:rPr>
                <w:rFonts w:cs="Times New Roman"/>
                <w:color w:val="000000"/>
                <w:sz w:val="22"/>
                <w:szCs w:val="24"/>
                <w:lang w:val="en-GB" w:eastAsia="en-US"/>
              </w:rPr>
            </w:pPr>
            <w:r w:rsidRPr="009252BB">
              <w:rPr>
                <w:rFonts w:cs="Times New Roman"/>
                <w:color w:val="000000"/>
                <w:sz w:val="22"/>
                <w:szCs w:val="24"/>
                <w:lang w:val="en-GB" w:eastAsia="en-US"/>
              </w:rPr>
              <w:t>CHINESE</w:t>
            </w:r>
          </w:p>
          <w:p w14:paraId="5E6E381A" w14:textId="77777777" w:rsidR="009252BB" w:rsidRPr="009252BB" w:rsidRDefault="009252BB" w:rsidP="009252BB">
            <w:pPr>
              <w:tabs>
                <w:tab w:val="left" w:pos="10080"/>
              </w:tabs>
              <w:spacing w:before="0" w:after="0" w:line="240" w:lineRule="auto"/>
              <w:jc w:val="both"/>
              <w:rPr>
                <w:rFonts w:cs="Times New Roman"/>
                <w:color w:val="000000"/>
                <w:spacing w:val="-10"/>
                <w:sz w:val="22"/>
                <w:szCs w:val="24"/>
                <w:lang w:val="en-GB" w:eastAsia="en-US"/>
              </w:rPr>
            </w:pPr>
            <w:r w:rsidRPr="009252BB">
              <w:rPr>
                <w:rFonts w:cs="Times New Roman"/>
                <w:color w:val="000000"/>
                <w:sz w:val="22"/>
                <w:szCs w:val="24"/>
                <w:lang w:val="en-GB" w:eastAsia="en-US"/>
              </w:rPr>
              <w:t>ORIGINAL: ENGLISH</w:t>
            </w:r>
          </w:p>
          <w:p w14:paraId="456B22C0" w14:textId="77777777" w:rsidR="009252BB" w:rsidRPr="009252BB" w:rsidRDefault="009252BB" w:rsidP="009252BB">
            <w:pPr>
              <w:spacing w:before="0" w:after="0" w:line="240" w:lineRule="auto"/>
              <w:jc w:val="both"/>
              <w:rPr>
                <w:rFonts w:cs="Times New Roman"/>
                <w:sz w:val="22"/>
                <w:lang w:val="en-GB" w:eastAsia="en-US"/>
              </w:rPr>
            </w:pPr>
          </w:p>
        </w:tc>
      </w:tr>
    </w:tbl>
    <w:p w14:paraId="1BA70377" w14:textId="77777777" w:rsidR="009252BB" w:rsidRPr="009252BB" w:rsidRDefault="009252BB" w:rsidP="009252BB">
      <w:pPr>
        <w:widowControl w:val="0"/>
        <w:tabs>
          <w:tab w:val="left" w:pos="3705"/>
        </w:tabs>
        <w:adjustRightInd w:val="0"/>
        <w:spacing w:before="0" w:after="0" w:line="240" w:lineRule="atLeast"/>
        <w:jc w:val="both"/>
        <w:textAlignment w:val="baseline"/>
        <w:rPr>
          <w:rFonts w:cs="Times New Roman"/>
          <w:color w:val="000000"/>
          <w:sz w:val="28"/>
          <w:szCs w:val="20"/>
        </w:rPr>
      </w:pPr>
      <w:r w:rsidRPr="009252BB">
        <w:rPr>
          <w:rFonts w:cs="Times New Roman" w:hint="eastAsia"/>
          <w:color w:val="000000"/>
          <w:sz w:val="28"/>
          <w:szCs w:val="20"/>
        </w:rPr>
        <w:t>执行蒙特利尔议定书</w:t>
      </w:r>
    </w:p>
    <w:p w14:paraId="713CA70C" w14:textId="77777777" w:rsidR="009252BB" w:rsidRPr="009252BB" w:rsidRDefault="009252BB" w:rsidP="009252BB">
      <w:pPr>
        <w:widowControl w:val="0"/>
        <w:tabs>
          <w:tab w:val="left" w:pos="3705"/>
        </w:tabs>
        <w:adjustRightInd w:val="0"/>
        <w:spacing w:before="0" w:after="0" w:line="240" w:lineRule="atLeast"/>
        <w:jc w:val="both"/>
        <w:textAlignment w:val="baseline"/>
        <w:rPr>
          <w:rFonts w:cs="Times New Roman"/>
          <w:color w:val="000000"/>
          <w:sz w:val="28"/>
          <w:szCs w:val="20"/>
        </w:rPr>
      </w:pPr>
      <w:r w:rsidRPr="009252BB">
        <w:rPr>
          <w:rFonts w:cs="Times New Roman"/>
          <w:color w:val="000000"/>
          <w:sz w:val="28"/>
          <w:szCs w:val="20"/>
          <w:lang w:val="en-CA"/>
        </w:rPr>
        <w:t xml:space="preserve">  </w:t>
      </w:r>
      <w:r w:rsidRPr="009252BB">
        <w:rPr>
          <w:rFonts w:cs="Times New Roman" w:hint="eastAsia"/>
          <w:color w:val="000000"/>
          <w:sz w:val="28"/>
          <w:szCs w:val="20"/>
        </w:rPr>
        <w:t>多边基金执行委员会</w:t>
      </w:r>
      <w:r w:rsidRPr="009252BB">
        <w:rPr>
          <w:rFonts w:cs="Times New Roman"/>
          <w:color w:val="000000"/>
          <w:sz w:val="28"/>
          <w:szCs w:val="20"/>
        </w:rPr>
        <w:tab/>
      </w:r>
    </w:p>
    <w:p w14:paraId="3EE167C1" w14:textId="77777777" w:rsidR="009252BB" w:rsidRPr="009252BB" w:rsidRDefault="009252BB" w:rsidP="009252BB">
      <w:pPr>
        <w:spacing w:before="0" w:after="0" w:line="240" w:lineRule="auto"/>
        <w:ind w:left="360" w:hanging="360"/>
        <w:rPr>
          <w:rFonts w:cs="Times New Roman"/>
          <w:szCs w:val="24"/>
          <w:lang w:val="en-CA" w:eastAsia="en-US"/>
        </w:rPr>
      </w:pPr>
      <w:r w:rsidRPr="009252BB">
        <w:rPr>
          <w:rFonts w:hAnsi="SimSun" w:cs="Times New Roman" w:hint="eastAsia"/>
          <w:noProof/>
          <w:szCs w:val="24"/>
          <w:lang w:val="en-CA" w:eastAsia="en-US"/>
        </w:rPr>
        <w:t>第八十四</w:t>
      </w:r>
      <w:r w:rsidRPr="009252BB">
        <w:rPr>
          <w:rFonts w:hAnsi="SimSun" w:cs="Times New Roman"/>
          <w:noProof/>
          <w:szCs w:val="24"/>
          <w:lang w:val="en-CA" w:eastAsia="en-US"/>
        </w:rPr>
        <w:t>次会议</w:t>
      </w:r>
    </w:p>
    <w:p w14:paraId="68561C45" w14:textId="77777777" w:rsidR="009252BB" w:rsidRPr="009252BB" w:rsidRDefault="009252BB" w:rsidP="009252BB">
      <w:pPr>
        <w:spacing w:before="0" w:after="0" w:line="240" w:lineRule="auto"/>
        <w:ind w:left="360" w:hanging="360"/>
        <w:rPr>
          <w:rFonts w:cs="Times New Roman"/>
          <w:szCs w:val="24"/>
          <w:lang w:val="en-CA" w:eastAsia="en-US"/>
        </w:rPr>
      </w:pPr>
      <w:r w:rsidRPr="009252BB">
        <w:rPr>
          <w:rFonts w:cs="Times New Roman"/>
          <w:noProof/>
          <w:szCs w:val="24"/>
          <w:lang w:val="en-CA" w:eastAsia="en-US"/>
        </w:rPr>
        <w:t>2019</w:t>
      </w:r>
      <w:r w:rsidRPr="009252BB">
        <w:rPr>
          <w:rFonts w:hAnsi="SimSun" w:cs="Times New Roman"/>
          <w:noProof/>
          <w:szCs w:val="24"/>
          <w:lang w:val="en-CA" w:eastAsia="en-US"/>
        </w:rPr>
        <w:t>年</w:t>
      </w:r>
      <w:r w:rsidRPr="009252BB">
        <w:rPr>
          <w:rFonts w:hAnsi="SimSun" w:cs="Times New Roman" w:hint="eastAsia"/>
          <w:noProof/>
          <w:szCs w:val="24"/>
          <w:lang w:val="en-CA" w:eastAsia="en-US"/>
        </w:rPr>
        <w:t>1</w:t>
      </w:r>
      <w:r w:rsidRPr="009252BB">
        <w:rPr>
          <w:rFonts w:hAnsi="SimSun" w:cs="Times New Roman"/>
          <w:noProof/>
          <w:szCs w:val="24"/>
          <w:lang w:val="en-CA" w:eastAsia="en-US"/>
        </w:rPr>
        <w:t>2</w:t>
      </w:r>
      <w:r w:rsidRPr="009252BB">
        <w:rPr>
          <w:rFonts w:hAnsi="SimSun" w:cs="Times New Roman"/>
          <w:noProof/>
          <w:szCs w:val="24"/>
          <w:lang w:val="en-CA" w:eastAsia="en-US"/>
        </w:rPr>
        <w:t>月</w:t>
      </w:r>
      <w:r w:rsidRPr="009252BB">
        <w:rPr>
          <w:rFonts w:hAnsi="SimSun" w:cs="Times New Roman" w:hint="eastAsia"/>
          <w:noProof/>
          <w:szCs w:val="24"/>
          <w:lang w:val="en-CA" w:eastAsia="en-US"/>
        </w:rPr>
        <w:t>16</w:t>
      </w:r>
      <w:r w:rsidRPr="009252BB">
        <w:rPr>
          <w:rFonts w:hAnsi="SimSun" w:cs="Times New Roman"/>
          <w:noProof/>
          <w:szCs w:val="24"/>
          <w:lang w:val="en-CA" w:eastAsia="en-US"/>
        </w:rPr>
        <w:t>日至</w:t>
      </w:r>
      <w:r w:rsidRPr="009252BB">
        <w:rPr>
          <w:rFonts w:hAnsi="SimSun" w:cs="Times New Roman"/>
          <w:noProof/>
          <w:szCs w:val="24"/>
          <w:lang w:val="en-CA" w:eastAsia="en-US"/>
        </w:rPr>
        <w:t>20</w:t>
      </w:r>
      <w:r w:rsidRPr="009252BB">
        <w:rPr>
          <w:rFonts w:hAnsi="SimSun" w:cs="Times New Roman"/>
          <w:noProof/>
          <w:szCs w:val="24"/>
          <w:lang w:val="en-CA" w:eastAsia="en-US"/>
        </w:rPr>
        <w:t>日，蒙特利尔</w:t>
      </w:r>
    </w:p>
    <w:p w14:paraId="217B3B39" w14:textId="2C332BB7" w:rsidR="005A7A4B" w:rsidRPr="004C23D0" w:rsidRDefault="005A7A4B" w:rsidP="00E31425">
      <w:pPr>
        <w:spacing w:line="259" w:lineRule="auto"/>
        <w:rPr>
          <w:rFonts w:ascii="SimSun" w:hAnsi="SimSun" w:cs="Times New Roman"/>
          <w:szCs w:val="24"/>
        </w:rPr>
      </w:pPr>
    </w:p>
    <w:p w14:paraId="62C18B3C" w14:textId="26B3B8B5" w:rsidR="004C23D0" w:rsidRPr="004C23D0" w:rsidRDefault="004C23D0" w:rsidP="00E31425">
      <w:pPr>
        <w:spacing w:line="259" w:lineRule="auto"/>
        <w:jc w:val="center"/>
        <w:rPr>
          <w:rFonts w:cs="Times New Roman"/>
          <w:b/>
          <w:bCs/>
          <w:szCs w:val="24"/>
          <w:lang w:val="en-GB"/>
        </w:rPr>
      </w:pPr>
      <w:r w:rsidRPr="004C23D0">
        <w:rPr>
          <w:rFonts w:cs="Times New Roman" w:hint="eastAsia"/>
          <w:b/>
          <w:bCs/>
          <w:szCs w:val="24"/>
          <w:lang w:val="en-GB"/>
        </w:rPr>
        <w:t>增编</w:t>
      </w:r>
    </w:p>
    <w:p w14:paraId="436B154F" w14:textId="2A1EE9DF" w:rsidR="007B5E0D" w:rsidRPr="007B5E0D" w:rsidRDefault="004C23D0" w:rsidP="00E31425">
      <w:pPr>
        <w:spacing w:line="259" w:lineRule="auto"/>
        <w:jc w:val="center"/>
        <w:rPr>
          <w:rFonts w:cs="Times New Roman"/>
          <w:b/>
          <w:bCs/>
          <w:sz w:val="28"/>
          <w:szCs w:val="28"/>
          <w:lang w:val="en-CA"/>
        </w:rPr>
      </w:pPr>
      <w:r w:rsidRPr="004C23D0">
        <w:rPr>
          <w:rFonts w:cs="Times New Roman" w:hint="eastAsia"/>
          <w:b/>
          <w:bCs/>
          <w:sz w:val="28"/>
          <w:szCs w:val="28"/>
        </w:rPr>
        <w:t>关于中国四氯化碳生产及其原料用途的报告</w:t>
      </w:r>
      <w:r w:rsidRPr="004C23D0">
        <w:rPr>
          <w:rFonts w:cs="Times New Roman" w:hint="eastAsia"/>
          <w:b/>
          <w:bCs/>
          <w:sz w:val="28"/>
          <w:szCs w:val="28"/>
        </w:rPr>
        <w:t>(</w:t>
      </w:r>
      <w:r w:rsidRPr="004C23D0">
        <w:rPr>
          <w:rFonts w:cs="Times New Roman" w:hint="eastAsia"/>
          <w:b/>
          <w:bCs/>
          <w:sz w:val="28"/>
          <w:szCs w:val="28"/>
        </w:rPr>
        <w:t>第</w:t>
      </w:r>
      <w:r w:rsidRPr="004C23D0">
        <w:rPr>
          <w:rFonts w:cs="Times New Roman" w:hint="eastAsia"/>
          <w:b/>
          <w:bCs/>
          <w:sz w:val="28"/>
          <w:szCs w:val="28"/>
        </w:rPr>
        <w:t>75/18</w:t>
      </w:r>
      <w:r w:rsidRPr="004C23D0">
        <w:rPr>
          <w:rFonts w:cs="Times New Roman" w:hint="eastAsia"/>
          <w:b/>
          <w:bCs/>
          <w:sz w:val="28"/>
          <w:szCs w:val="28"/>
        </w:rPr>
        <w:t>号决定</w:t>
      </w:r>
      <w:r w:rsidRPr="004C23D0">
        <w:rPr>
          <w:rFonts w:cs="Times New Roman" w:hint="eastAsia"/>
          <w:b/>
          <w:bCs/>
          <w:sz w:val="28"/>
          <w:szCs w:val="28"/>
        </w:rPr>
        <w:t>(b)(</w:t>
      </w:r>
      <w:r w:rsidRPr="004C23D0">
        <w:rPr>
          <w:rFonts w:cs="Times New Roman" w:hint="eastAsia"/>
          <w:b/>
          <w:bCs/>
          <w:sz w:val="28"/>
          <w:szCs w:val="28"/>
        </w:rPr>
        <w:t>三</w:t>
      </w:r>
      <w:r w:rsidRPr="004C23D0">
        <w:rPr>
          <w:rFonts w:cs="Times New Roman" w:hint="eastAsia"/>
          <w:b/>
          <w:bCs/>
          <w:sz w:val="28"/>
          <w:szCs w:val="28"/>
        </w:rPr>
        <w:t>)</w:t>
      </w:r>
      <w:r>
        <w:rPr>
          <w:rFonts w:cs="Times New Roman" w:hint="eastAsia"/>
          <w:b/>
          <w:bCs/>
          <w:sz w:val="28"/>
          <w:szCs w:val="28"/>
        </w:rPr>
        <w:t>段</w:t>
      </w:r>
      <w:r w:rsidRPr="004C23D0">
        <w:rPr>
          <w:rFonts w:cs="Times New Roman" w:hint="eastAsia"/>
          <w:b/>
          <w:bCs/>
          <w:sz w:val="28"/>
          <w:szCs w:val="28"/>
        </w:rPr>
        <w:t>)</w:t>
      </w:r>
    </w:p>
    <w:p w14:paraId="59ED8C98" w14:textId="67FA4B51" w:rsidR="00BF4E24" w:rsidRDefault="004C23D0" w:rsidP="004C23D0">
      <w:pPr>
        <w:spacing w:line="259" w:lineRule="auto"/>
        <w:jc w:val="both"/>
        <w:rPr>
          <w:rFonts w:cs="Times New Roman"/>
          <w:szCs w:val="24"/>
          <w:lang w:val="en-CA"/>
        </w:rPr>
      </w:pPr>
      <w:r>
        <w:rPr>
          <w:rFonts w:cs="Times New Roman"/>
          <w:szCs w:val="24"/>
          <w:lang w:val="en-GB"/>
        </w:rPr>
        <w:tab/>
      </w:r>
      <w:r>
        <w:rPr>
          <w:rFonts w:cs="Times New Roman" w:hint="eastAsia"/>
          <w:szCs w:val="24"/>
          <w:lang w:val="en-GB"/>
        </w:rPr>
        <w:t>印发本文件是为了提供在印发</w:t>
      </w:r>
      <w:r w:rsidRPr="004C23D0">
        <w:rPr>
          <w:rFonts w:cs="Times New Roman"/>
          <w:szCs w:val="24"/>
          <w:lang w:val="en-CA"/>
        </w:rPr>
        <w:t>UNEP/</w:t>
      </w:r>
      <w:proofErr w:type="spellStart"/>
      <w:r w:rsidRPr="004C23D0">
        <w:rPr>
          <w:rFonts w:cs="Times New Roman"/>
          <w:szCs w:val="24"/>
          <w:lang w:val="en-CA"/>
        </w:rPr>
        <w:t>OzL.Pro</w:t>
      </w:r>
      <w:proofErr w:type="spellEnd"/>
      <w:r w:rsidRPr="004C23D0">
        <w:rPr>
          <w:rFonts w:cs="Times New Roman"/>
          <w:szCs w:val="24"/>
          <w:lang w:val="en-CA"/>
        </w:rPr>
        <w:t>/ExCom/84/22/Add.2</w:t>
      </w:r>
      <w:r>
        <w:rPr>
          <w:rFonts w:cs="Times New Roman" w:hint="eastAsia"/>
          <w:szCs w:val="24"/>
          <w:lang w:val="en-CA"/>
        </w:rPr>
        <w:t>号文件之后收到的以下信息：</w:t>
      </w:r>
    </w:p>
    <w:p w14:paraId="08285FB6" w14:textId="19E71698" w:rsidR="004C23D0" w:rsidRDefault="004C23D0" w:rsidP="004C23D0">
      <w:pPr>
        <w:spacing w:line="259" w:lineRule="auto"/>
        <w:jc w:val="both"/>
        <w:rPr>
          <w:rFonts w:cs="Times New Roman"/>
          <w:szCs w:val="24"/>
          <w:lang w:val="en-GB"/>
        </w:rPr>
      </w:pPr>
      <w:r>
        <w:rPr>
          <w:rFonts w:cs="Times New Roman"/>
          <w:szCs w:val="24"/>
          <w:lang w:val="en-GB"/>
        </w:rPr>
        <w:t>•</w:t>
      </w:r>
      <w:r>
        <w:rPr>
          <w:rFonts w:cs="Times New Roman"/>
          <w:szCs w:val="24"/>
          <w:lang w:val="en-GB"/>
        </w:rPr>
        <w:tab/>
      </w:r>
      <w:r>
        <w:rPr>
          <w:rFonts w:cs="Times New Roman" w:hint="eastAsia"/>
          <w:szCs w:val="24"/>
          <w:lang w:val="en-GB"/>
        </w:rPr>
        <w:t>在第</w:t>
      </w:r>
      <w:r>
        <w:rPr>
          <w:rFonts w:cs="Times New Roman" w:hint="eastAsia"/>
          <w:szCs w:val="24"/>
          <w:lang w:val="en-GB"/>
        </w:rPr>
        <w:t>25</w:t>
      </w:r>
      <w:r>
        <w:rPr>
          <w:rFonts w:cs="Times New Roman" w:hint="eastAsia"/>
          <w:szCs w:val="24"/>
          <w:lang w:val="en-GB"/>
        </w:rPr>
        <w:t>段之后</w:t>
      </w:r>
      <w:r w:rsidRPr="00F65589">
        <w:rPr>
          <w:rFonts w:cs="Times New Roman" w:hint="eastAsia"/>
          <w:b/>
          <w:bCs/>
          <w:szCs w:val="24"/>
          <w:lang w:val="en-GB"/>
        </w:rPr>
        <w:t>增加</w:t>
      </w:r>
      <w:r>
        <w:rPr>
          <w:rFonts w:cs="Times New Roman" w:hint="eastAsia"/>
          <w:szCs w:val="24"/>
          <w:lang w:val="en-GB"/>
        </w:rPr>
        <w:t>以下自然段：</w:t>
      </w:r>
    </w:p>
    <w:p w14:paraId="515A727A" w14:textId="080FB717" w:rsidR="004C23D0" w:rsidRPr="00EE1553" w:rsidRDefault="004C23D0" w:rsidP="004C23D0">
      <w:pPr>
        <w:spacing w:line="259" w:lineRule="auto"/>
        <w:jc w:val="both"/>
        <w:rPr>
          <w:rFonts w:cs="Times New Roman"/>
          <w:b/>
          <w:bCs/>
          <w:szCs w:val="24"/>
          <w:lang w:val="en-GB"/>
        </w:rPr>
      </w:pPr>
      <w:r w:rsidRPr="00EE1553">
        <w:rPr>
          <w:rFonts w:cs="Times New Roman" w:hint="eastAsia"/>
          <w:b/>
          <w:bCs/>
          <w:szCs w:val="24"/>
          <w:lang w:val="en-GB"/>
        </w:rPr>
        <w:t>总结</w:t>
      </w:r>
    </w:p>
    <w:p w14:paraId="5DEFA434" w14:textId="51CA446F" w:rsidR="00EE1553" w:rsidRDefault="00EE1553" w:rsidP="00F65589">
      <w:pPr>
        <w:tabs>
          <w:tab w:val="left" w:pos="1260"/>
        </w:tabs>
        <w:spacing w:before="0" w:after="160" w:line="259" w:lineRule="auto"/>
        <w:rPr>
          <w:rFonts w:cs="Times New Roman"/>
          <w:szCs w:val="24"/>
          <w:lang w:val="en-CA"/>
        </w:rPr>
      </w:pPr>
      <w:r>
        <w:rPr>
          <w:rFonts w:cs="Times New Roman" w:hint="eastAsia"/>
          <w:szCs w:val="24"/>
          <w:lang w:val="en-GB"/>
        </w:rPr>
        <w:t>25(</w:t>
      </w:r>
      <w:r>
        <w:rPr>
          <w:rFonts w:cs="Times New Roman" w:hint="eastAsia"/>
          <w:szCs w:val="24"/>
          <w:lang w:val="en-GB"/>
        </w:rPr>
        <w:t>之二</w:t>
      </w:r>
      <w:r>
        <w:rPr>
          <w:rFonts w:cs="Times New Roman"/>
          <w:szCs w:val="24"/>
          <w:lang w:val="en-GB"/>
        </w:rPr>
        <w:t>).</w:t>
      </w:r>
      <w:r>
        <w:rPr>
          <w:rFonts w:cs="Times New Roman"/>
          <w:szCs w:val="24"/>
          <w:lang w:val="en-GB"/>
        </w:rPr>
        <w:tab/>
      </w:r>
      <w:r w:rsidRPr="00F65589">
        <w:rPr>
          <w:rFonts w:hint="eastAsia"/>
          <w:szCs w:val="24"/>
        </w:rPr>
        <w:t>所产生的四氯化碳有大约三分之二是在氯甲烷生产设施内转化为六种散装非消耗臭氧层物质</w:t>
      </w:r>
      <w:r>
        <w:rPr>
          <w:rFonts w:cs="Times New Roman" w:hint="eastAsia"/>
          <w:szCs w:val="24"/>
          <w:lang w:val="en-GB"/>
        </w:rPr>
        <w:t>（</w:t>
      </w:r>
      <w:r>
        <w:rPr>
          <w:rFonts w:cs="Times New Roman" w:hint="eastAsia"/>
          <w:szCs w:val="24"/>
          <w:lang w:val="en-GB"/>
        </w:rPr>
        <w:t>ODS</w:t>
      </w:r>
      <w:r>
        <w:rPr>
          <w:rFonts w:cs="Times New Roman" w:hint="eastAsia"/>
          <w:szCs w:val="24"/>
          <w:lang w:val="en-GB"/>
        </w:rPr>
        <w:t>）化学品：甲基溴或盐酸（</w:t>
      </w:r>
      <w:r>
        <w:rPr>
          <w:rFonts w:cs="Times New Roman" w:hint="eastAsia"/>
          <w:szCs w:val="24"/>
          <w:lang w:val="en-GB"/>
        </w:rPr>
        <w:t>HC1</w:t>
      </w:r>
      <w:r>
        <w:rPr>
          <w:rFonts w:cs="Times New Roman" w:hint="eastAsia"/>
          <w:szCs w:val="24"/>
          <w:lang w:val="en-GB"/>
        </w:rPr>
        <w:t>）、</w:t>
      </w:r>
      <w:bookmarkStart w:id="0" w:name="_Hlk27209698"/>
      <w:r w:rsidRPr="00EE1553">
        <w:rPr>
          <w:rFonts w:cs="Times New Roman"/>
          <w:szCs w:val="24"/>
        </w:rPr>
        <w:t>全氯乙烯</w:t>
      </w:r>
      <w:bookmarkEnd w:id="0"/>
      <w:r>
        <w:rPr>
          <w:rFonts w:cs="Times New Roman" w:hint="eastAsia"/>
          <w:szCs w:val="24"/>
        </w:rPr>
        <w:t>（</w:t>
      </w:r>
      <w:r>
        <w:rPr>
          <w:rFonts w:cs="Times New Roman" w:hint="eastAsia"/>
          <w:szCs w:val="24"/>
        </w:rPr>
        <w:t>PCE</w:t>
      </w:r>
      <w:r>
        <w:rPr>
          <w:rFonts w:cs="Times New Roman" w:hint="eastAsia"/>
          <w:szCs w:val="24"/>
        </w:rPr>
        <w:t>）和氯仿；少量转化为</w:t>
      </w:r>
      <w:r w:rsidRPr="00EE1553">
        <w:rPr>
          <w:rFonts w:cs="Times New Roman"/>
          <w:szCs w:val="24"/>
          <w:lang w:val="en-CA"/>
        </w:rPr>
        <w:t>HFC-245fa</w:t>
      </w:r>
      <w:r>
        <w:rPr>
          <w:rFonts w:cs="Times New Roman" w:hint="eastAsia"/>
          <w:szCs w:val="24"/>
          <w:lang w:val="en-CA"/>
        </w:rPr>
        <w:t>和</w:t>
      </w:r>
      <w:r w:rsidRPr="00EE1553">
        <w:rPr>
          <w:rFonts w:cs="Times New Roman"/>
          <w:szCs w:val="24"/>
          <w:lang w:val="en-CA"/>
        </w:rPr>
        <w:t>HFC-365mfc</w:t>
      </w:r>
      <w:r>
        <w:rPr>
          <w:rFonts w:cs="Times New Roman" w:hint="eastAsia"/>
          <w:szCs w:val="24"/>
          <w:lang w:val="en-CA"/>
        </w:rPr>
        <w:t>。在氯甲烷生产厂家转化的四氯化碳中，一半以上是转化为全氯乙烯，甲基溴或盐酸占</w:t>
      </w:r>
      <w:r>
        <w:rPr>
          <w:rFonts w:cs="Times New Roman" w:hint="eastAsia"/>
          <w:szCs w:val="24"/>
          <w:lang w:val="en-CA"/>
        </w:rPr>
        <w:t>28%</w:t>
      </w:r>
      <w:r>
        <w:rPr>
          <w:rFonts w:cs="Times New Roman" w:hint="eastAsia"/>
          <w:szCs w:val="24"/>
          <w:lang w:val="en-CA"/>
        </w:rPr>
        <w:t>，氯仿占</w:t>
      </w:r>
      <w:r>
        <w:rPr>
          <w:rFonts w:cs="Times New Roman" w:hint="eastAsia"/>
          <w:szCs w:val="24"/>
          <w:lang w:val="en-CA"/>
        </w:rPr>
        <w:t>16%</w:t>
      </w:r>
      <w:r>
        <w:rPr>
          <w:rFonts w:cs="Times New Roman" w:hint="eastAsia"/>
          <w:szCs w:val="24"/>
          <w:lang w:val="en-CA"/>
        </w:rPr>
        <w:t>。其余大约三分之一所产生的四氯化碳</w:t>
      </w:r>
      <w:r w:rsidR="00A60A65">
        <w:rPr>
          <w:rFonts w:cs="Times New Roman" w:hint="eastAsia"/>
          <w:szCs w:val="24"/>
          <w:lang w:val="en-CA"/>
        </w:rPr>
        <w:t>由</w:t>
      </w:r>
      <w:r>
        <w:rPr>
          <w:rFonts w:cs="Times New Roman" w:hint="eastAsia"/>
          <w:szCs w:val="24"/>
          <w:lang w:val="en-CA"/>
        </w:rPr>
        <w:t>21</w:t>
      </w:r>
      <w:r>
        <w:rPr>
          <w:rFonts w:cs="Times New Roman" w:hint="eastAsia"/>
          <w:szCs w:val="24"/>
          <w:lang w:val="en-CA"/>
        </w:rPr>
        <w:t>家经过登记的原料用户作为原料来生产</w:t>
      </w:r>
      <w:r>
        <w:rPr>
          <w:rFonts w:cs="Times New Roman" w:hint="eastAsia"/>
          <w:szCs w:val="24"/>
          <w:lang w:val="en-CA"/>
        </w:rPr>
        <w:t>11</w:t>
      </w:r>
      <w:r w:rsidR="00205259">
        <w:rPr>
          <w:rFonts w:cs="Times New Roman" w:hint="eastAsia"/>
          <w:szCs w:val="24"/>
          <w:lang w:val="en-CA"/>
        </w:rPr>
        <w:t>种</w:t>
      </w:r>
      <w:r>
        <w:rPr>
          <w:rFonts w:cs="Times New Roman" w:hint="eastAsia"/>
          <w:szCs w:val="24"/>
          <w:lang w:val="en-CA"/>
        </w:rPr>
        <w:t>非</w:t>
      </w:r>
      <w:r>
        <w:rPr>
          <w:rFonts w:cs="Times New Roman" w:hint="eastAsia"/>
          <w:szCs w:val="24"/>
          <w:lang w:val="en-CA"/>
        </w:rPr>
        <w:t>ODS</w:t>
      </w:r>
      <w:r>
        <w:rPr>
          <w:rFonts w:cs="Times New Roman" w:hint="eastAsia"/>
          <w:szCs w:val="24"/>
          <w:lang w:val="en-CA"/>
        </w:rPr>
        <w:t>化学品</w:t>
      </w:r>
      <w:r w:rsidR="00205259">
        <w:rPr>
          <w:rFonts w:cs="Times New Roman" w:hint="eastAsia"/>
          <w:szCs w:val="24"/>
          <w:lang w:val="en-CA"/>
        </w:rPr>
        <w:t>，其中两种化学品，即全氯乙烯和</w:t>
      </w:r>
      <w:r w:rsidR="00205259" w:rsidRPr="00205259">
        <w:rPr>
          <w:rFonts w:cs="Times New Roman"/>
          <w:szCs w:val="24"/>
          <w:lang w:val="en-CA"/>
        </w:rPr>
        <w:t>HFC-245fa</w:t>
      </w:r>
      <w:r w:rsidR="00205259">
        <w:rPr>
          <w:rFonts w:cs="Times New Roman" w:hint="eastAsia"/>
          <w:szCs w:val="24"/>
          <w:lang w:val="en-CA"/>
        </w:rPr>
        <w:t>，占这种用途的大约</w:t>
      </w:r>
      <w:r w:rsidR="00205259">
        <w:rPr>
          <w:rFonts w:cs="Times New Roman" w:hint="eastAsia"/>
          <w:szCs w:val="24"/>
          <w:lang w:val="en-CA"/>
        </w:rPr>
        <w:t>70%</w:t>
      </w:r>
      <w:r w:rsidR="00205259">
        <w:rPr>
          <w:rFonts w:cs="Times New Roman" w:hint="eastAsia"/>
          <w:szCs w:val="24"/>
          <w:lang w:val="en-CA"/>
        </w:rPr>
        <w:t>。四氯化碳还用作享有豁免的加工剂以及实验和分析用途。这些用途占中国四氯化碳使用量的不到</w:t>
      </w:r>
      <w:r w:rsidR="00F65589">
        <w:rPr>
          <w:rFonts w:cs="Times New Roman" w:hint="eastAsia"/>
          <w:szCs w:val="24"/>
          <w:lang w:val="en-CA"/>
        </w:rPr>
        <w:t>0.5%</w:t>
      </w:r>
      <w:r w:rsidR="00F65589">
        <w:rPr>
          <w:rFonts w:cs="Times New Roman" w:hint="eastAsia"/>
          <w:szCs w:val="24"/>
          <w:lang w:val="en-CA"/>
        </w:rPr>
        <w:t>。</w:t>
      </w:r>
    </w:p>
    <w:p w14:paraId="3E2EAB75" w14:textId="0E2423F9" w:rsidR="00F65589" w:rsidRPr="00BF4E24" w:rsidRDefault="00F65589" w:rsidP="004C23D0">
      <w:pPr>
        <w:spacing w:line="259" w:lineRule="auto"/>
        <w:jc w:val="both"/>
        <w:rPr>
          <w:rFonts w:cs="Times New Roman"/>
          <w:szCs w:val="24"/>
          <w:lang w:val="en-GB"/>
        </w:rPr>
      </w:pPr>
      <w:r w:rsidRPr="00F65589">
        <w:rPr>
          <w:rFonts w:cs="Times New Roman"/>
          <w:szCs w:val="24"/>
          <w:lang w:val="en-GB"/>
        </w:rPr>
        <w:t>•</w:t>
      </w:r>
      <w:r w:rsidRPr="00F65589">
        <w:rPr>
          <w:rFonts w:cs="Times New Roman"/>
          <w:szCs w:val="24"/>
          <w:lang w:val="en-GB"/>
        </w:rPr>
        <w:tab/>
      </w:r>
      <w:r>
        <w:rPr>
          <w:rFonts w:cs="Times New Roman" w:hint="eastAsia"/>
          <w:szCs w:val="24"/>
          <w:lang w:val="en-GB"/>
        </w:rPr>
        <w:t>在第</w:t>
      </w:r>
      <w:r>
        <w:rPr>
          <w:rFonts w:cs="Times New Roman" w:hint="eastAsia"/>
          <w:szCs w:val="24"/>
          <w:lang w:val="en-GB"/>
        </w:rPr>
        <w:t>31</w:t>
      </w:r>
      <w:r>
        <w:rPr>
          <w:rFonts w:cs="Times New Roman" w:hint="eastAsia"/>
          <w:szCs w:val="24"/>
          <w:lang w:val="en-GB"/>
        </w:rPr>
        <w:t>段之后</w:t>
      </w:r>
      <w:r w:rsidRPr="00F65589">
        <w:rPr>
          <w:rFonts w:cs="Times New Roman" w:hint="eastAsia"/>
          <w:b/>
          <w:bCs/>
          <w:szCs w:val="24"/>
          <w:lang w:val="en-GB"/>
        </w:rPr>
        <w:t>增加</w:t>
      </w:r>
      <w:r>
        <w:rPr>
          <w:rFonts w:cs="Times New Roman" w:hint="eastAsia"/>
          <w:szCs w:val="24"/>
          <w:lang w:val="en-GB"/>
        </w:rPr>
        <w:t>以下自然段：</w:t>
      </w:r>
    </w:p>
    <w:p w14:paraId="07A077AB" w14:textId="4FCD2D11" w:rsidR="004C23D0" w:rsidRDefault="00F65589" w:rsidP="00F65589">
      <w:pPr>
        <w:tabs>
          <w:tab w:val="left" w:pos="1260"/>
        </w:tabs>
        <w:spacing w:before="0" w:after="160" w:line="259" w:lineRule="auto"/>
        <w:rPr>
          <w:szCs w:val="24"/>
        </w:rPr>
      </w:pPr>
      <w:r w:rsidRPr="00F65589">
        <w:rPr>
          <w:rFonts w:hint="eastAsia"/>
          <w:szCs w:val="24"/>
        </w:rPr>
        <w:t>31</w:t>
      </w:r>
      <w:r w:rsidRPr="00F65589">
        <w:rPr>
          <w:szCs w:val="24"/>
        </w:rPr>
        <w:t>(</w:t>
      </w:r>
      <w:r>
        <w:rPr>
          <w:rFonts w:hint="eastAsia"/>
          <w:szCs w:val="24"/>
        </w:rPr>
        <w:t>之二</w:t>
      </w:r>
      <w:r w:rsidRPr="00F65589">
        <w:rPr>
          <w:szCs w:val="24"/>
        </w:rPr>
        <w:t>)</w:t>
      </w:r>
      <w:r>
        <w:rPr>
          <w:szCs w:val="24"/>
        </w:rPr>
        <w:t>.</w:t>
      </w:r>
      <w:r>
        <w:rPr>
          <w:szCs w:val="24"/>
        </w:rPr>
        <w:tab/>
      </w:r>
      <w:r>
        <w:rPr>
          <w:rFonts w:hint="eastAsia"/>
          <w:szCs w:val="24"/>
        </w:rPr>
        <w:t>世界银行除其他外澄清如下：</w:t>
      </w:r>
      <w:bookmarkStart w:id="1" w:name="_GoBack"/>
      <w:bookmarkEnd w:id="1"/>
    </w:p>
    <w:p w14:paraId="023F7FCF" w14:textId="57B03D0D" w:rsidR="00FC67B8" w:rsidRPr="00FC67B8" w:rsidRDefault="00F65589" w:rsidP="00FC67B8">
      <w:pPr>
        <w:pStyle w:val="ListParagraph"/>
        <w:numPr>
          <w:ilvl w:val="0"/>
          <w:numId w:val="23"/>
        </w:numPr>
        <w:spacing w:line="259" w:lineRule="auto"/>
        <w:ind w:left="980" w:hanging="490"/>
        <w:rPr>
          <w:szCs w:val="24"/>
        </w:rPr>
      </w:pPr>
      <w:r>
        <w:rPr>
          <w:rFonts w:hint="eastAsia"/>
          <w:szCs w:val="24"/>
        </w:rPr>
        <w:t>政府要求</w:t>
      </w:r>
      <w:r w:rsidR="00FC67B8" w:rsidRPr="00FC67B8">
        <w:rPr>
          <w:rFonts w:hint="eastAsia"/>
          <w:szCs w:val="24"/>
        </w:rPr>
        <w:t>原料生产厂家和用户每季度向对外合作与交流</w:t>
      </w:r>
      <w:r w:rsidR="00FC67B8" w:rsidRPr="00FC67B8">
        <w:rPr>
          <w:szCs w:val="24"/>
        </w:rPr>
        <w:t>中心（</w:t>
      </w:r>
      <w:r w:rsidR="00FC67B8" w:rsidRPr="00FC67B8">
        <w:rPr>
          <w:rFonts w:hint="eastAsia"/>
          <w:szCs w:val="24"/>
        </w:rPr>
        <w:t>FECO</w:t>
      </w:r>
      <w:r w:rsidR="00FC67B8" w:rsidRPr="00FC67B8">
        <w:rPr>
          <w:rFonts w:hint="eastAsia"/>
          <w:szCs w:val="24"/>
        </w:rPr>
        <w:t>）报告其生产和消费情况。</w:t>
      </w:r>
      <w:r w:rsidR="00FC67B8" w:rsidRPr="00FC67B8">
        <w:rPr>
          <w:rFonts w:hint="eastAsia"/>
          <w:szCs w:val="24"/>
        </w:rPr>
        <w:t xml:space="preserve"> </w:t>
      </w:r>
      <w:r w:rsidR="00FC67B8" w:rsidRPr="00FC67B8">
        <w:rPr>
          <w:rFonts w:hint="eastAsia"/>
          <w:szCs w:val="24"/>
        </w:rPr>
        <w:t>氯甲烷生产厂家不得将四氯化碳出售给未登记的原料用户。原料用户不得出售四氯化碳，只能将其用于登记的并在其环境影响评估报告中申明的用途；</w:t>
      </w:r>
    </w:p>
    <w:p w14:paraId="5916DFA5" w14:textId="77777777" w:rsidR="00FC67B8" w:rsidRPr="00FC67B8" w:rsidRDefault="00FC67B8" w:rsidP="00FC67B8">
      <w:pPr>
        <w:pStyle w:val="ListParagraph"/>
        <w:numPr>
          <w:ilvl w:val="0"/>
          <w:numId w:val="23"/>
        </w:numPr>
        <w:spacing w:line="259" w:lineRule="auto"/>
        <w:ind w:left="980" w:hanging="490"/>
        <w:rPr>
          <w:szCs w:val="24"/>
        </w:rPr>
      </w:pPr>
      <w:r w:rsidRPr="00FC67B8">
        <w:rPr>
          <w:rFonts w:hint="eastAsia"/>
          <w:szCs w:val="24"/>
        </w:rPr>
        <w:t>所有氯甲烷生产厂家都必须在</w:t>
      </w:r>
      <w:r w:rsidRPr="00FC67B8">
        <w:rPr>
          <w:rFonts w:hint="eastAsia"/>
          <w:szCs w:val="24"/>
        </w:rPr>
        <w:t>FECO</w:t>
      </w:r>
      <w:r w:rsidRPr="00FC67B8">
        <w:rPr>
          <w:rFonts w:hint="eastAsia"/>
          <w:szCs w:val="24"/>
        </w:rPr>
        <w:t>登记；</w:t>
      </w:r>
    </w:p>
    <w:p w14:paraId="5D8EA6AB" w14:textId="77777777" w:rsidR="00FC67B8" w:rsidRPr="00FC67B8" w:rsidRDefault="00FC67B8" w:rsidP="00FC67B8">
      <w:pPr>
        <w:pStyle w:val="ListParagraph"/>
        <w:numPr>
          <w:ilvl w:val="0"/>
          <w:numId w:val="23"/>
        </w:numPr>
        <w:spacing w:line="259" w:lineRule="auto"/>
        <w:ind w:left="980" w:hanging="490"/>
        <w:rPr>
          <w:szCs w:val="24"/>
        </w:rPr>
      </w:pPr>
      <w:r w:rsidRPr="00FC67B8">
        <w:rPr>
          <w:rFonts w:hint="eastAsia"/>
          <w:szCs w:val="24"/>
        </w:rPr>
        <w:lastRenderedPageBreak/>
        <w:t>只有三个氯甲烷生产厂家获准出售用作原料的四氯化碳，因为它们属于四氯化碳淘汰工作所涵盖的原始生产厂家，并且在</w:t>
      </w:r>
      <w:r w:rsidRPr="00FC67B8">
        <w:rPr>
          <w:rFonts w:hint="eastAsia"/>
          <w:szCs w:val="24"/>
        </w:rPr>
        <w:t>2010</w:t>
      </w:r>
      <w:r w:rsidRPr="00FC67B8">
        <w:rPr>
          <w:rFonts w:hint="eastAsia"/>
          <w:szCs w:val="24"/>
        </w:rPr>
        <w:t>年之前便出售原料用途的四氯化碳；</w:t>
      </w:r>
    </w:p>
    <w:p w14:paraId="0D46D772" w14:textId="27C945B4" w:rsidR="00F65589" w:rsidRDefault="00FC67B8" w:rsidP="00FC67B8">
      <w:pPr>
        <w:pStyle w:val="ListParagraph"/>
        <w:numPr>
          <w:ilvl w:val="0"/>
          <w:numId w:val="23"/>
        </w:numPr>
        <w:spacing w:line="259" w:lineRule="auto"/>
        <w:ind w:left="980" w:hanging="490"/>
        <w:rPr>
          <w:szCs w:val="24"/>
        </w:rPr>
      </w:pPr>
      <w:r w:rsidRPr="00FC67B8">
        <w:rPr>
          <w:rFonts w:hint="eastAsia"/>
          <w:szCs w:val="24"/>
        </w:rPr>
        <w:t>所有氯甲烷生产厂家都必须具备用于把副产品四氯化碳转化为其他产品的转化设施</w:t>
      </w:r>
      <w:r w:rsidR="00A60A65">
        <w:rPr>
          <w:rFonts w:hint="eastAsia"/>
          <w:szCs w:val="24"/>
        </w:rPr>
        <w:t>，</w:t>
      </w:r>
      <w:r w:rsidRPr="00FC67B8">
        <w:rPr>
          <w:rFonts w:hint="eastAsia"/>
          <w:szCs w:val="24"/>
        </w:rPr>
        <w:t>销毁多余的四氯化碳</w:t>
      </w:r>
      <w:r w:rsidR="00A60A65">
        <w:rPr>
          <w:rFonts w:hint="eastAsia"/>
          <w:szCs w:val="24"/>
        </w:rPr>
        <w:t>，</w:t>
      </w:r>
      <w:r w:rsidRPr="00FC67B8">
        <w:rPr>
          <w:rFonts w:hint="eastAsia"/>
          <w:szCs w:val="24"/>
        </w:rPr>
        <w:t>或将其送往政府认可的废物管理设施进行处置。</w:t>
      </w:r>
      <w:r w:rsidRPr="00FC67B8">
        <w:rPr>
          <w:rFonts w:hint="eastAsia"/>
          <w:szCs w:val="24"/>
        </w:rPr>
        <w:t xml:space="preserve"> </w:t>
      </w:r>
      <w:r w:rsidRPr="00FC67B8">
        <w:rPr>
          <w:rFonts w:hint="eastAsia"/>
          <w:szCs w:val="24"/>
        </w:rPr>
        <w:t>氯甲烷生产厂家必须向本地生态和环境局报告产生、处置和储存的残留数量；</w:t>
      </w:r>
    </w:p>
    <w:p w14:paraId="291E6417" w14:textId="30558B01" w:rsidR="00FC7F48" w:rsidRPr="00FC7F48" w:rsidRDefault="00FC7F48" w:rsidP="00FC7F48">
      <w:pPr>
        <w:pStyle w:val="ListParagraph"/>
        <w:numPr>
          <w:ilvl w:val="0"/>
          <w:numId w:val="23"/>
        </w:numPr>
        <w:spacing w:line="259" w:lineRule="auto"/>
        <w:ind w:left="980" w:hanging="490"/>
        <w:rPr>
          <w:szCs w:val="24"/>
        </w:rPr>
      </w:pPr>
      <w:r w:rsidRPr="00FC7F48">
        <w:rPr>
          <w:rFonts w:hint="eastAsia"/>
          <w:szCs w:val="24"/>
        </w:rPr>
        <w:t>对四氯化碳的排放没有具体要求，但对挥发性有机碳氢化合物（</w:t>
      </w:r>
      <w:r w:rsidRPr="00FC7F48">
        <w:rPr>
          <w:rFonts w:hint="eastAsia"/>
          <w:szCs w:val="24"/>
        </w:rPr>
        <w:t>VOC</w:t>
      </w:r>
      <w:r w:rsidRPr="00FC7F48">
        <w:rPr>
          <w:rFonts w:hint="eastAsia"/>
          <w:szCs w:val="24"/>
        </w:rPr>
        <w:t>），其中包括已知的致癌物四氯化碳，有具体要求。因此，包括氯甲烷生产设施在内的企业不直接监测四氯化碳排放，但挥发性有机碳氢化合物的排放受到监测，包括受本地生态和环境局的监测。</w:t>
      </w:r>
      <w:r w:rsidR="00A60A65" w:rsidRPr="00FC7F48">
        <w:rPr>
          <w:rFonts w:hint="eastAsia"/>
          <w:szCs w:val="24"/>
        </w:rPr>
        <w:t>没有任何</w:t>
      </w:r>
      <w:r w:rsidR="00A60A65">
        <w:rPr>
          <w:rFonts w:hint="eastAsia"/>
          <w:szCs w:val="24"/>
        </w:rPr>
        <w:t>关于</w:t>
      </w:r>
      <w:r w:rsidRPr="00FC7F48">
        <w:rPr>
          <w:rFonts w:hint="eastAsia"/>
          <w:szCs w:val="24"/>
        </w:rPr>
        <w:t>储存、运输和装卸四氯化碳过程中的排放水平</w:t>
      </w:r>
      <w:r w:rsidR="00A60A65">
        <w:rPr>
          <w:rFonts w:hint="eastAsia"/>
          <w:szCs w:val="24"/>
        </w:rPr>
        <w:t>的</w:t>
      </w:r>
      <w:r w:rsidRPr="00FC7F48">
        <w:rPr>
          <w:rFonts w:hint="eastAsia"/>
          <w:szCs w:val="24"/>
        </w:rPr>
        <w:t>规范；</w:t>
      </w:r>
    </w:p>
    <w:p w14:paraId="0DF29A21" w14:textId="77777777" w:rsidR="00FC7F48" w:rsidRPr="00FC7F48" w:rsidRDefault="00FC7F48" w:rsidP="00FC7F48">
      <w:pPr>
        <w:pStyle w:val="ListParagraph"/>
        <w:numPr>
          <w:ilvl w:val="0"/>
          <w:numId w:val="23"/>
        </w:numPr>
        <w:spacing w:line="259" w:lineRule="auto"/>
        <w:ind w:left="980" w:hanging="490"/>
        <w:rPr>
          <w:szCs w:val="24"/>
        </w:rPr>
      </w:pPr>
      <w:r w:rsidRPr="00FC7F48">
        <w:rPr>
          <w:rFonts w:hint="eastAsia"/>
          <w:szCs w:val="24"/>
        </w:rPr>
        <w:t>作为年度登记手续的一部分，原料用户应提交环境影响评估报告，并说明所使用的四氯化碳和所生产的最后产品。对四氯化碳进行转化的氯甲烷生产厂家应该遵守相同的程序，并且必须每季度向</w:t>
      </w:r>
      <w:r w:rsidRPr="00FC7F48">
        <w:rPr>
          <w:rFonts w:hint="eastAsia"/>
          <w:szCs w:val="24"/>
        </w:rPr>
        <w:t>FECO</w:t>
      </w:r>
      <w:r w:rsidRPr="00FC7F48">
        <w:rPr>
          <w:rFonts w:hint="eastAsia"/>
          <w:szCs w:val="24"/>
        </w:rPr>
        <w:t>提供有关四氯化碳的信息；</w:t>
      </w:r>
    </w:p>
    <w:p w14:paraId="2F0F9A50" w14:textId="77777777" w:rsidR="00FC7F48" w:rsidRPr="00FC7F48" w:rsidRDefault="00FC7F48" w:rsidP="00FC7F48">
      <w:pPr>
        <w:pStyle w:val="ListParagraph"/>
        <w:numPr>
          <w:ilvl w:val="0"/>
          <w:numId w:val="23"/>
        </w:numPr>
        <w:spacing w:line="259" w:lineRule="auto"/>
        <w:ind w:left="980" w:hanging="490"/>
        <w:rPr>
          <w:szCs w:val="24"/>
        </w:rPr>
      </w:pPr>
      <w:r w:rsidRPr="00FC7F48">
        <w:rPr>
          <w:rFonts w:hint="eastAsia"/>
          <w:szCs w:val="24"/>
        </w:rPr>
        <w:t>有八家在</w:t>
      </w:r>
      <w:r w:rsidRPr="00FC7F48">
        <w:rPr>
          <w:rFonts w:hint="eastAsia"/>
          <w:szCs w:val="24"/>
        </w:rPr>
        <w:t>FECO</w:t>
      </w:r>
      <w:r w:rsidRPr="00FC7F48">
        <w:rPr>
          <w:rFonts w:hint="eastAsia"/>
          <w:szCs w:val="24"/>
        </w:rPr>
        <w:t>登记的经销商获准向登记的原料用户出售四氯化碳和在彼此之间买卖四氯化碳。须把销售额上报</w:t>
      </w:r>
      <w:r w:rsidRPr="00FC7F48">
        <w:rPr>
          <w:rFonts w:hint="eastAsia"/>
          <w:szCs w:val="24"/>
        </w:rPr>
        <w:t>FECO</w:t>
      </w:r>
      <w:r w:rsidRPr="00FC7F48">
        <w:rPr>
          <w:rFonts w:hint="eastAsia"/>
          <w:szCs w:val="24"/>
        </w:rPr>
        <w:t>；</w:t>
      </w:r>
    </w:p>
    <w:p w14:paraId="300385CF" w14:textId="049FBCFE" w:rsidR="00FC67B8" w:rsidRPr="00F65589" w:rsidRDefault="00FC7F48" w:rsidP="00FC7F48">
      <w:pPr>
        <w:pStyle w:val="ListParagraph"/>
        <w:numPr>
          <w:ilvl w:val="0"/>
          <w:numId w:val="23"/>
        </w:numPr>
        <w:spacing w:line="259" w:lineRule="auto"/>
        <w:ind w:left="980" w:hanging="490"/>
        <w:rPr>
          <w:szCs w:val="24"/>
        </w:rPr>
      </w:pPr>
      <w:r w:rsidRPr="00FC7F48">
        <w:rPr>
          <w:rFonts w:hint="eastAsia"/>
          <w:szCs w:val="24"/>
        </w:rPr>
        <w:t>尽管</w:t>
      </w:r>
      <w:r w:rsidRPr="00FC7F48">
        <w:rPr>
          <w:rFonts w:hint="eastAsia"/>
          <w:szCs w:val="24"/>
        </w:rPr>
        <w:t>HFC-245fa</w:t>
      </w:r>
      <w:r w:rsidRPr="00FC7F48">
        <w:rPr>
          <w:rFonts w:hint="eastAsia"/>
          <w:szCs w:val="24"/>
        </w:rPr>
        <w:t>、</w:t>
      </w:r>
      <w:r w:rsidRPr="00FC7F48">
        <w:rPr>
          <w:rFonts w:hint="eastAsia"/>
          <w:szCs w:val="24"/>
        </w:rPr>
        <w:t>HFC-365mfc</w:t>
      </w:r>
      <w:r w:rsidRPr="00FC7F48">
        <w:rPr>
          <w:rFonts w:hint="eastAsia"/>
          <w:szCs w:val="24"/>
        </w:rPr>
        <w:t>和</w:t>
      </w:r>
      <w:r w:rsidRPr="00FC7F48">
        <w:rPr>
          <w:rFonts w:hint="eastAsia"/>
          <w:szCs w:val="24"/>
        </w:rPr>
        <w:t>HFC 236fa</w:t>
      </w:r>
      <w:r w:rsidRPr="00FC7F48">
        <w:rPr>
          <w:rFonts w:hint="eastAsia"/>
          <w:szCs w:val="24"/>
        </w:rPr>
        <w:t>的产量在</w:t>
      </w:r>
      <w:r w:rsidRPr="00FC7F48">
        <w:rPr>
          <w:rFonts w:hint="eastAsia"/>
          <w:szCs w:val="24"/>
        </w:rPr>
        <w:t>2015</w:t>
      </w:r>
      <w:r w:rsidRPr="00FC7F48">
        <w:rPr>
          <w:rFonts w:hint="eastAsia"/>
          <w:szCs w:val="24"/>
        </w:rPr>
        <w:t>至</w:t>
      </w:r>
      <w:r w:rsidRPr="00FC7F48">
        <w:rPr>
          <w:rFonts w:hint="eastAsia"/>
          <w:szCs w:val="24"/>
        </w:rPr>
        <w:t>2017</w:t>
      </w:r>
      <w:r w:rsidRPr="00FC7F48">
        <w:rPr>
          <w:rFonts w:hint="eastAsia"/>
          <w:szCs w:val="24"/>
        </w:rPr>
        <w:t>年期间有所增加，但这些化学品在中国仍有大量闲置产能。所有三个物质的生产工艺都是液相反应。</w:t>
      </w:r>
    </w:p>
    <w:p w14:paraId="6F8054E1" w14:textId="341799FB" w:rsidR="00FC7F48" w:rsidRDefault="00FC7F48" w:rsidP="00FC7F48">
      <w:pPr>
        <w:spacing w:line="259" w:lineRule="auto"/>
        <w:rPr>
          <w:szCs w:val="24"/>
        </w:rPr>
      </w:pPr>
      <w:r w:rsidRPr="00FC7F48">
        <w:rPr>
          <w:b/>
          <w:bCs/>
          <w:szCs w:val="24"/>
          <w:lang w:val="en-GB"/>
        </w:rPr>
        <w:t>•</w:t>
      </w:r>
      <w:r w:rsidRPr="00FC7F48">
        <w:rPr>
          <w:b/>
          <w:bCs/>
          <w:szCs w:val="24"/>
          <w:lang w:val="en-GB"/>
        </w:rPr>
        <w:tab/>
      </w:r>
      <w:r w:rsidRPr="00FC7F48">
        <w:rPr>
          <w:rFonts w:hint="eastAsia"/>
          <w:szCs w:val="24"/>
          <w:lang w:val="en-GB"/>
        </w:rPr>
        <w:t>在第</w:t>
      </w:r>
      <w:r w:rsidRPr="00FC7F48">
        <w:rPr>
          <w:rFonts w:hint="eastAsia"/>
          <w:szCs w:val="24"/>
        </w:rPr>
        <w:t>3</w:t>
      </w:r>
      <w:r>
        <w:rPr>
          <w:rFonts w:hint="eastAsia"/>
          <w:szCs w:val="24"/>
        </w:rPr>
        <w:t>2</w:t>
      </w:r>
      <w:r w:rsidRPr="00FC7F48">
        <w:rPr>
          <w:rFonts w:hint="eastAsia"/>
          <w:szCs w:val="24"/>
        </w:rPr>
        <w:t>段</w:t>
      </w:r>
      <w:r>
        <w:rPr>
          <w:rFonts w:hint="eastAsia"/>
          <w:szCs w:val="24"/>
        </w:rPr>
        <w:t>的末尾</w:t>
      </w:r>
      <w:r w:rsidRPr="00FC7F48">
        <w:rPr>
          <w:rFonts w:hint="eastAsia"/>
          <w:b/>
          <w:bCs/>
          <w:szCs w:val="24"/>
        </w:rPr>
        <w:t>增加</w:t>
      </w:r>
      <w:r w:rsidRPr="00FC7F48">
        <w:rPr>
          <w:rFonts w:hint="eastAsia"/>
          <w:szCs w:val="24"/>
        </w:rPr>
        <w:t>以下</w:t>
      </w:r>
      <w:r>
        <w:rPr>
          <w:rFonts w:hint="eastAsia"/>
          <w:szCs w:val="24"/>
        </w:rPr>
        <w:t>一句话：</w:t>
      </w:r>
    </w:p>
    <w:p w14:paraId="087B01B0" w14:textId="265879E4" w:rsidR="00FC7F48" w:rsidRDefault="00FC7F48" w:rsidP="007B38DF">
      <w:pPr>
        <w:spacing w:line="259" w:lineRule="auto"/>
        <w:rPr>
          <w:szCs w:val="24"/>
        </w:rPr>
      </w:pPr>
      <w:r>
        <w:rPr>
          <w:rFonts w:hint="eastAsia"/>
          <w:szCs w:val="24"/>
        </w:rPr>
        <w:t>政府认为，由于该行业在中国的复杂性，现有监测系统不</w:t>
      </w:r>
      <w:r w:rsidR="00A60A65">
        <w:rPr>
          <w:rFonts w:hint="eastAsia"/>
          <w:szCs w:val="24"/>
        </w:rPr>
        <w:t>采用</w:t>
      </w:r>
      <w:r w:rsidRPr="00FC7F48">
        <w:rPr>
          <w:rFonts w:hint="eastAsia"/>
          <w:szCs w:val="24"/>
          <w:lang w:val="en-GB"/>
        </w:rPr>
        <w:t>材料换算率</w:t>
      </w:r>
      <w:r>
        <w:rPr>
          <w:rFonts w:hint="eastAsia"/>
          <w:szCs w:val="24"/>
          <w:lang w:val="en-GB"/>
        </w:rPr>
        <w:t>，但这个系统是足够的。</w:t>
      </w:r>
    </w:p>
    <w:p w14:paraId="7A31D7FC" w14:textId="408805D0" w:rsidR="00FC7F48" w:rsidRPr="00FC7F48" w:rsidRDefault="00FC7F48" w:rsidP="007B38DF">
      <w:pPr>
        <w:spacing w:line="259" w:lineRule="auto"/>
        <w:rPr>
          <w:szCs w:val="24"/>
        </w:rPr>
      </w:pPr>
      <w:r w:rsidRPr="00FC7F48">
        <w:rPr>
          <w:b/>
          <w:bCs/>
          <w:szCs w:val="24"/>
          <w:lang w:val="en-GB"/>
        </w:rPr>
        <w:t>•</w:t>
      </w:r>
      <w:r w:rsidRPr="00FC7F48">
        <w:rPr>
          <w:b/>
          <w:bCs/>
          <w:szCs w:val="24"/>
          <w:lang w:val="en-GB"/>
        </w:rPr>
        <w:tab/>
      </w:r>
      <w:r w:rsidRPr="00FC7F48">
        <w:rPr>
          <w:b/>
          <w:bCs/>
          <w:szCs w:val="24"/>
          <w:lang w:val="en-GB"/>
        </w:rPr>
        <w:t>在第</w:t>
      </w:r>
      <w:r w:rsidRPr="00FC7F48">
        <w:rPr>
          <w:b/>
          <w:bCs/>
          <w:szCs w:val="24"/>
        </w:rPr>
        <w:t>3</w:t>
      </w:r>
      <w:r>
        <w:rPr>
          <w:rFonts w:hint="eastAsia"/>
          <w:b/>
          <w:bCs/>
          <w:szCs w:val="24"/>
        </w:rPr>
        <w:t>6</w:t>
      </w:r>
      <w:r w:rsidRPr="00FC7F48">
        <w:rPr>
          <w:b/>
          <w:bCs/>
          <w:szCs w:val="24"/>
        </w:rPr>
        <w:t>段</w:t>
      </w:r>
      <w:r>
        <w:rPr>
          <w:rFonts w:hint="eastAsia"/>
          <w:szCs w:val="24"/>
        </w:rPr>
        <w:t>之后增加以下自然段</w:t>
      </w:r>
      <w:r w:rsidRPr="00FC7F48">
        <w:rPr>
          <w:rFonts w:hint="eastAsia"/>
          <w:szCs w:val="24"/>
        </w:rPr>
        <w:t>：</w:t>
      </w:r>
    </w:p>
    <w:p w14:paraId="02E6EF28" w14:textId="2B48EFEE" w:rsidR="004C23D0" w:rsidRDefault="00FC7F48" w:rsidP="007B38DF">
      <w:pPr>
        <w:tabs>
          <w:tab w:val="left" w:pos="1260"/>
        </w:tabs>
        <w:spacing w:before="0" w:after="160" w:line="259" w:lineRule="auto"/>
        <w:rPr>
          <w:szCs w:val="24"/>
        </w:rPr>
      </w:pPr>
      <w:r w:rsidRPr="00FC7F48">
        <w:rPr>
          <w:rFonts w:hint="eastAsia"/>
          <w:szCs w:val="24"/>
        </w:rPr>
        <w:t>36</w:t>
      </w:r>
      <w:r w:rsidRPr="00FC7F48">
        <w:rPr>
          <w:szCs w:val="24"/>
        </w:rPr>
        <w:t>(</w:t>
      </w:r>
      <w:r w:rsidRPr="00FC7F48">
        <w:rPr>
          <w:rFonts w:hint="eastAsia"/>
          <w:szCs w:val="24"/>
        </w:rPr>
        <w:t>之二</w:t>
      </w:r>
      <w:r w:rsidRPr="00FC7F48">
        <w:rPr>
          <w:szCs w:val="24"/>
        </w:rPr>
        <w:t>).</w:t>
      </w:r>
      <w:r>
        <w:rPr>
          <w:szCs w:val="24"/>
        </w:rPr>
        <w:tab/>
      </w:r>
      <w:r w:rsidR="007B38DF" w:rsidRPr="007B38DF">
        <w:rPr>
          <w:rFonts w:hint="eastAsia"/>
          <w:szCs w:val="24"/>
        </w:rPr>
        <w:t>秘书处还注意到，</w:t>
      </w:r>
      <w:r w:rsidR="007B38DF" w:rsidRPr="007B38DF">
        <w:rPr>
          <w:rFonts w:hint="eastAsia"/>
          <w:szCs w:val="24"/>
        </w:rPr>
        <w:t>2018</w:t>
      </w:r>
      <w:r w:rsidR="007B38DF" w:rsidRPr="007B38DF">
        <w:rPr>
          <w:rFonts w:hint="eastAsia"/>
          <w:szCs w:val="24"/>
        </w:rPr>
        <w:t>年</w:t>
      </w:r>
      <w:r w:rsidR="007B38DF" w:rsidRPr="007B38DF">
        <w:rPr>
          <w:rFonts w:hint="eastAsia"/>
          <w:szCs w:val="24"/>
        </w:rPr>
        <w:t>8</w:t>
      </w:r>
      <w:r w:rsidR="007B38DF" w:rsidRPr="007B38DF">
        <w:rPr>
          <w:rFonts w:hint="eastAsia"/>
          <w:szCs w:val="24"/>
        </w:rPr>
        <w:t>月的《大气化学和物理学》</w:t>
      </w:r>
      <w:r w:rsidR="007B38DF" w:rsidRPr="007B38DF">
        <w:rPr>
          <w:rFonts w:cs="Times New Roman" w:hint="eastAsia"/>
          <w:szCs w:val="24"/>
          <w:lang w:val="en-GB"/>
        </w:rPr>
        <w:t>发表了另一份关于解决中国四氯化碳排放预算差异的科学报告</w:t>
      </w:r>
      <w:r w:rsidR="007B38DF" w:rsidRPr="007B38DF">
        <w:rPr>
          <w:rFonts w:hint="eastAsia"/>
          <w:szCs w:val="24"/>
          <w:vertAlign w:val="superscript"/>
        </w:rPr>
        <w:footnoteReference w:customMarkFollows="1" w:id="1"/>
        <w:t>10(</w:t>
      </w:r>
      <w:r w:rsidR="007B38DF" w:rsidRPr="007B38DF">
        <w:rPr>
          <w:rFonts w:hint="eastAsia"/>
          <w:szCs w:val="24"/>
          <w:vertAlign w:val="superscript"/>
        </w:rPr>
        <w:t>之二</w:t>
      </w:r>
      <w:r w:rsidR="007B38DF" w:rsidRPr="007B38DF">
        <w:rPr>
          <w:rFonts w:hint="eastAsia"/>
          <w:szCs w:val="24"/>
          <w:vertAlign w:val="superscript"/>
        </w:rPr>
        <w:t>)</w:t>
      </w:r>
      <w:r w:rsidR="007B38DF" w:rsidRPr="007B38DF">
        <w:rPr>
          <w:rFonts w:hint="eastAsia"/>
          <w:szCs w:val="24"/>
        </w:rPr>
        <w:t>，其中提出，该项研究中观察到的四氯化碳增加量中约有</w:t>
      </w:r>
      <w:r w:rsidR="007B38DF" w:rsidRPr="007B38DF">
        <w:rPr>
          <w:rFonts w:hint="eastAsia"/>
          <w:szCs w:val="24"/>
        </w:rPr>
        <w:t>89%</w:t>
      </w:r>
      <w:r w:rsidR="007B38DF" w:rsidRPr="007B38DF">
        <w:rPr>
          <w:rFonts w:hint="eastAsia"/>
          <w:szCs w:val="24"/>
        </w:rPr>
        <w:t>来自</w:t>
      </w:r>
      <w:r w:rsidR="007B38DF" w:rsidRPr="007B38DF">
        <w:rPr>
          <w:szCs w:val="24"/>
        </w:rPr>
        <w:t>甲基氯</w:t>
      </w:r>
      <w:r w:rsidR="007B38DF" w:rsidRPr="007B38DF">
        <w:rPr>
          <w:rFonts w:hint="eastAsia"/>
          <w:szCs w:val="24"/>
        </w:rPr>
        <w:t>、二氯甲烷、氯仿和</w:t>
      </w:r>
      <w:r w:rsidR="007B38DF" w:rsidRPr="007B38DF">
        <w:rPr>
          <w:szCs w:val="24"/>
        </w:rPr>
        <w:t>全氯乙烯</w:t>
      </w:r>
      <w:r w:rsidR="007B38DF" w:rsidRPr="007B38DF">
        <w:rPr>
          <w:rFonts w:hint="eastAsia"/>
          <w:szCs w:val="24"/>
        </w:rPr>
        <w:t>生产以及化学品制造业中作为原料和加工剂使用的四氯化碳。</w:t>
      </w:r>
    </w:p>
    <w:p w14:paraId="3042D177" w14:textId="284F1E5B" w:rsidR="007B38DF" w:rsidRPr="007B38DF" w:rsidRDefault="007B38DF" w:rsidP="007B38DF">
      <w:pPr>
        <w:spacing w:line="259" w:lineRule="auto"/>
        <w:rPr>
          <w:szCs w:val="24"/>
        </w:rPr>
      </w:pPr>
      <w:r w:rsidRPr="007B38DF">
        <w:rPr>
          <w:szCs w:val="24"/>
        </w:rPr>
        <w:t>•</w:t>
      </w:r>
      <w:r w:rsidRPr="007B38DF">
        <w:rPr>
          <w:szCs w:val="24"/>
        </w:rPr>
        <w:tab/>
      </w:r>
      <w:r w:rsidRPr="007B38DF">
        <w:rPr>
          <w:szCs w:val="24"/>
        </w:rPr>
        <w:t>在第</w:t>
      </w:r>
      <w:r w:rsidRPr="007B38DF">
        <w:rPr>
          <w:szCs w:val="24"/>
        </w:rPr>
        <w:t>3</w:t>
      </w:r>
      <w:r>
        <w:rPr>
          <w:rFonts w:hint="eastAsia"/>
          <w:szCs w:val="24"/>
        </w:rPr>
        <w:t>7</w:t>
      </w:r>
      <w:r w:rsidRPr="007B38DF">
        <w:rPr>
          <w:szCs w:val="24"/>
        </w:rPr>
        <w:t>段</w:t>
      </w:r>
      <w:r w:rsidRPr="007B38DF">
        <w:rPr>
          <w:rFonts w:hint="eastAsia"/>
          <w:szCs w:val="24"/>
        </w:rPr>
        <w:t>之后增加以下自然段：</w:t>
      </w:r>
    </w:p>
    <w:p w14:paraId="4BD3DB65" w14:textId="77777777" w:rsidR="00532133" w:rsidRPr="00532133" w:rsidRDefault="007B38DF" w:rsidP="00532133">
      <w:pPr>
        <w:tabs>
          <w:tab w:val="left" w:pos="1260"/>
        </w:tabs>
        <w:spacing w:before="0" w:after="160" w:line="259" w:lineRule="auto"/>
        <w:rPr>
          <w:szCs w:val="24"/>
        </w:rPr>
      </w:pPr>
      <w:r>
        <w:rPr>
          <w:rFonts w:hint="eastAsia"/>
          <w:szCs w:val="24"/>
        </w:rPr>
        <w:t>37(</w:t>
      </w:r>
      <w:r>
        <w:rPr>
          <w:rFonts w:hint="eastAsia"/>
          <w:szCs w:val="24"/>
        </w:rPr>
        <w:t>之二</w:t>
      </w:r>
      <w:r>
        <w:rPr>
          <w:szCs w:val="24"/>
        </w:rPr>
        <w:t>).</w:t>
      </w:r>
      <w:r>
        <w:rPr>
          <w:szCs w:val="24"/>
        </w:rPr>
        <w:tab/>
      </w:r>
      <w:r w:rsidR="00532133" w:rsidRPr="00532133">
        <w:rPr>
          <w:rFonts w:hint="eastAsia"/>
          <w:szCs w:val="24"/>
        </w:rPr>
        <w:t>世界银行澄清说，尽管乙炔氯化工艺是中国生产全氯乙烯的首选技术，但有一个全氯乙烯生产厂家和八个氯甲烷生产厂家（其中之一也是登记的四氯化碳原料用户）仍使用烷烃氯化工艺。使用烷烃氯化工艺的全氯乙烯生产厂家由于是在闭环工艺中生产和使用四氯化碳，不是四氯化碳的登记生产厂家或用户。</w:t>
      </w:r>
    </w:p>
    <w:p w14:paraId="665B352D" w14:textId="19949294" w:rsidR="007B38DF" w:rsidRPr="00FC7F48" w:rsidRDefault="00532133" w:rsidP="00532133">
      <w:pPr>
        <w:tabs>
          <w:tab w:val="left" w:pos="1260"/>
        </w:tabs>
        <w:spacing w:before="0" w:after="160" w:line="259" w:lineRule="auto"/>
        <w:rPr>
          <w:szCs w:val="24"/>
        </w:rPr>
      </w:pPr>
      <w:r w:rsidRPr="00532133">
        <w:rPr>
          <w:rFonts w:hint="eastAsia"/>
          <w:szCs w:val="24"/>
        </w:rPr>
        <w:lastRenderedPageBreak/>
        <w:t>37(</w:t>
      </w:r>
      <w:r w:rsidRPr="00532133">
        <w:rPr>
          <w:rFonts w:hint="eastAsia"/>
          <w:szCs w:val="24"/>
        </w:rPr>
        <w:t>之三</w:t>
      </w:r>
      <w:r w:rsidRPr="00532133">
        <w:rPr>
          <w:szCs w:val="24"/>
        </w:rPr>
        <w:t>).</w:t>
      </w:r>
      <w:r w:rsidRPr="00532133">
        <w:rPr>
          <w:szCs w:val="24"/>
        </w:rPr>
        <w:tab/>
      </w:r>
      <w:r w:rsidRPr="00532133">
        <w:rPr>
          <w:rFonts w:hint="eastAsia"/>
          <w:szCs w:val="24"/>
        </w:rPr>
        <w:t>政府正考虑要求那些把四氯化碳作为其中间产品的全氯乙烯生产厂家在今后进行登记。这项新的要求仅适用于使用</w:t>
      </w:r>
      <w:r w:rsidRPr="00532133">
        <w:rPr>
          <w:rFonts w:hint="eastAsia"/>
          <w:szCs w:val="24"/>
        </w:rPr>
        <w:t>C1-C3</w:t>
      </w:r>
      <w:r w:rsidRPr="00532133">
        <w:rPr>
          <w:rFonts w:hint="eastAsia"/>
          <w:szCs w:val="24"/>
        </w:rPr>
        <w:t>烷烃氯化工艺的全氯乙烯生产厂家，不适用于使用乙炔氯化工艺的生产厂家，因为该工艺不使用或产生任何四氯化碳。已经要求使用</w:t>
      </w:r>
      <w:r w:rsidRPr="00532133">
        <w:rPr>
          <w:rFonts w:hint="eastAsia"/>
          <w:szCs w:val="24"/>
        </w:rPr>
        <w:t>C1-C3</w:t>
      </w:r>
      <w:r w:rsidRPr="00532133">
        <w:rPr>
          <w:rFonts w:hint="eastAsia"/>
          <w:szCs w:val="24"/>
        </w:rPr>
        <w:t>烷烃氯化工艺的氯甲烷生产厂家进行登记并向</w:t>
      </w:r>
      <w:r w:rsidRPr="00532133">
        <w:rPr>
          <w:rFonts w:hint="eastAsia"/>
          <w:szCs w:val="24"/>
        </w:rPr>
        <w:t>FECO</w:t>
      </w:r>
      <w:r w:rsidRPr="00532133">
        <w:rPr>
          <w:rFonts w:hint="eastAsia"/>
          <w:szCs w:val="24"/>
        </w:rPr>
        <w:t>提供季度数据，包括关于四氯化碳使用量和全氯乙烯产量的数据。</w:t>
      </w:r>
    </w:p>
    <w:p w14:paraId="140C06C0" w14:textId="57691D59" w:rsidR="00C8253D" w:rsidRDefault="00C8253D" w:rsidP="007B38DF">
      <w:pPr>
        <w:spacing w:line="259" w:lineRule="auto"/>
        <w:rPr>
          <w:szCs w:val="24"/>
        </w:rPr>
      </w:pPr>
    </w:p>
    <w:p w14:paraId="7697B13A" w14:textId="3476EC5E" w:rsidR="00532133" w:rsidRDefault="00532133" w:rsidP="007B38DF">
      <w:pPr>
        <w:spacing w:line="259" w:lineRule="auto"/>
        <w:rPr>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532133" w:rsidRPr="00532133" w14:paraId="44C0B0B5" w14:textId="77777777" w:rsidTr="00FA2010">
        <w:tc>
          <w:tcPr>
            <w:tcW w:w="1870" w:type="dxa"/>
          </w:tcPr>
          <w:p w14:paraId="017903F8" w14:textId="77777777" w:rsidR="00532133" w:rsidRPr="00532133" w:rsidRDefault="00532133" w:rsidP="00532133">
            <w:pPr>
              <w:spacing w:before="0" w:after="0" w:line="240" w:lineRule="auto"/>
              <w:rPr>
                <w:rFonts w:eastAsia="Times New Roman"/>
                <w:sz w:val="22"/>
                <w:lang w:val="en-CA"/>
              </w:rPr>
            </w:pPr>
          </w:p>
        </w:tc>
        <w:tc>
          <w:tcPr>
            <w:tcW w:w="1870" w:type="dxa"/>
          </w:tcPr>
          <w:p w14:paraId="1A9A0282" w14:textId="77777777" w:rsidR="00532133" w:rsidRPr="00532133" w:rsidRDefault="00532133" w:rsidP="00532133">
            <w:pPr>
              <w:spacing w:before="0" w:after="0" w:line="240" w:lineRule="auto"/>
              <w:rPr>
                <w:rFonts w:eastAsia="Times New Roman"/>
                <w:sz w:val="22"/>
                <w:lang w:val="en-CA"/>
              </w:rPr>
            </w:pPr>
          </w:p>
        </w:tc>
        <w:tc>
          <w:tcPr>
            <w:tcW w:w="1870" w:type="dxa"/>
            <w:tcBorders>
              <w:bottom w:val="single" w:sz="4" w:space="0" w:color="auto"/>
            </w:tcBorders>
          </w:tcPr>
          <w:p w14:paraId="215EFEA9" w14:textId="77777777" w:rsidR="00532133" w:rsidRPr="00532133" w:rsidRDefault="00532133" w:rsidP="00532133">
            <w:pPr>
              <w:spacing w:before="0" w:after="0" w:line="240" w:lineRule="auto"/>
              <w:rPr>
                <w:rFonts w:eastAsia="Times New Roman"/>
                <w:sz w:val="22"/>
                <w:lang w:val="en-CA"/>
              </w:rPr>
            </w:pPr>
          </w:p>
        </w:tc>
        <w:tc>
          <w:tcPr>
            <w:tcW w:w="1870" w:type="dxa"/>
          </w:tcPr>
          <w:p w14:paraId="545C58AC" w14:textId="77777777" w:rsidR="00532133" w:rsidRPr="00532133" w:rsidRDefault="00532133" w:rsidP="00532133">
            <w:pPr>
              <w:spacing w:before="0" w:after="0" w:line="240" w:lineRule="auto"/>
              <w:rPr>
                <w:rFonts w:eastAsia="Times New Roman"/>
                <w:sz w:val="22"/>
                <w:lang w:val="en-CA"/>
              </w:rPr>
            </w:pPr>
          </w:p>
        </w:tc>
        <w:tc>
          <w:tcPr>
            <w:tcW w:w="1870" w:type="dxa"/>
          </w:tcPr>
          <w:p w14:paraId="75C29450" w14:textId="77777777" w:rsidR="00532133" w:rsidRPr="00532133" w:rsidRDefault="00532133" w:rsidP="00532133">
            <w:pPr>
              <w:spacing w:before="0" w:after="0" w:line="240" w:lineRule="auto"/>
              <w:rPr>
                <w:rFonts w:eastAsia="Times New Roman"/>
                <w:sz w:val="22"/>
                <w:lang w:val="en-CA"/>
              </w:rPr>
            </w:pPr>
          </w:p>
        </w:tc>
      </w:tr>
    </w:tbl>
    <w:p w14:paraId="51569402" w14:textId="77777777" w:rsidR="00532133" w:rsidRPr="007B38DF" w:rsidRDefault="00532133" w:rsidP="007B38DF">
      <w:pPr>
        <w:spacing w:line="259" w:lineRule="auto"/>
        <w:rPr>
          <w:szCs w:val="24"/>
        </w:rPr>
      </w:pPr>
    </w:p>
    <w:sectPr w:rsidR="00532133" w:rsidRPr="007B38DF" w:rsidSect="004C23D0">
      <w:headerReference w:type="even" r:id="rId12"/>
      <w:headerReference w:type="default" r:id="rId13"/>
      <w:footerReference w:type="even" r:id="rId14"/>
      <w:footerReference w:type="default" r:id="rId15"/>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61EE6" w14:textId="77777777" w:rsidR="008F2A1B" w:rsidRDefault="008F2A1B" w:rsidP="009252BB">
      <w:pPr>
        <w:spacing w:before="0" w:after="0" w:line="240" w:lineRule="auto"/>
      </w:pPr>
      <w:r>
        <w:separator/>
      </w:r>
    </w:p>
  </w:endnote>
  <w:endnote w:type="continuationSeparator" w:id="0">
    <w:p w14:paraId="54DD1FFD" w14:textId="77777777" w:rsidR="008F2A1B" w:rsidRDefault="008F2A1B" w:rsidP="009252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66206"/>
      <w:docPartObj>
        <w:docPartGallery w:val="Page Numbers (Bottom of Page)"/>
        <w:docPartUnique/>
      </w:docPartObj>
    </w:sdtPr>
    <w:sdtEndPr>
      <w:rPr>
        <w:noProof/>
      </w:rPr>
    </w:sdtEndPr>
    <w:sdtContent>
      <w:p w14:paraId="187248B3" w14:textId="77777777" w:rsidR="004C23D0" w:rsidRDefault="004C23D0">
        <w:pPr>
          <w:pStyle w:val="Footer"/>
          <w:jc w:val="center"/>
        </w:pPr>
      </w:p>
      <w:p w14:paraId="4F671F9F" w14:textId="0FFE3A45" w:rsidR="004C23D0" w:rsidRDefault="004C23D0" w:rsidP="004C23D0">
        <w:pPr>
          <w:pStyle w:val="Footer"/>
          <w:jc w:val="center"/>
        </w:pPr>
        <w:r w:rsidRPr="004C23D0">
          <w:rPr>
            <w:sz w:val="20"/>
            <w:szCs w:val="20"/>
          </w:rPr>
          <w:fldChar w:fldCharType="begin"/>
        </w:r>
        <w:r w:rsidRPr="004C23D0">
          <w:rPr>
            <w:sz w:val="20"/>
            <w:szCs w:val="20"/>
          </w:rPr>
          <w:instrText xml:space="preserve"> PAGE   \* MERGEFORMAT </w:instrText>
        </w:r>
        <w:r w:rsidRPr="004C23D0">
          <w:rPr>
            <w:sz w:val="20"/>
            <w:szCs w:val="20"/>
          </w:rPr>
          <w:fldChar w:fldCharType="separate"/>
        </w:r>
        <w:r w:rsidR="00641814">
          <w:rPr>
            <w:noProof/>
            <w:sz w:val="20"/>
            <w:szCs w:val="20"/>
          </w:rPr>
          <w:t>2</w:t>
        </w:r>
        <w:r w:rsidRPr="004C23D0">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08311"/>
      <w:docPartObj>
        <w:docPartGallery w:val="Page Numbers (Bottom of Page)"/>
        <w:docPartUnique/>
      </w:docPartObj>
    </w:sdtPr>
    <w:sdtEndPr>
      <w:rPr>
        <w:noProof/>
      </w:rPr>
    </w:sdtEndPr>
    <w:sdtContent>
      <w:p w14:paraId="5B71812D" w14:textId="77777777" w:rsidR="009B7AAB" w:rsidRDefault="009B7AAB">
        <w:pPr>
          <w:pStyle w:val="Footer"/>
          <w:jc w:val="center"/>
        </w:pPr>
      </w:p>
      <w:p w14:paraId="31AD3DA5" w14:textId="3CEBA2E1" w:rsidR="009B7AAB" w:rsidRDefault="009B7AAB" w:rsidP="004C23D0">
        <w:pPr>
          <w:pStyle w:val="Footer"/>
          <w:jc w:val="center"/>
        </w:pPr>
        <w:r w:rsidRPr="00E76CD4">
          <w:rPr>
            <w:sz w:val="20"/>
            <w:szCs w:val="20"/>
          </w:rPr>
          <w:fldChar w:fldCharType="begin"/>
        </w:r>
        <w:r w:rsidRPr="00E76CD4">
          <w:rPr>
            <w:sz w:val="20"/>
            <w:szCs w:val="20"/>
          </w:rPr>
          <w:instrText xml:space="preserve"> PAGE   \* MERGEFORMAT </w:instrText>
        </w:r>
        <w:r w:rsidRPr="00E76CD4">
          <w:rPr>
            <w:sz w:val="20"/>
            <w:szCs w:val="20"/>
          </w:rPr>
          <w:fldChar w:fldCharType="separate"/>
        </w:r>
        <w:r w:rsidR="00641814">
          <w:rPr>
            <w:noProof/>
            <w:sz w:val="20"/>
            <w:szCs w:val="20"/>
          </w:rPr>
          <w:t>3</w:t>
        </w:r>
        <w:r w:rsidRPr="00E76CD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29D6F" w14:textId="77777777" w:rsidR="008F2A1B" w:rsidRDefault="008F2A1B" w:rsidP="009252BB">
      <w:pPr>
        <w:spacing w:before="0" w:after="0" w:line="240" w:lineRule="auto"/>
      </w:pPr>
      <w:r>
        <w:separator/>
      </w:r>
    </w:p>
  </w:footnote>
  <w:footnote w:type="continuationSeparator" w:id="0">
    <w:p w14:paraId="7CF8EF5D" w14:textId="77777777" w:rsidR="008F2A1B" w:rsidRDefault="008F2A1B" w:rsidP="009252BB">
      <w:pPr>
        <w:spacing w:before="0" w:after="0" w:line="240" w:lineRule="auto"/>
      </w:pPr>
      <w:r>
        <w:continuationSeparator/>
      </w:r>
    </w:p>
  </w:footnote>
  <w:footnote w:id="1">
    <w:p w14:paraId="714DBDBB" w14:textId="77777777" w:rsidR="007B38DF" w:rsidRDefault="007B38DF" w:rsidP="007B38DF">
      <w:pPr>
        <w:pStyle w:val="FootnoteText"/>
      </w:pPr>
      <w:r>
        <w:rPr>
          <w:rStyle w:val="FootnoteReference"/>
          <w:rFonts w:hint="eastAsia"/>
        </w:rPr>
        <w:t>10(</w:t>
      </w:r>
      <w:proofErr w:type="spellStart"/>
      <w:r>
        <w:rPr>
          <w:rStyle w:val="FootnoteReference"/>
          <w:rFonts w:hint="eastAsia"/>
        </w:rPr>
        <w:t>之二</w:t>
      </w:r>
      <w:proofErr w:type="spellEnd"/>
      <w:r>
        <w:rPr>
          <w:rStyle w:val="FootnoteReference"/>
          <w:rFonts w:hint="eastAsia"/>
        </w:rPr>
        <w:t>)</w:t>
      </w:r>
      <w:r>
        <w:t xml:space="preserve"> </w:t>
      </w:r>
      <w:r w:rsidRPr="000F30BE">
        <w:t xml:space="preserve">Park S., Li S., </w:t>
      </w:r>
      <w:proofErr w:type="spellStart"/>
      <w:r w:rsidRPr="000F30BE">
        <w:t>Mühle</w:t>
      </w:r>
      <w:proofErr w:type="spellEnd"/>
      <w:r w:rsidRPr="000F30BE">
        <w:t xml:space="preserve"> J, </w:t>
      </w:r>
      <w:proofErr w:type="spellStart"/>
      <w:r w:rsidRPr="000F30BE">
        <w:t>O'Doherty</w:t>
      </w:r>
      <w:proofErr w:type="spellEnd"/>
      <w:r w:rsidRPr="000F30BE">
        <w:t xml:space="preserve"> S, Weiss RF, Fang X., Reimann S., </w:t>
      </w:r>
      <w:proofErr w:type="spellStart"/>
      <w:r w:rsidRPr="000F30BE">
        <w:t>Prinn</w:t>
      </w:r>
      <w:proofErr w:type="spellEnd"/>
      <w:r w:rsidRPr="000F30BE">
        <w:t xml:space="preserve"> RG. (2018): Toward resolving the budget discrepancy of ozone-depleting carbon tetrachloride (CCl4): an analysis of top-down emissions from China.  </w:t>
      </w:r>
      <w:r w:rsidRPr="000F30BE">
        <w:rPr>
          <w:i/>
        </w:rPr>
        <w:t xml:space="preserve">Atmospheric Chemistry and Physics, 18. </w:t>
      </w:r>
      <w:hyperlink r:id="rId1" w:history="1">
        <w:r w:rsidRPr="000F30BE">
          <w:rPr>
            <w:rStyle w:val="Hyperlink"/>
          </w:rPr>
          <w:t>https://doi.org/10.5194/acp-18-11729-2018</w:t>
        </w:r>
      </w:hyperlink>
      <w:r>
        <w:rPr>
          <w:rFonts w:hint="eastAsi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1993D" w14:textId="4CB6F4F8" w:rsidR="009B7AAB" w:rsidRPr="004C23D0" w:rsidRDefault="004C23D0" w:rsidP="00C8253D">
    <w:pPr>
      <w:pStyle w:val="Header"/>
      <w:rPr>
        <w:sz w:val="20"/>
        <w:szCs w:val="20"/>
        <w:lang w:val="en-GB"/>
      </w:rPr>
    </w:pPr>
    <w:r w:rsidRPr="004C23D0">
      <w:rPr>
        <w:sz w:val="20"/>
        <w:szCs w:val="20"/>
        <w:lang w:val="en-CA"/>
      </w:rPr>
      <w:fldChar w:fldCharType="begin"/>
    </w:r>
    <w:r w:rsidRPr="004C23D0">
      <w:rPr>
        <w:sz w:val="20"/>
        <w:szCs w:val="20"/>
        <w:lang w:val="en-CA"/>
      </w:rPr>
      <w:instrText xml:space="preserve"> DOCPROPERTY "Document number"  \* MERGEFORMAT </w:instrText>
    </w:r>
    <w:r w:rsidRPr="004C23D0">
      <w:rPr>
        <w:sz w:val="20"/>
        <w:szCs w:val="20"/>
        <w:lang w:val="en-CA"/>
      </w:rPr>
      <w:fldChar w:fldCharType="separate"/>
    </w:r>
    <w:r w:rsidRPr="004C23D0">
      <w:rPr>
        <w:sz w:val="20"/>
        <w:szCs w:val="20"/>
        <w:lang w:val="en-CA"/>
      </w:rPr>
      <w:t>UNEP/</w:t>
    </w:r>
    <w:proofErr w:type="spellStart"/>
    <w:r w:rsidRPr="004C23D0">
      <w:rPr>
        <w:sz w:val="20"/>
        <w:szCs w:val="20"/>
        <w:lang w:val="en-CA"/>
      </w:rPr>
      <w:t>OzL.Pro</w:t>
    </w:r>
    <w:proofErr w:type="spellEnd"/>
    <w:r w:rsidRPr="004C23D0">
      <w:rPr>
        <w:sz w:val="20"/>
        <w:szCs w:val="20"/>
        <w:lang w:val="en-CA"/>
      </w:rPr>
      <w:t>/ExCom/84/22/Add.3</w:t>
    </w:r>
    <w:r w:rsidRPr="004C23D0">
      <w:rPr>
        <w:sz w:val="20"/>
        <w:szCs w:val="20"/>
        <w:lang w:val="en-GB"/>
      </w:rPr>
      <w:fldChar w:fldCharType="end"/>
    </w:r>
  </w:p>
  <w:p w14:paraId="1810B339" w14:textId="77777777" w:rsidR="009B7AAB" w:rsidRDefault="009B7AAB" w:rsidP="002E56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54A5" w14:textId="6A0DD629" w:rsidR="009B7AAB" w:rsidRPr="004C23D0" w:rsidRDefault="009B7AAB" w:rsidP="004C23D0">
    <w:pPr>
      <w:pStyle w:val="Header"/>
      <w:jc w:val="right"/>
      <w:rPr>
        <w:sz w:val="20"/>
        <w:szCs w:val="20"/>
      </w:rPr>
    </w:pPr>
    <w:r w:rsidRPr="004C23D0">
      <w:rPr>
        <w:lang w:val="en-GB"/>
      </w:rPr>
      <w:fldChar w:fldCharType="begin"/>
    </w:r>
    <w:r w:rsidRPr="007A1ACB">
      <w:rPr>
        <w:lang w:val="en-GB"/>
      </w:rPr>
      <w:instrText xml:space="preserve"> DOCPROPERTY "Document number"  \* MERGEFORMAT </w:instrText>
    </w:r>
    <w:r w:rsidRPr="004C23D0">
      <w:rPr>
        <w:lang w:val="en-GB"/>
      </w:rPr>
      <w:fldChar w:fldCharType="separate"/>
    </w:r>
    <w:r w:rsidRPr="002E56BD">
      <w:rPr>
        <w:rFonts w:eastAsia="Times New Roman" w:cs="Times New Roman"/>
        <w:sz w:val="22"/>
        <w:lang w:val="en-GB" w:eastAsia="en-US"/>
      </w:rPr>
      <w:t xml:space="preserve"> </w:t>
    </w:r>
    <w:r w:rsidR="004C23D0" w:rsidRPr="004C23D0">
      <w:rPr>
        <w:rFonts w:eastAsia="Times New Roman" w:cs="Times New Roman"/>
        <w:sz w:val="20"/>
        <w:szCs w:val="20"/>
        <w:lang w:val="en-CA" w:eastAsia="en-US"/>
      </w:rPr>
      <w:fldChar w:fldCharType="begin"/>
    </w:r>
    <w:r w:rsidR="004C23D0" w:rsidRPr="004C23D0">
      <w:rPr>
        <w:rFonts w:eastAsia="Times New Roman" w:cs="Times New Roman"/>
        <w:sz w:val="20"/>
        <w:szCs w:val="20"/>
        <w:lang w:val="en-CA" w:eastAsia="en-US"/>
      </w:rPr>
      <w:instrText xml:space="preserve"> DOCPROPERTY "Document number"  \* MERGEFORMAT </w:instrText>
    </w:r>
    <w:r w:rsidR="004C23D0" w:rsidRPr="004C23D0">
      <w:rPr>
        <w:rFonts w:eastAsia="Times New Roman" w:cs="Times New Roman"/>
        <w:sz w:val="20"/>
        <w:szCs w:val="20"/>
        <w:lang w:val="en-CA" w:eastAsia="en-US"/>
      </w:rPr>
      <w:fldChar w:fldCharType="separate"/>
    </w:r>
    <w:r w:rsidR="004C23D0" w:rsidRPr="004C23D0">
      <w:rPr>
        <w:rFonts w:eastAsia="Times New Roman" w:cs="Times New Roman"/>
        <w:sz w:val="20"/>
        <w:szCs w:val="20"/>
        <w:lang w:val="en-CA" w:eastAsia="en-US"/>
      </w:rPr>
      <w:t>UNEP/OzL.Pro/ExCom/84/22/Add.3</w:t>
    </w:r>
    <w:r w:rsidR="004C23D0" w:rsidRPr="004C23D0">
      <w:rPr>
        <w:rFonts w:eastAsia="Times New Roman" w:cs="Times New Roman"/>
        <w:sz w:val="20"/>
        <w:szCs w:val="20"/>
        <w:lang w:val="en-CA" w:eastAsia="en-US"/>
      </w:rPr>
      <w:fldChar w:fldCharType="end"/>
    </w:r>
    <w:r w:rsidRPr="004C23D0">
      <w:rPr>
        <w:sz w:val="20"/>
        <w:szCs w:val="20"/>
      </w:rPr>
      <w:fldChar w:fldCharType="end"/>
    </w:r>
  </w:p>
  <w:p w14:paraId="6ABD2CE8" w14:textId="77777777" w:rsidR="009B7AAB" w:rsidRDefault="009B7AAB" w:rsidP="007A1AC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0F2CAA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 w15:restartNumberingAfterBreak="0">
    <w:nsid w:val="204F1F1D"/>
    <w:multiLevelType w:val="hybridMultilevel"/>
    <w:tmpl w:val="8ADA383E"/>
    <w:lvl w:ilvl="0" w:tplc="465C8D6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A346A"/>
    <w:multiLevelType w:val="hybridMultilevel"/>
    <w:tmpl w:val="E7B8FC96"/>
    <w:lvl w:ilvl="0" w:tplc="A9081F7E">
      <w:start w:val="1"/>
      <w:numFmt w:val="chineseCountingThousand"/>
      <w:lvlText w:val="（%1）"/>
      <w:lvlJc w:val="left"/>
      <w:pPr>
        <w:ind w:left="720" w:hanging="360"/>
      </w:pPr>
      <w:rPr>
        <w:rFonts w:eastAsia="Malgun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50873"/>
    <w:multiLevelType w:val="hybridMultilevel"/>
    <w:tmpl w:val="29368A0C"/>
    <w:lvl w:ilvl="0" w:tplc="EE34FEC4">
      <w:start w:val="1"/>
      <w:numFmt w:val="decimal"/>
      <w:pStyle w:val="ListParagraph"/>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5544A"/>
    <w:multiLevelType w:val="hybridMultilevel"/>
    <w:tmpl w:val="A2D2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21EAF"/>
    <w:multiLevelType w:val="hybridMultilevel"/>
    <w:tmpl w:val="07746B86"/>
    <w:lvl w:ilvl="0" w:tplc="6E5C61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446DF"/>
    <w:multiLevelType w:val="hybridMultilevel"/>
    <w:tmpl w:val="55924E84"/>
    <w:lvl w:ilvl="0" w:tplc="A9081F7E">
      <w:start w:val="1"/>
      <w:numFmt w:val="chineseCountingThousand"/>
      <w:lvlText w:val="（%1）"/>
      <w:lvlJc w:val="left"/>
      <w:pPr>
        <w:ind w:left="720" w:hanging="360"/>
      </w:pPr>
      <w:rPr>
        <w:rFonts w:eastAsia="Malgun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D7F96"/>
    <w:multiLevelType w:val="hybridMultilevel"/>
    <w:tmpl w:val="18C20EC6"/>
    <w:lvl w:ilvl="0" w:tplc="3A6A8636">
      <w:start w:val="1"/>
      <w:numFmt w:val="decimal"/>
      <w:lvlText w:val="%1."/>
      <w:lvlJc w:val="left"/>
      <w:pPr>
        <w:ind w:left="720" w:hanging="360"/>
      </w:pPr>
      <w:rPr>
        <w:rFonts w:hint="default"/>
        <w:b w:val="0"/>
      </w:rPr>
    </w:lvl>
    <w:lvl w:ilvl="1" w:tplc="327AFD80">
      <w:start w:val="1"/>
      <w:numFmt w:val="lowerRoman"/>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0"/>
  </w:num>
  <w:num w:numId="20">
    <w:abstractNumId w:val="7"/>
  </w:num>
  <w:num w:numId="21">
    <w:abstractNumId w:val="2"/>
  </w:num>
  <w:num w:numId="22">
    <w:abstractNumId w:val="6"/>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49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31"/>
    <w:rsid w:val="0000520E"/>
    <w:rsid w:val="00055831"/>
    <w:rsid w:val="00072432"/>
    <w:rsid w:val="000C4049"/>
    <w:rsid w:val="000D4EFA"/>
    <w:rsid w:val="000E19A1"/>
    <w:rsid w:val="000F53A0"/>
    <w:rsid w:val="00120AF1"/>
    <w:rsid w:val="00156264"/>
    <w:rsid w:val="00194B3F"/>
    <w:rsid w:val="001F2FA1"/>
    <w:rsid w:val="00205259"/>
    <w:rsid w:val="0020542A"/>
    <w:rsid w:val="0020645D"/>
    <w:rsid w:val="00207FDF"/>
    <w:rsid w:val="002164DE"/>
    <w:rsid w:val="00223388"/>
    <w:rsid w:val="00236F4A"/>
    <w:rsid w:val="00263D82"/>
    <w:rsid w:val="00271C22"/>
    <w:rsid w:val="0027445F"/>
    <w:rsid w:val="00275314"/>
    <w:rsid w:val="0028118C"/>
    <w:rsid w:val="00293EFA"/>
    <w:rsid w:val="002A37D7"/>
    <w:rsid w:val="002B64D1"/>
    <w:rsid w:val="002D00E9"/>
    <w:rsid w:val="002D7A6D"/>
    <w:rsid w:val="002E0AFA"/>
    <w:rsid w:val="002E1BCC"/>
    <w:rsid w:val="002E310B"/>
    <w:rsid w:val="002E56BD"/>
    <w:rsid w:val="00353EBC"/>
    <w:rsid w:val="003753FD"/>
    <w:rsid w:val="003818FA"/>
    <w:rsid w:val="0039099E"/>
    <w:rsid w:val="003C4C12"/>
    <w:rsid w:val="003D3CD4"/>
    <w:rsid w:val="00422BD4"/>
    <w:rsid w:val="00466A3B"/>
    <w:rsid w:val="004A5E84"/>
    <w:rsid w:val="004A6D07"/>
    <w:rsid w:val="004B40D4"/>
    <w:rsid w:val="004B6A13"/>
    <w:rsid w:val="004C23D0"/>
    <w:rsid w:val="004D2B43"/>
    <w:rsid w:val="004D32AD"/>
    <w:rsid w:val="004E72A1"/>
    <w:rsid w:val="00532133"/>
    <w:rsid w:val="00532C19"/>
    <w:rsid w:val="005355C0"/>
    <w:rsid w:val="00540D60"/>
    <w:rsid w:val="005510E2"/>
    <w:rsid w:val="00556B8A"/>
    <w:rsid w:val="00571430"/>
    <w:rsid w:val="005A0D77"/>
    <w:rsid w:val="005A7A4B"/>
    <w:rsid w:val="00640D25"/>
    <w:rsid w:val="00641814"/>
    <w:rsid w:val="00670FB6"/>
    <w:rsid w:val="00696A48"/>
    <w:rsid w:val="006B0EF9"/>
    <w:rsid w:val="006B18FC"/>
    <w:rsid w:val="006B53BB"/>
    <w:rsid w:val="006C0145"/>
    <w:rsid w:val="006E2AF7"/>
    <w:rsid w:val="00770ECA"/>
    <w:rsid w:val="00776507"/>
    <w:rsid w:val="00797D75"/>
    <w:rsid w:val="007A1ACB"/>
    <w:rsid w:val="007B38DF"/>
    <w:rsid w:val="007B5E0D"/>
    <w:rsid w:val="007C7189"/>
    <w:rsid w:val="0080725C"/>
    <w:rsid w:val="00815CB4"/>
    <w:rsid w:val="008247D5"/>
    <w:rsid w:val="00853FD2"/>
    <w:rsid w:val="00855FAB"/>
    <w:rsid w:val="008A6D25"/>
    <w:rsid w:val="008F2A1B"/>
    <w:rsid w:val="00902383"/>
    <w:rsid w:val="0091040A"/>
    <w:rsid w:val="00911783"/>
    <w:rsid w:val="0091207C"/>
    <w:rsid w:val="0092414F"/>
    <w:rsid w:val="009252BB"/>
    <w:rsid w:val="009605D3"/>
    <w:rsid w:val="00971FBF"/>
    <w:rsid w:val="00982814"/>
    <w:rsid w:val="009B60A2"/>
    <w:rsid w:val="009B7AAB"/>
    <w:rsid w:val="009F0744"/>
    <w:rsid w:val="00A13C09"/>
    <w:rsid w:val="00A60A65"/>
    <w:rsid w:val="00A7447E"/>
    <w:rsid w:val="00AB0B0D"/>
    <w:rsid w:val="00AB40BA"/>
    <w:rsid w:val="00AB553F"/>
    <w:rsid w:val="00B0309C"/>
    <w:rsid w:val="00B302C5"/>
    <w:rsid w:val="00B9722A"/>
    <w:rsid w:val="00BC0ECE"/>
    <w:rsid w:val="00BF3C15"/>
    <w:rsid w:val="00BF4E24"/>
    <w:rsid w:val="00C0251D"/>
    <w:rsid w:val="00C068B2"/>
    <w:rsid w:val="00C55356"/>
    <w:rsid w:val="00C73E40"/>
    <w:rsid w:val="00C8253D"/>
    <w:rsid w:val="00C86A98"/>
    <w:rsid w:val="00C954AE"/>
    <w:rsid w:val="00CB08BE"/>
    <w:rsid w:val="00CD42B5"/>
    <w:rsid w:val="00CF163C"/>
    <w:rsid w:val="00CF736B"/>
    <w:rsid w:val="00D26D8D"/>
    <w:rsid w:val="00D36589"/>
    <w:rsid w:val="00D55132"/>
    <w:rsid w:val="00D76912"/>
    <w:rsid w:val="00DA7197"/>
    <w:rsid w:val="00DC7DF9"/>
    <w:rsid w:val="00E03431"/>
    <w:rsid w:val="00E05F9C"/>
    <w:rsid w:val="00E27840"/>
    <w:rsid w:val="00E31425"/>
    <w:rsid w:val="00E62548"/>
    <w:rsid w:val="00E76CD4"/>
    <w:rsid w:val="00E77ACF"/>
    <w:rsid w:val="00E83820"/>
    <w:rsid w:val="00E9183F"/>
    <w:rsid w:val="00EA0484"/>
    <w:rsid w:val="00EA2262"/>
    <w:rsid w:val="00EB054E"/>
    <w:rsid w:val="00EC18AA"/>
    <w:rsid w:val="00EC5B96"/>
    <w:rsid w:val="00EE01A2"/>
    <w:rsid w:val="00EE099A"/>
    <w:rsid w:val="00EE1553"/>
    <w:rsid w:val="00EF4A9A"/>
    <w:rsid w:val="00F4782F"/>
    <w:rsid w:val="00F506EA"/>
    <w:rsid w:val="00F53049"/>
    <w:rsid w:val="00F63D27"/>
    <w:rsid w:val="00F65589"/>
    <w:rsid w:val="00F930FD"/>
    <w:rsid w:val="00FA3A28"/>
    <w:rsid w:val="00FA5807"/>
    <w:rsid w:val="00FC3746"/>
    <w:rsid w:val="00FC67B8"/>
    <w:rsid w:val="00FC7F48"/>
    <w:rsid w:val="00FE50C4"/>
    <w:rsid w:val="00FF56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6C984"/>
  <w15:chartTrackingRefBased/>
  <w15:docId w15:val="{4C942F6A-7031-428A-9663-BF24F672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AD"/>
    <w:pPr>
      <w:spacing w:before="120" w:after="120" w:line="264" w:lineRule="auto"/>
    </w:pPr>
    <w:rPr>
      <w:rFonts w:ascii="Times New Roman" w:eastAsia="SimSun" w:hAnsi="Times New Roman"/>
      <w:sz w:val="24"/>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Heading1"/>
    <w:basedOn w:val="Normal"/>
    <w:next w:val="Normal"/>
    <w:link w:val="Heading1Char"/>
    <w:uiPriority w:val="9"/>
    <w:qFormat/>
    <w:rsid w:val="00EB054E"/>
    <w:pPr>
      <w:keepNext/>
      <w:keepLines/>
      <w:outlineLvl w:val="0"/>
    </w:pPr>
    <w:rPr>
      <w:rFonts w:ascii="Times New Roman Bold" w:hAnsi="Times New Roman Bold" w:cstheme="majorBidi"/>
      <w:b/>
      <w:szCs w:val="32"/>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2E56BD"/>
    <w:pPr>
      <w:widowControl w:val="0"/>
      <w:tabs>
        <w:tab w:val="num" w:pos="0"/>
      </w:tabs>
      <w:spacing w:before="0" w:after="240" w:line="240" w:lineRule="auto"/>
      <w:ind w:left="1440" w:hanging="720"/>
      <w:jc w:val="both"/>
      <w:outlineLvl w:val="1"/>
    </w:pPr>
    <w:rPr>
      <w:rFonts w:eastAsia="Times New Roman" w:cs="Times New Roman"/>
      <w:sz w:val="22"/>
      <w:lang w:val="en-GB" w:eastAsia="en-US"/>
    </w:r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uiPriority w:val="9"/>
    <w:qFormat/>
    <w:rsid w:val="002E56BD"/>
    <w:pPr>
      <w:widowControl w:val="0"/>
      <w:tabs>
        <w:tab w:val="num" w:pos="0"/>
      </w:tabs>
      <w:spacing w:before="0" w:after="240" w:line="240" w:lineRule="auto"/>
      <w:ind w:left="2160" w:hanging="720"/>
      <w:jc w:val="both"/>
      <w:outlineLvl w:val="2"/>
    </w:pPr>
    <w:rPr>
      <w:rFonts w:eastAsia="Times New Roman" w:cs="Times New Roman"/>
      <w:sz w:val="22"/>
      <w:lang w:val="en-GB" w:eastAsia="en-US"/>
    </w:rPr>
  </w:style>
  <w:style w:type="paragraph" w:styleId="Heading4">
    <w:name w:val="heading 4"/>
    <w:aliases w:val="Heading 11,para 4,Título 41,heading 4,Heading 41,标题 41"/>
    <w:basedOn w:val="Normal"/>
    <w:next w:val="Heading9"/>
    <w:link w:val="Heading4Char"/>
    <w:uiPriority w:val="9"/>
    <w:qFormat/>
    <w:rsid w:val="002E56BD"/>
    <w:pPr>
      <w:keepNext/>
      <w:tabs>
        <w:tab w:val="num" w:pos="-90"/>
      </w:tabs>
      <w:spacing w:before="240" w:after="60" w:line="240" w:lineRule="auto"/>
      <w:ind w:left="2776" w:hanging="706"/>
      <w:jc w:val="both"/>
      <w:outlineLvl w:val="3"/>
    </w:pPr>
    <w:rPr>
      <w:rFonts w:eastAsia="Times New Roman" w:cs="Times New Roman"/>
      <w:sz w:val="22"/>
      <w:lang w:val="en-GB" w:eastAsia="en-US"/>
    </w:rPr>
  </w:style>
  <w:style w:type="paragraph" w:styleId="Heading6">
    <w:name w:val="heading 6"/>
    <w:basedOn w:val="Normal"/>
    <w:next w:val="Normal"/>
    <w:link w:val="Heading6Char"/>
    <w:uiPriority w:val="9"/>
    <w:qFormat/>
    <w:rsid w:val="002E56BD"/>
    <w:pPr>
      <w:tabs>
        <w:tab w:val="num" w:pos="0"/>
      </w:tabs>
      <w:spacing w:before="240" w:after="60" w:line="240" w:lineRule="auto"/>
      <w:ind w:left="4291" w:hanging="720"/>
      <w:jc w:val="both"/>
      <w:outlineLvl w:val="5"/>
    </w:pPr>
    <w:rPr>
      <w:rFonts w:ascii="Arial" w:eastAsia="Times New Roman" w:hAnsi="Arial" w:cs="Times New Roman"/>
      <w:i/>
      <w:sz w:val="22"/>
      <w:lang w:val="en-GB" w:eastAsia="en-US"/>
    </w:rPr>
  </w:style>
  <w:style w:type="paragraph" w:styleId="Heading7">
    <w:name w:val="heading 7"/>
    <w:basedOn w:val="Normal"/>
    <w:next w:val="Normal"/>
    <w:link w:val="Heading7Char"/>
    <w:uiPriority w:val="9"/>
    <w:qFormat/>
    <w:rsid w:val="002E56BD"/>
    <w:pPr>
      <w:tabs>
        <w:tab w:val="num" w:pos="0"/>
      </w:tabs>
      <w:spacing w:before="240" w:after="60" w:line="240" w:lineRule="auto"/>
      <w:ind w:left="4997" w:hanging="706"/>
      <w:jc w:val="both"/>
      <w:outlineLvl w:val="6"/>
    </w:pPr>
    <w:rPr>
      <w:rFonts w:ascii="Arial" w:eastAsia="Times New Roman" w:hAnsi="Arial" w:cs="Times New Roman"/>
      <w:sz w:val="22"/>
      <w:lang w:val="en-GB" w:eastAsia="en-US"/>
    </w:rPr>
  </w:style>
  <w:style w:type="paragraph" w:styleId="Heading9">
    <w:name w:val="heading 9"/>
    <w:basedOn w:val="Normal"/>
    <w:next w:val="Normal"/>
    <w:link w:val="Heading9Char"/>
    <w:uiPriority w:val="9"/>
    <w:qFormat/>
    <w:rsid w:val="002E56BD"/>
    <w:pPr>
      <w:tabs>
        <w:tab w:val="num" w:pos="0"/>
      </w:tabs>
      <w:spacing w:before="240" w:after="60" w:line="240" w:lineRule="auto"/>
      <w:ind w:left="6408" w:hanging="706"/>
      <w:jc w:val="both"/>
      <w:outlineLvl w:val="8"/>
    </w:pPr>
    <w:rPr>
      <w:rFonts w:ascii="Arial" w:eastAsia="Times New Roman" w:hAnsi="Arial" w:cs="Times New Roman"/>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uiPriority w:val="9"/>
    <w:rsid w:val="00EB054E"/>
    <w:rPr>
      <w:rFonts w:ascii="Times New Roman Bold" w:eastAsia="SimSun" w:hAnsi="Times New Roman Bold" w:cstheme="majorBidi"/>
      <w:b/>
      <w:sz w:val="24"/>
      <w:szCs w:val="32"/>
    </w:rPr>
  </w:style>
  <w:style w:type="paragraph" w:styleId="ListParagraph">
    <w:name w:val="List Paragraph"/>
    <w:basedOn w:val="Normal"/>
    <w:uiPriority w:val="34"/>
    <w:qFormat/>
    <w:rsid w:val="00223388"/>
    <w:pPr>
      <w:numPr>
        <w:numId w:val="1"/>
      </w:numPr>
      <w:jc w:val="both"/>
    </w:pPr>
  </w:style>
  <w:style w:type="paragraph" w:styleId="Header">
    <w:name w:val="header"/>
    <w:basedOn w:val="Normal"/>
    <w:link w:val="HeaderChar"/>
    <w:uiPriority w:val="99"/>
    <w:unhideWhenUsed/>
    <w:rsid w:val="009252B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252BB"/>
    <w:rPr>
      <w:rFonts w:ascii="Times New Roman" w:eastAsia="SimSun" w:hAnsi="Times New Roman"/>
      <w:sz w:val="24"/>
    </w:rPr>
  </w:style>
  <w:style w:type="paragraph" w:styleId="Footer">
    <w:name w:val="footer"/>
    <w:basedOn w:val="Normal"/>
    <w:link w:val="FooterChar"/>
    <w:uiPriority w:val="99"/>
    <w:unhideWhenUsed/>
    <w:rsid w:val="009252B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252BB"/>
    <w:rPr>
      <w:rFonts w:ascii="Times New Roman" w:eastAsia="SimSun" w:hAnsi="Times New Roman"/>
      <w:sz w:val="24"/>
    </w:rPr>
  </w:style>
  <w:style w:type="paragraph" w:styleId="BalloonText">
    <w:name w:val="Balloon Text"/>
    <w:basedOn w:val="Normal"/>
    <w:link w:val="BalloonTextChar"/>
    <w:uiPriority w:val="99"/>
    <w:semiHidden/>
    <w:unhideWhenUsed/>
    <w:rsid w:val="007B5E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0D"/>
    <w:rPr>
      <w:rFonts w:ascii="Segoe UI" w:eastAsia="SimSun" w:hAnsi="Segoe UI" w:cs="Segoe UI"/>
      <w:sz w:val="18"/>
      <w:szCs w:val="18"/>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
    <w:basedOn w:val="Normal"/>
    <w:link w:val="FootnoteTextChar"/>
    <w:uiPriority w:val="99"/>
    <w:unhideWhenUsed/>
    <w:qFormat/>
    <w:rsid w:val="00120AF1"/>
    <w:pPr>
      <w:spacing w:before="0" w:after="0" w:line="240" w:lineRule="auto"/>
      <w:jc w:val="both"/>
    </w:pPr>
    <w:rPr>
      <w:rFonts w:cs="Times New Roman"/>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
    <w:basedOn w:val="DefaultParagraphFont"/>
    <w:link w:val="FootnoteText"/>
    <w:uiPriority w:val="99"/>
    <w:rsid w:val="00120AF1"/>
    <w:rPr>
      <w:rFonts w:ascii="Times New Roman" w:eastAsia="SimSun" w:hAnsi="Times New Roman" w:cs="Times New Roman"/>
      <w:sz w:val="20"/>
      <w:szCs w:val="20"/>
      <w:lang w:val="en-GB" w:eastAsia="en-US"/>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A7447E"/>
    <w:rPr>
      <w:vertAlign w:val="superscript"/>
    </w:rPr>
  </w:style>
  <w:style w:type="table" w:styleId="TableGrid">
    <w:name w:val="Table Grid"/>
    <w:basedOn w:val="TableNormal"/>
    <w:rsid w:val="00CD42B5"/>
    <w:pPr>
      <w:spacing w:after="0" w:line="240" w:lineRule="auto"/>
      <w:jc w:val="both"/>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2E56BD"/>
    <w:rPr>
      <w:rFonts w:ascii="Times New Roman" w:eastAsia="Times New Roman" w:hAnsi="Times New Roman" w:cs="Times New Roman"/>
      <w:lang w:val="en-GB" w:eastAsia="en-US"/>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2E56BD"/>
    <w:rPr>
      <w:rFonts w:ascii="Times New Roman" w:eastAsia="Times New Roman" w:hAnsi="Times New Roman" w:cs="Times New Roman"/>
      <w:lang w:val="en-GB" w:eastAsia="en-US"/>
    </w:rPr>
  </w:style>
  <w:style w:type="character" w:customStyle="1" w:styleId="Heading4Char">
    <w:name w:val="Heading 4 Char"/>
    <w:aliases w:val="Heading 11 Char,para 4 Char,Título 41 Char,heading 4 Char,Heading 41 Char,标题 41 Char"/>
    <w:basedOn w:val="DefaultParagraphFont"/>
    <w:link w:val="Heading4"/>
    <w:rsid w:val="002E56BD"/>
    <w:rPr>
      <w:rFonts w:ascii="Times New Roman" w:eastAsia="Times New Roman" w:hAnsi="Times New Roman" w:cs="Times New Roman"/>
      <w:lang w:val="en-GB" w:eastAsia="en-US"/>
    </w:rPr>
  </w:style>
  <w:style w:type="character" w:customStyle="1" w:styleId="Heading6Char">
    <w:name w:val="Heading 6 Char"/>
    <w:basedOn w:val="DefaultParagraphFont"/>
    <w:link w:val="Heading6"/>
    <w:rsid w:val="002E56BD"/>
    <w:rPr>
      <w:rFonts w:ascii="Arial" w:eastAsia="Times New Roman" w:hAnsi="Arial" w:cs="Times New Roman"/>
      <w:i/>
      <w:lang w:val="en-GB" w:eastAsia="en-US"/>
    </w:rPr>
  </w:style>
  <w:style w:type="character" w:customStyle="1" w:styleId="Heading7Char">
    <w:name w:val="Heading 7 Char"/>
    <w:basedOn w:val="DefaultParagraphFont"/>
    <w:link w:val="Heading7"/>
    <w:rsid w:val="002E56BD"/>
    <w:rPr>
      <w:rFonts w:ascii="Arial" w:eastAsia="Times New Roman" w:hAnsi="Arial" w:cs="Times New Roman"/>
      <w:lang w:val="en-GB" w:eastAsia="en-US"/>
    </w:rPr>
  </w:style>
  <w:style w:type="character" w:customStyle="1" w:styleId="Heading9Char">
    <w:name w:val="Heading 9 Char"/>
    <w:basedOn w:val="DefaultParagraphFont"/>
    <w:link w:val="Heading9"/>
    <w:rsid w:val="002E56BD"/>
    <w:rPr>
      <w:rFonts w:ascii="Arial" w:eastAsia="Times New Roman" w:hAnsi="Arial" w:cs="Times New Roman"/>
      <w:i/>
      <w:sz w:val="18"/>
      <w:lang w:val="en-GB" w:eastAsia="en-US"/>
    </w:rPr>
  </w:style>
  <w:style w:type="table" w:customStyle="1" w:styleId="TableGrid1">
    <w:name w:val="Table Grid1"/>
    <w:basedOn w:val="TableNormal"/>
    <w:next w:val="TableGrid"/>
    <w:rsid w:val="00D55132"/>
    <w:pPr>
      <w:spacing w:after="0" w:line="240" w:lineRule="auto"/>
    </w:pPr>
    <w:rPr>
      <w:rFonts w:eastAsia="Calibr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8DF"/>
    <w:rPr>
      <w:color w:val="0000FF"/>
      <w:u w:val="single"/>
    </w:rPr>
  </w:style>
  <w:style w:type="table" w:customStyle="1" w:styleId="TableGrid2">
    <w:name w:val="Table Grid2"/>
    <w:basedOn w:val="TableNormal"/>
    <w:next w:val="TableGrid"/>
    <w:uiPriority w:val="59"/>
    <w:rsid w:val="00532133"/>
    <w:pPr>
      <w:spacing w:after="0" w:line="240" w:lineRule="auto"/>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5194/acp-18-11729-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447D7ECE4948834BAD83A694AABC" ma:contentTypeVersion="1" ma:contentTypeDescription="Create a new document." ma:contentTypeScope="" ma:versionID="d0ff9c5ad2b12476e40d5a42e5334cd7">
  <xsd:schema xmlns:xsd="http://www.w3.org/2001/XMLSchema" xmlns:p="http://schemas.microsoft.com/office/2006/metadata/properties" xmlns:ns2="dce579b6-ee48-4930-8ef4-fe326d357435" targetNamespace="http://schemas.microsoft.com/office/2006/metadata/properties" ma:root="true" ma:fieldsID="eb531a511f81c5a15125154c7cabc2b8"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UNEP/OzL.Pro/ExCom/84/22/Add.3</Document_x0020_Number>
  </documentManagement>
</p:properties>
</file>

<file path=customXml/itemProps1.xml><?xml version="1.0" encoding="utf-8"?>
<ds:datastoreItem xmlns:ds="http://schemas.openxmlformats.org/officeDocument/2006/customXml" ds:itemID="{8004AEC2-C783-4643-9E37-5948315DC42C}"/>
</file>

<file path=customXml/itemProps2.xml><?xml version="1.0" encoding="utf-8"?>
<ds:datastoreItem xmlns:ds="http://schemas.openxmlformats.org/officeDocument/2006/customXml" ds:itemID="{19416B49-D6F4-488E-BE9B-A031E3403E4D}"/>
</file>

<file path=customXml/itemProps3.xml><?xml version="1.0" encoding="utf-8"?>
<ds:datastoreItem xmlns:ds="http://schemas.openxmlformats.org/officeDocument/2006/customXml" ds:itemID="{77707279-8FAF-4AB3-924F-19E76FC3115E}"/>
</file>

<file path=docProps/app.xml><?xml version="1.0" encoding="utf-8"?>
<Properties xmlns="http://schemas.openxmlformats.org/officeDocument/2006/extended-properties" xmlns:vt="http://schemas.openxmlformats.org/officeDocument/2006/docPropsVTypes">
  <Template>Chinese_Normal</Template>
  <TotalTime>63</TotalTime>
  <Pages>3</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余额和可动用资金报告 - 增编三</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余额和可动用资金报告 - 增编三</dc:title>
  <dc:subject/>
  <dc:creator>Steve Pei</dc:creator>
  <cp:keywords/>
  <dc:description/>
  <cp:lastModifiedBy>HBE</cp:lastModifiedBy>
  <cp:revision>9</cp:revision>
  <dcterms:created xsi:type="dcterms:W3CDTF">2019-12-13T20:51:00Z</dcterms:created>
  <dcterms:modified xsi:type="dcterms:W3CDTF">2019-12-16T21:42:00Z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UNEP/OzL.Pro/ExCom/84/22/Add.3</vt:lpwstr>
  </property>
  <property fmtid="{D5CDD505-2E9C-101B-9397-08002B2CF9AE}" pid="3" name="Revision date">
    <vt:lpwstr>12/13/2019</vt:lpwstr>
  </property>
  <property fmtid="{D5CDD505-2E9C-101B-9397-08002B2CF9AE}" pid="4" name="ContentTypeId">
    <vt:lpwstr>0x010100425C447D7ECE4948834BAD83A694AABC</vt:lpwstr>
  </property>
</Properties>
</file>