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BA" w:rsidRDefault="00264ACF" w:rsidP="00264AC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5943600" cy="2948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2D">
        <w:t xml:space="preserve"> </w:t>
      </w:r>
    </w:p>
    <w:p w:rsidR="00D0546C" w:rsidRDefault="00D0546C" w:rsidP="00D0546C">
      <w:pPr>
        <w:tabs>
          <w:tab w:val="left" w:pos="1410"/>
        </w:tabs>
      </w:pPr>
    </w:p>
    <w:p w:rsidR="00D0546C" w:rsidRDefault="00D0546C" w:rsidP="003919B9">
      <w:pPr>
        <w:ind w:left="5040"/>
      </w:pPr>
    </w:p>
    <w:p w:rsidR="003919B9" w:rsidRDefault="005A4390" w:rsidP="003919B9">
      <w:pPr>
        <w:ind w:left="5040"/>
      </w:pPr>
      <w:r>
        <w:t xml:space="preserve"> </w:t>
      </w:r>
      <w:r>
        <w:br/>
        <w:t xml:space="preserve">   </w:t>
      </w:r>
      <w:r w:rsidR="00D0546C">
        <w:br/>
      </w:r>
      <w:r w:rsidR="00D0546C">
        <w:br/>
      </w:r>
      <w:r w:rsidR="00D0546C">
        <w:br/>
      </w:r>
      <w:r w:rsidR="00264ACF">
        <w:t xml:space="preserve">   </w:t>
      </w:r>
      <w:r w:rsidR="00963378">
        <w:fldChar w:fldCharType="begin"/>
      </w:r>
      <w:r w:rsidR="00963378">
        <w:instrText xml:space="preserve"> DOCPROPERTY "Document number"  \* MERGEFORMAT </w:instrText>
      </w:r>
      <w:r w:rsidR="00963378">
        <w:fldChar w:fldCharType="separate"/>
      </w:r>
      <w:r w:rsidR="00921D85">
        <w:t>UNEP/</w:t>
      </w:r>
      <w:proofErr w:type="spellStart"/>
      <w:r w:rsidR="00921D85">
        <w:t>OzL.Pro</w:t>
      </w:r>
      <w:proofErr w:type="spellEnd"/>
      <w:r w:rsidR="00921D85">
        <w:t>/</w:t>
      </w:r>
      <w:proofErr w:type="spellStart"/>
      <w:r w:rsidR="00921D85">
        <w:t>ExCom</w:t>
      </w:r>
      <w:proofErr w:type="spellEnd"/>
      <w:r w:rsidR="00921D85">
        <w:t>/84/15/Rev.1</w:t>
      </w:r>
      <w:r w:rsidR="00963378">
        <w:fldChar w:fldCharType="end"/>
      </w:r>
      <w:r w:rsidR="003919B9">
        <w:br/>
        <w:t xml:space="preserve">   </w:t>
      </w:r>
      <w:r w:rsidR="003919B9">
        <w:fldChar w:fldCharType="begin"/>
      </w:r>
      <w:r w:rsidR="003919B9">
        <w:instrText xml:space="preserve"> DOCPROPERTY "Revision date" \@ "d MMMM YYYY"  \* MERGEFORMAT </w:instrText>
      </w:r>
      <w:r w:rsidR="003919B9">
        <w:fldChar w:fldCharType="separate"/>
      </w:r>
      <w:r w:rsidR="00DE1A81">
        <w:t>19 December 2019</w:t>
      </w:r>
      <w:r w:rsidR="003919B9">
        <w:fldChar w:fldCharType="end"/>
      </w:r>
    </w:p>
    <w:p w:rsidR="003919B9" w:rsidRPr="003F73BA" w:rsidRDefault="003919B9" w:rsidP="003919B9"/>
    <w:p w:rsidR="00EE66BA" w:rsidRDefault="00EE66BA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D66982" w:rsidP="00D66982">
      <w:pPr>
        <w:tabs>
          <w:tab w:val="left" w:pos="3940"/>
        </w:tabs>
      </w:pPr>
      <w:r>
        <w:tab/>
      </w: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3919B9" w:rsidRDefault="003919B9" w:rsidP="001C3C80">
      <w:pPr>
        <w:tabs>
          <w:tab w:val="left" w:pos="8280"/>
        </w:tabs>
      </w:pPr>
    </w:p>
    <w:p w:rsidR="000E59CB" w:rsidRDefault="000E59CB" w:rsidP="001C3C80">
      <w:pPr>
        <w:tabs>
          <w:tab w:val="left" w:pos="8280"/>
        </w:tabs>
      </w:pPr>
    </w:p>
    <w:p w:rsidR="004731B8" w:rsidRDefault="004731B8" w:rsidP="001C3C80">
      <w:pPr>
        <w:tabs>
          <w:tab w:val="left" w:pos="8280"/>
        </w:tabs>
      </w:pPr>
    </w:p>
    <w:p w:rsidR="007B1BF0" w:rsidRPr="00D74100" w:rsidRDefault="007B1BF0" w:rsidP="007B1BF0">
      <w:pPr>
        <w:spacing w:after="240"/>
        <w:jc w:val="center"/>
        <w:rPr>
          <w:b/>
          <w:caps/>
          <w:lang w:val="en-US"/>
        </w:rPr>
      </w:pPr>
      <w:r w:rsidRPr="00D74100">
        <w:rPr>
          <w:b/>
          <w:caps/>
          <w:lang w:val="en-US"/>
        </w:rPr>
        <w:t>DRAFT MONITORING AND EVALUATION Work Programme</w:t>
      </w:r>
      <w:r>
        <w:rPr>
          <w:b/>
          <w:caps/>
          <w:lang w:val="en-US"/>
        </w:rPr>
        <w:t xml:space="preserve"> for</w:t>
      </w:r>
      <w:r w:rsidR="00FC796E">
        <w:rPr>
          <w:b/>
          <w:caps/>
          <w:lang w:val="en-US"/>
        </w:rPr>
        <w:t xml:space="preserve"> THE YEAR</w:t>
      </w:r>
      <w:r>
        <w:rPr>
          <w:b/>
          <w:caps/>
          <w:lang w:val="en-US"/>
        </w:rPr>
        <w:t xml:space="preserve"> 2020</w:t>
      </w:r>
    </w:p>
    <w:p w:rsidR="005764B1" w:rsidRPr="003C0C08" w:rsidRDefault="005764B1" w:rsidP="005764B1">
      <w:pPr>
        <w:spacing w:after="240"/>
        <w:rPr>
          <w:b/>
        </w:rPr>
      </w:pPr>
      <w:r w:rsidRPr="00B66080">
        <w:rPr>
          <w:b/>
        </w:rPr>
        <w:t>Introduction</w:t>
      </w:r>
    </w:p>
    <w:p w:rsidR="005764B1" w:rsidRDefault="005764B1" w:rsidP="005764B1">
      <w:pPr>
        <w:pStyle w:val="Heading1"/>
      </w:pPr>
      <w:r w:rsidRPr="00B66080">
        <w:t>This document presents the draft Monitoring and Ev</w:t>
      </w:r>
      <w:r>
        <w:t>aluation work programme for 2020</w:t>
      </w:r>
      <w:r w:rsidRPr="00B66080">
        <w:t xml:space="preserve"> for consideration by the Executive Committee. The monitoring and evaluation activities in the work programme have</w:t>
      </w:r>
      <w:r>
        <w:t xml:space="preserve"> </w:t>
      </w:r>
      <w:r w:rsidRPr="00B66080">
        <w:t xml:space="preserve">been proposed </w:t>
      </w:r>
      <w:r>
        <w:t>following previous</w:t>
      </w:r>
      <w:r w:rsidRPr="00B66080">
        <w:t xml:space="preserve"> discussions by the Executive Committee on issues pertaining to monitoring and evaluation; the review of progress reports of on-going projects and project completion reports; and on discussions w</w:t>
      </w:r>
      <w:r>
        <w:t xml:space="preserve">ith bilateral and implementing agencies </w:t>
      </w:r>
      <w:r w:rsidRPr="00B66080">
        <w:t>and the Secretariat.</w:t>
      </w:r>
      <w:r>
        <w:t xml:space="preserve"> The work programme has also taken into account discussions by the Executive Committee on several agenda items relevant to monitoring and evaluation activities.</w:t>
      </w:r>
    </w:p>
    <w:p w:rsidR="005764B1" w:rsidRPr="00B66080" w:rsidRDefault="00FC796E" w:rsidP="005764B1">
      <w:pPr>
        <w:pStyle w:val="Heading1"/>
        <w:widowControl w:val="0"/>
      </w:pPr>
      <w:r>
        <w:t>In particular</w:t>
      </w:r>
      <w:r w:rsidR="005764B1" w:rsidRPr="00B66080">
        <w:t xml:space="preserve">, the draft Monitoring and Evaluation work programme </w:t>
      </w:r>
      <w:r>
        <w:t>is a continuation of the 2019 work programme</w:t>
      </w:r>
      <w:r>
        <w:rPr>
          <w:rStyle w:val="FootnoteReference"/>
        </w:rPr>
        <w:footnoteReference w:id="1"/>
      </w:r>
      <w:r>
        <w:t xml:space="preserve"> approved at the 82</w:t>
      </w:r>
      <w:r w:rsidRPr="00FC796E">
        <w:rPr>
          <w:vertAlign w:val="superscript"/>
        </w:rPr>
        <w:t>nd</w:t>
      </w:r>
      <w:r>
        <w:t xml:space="preserve"> meeting and </w:t>
      </w:r>
      <w:r w:rsidR="005764B1" w:rsidRPr="00B66080">
        <w:t>consists of the following:</w:t>
      </w:r>
    </w:p>
    <w:p w:rsidR="007B1BF0" w:rsidRPr="00FE7422" w:rsidRDefault="007B1BF0" w:rsidP="00DE1A81">
      <w:pPr>
        <w:autoSpaceDE w:val="0"/>
        <w:autoSpaceDN w:val="0"/>
        <w:adjustRightInd w:val="0"/>
        <w:spacing w:before="120" w:after="240"/>
        <w:rPr>
          <w:u w:val="single"/>
        </w:rPr>
      </w:pPr>
      <w:r>
        <w:rPr>
          <w:u w:val="single"/>
        </w:rPr>
        <w:t>Evaluation activities</w:t>
      </w:r>
    </w:p>
    <w:p w:rsidR="007B1BF0" w:rsidRPr="00291C6C" w:rsidRDefault="00200EAE" w:rsidP="00DE1A81">
      <w:pPr>
        <w:pStyle w:val="Heading2"/>
        <w:numPr>
          <w:ilvl w:val="0"/>
          <w:numId w:val="22"/>
        </w:numPr>
        <w:tabs>
          <w:tab w:val="left" w:pos="720"/>
        </w:tabs>
        <w:spacing w:before="120"/>
        <w:ind w:left="1440" w:hanging="720"/>
        <w:rPr>
          <w:lang w:val="en-US"/>
        </w:rPr>
      </w:pPr>
      <w:r w:rsidRPr="00291C6C">
        <w:t>R</w:t>
      </w:r>
      <w:r w:rsidR="00CA3634" w:rsidRPr="00291C6C">
        <w:t>evised desk study for</w:t>
      </w:r>
      <w:r w:rsidR="00355347" w:rsidRPr="00291C6C">
        <w:t xml:space="preserve"> the e</w:t>
      </w:r>
      <w:r w:rsidR="007B1BF0" w:rsidRPr="00291C6C">
        <w:rPr>
          <w:lang w:val="en-US"/>
        </w:rPr>
        <w:t>valuation</w:t>
      </w:r>
      <w:r w:rsidR="007B1BF0" w:rsidRPr="00291C6C">
        <w:t xml:space="preserve"> of the s</w:t>
      </w:r>
      <w:r w:rsidR="007B1BF0" w:rsidRPr="00291C6C">
        <w:rPr>
          <w:lang w:val="en-US"/>
        </w:rPr>
        <w:t xml:space="preserve">ustainability of the Montreal Protocol achievements: A desk study </w:t>
      </w:r>
      <w:proofErr w:type="gramStart"/>
      <w:r w:rsidR="00AA125C" w:rsidRPr="00291C6C">
        <w:rPr>
          <w:lang w:val="en-US"/>
        </w:rPr>
        <w:t>was submitted</w:t>
      </w:r>
      <w:proofErr w:type="gramEnd"/>
      <w:r w:rsidR="00AA125C" w:rsidRPr="00291C6C">
        <w:rPr>
          <w:lang w:val="en-US"/>
        </w:rPr>
        <w:t xml:space="preserve"> to</w:t>
      </w:r>
      <w:r w:rsidR="007B1BF0" w:rsidRPr="00291C6C">
        <w:rPr>
          <w:lang w:val="en-US"/>
        </w:rPr>
        <w:t xml:space="preserve"> the 84</w:t>
      </w:r>
      <w:r w:rsidR="007B1BF0" w:rsidRPr="00291C6C">
        <w:rPr>
          <w:vertAlign w:val="superscript"/>
          <w:lang w:val="en-US"/>
        </w:rPr>
        <w:t>th</w:t>
      </w:r>
      <w:r w:rsidR="007B1BF0" w:rsidRPr="00291C6C">
        <w:rPr>
          <w:lang w:val="en-US"/>
        </w:rPr>
        <w:t xml:space="preserve"> meeting</w:t>
      </w:r>
      <w:r w:rsidR="00DE1A81">
        <w:rPr>
          <w:lang w:val="en-US"/>
        </w:rPr>
        <w:t>.</w:t>
      </w:r>
      <w:r w:rsidR="00355347" w:rsidRPr="00291C6C">
        <w:rPr>
          <w:rStyle w:val="FootnoteReference"/>
          <w:lang w:val="en-US"/>
        </w:rPr>
        <w:footnoteReference w:id="2"/>
      </w:r>
      <w:r w:rsidRPr="00291C6C">
        <w:t xml:space="preserve"> Following some concerns from members of the Executive Committee on the low response rate from national ozone officers and bilateral and implementing agencies</w:t>
      </w:r>
      <w:r w:rsidR="003B1665" w:rsidRPr="00291C6C">
        <w:t xml:space="preserve"> </w:t>
      </w:r>
      <w:r w:rsidR="00AA125C" w:rsidRPr="00291C6C">
        <w:t>on</w:t>
      </w:r>
      <w:r w:rsidRPr="00291C6C">
        <w:t xml:space="preserve"> the questionnaire,</w:t>
      </w:r>
      <w:r w:rsidR="0041134C" w:rsidRPr="00291C6C">
        <w:t xml:space="preserve"> it </w:t>
      </w:r>
      <w:proofErr w:type="gramStart"/>
      <w:r w:rsidR="0041134C" w:rsidRPr="00291C6C">
        <w:t>was recommended</w:t>
      </w:r>
      <w:proofErr w:type="gramEnd"/>
      <w:r w:rsidR="0041134C" w:rsidRPr="00291C6C">
        <w:t xml:space="preserve"> that </w:t>
      </w:r>
      <w:r w:rsidR="00291C6C" w:rsidRPr="00291C6C">
        <w:t>the Senior Monitoring and Evaluation Officer (SMEO) prepare a revised desk study</w:t>
      </w:r>
      <w:r w:rsidR="0041134C" w:rsidRPr="00291C6C">
        <w:t>. The desk study will</w:t>
      </w:r>
      <w:r w:rsidR="00291C6C">
        <w:t xml:space="preserve"> contain additional information</w:t>
      </w:r>
      <w:r w:rsidR="0041134C" w:rsidRPr="00291C6C">
        <w:t xml:space="preserve"> that </w:t>
      </w:r>
      <w:proofErr w:type="gramStart"/>
      <w:r w:rsidR="0041134C" w:rsidRPr="00291C6C">
        <w:t>will be collected</w:t>
      </w:r>
      <w:proofErr w:type="gramEnd"/>
      <w:r w:rsidR="0041134C" w:rsidRPr="00291C6C">
        <w:t xml:space="preserve"> from </w:t>
      </w:r>
      <w:r w:rsidRPr="00291C6C">
        <w:t xml:space="preserve">the </w:t>
      </w:r>
      <w:r w:rsidR="00DE1A81">
        <w:t>national ozone officers (</w:t>
      </w:r>
      <w:r w:rsidRPr="00291C6C">
        <w:t>NOOs</w:t>
      </w:r>
      <w:r w:rsidR="00DE1A81">
        <w:t>)</w:t>
      </w:r>
      <w:r w:rsidRPr="00291C6C">
        <w:t xml:space="preserve">, and the bilateral and </w:t>
      </w:r>
      <w:r w:rsidR="00AA125C" w:rsidRPr="00291C6C">
        <w:t>implementing agencies</w:t>
      </w:r>
      <w:r w:rsidR="0041134C" w:rsidRPr="00291C6C">
        <w:t>, via questionnaire,</w:t>
      </w:r>
      <w:r w:rsidR="00AA125C" w:rsidRPr="00291C6C">
        <w:t xml:space="preserve"> to obtain a more representative set of data. The revised desk study will be presented to the 85</w:t>
      </w:r>
      <w:r w:rsidR="00AA125C" w:rsidRPr="00291C6C">
        <w:rPr>
          <w:vertAlign w:val="superscript"/>
        </w:rPr>
        <w:t>th</w:t>
      </w:r>
      <w:r w:rsidR="00DE1A81">
        <w:t xml:space="preserve"> meeting;</w:t>
      </w:r>
    </w:p>
    <w:p w:rsidR="007B1BF0" w:rsidRDefault="0041134C" w:rsidP="00DE1A81">
      <w:pPr>
        <w:pStyle w:val="Heading2"/>
        <w:numPr>
          <w:ilvl w:val="0"/>
          <w:numId w:val="22"/>
        </w:numPr>
        <w:tabs>
          <w:tab w:val="left" w:pos="720"/>
        </w:tabs>
        <w:ind w:left="1440" w:hanging="720"/>
        <w:rPr>
          <w:lang w:val="en-US"/>
        </w:rPr>
      </w:pPr>
      <w:r>
        <w:rPr>
          <w:lang w:val="en-US"/>
        </w:rPr>
        <w:t>Desk study</w:t>
      </w:r>
      <w:r w:rsidR="00FC796E">
        <w:rPr>
          <w:lang w:val="en-US"/>
        </w:rPr>
        <w:t xml:space="preserve"> of the e</w:t>
      </w:r>
      <w:r w:rsidR="007B1BF0">
        <w:rPr>
          <w:lang w:val="en-US"/>
        </w:rPr>
        <w:t>valuation of regional networ</w:t>
      </w:r>
      <w:r w:rsidR="00FC796E">
        <w:rPr>
          <w:lang w:val="en-US"/>
        </w:rPr>
        <w:t xml:space="preserve">ks of </w:t>
      </w:r>
      <w:r w:rsidR="00DE1A81">
        <w:rPr>
          <w:lang w:val="en-US"/>
        </w:rPr>
        <w:t>NOOs</w:t>
      </w:r>
      <w:r w:rsidR="00FC796E">
        <w:rPr>
          <w:lang w:val="en-US"/>
        </w:rPr>
        <w:t>: T</w:t>
      </w:r>
      <w:r w:rsidR="007B1BF0">
        <w:rPr>
          <w:lang w:val="en-US"/>
        </w:rPr>
        <w:t xml:space="preserve">he </w:t>
      </w:r>
      <w:r w:rsidR="00E81370">
        <w:rPr>
          <w:lang w:val="en-US"/>
        </w:rPr>
        <w:t>TOR</w:t>
      </w:r>
      <w:r w:rsidR="00FC796E">
        <w:rPr>
          <w:lang w:val="en-US"/>
        </w:rPr>
        <w:t xml:space="preserve"> for the desk study</w:t>
      </w:r>
      <w:r w:rsidR="007B1BF0">
        <w:rPr>
          <w:lang w:val="en-US"/>
        </w:rPr>
        <w:t xml:space="preserve"> </w:t>
      </w:r>
      <w:proofErr w:type="gramStart"/>
      <w:r w:rsidR="008E2089">
        <w:rPr>
          <w:lang w:val="en-US"/>
        </w:rPr>
        <w:t>are being presented</w:t>
      </w:r>
      <w:proofErr w:type="gramEnd"/>
      <w:r w:rsidR="007B1BF0">
        <w:rPr>
          <w:lang w:val="en-US"/>
        </w:rPr>
        <w:t xml:space="preserve"> to the 84</w:t>
      </w:r>
      <w:r w:rsidR="007B1BF0" w:rsidRPr="009E1BDF">
        <w:rPr>
          <w:vertAlign w:val="superscript"/>
          <w:lang w:val="en-US"/>
        </w:rPr>
        <w:t>th</w:t>
      </w:r>
      <w:r w:rsidR="007B1BF0">
        <w:rPr>
          <w:lang w:val="en-US"/>
        </w:rPr>
        <w:t xml:space="preserve"> meeting</w:t>
      </w:r>
      <w:r w:rsidR="00E81370">
        <w:rPr>
          <w:lang w:val="en-US"/>
        </w:rPr>
        <w:t>,</w:t>
      </w:r>
      <w:r w:rsidR="008E2089">
        <w:rPr>
          <w:rStyle w:val="FootnoteReference"/>
          <w:lang w:val="en-US"/>
        </w:rPr>
        <w:footnoteReference w:id="3"/>
      </w:r>
      <w:r w:rsidR="008B3C26">
        <w:rPr>
          <w:lang w:val="en-US"/>
        </w:rPr>
        <w:t xml:space="preserve"> </w:t>
      </w:r>
      <w:r w:rsidR="00DE1A81">
        <w:rPr>
          <w:lang w:val="en-US"/>
        </w:rPr>
        <w:t xml:space="preserve">and </w:t>
      </w:r>
      <w:r w:rsidR="007B1BF0">
        <w:rPr>
          <w:lang w:val="en-US"/>
        </w:rPr>
        <w:t>a desk study will be presented to the 85</w:t>
      </w:r>
      <w:r w:rsidR="007B1BF0" w:rsidRPr="008B25F2">
        <w:rPr>
          <w:vertAlign w:val="superscript"/>
          <w:lang w:val="en-US"/>
        </w:rPr>
        <w:t>th</w:t>
      </w:r>
      <w:r w:rsidR="007B1BF0">
        <w:rPr>
          <w:lang w:val="en-US"/>
        </w:rPr>
        <w:t xml:space="preserve"> meeting. </w:t>
      </w:r>
      <w:r w:rsidR="00E81370">
        <w:t xml:space="preserve">The evaluation will build on </w:t>
      </w:r>
      <w:r w:rsidR="007B1BF0">
        <w:t>previous evaluation</w:t>
      </w:r>
      <w:r w:rsidR="00E81370">
        <w:t>s</w:t>
      </w:r>
      <w:r w:rsidR="00774F0F">
        <w:rPr>
          <w:rStyle w:val="FootnoteReference"/>
        </w:rPr>
        <w:footnoteReference w:id="4"/>
      </w:r>
      <w:r w:rsidR="007B1BF0">
        <w:t xml:space="preserve"> and will undertake a thorough assessment of regional networks</w:t>
      </w:r>
      <w:r w:rsidR="00774F0F">
        <w:t xml:space="preserve">, </w:t>
      </w:r>
      <w:r w:rsidR="00774F0F" w:rsidRPr="00774F0F">
        <w:rPr>
          <w:i/>
        </w:rPr>
        <w:t>inter alia</w:t>
      </w:r>
      <w:r w:rsidR="00774F0F">
        <w:t>: their role</w:t>
      </w:r>
      <w:r w:rsidR="007B1BF0">
        <w:t xml:space="preserve"> in the implementation of the </w:t>
      </w:r>
      <w:r w:rsidR="007B1BF0">
        <w:lastRenderedPageBreak/>
        <w:t xml:space="preserve">Montreal Protocol, </w:t>
      </w:r>
      <w:r w:rsidR="00774F0F">
        <w:t>evolvement</w:t>
      </w:r>
      <w:r w:rsidR="007B1BF0">
        <w:t xml:space="preserve"> over time, impact at </w:t>
      </w:r>
      <w:r w:rsidR="00774F0F">
        <w:t>different</w:t>
      </w:r>
      <w:r w:rsidR="007B1BF0">
        <w:t xml:space="preserve"> levels to identify opportunities and gaps that could further strengthen the network meetings to address the current challenges </w:t>
      </w:r>
      <w:r w:rsidR="00774F0F">
        <w:t>being faced by</w:t>
      </w:r>
      <w:r w:rsidR="007B1BF0">
        <w:t xml:space="preserve"> the Montreal Protocol</w:t>
      </w:r>
      <w:r w:rsidR="00774F0F">
        <w:t xml:space="preserve">. Based on the </w:t>
      </w:r>
      <w:r w:rsidR="0007148B">
        <w:t>findings of the desk study</w:t>
      </w:r>
      <w:r w:rsidR="00DE1A81">
        <w:t>,</w:t>
      </w:r>
      <w:r w:rsidR="0007148B">
        <w:t xml:space="preserve"> the </w:t>
      </w:r>
      <w:r w:rsidR="00DE1A81">
        <w:t>terms of reference (TOR)</w:t>
      </w:r>
      <w:r w:rsidR="0007148B">
        <w:t xml:space="preserve"> of the second phase of the evaluation will be presented to the 85</w:t>
      </w:r>
      <w:r w:rsidR="0007148B" w:rsidRPr="00FC796E">
        <w:rPr>
          <w:vertAlign w:val="superscript"/>
        </w:rPr>
        <w:t>th</w:t>
      </w:r>
      <w:r w:rsidR="0007148B">
        <w:t xml:space="preserve"> meeting</w:t>
      </w:r>
      <w:r w:rsidR="00DE1A81">
        <w:t>;</w:t>
      </w:r>
      <w:r w:rsidR="007B1BF0">
        <w:t xml:space="preserve"> </w:t>
      </w:r>
    </w:p>
    <w:p w:rsidR="007B1BF0" w:rsidRDefault="007B1BF0" w:rsidP="00F74D93">
      <w:pPr>
        <w:pStyle w:val="Heading2"/>
        <w:numPr>
          <w:ilvl w:val="0"/>
          <w:numId w:val="22"/>
        </w:numPr>
        <w:tabs>
          <w:tab w:val="left" w:pos="720"/>
        </w:tabs>
        <w:ind w:left="1440" w:hanging="720"/>
        <w:rPr>
          <w:lang w:val="en-US"/>
        </w:rPr>
      </w:pPr>
      <w:r w:rsidRPr="005148C6">
        <w:rPr>
          <w:lang w:val="en-CA"/>
        </w:rPr>
        <w:t xml:space="preserve">Evaluation of </w:t>
      </w:r>
      <w:r w:rsidR="00586B50">
        <w:rPr>
          <w:lang w:val="en-CA"/>
        </w:rPr>
        <w:t xml:space="preserve">the </w:t>
      </w:r>
      <w:r w:rsidRPr="005148C6">
        <w:rPr>
          <w:lang w:val="en-CA"/>
        </w:rPr>
        <w:t xml:space="preserve">energy efficiency in the servicing sector: </w:t>
      </w:r>
      <w:r>
        <w:rPr>
          <w:lang w:val="en-US"/>
        </w:rPr>
        <w:t xml:space="preserve">A progress report </w:t>
      </w:r>
      <w:proofErr w:type="gramStart"/>
      <w:r w:rsidR="00DE1A81">
        <w:rPr>
          <w:lang w:val="en-US"/>
        </w:rPr>
        <w:t>has been</w:t>
      </w:r>
      <w:r>
        <w:rPr>
          <w:lang w:val="en-US"/>
        </w:rPr>
        <w:t xml:space="preserve"> </w:t>
      </w:r>
      <w:r w:rsidR="00DE1A81">
        <w:rPr>
          <w:lang w:val="en-US"/>
        </w:rPr>
        <w:t>submitted</w:t>
      </w:r>
      <w:proofErr w:type="gramEnd"/>
      <w:r>
        <w:rPr>
          <w:lang w:val="en-US"/>
        </w:rPr>
        <w:t xml:space="preserve"> to the 84</w:t>
      </w:r>
      <w:r w:rsidRPr="009E1BDF">
        <w:rPr>
          <w:vertAlign w:val="superscript"/>
          <w:lang w:val="en-US"/>
        </w:rPr>
        <w:t>th</w:t>
      </w:r>
      <w:r>
        <w:rPr>
          <w:lang w:val="en-US"/>
        </w:rPr>
        <w:t xml:space="preserve"> meeting</w:t>
      </w:r>
      <w:r w:rsidR="0007148B">
        <w:rPr>
          <w:rStyle w:val="FootnoteReference"/>
          <w:lang w:val="en-US"/>
        </w:rPr>
        <w:footnoteReference w:id="5"/>
      </w:r>
      <w:r>
        <w:rPr>
          <w:lang w:val="en-US"/>
        </w:rPr>
        <w:t xml:space="preserve"> and a desk study will be presented to the 86</w:t>
      </w:r>
      <w:r w:rsidRPr="005148C6">
        <w:rPr>
          <w:vertAlign w:val="superscript"/>
          <w:lang w:val="en-US"/>
        </w:rPr>
        <w:t>th</w:t>
      </w:r>
      <w:r>
        <w:rPr>
          <w:lang w:val="en-US"/>
        </w:rPr>
        <w:t xml:space="preserve"> meeting, with the </w:t>
      </w:r>
      <w:r w:rsidRPr="005148C6">
        <w:rPr>
          <w:lang w:val="en-US"/>
        </w:rPr>
        <w:t xml:space="preserve">objective to identify and assess, to the extent possible, </w:t>
      </w:r>
      <w:r w:rsidRPr="005E4366">
        <w:t xml:space="preserve">best practices, lessons </w:t>
      </w:r>
      <w:r>
        <w:t>learned</w:t>
      </w:r>
      <w:r w:rsidRPr="005E4366">
        <w:t xml:space="preserve"> and additional opportunities for maintaining energy efficiency in the servicing sector</w:t>
      </w:r>
      <w:r>
        <w:t xml:space="preserve">. </w:t>
      </w:r>
      <w:r w:rsidR="0007148B">
        <w:t>T</w:t>
      </w:r>
      <w:r w:rsidRPr="005148C6">
        <w:rPr>
          <w:lang w:val="en-US"/>
        </w:rPr>
        <w:t>he desk study will review previously funded project</w:t>
      </w:r>
      <w:r>
        <w:rPr>
          <w:lang w:val="en-US"/>
        </w:rPr>
        <w:t>s to identify energy efficiency-</w:t>
      </w:r>
      <w:r w:rsidRPr="005148C6">
        <w:rPr>
          <w:lang w:val="en-US"/>
        </w:rPr>
        <w:t>related activities in the servicing sector, and their applications in policies and re</w:t>
      </w:r>
      <w:r w:rsidR="00DE1A81">
        <w:rPr>
          <w:lang w:val="en-US"/>
        </w:rPr>
        <w:t>gulations at the country level; and</w:t>
      </w:r>
    </w:p>
    <w:p w:rsidR="005E671F" w:rsidRPr="00291C6C" w:rsidRDefault="002A1D80" w:rsidP="00DE1A81">
      <w:pPr>
        <w:pStyle w:val="Heading2"/>
        <w:numPr>
          <w:ilvl w:val="0"/>
          <w:numId w:val="22"/>
        </w:numPr>
        <w:tabs>
          <w:tab w:val="left" w:pos="720"/>
        </w:tabs>
        <w:spacing w:before="120"/>
        <w:ind w:left="1440" w:hanging="720"/>
        <w:rPr>
          <w:lang w:val="en-US"/>
        </w:rPr>
      </w:pPr>
      <w:r w:rsidRPr="00291C6C">
        <w:rPr>
          <w:lang w:val="en-US"/>
        </w:rPr>
        <w:t>E</w:t>
      </w:r>
      <w:r w:rsidR="005E671F" w:rsidRPr="00291C6C">
        <w:rPr>
          <w:lang w:val="en-US"/>
        </w:rPr>
        <w:t xml:space="preserve">valuation of the HCFC demonstration projects: </w:t>
      </w:r>
      <w:r w:rsidRPr="00291C6C">
        <w:rPr>
          <w:lang w:val="en-US"/>
        </w:rPr>
        <w:t xml:space="preserve">As all the demonstration projects </w:t>
      </w:r>
      <w:proofErr w:type="gramStart"/>
      <w:r w:rsidRPr="00291C6C">
        <w:rPr>
          <w:lang w:val="en-US"/>
        </w:rPr>
        <w:t>have been completed</w:t>
      </w:r>
      <w:proofErr w:type="gramEnd"/>
      <w:r w:rsidR="00DE1A81">
        <w:rPr>
          <w:lang w:val="en-US"/>
        </w:rPr>
        <w:t>;</w:t>
      </w:r>
      <w:r w:rsidRPr="00291C6C">
        <w:rPr>
          <w:lang w:val="en-US"/>
        </w:rPr>
        <w:t xml:space="preserve"> </w:t>
      </w:r>
      <w:r w:rsidR="00E417E7" w:rsidRPr="00291C6C">
        <w:rPr>
          <w:lang w:val="en-US"/>
        </w:rPr>
        <w:t xml:space="preserve">the </w:t>
      </w:r>
      <w:r w:rsidRPr="00291C6C">
        <w:rPr>
          <w:lang w:val="en-US"/>
        </w:rPr>
        <w:t xml:space="preserve">evaluation </w:t>
      </w:r>
      <w:r w:rsidR="00E417E7" w:rsidRPr="00291C6C">
        <w:rPr>
          <w:lang w:val="en-US"/>
        </w:rPr>
        <w:t xml:space="preserve">of the HCFC pilot demonstration projects </w:t>
      </w:r>
      <w:r w:rsidRPr="00291C6C">
        <w:rPr>
          <w:lang w:val="en-US"/>
        </w:rPr>
        <w:t>will look at</w:t>
      </w:r>
      <w:r w:rsidR="00E417E7" w:rsidRPr="00291C6C">
        <w:rPr>
          <w:lang w:val="en-US"/>
        </w:rPr>
        <w:t xml:space="preserve"> </w:t>
      </w:r>
      <w:r w:rsidRPr="00291C6C">
        <w:rPr>
          <w:lang w:val="en-US"/>
        </w:rPr>
        <w:t xml:space="preserve">the lessons learned </w:t>
      </w:r>
      <w:r w:rsidR="00E417E7" w:rsidRPr="00291C6C">
        <w:rPr>
          <w:lang w:val="en-US"/>
        </w:rPr>
        <w:t xml:space="preserve">and recommendations from these projects on, </w:t>
      </w:r>
      <w:r w:rsidR="00E417E7" w:rsidRPr="00291C6C">
        <w:rPr>
          <w:i/>
          <w:lang w:val="en-US"/>
        </w:rPr>
        <w:t>inter alia</w:t>
      </w:r>
      <w:r w:rsidR="00E417E7" w:rsidRPr="00291C6C">
        <w:rPr>
          <w:lang w:val="en-US"/>
        </w:rPr>
        <w:t xml:space="preserve">, the selection of alternative technologies and their </w:t>
      </w:r>
      <w:r w:rsidR="00AC4BAB">
        <w:rPr>
          <w:lang w:val="en-US"/>
        </w:rPr>
        <w:t>effects</w:t>
      </w:r>
      <w:r w:rsidR="00E417E7" w:rsidRPr="00291C6C">
        <w:rPr>
          <w:lang w:val="en-US"/>
        </w:rPr>
        <w:t xml:space="preserve">, as well as the insight they may provide for the phase-down of HFCs. The </w:t>
      </w:r>
      <w:r w:rsidR="00DE1A81">
        <w:rPr>
          <w:lang w:val="en-US"/>
        </w:rPr>
        <w:t>TOR</w:t>
      </w:r>
      <w:r w:rsidR="00E417E7" w:rsidRPr="00291C6C">
        <w:rPr>
          <w:lang w:val="en-US"/>
        </w:rPr>
        <w:t xml:space="preserve"> </w:t>
      </w:r>
      <w:proofErr w:type="gramStart"/>
      <w:r w:rsidR="00E417E7" w:rsidRPr="00291C6C">
        <w:rPr>
          <w:lang w:val="en-US"/>
        </w:rPr>
        <w:t>will be presented</w:t>
      </w:r>
      <w:proofErr w:type="gramEnd"/>
      <w:r w:rsidR="00E417E7" w:rsidRPr="00291C6C">
        <w:rPr>
          <w:lang w:val="en-US"/>
        </w:rPr>
        <w:t xml:space="preserve"> to the 85</w:t>
      </w:r>
      <w:r w:rsidR="00E417E7" w:rsidRPr="00291C6C">
        <w:rPr>
          <w:vertAlign w:val="superscript"/>
          <w:lang w:val="en-US"/>
        </w:rPr>
        <w:t>th</w:t>
      </w:r>
      <w:r w:rsidR="00DE1A81">
        <w:rPr>
          <w:lang w:val="en-US"/>
        </w:rPr>
        <w:t> </w:t>
      </w:r>
      <w:r w:rsidR="00E417E7" w:rsidRPr="00291C6C">
        <w:rPr>
          <w:lang w:val="en-US"/>
        </w:rPr>
        <w:t>meeting and the desk study to the 86</w:t>
      </w:r>
      <w:r w:rsidR="00E417E7" w:rsidRPr="00291C6C">
        <w:rPr>
          <w:vertAlign w:val="superscript"/>
          <w:lang w:val="en-US"/>
        </w:rPr>
        <w:t>th</w:t>
      </w:r>
      <w:r w:rsidR="00DE1A81">
        <w:rPr>
          <w:vertAlign w:val="superscript"/>
          <w:lang w:val="en-US"/>
        </w:rPr>
        <w:t> </w:t>
      </w:r>
      <w:r w:rsidR="00E417E7" w:rsidRPr="00291C6C">
        <w:rPr>
          <w:lang w:val="en-US"/>
        </w:rPr>
        <w:t>meeting.</w:t>
      </w:r>
    </w:p>
    <w:p w:rsidR="005764B1" w:rsidRPr="00FE7422" w:rsidRDefault="005764B1" w:rsidP="00DE1A81">
      <w:pPr>
        <w:autoSpaceDE w:val="0"/>
        <w:autoSpaceDN w:val="0"/>
        <w:adjustRightInd w:val="0"/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>Monitoring activities</w:t>
      </w:r>
    </w:p>
    <w:p w:rsidR="005764B1" w:rsidRDefault="005764B1" w:rsidP="00DE1A81">
      <w:pPr>
        <w:pStyle w:val="Heading2"/>
        <w:numPr>
          <w:ilvl w:val="0"/>
          <w:numId w:val="23"/>
        </w:numPr>
        <w:tabs>
          <w:tab w:val="left" w:pos="720"/>
        </w:tabs>
        <w:spacing w:before="120"/>
        <w:ind w:left="1418" w:hanging="709"/>
        <w:rPr>
          <w:lang w:val="en-US"/>
        </w:rPr>
      </w:pPr>
      <w:r>
        <w:rPr>
          <w:lang w:val="en-US"/>
        </w:rPr>
        <w:t>C</w:t>
      </w:r>
      <w:r w:rsidRPr="00A937AE">
        <w:rPr>
          <w:lang w:val="en-US"/>
        </w:rPr>
        <w:t xml:space="preserve">onsolidated project completion report </w:t>
      </w:r>
      <w:r w:rsidR="00E81370">
        <w:rPr>
          <w:lang w:val="en-US"/>
        </w:rPr>
        <w:t>(PCR</w:t>
      </w:r>
      <w:r w:rsidR="0007148B">
        <w:rPr>
          <w:lang w:val="en-US"/>
        </w:rPr>
        <w:t xml:space="preserve">) </w:t>
      </w:r>
      <w:r w:rsidRPr="00A937AE">
        <w:rPr>
          <w:lang w:val="en-US"/>
        </w:rPr>
        <w:t>for both individual and multi</w:t>
      </w:r>
      <w:r w:rsidRPr="00A937AE">
        <w:rPr>
          <w:lang w:val="en-US"/>
        </w:rPr>
        <w:noBreakHyphen/>
        <w:t>year</w:t>
      </w:r>
      <w:r w:rsidRPr="00A937AE">
        <w:t xml:space="preserve"> agreement</w:t>
      </w:r>
      <w:r w:rsidR="0007148B">
        <w:t xml:space="preserve"> (MYAs)</w:t>
      </w:r>
      <w:r w:rsidRPr="00A937AE">
        <w:t xml:space="preserve"> projects</w:t>
      </w:r>
      <w:r>
        <w:rPr>
          <w:lang w:val="en-US"/>
        </w:rPr>
        <w:t>.</w:t>
      </w:r>
    </w:p>
    <w:p w:rsidR="005764B1" w:rsidRDefault="005764B1" w:rsidP="00DE1A81">
      <w:pPr>
        <w:pStyle w:val="Heading1"/>
        <w:spacing w:before="120"/>
      </w:pPr>
      <w:r>
        <w:t>T</w:t>
      </w:r>
      <w:r w:rsidRPr="00955FE0">
        <w:t xml:space="preserve">he </w:t>
      </w:r>
      <w:r w:rsidR="00291C6C">
        <w:t>SMEO</w:t>
      </w:r>
      <w:r>
        <w:t xml:space="preserve"> </w:t>
      </w:r>
      <w:r w:rsidRPr="00955FE0">
        <w:t xml:space="preserve">will work closely with relevant bilateral and </w:t>
      </w:r>
      <w:r>
        <w:t>implementing agencies</w:t>
      </w:r>
      <w:r w:rsidRPr="00955FE0">
        <w:t xml:space="preserve"> to submit all outstanding PCRs related to MYA</w:t>
      </w:r>
      <w:r w:rsidR="0007148B">
        <w:t>s</w:t>
      </w:r>
      <w:r w:rsidRPr="00955FE0">
        <w:t xml:space="preserve"> </w:t>
      </w:r>
      <w:r>
        <w:t xml:space="preserve">and individual projects </w:t>
      </w:r>
      <w:r w:rsidRPr="00955FE0">
        <w:t xml:space="preserve">to the </w:t>
      </w:r>
      <w:r w:rsidR="0007148B">
        <w:t>85</w:t>
      </w:r>
      <w:r w:rsidR="0007148B" w:rsidRPr="0007148B">
        <w:rPr>
          <w:vertAlign w:val="superscript"/>
        </w:rPr>
        <w:t>th</w:t>
      </w:r>
      <w:r w:rsidR="0007148B">
        <w:t xml:space="preserve"> </w:t>
      </w:r>
      <w:r w:rsidRPr="00955FE0">
        <w:t xml:space="preserve">and </w:t>
      </w:r>
      <w:r w:rsidR="0007148B">
        <w:t>86</w:t>
      </w:r>
      <w:r w:rsidRPr="00DB7FE2">
        <w:rPr>
          <w:vertAlign w:val="superscript"/>
        </w:rPr>
        <w:t>th</w:t>
      </w:r>
      <w:r>
        <w:t xml:space="preserve"> </w:t>
      </w:r>
      <w:r w:rsidRPr="00955FE0">
        <w:t>meetings</w:t>
      </w:r>
      <w:r>
        <w:t>, and to identify options to streamline the preparation and submission of PCRs</w:t>
      </w:r>
      <w:r w:rsidRPr="00955FE0">
        <w:t>.</w:t>
      </w:r>
    </w:p>
    <w:p w:rsidR="005764B1" w:rsidRDefault="005764B1" w:rsidP="005764B1">
      <w:pPr>
        <w:pStyle w:val="Heading1"/>
      </w:pPr>
      <w:r w:rsidRPr="00955FE0">
        <w:t>The consolidated PCR</w:t>
      </w:r>
      <w:r>
        <w:t xml:space="preserve"> </w:t>
      </w:r>
      <w:r w:rsidRPr="00955FE0">
        <w:t>will provide the Executive Committee with an overview of</w:t>
      </w:r>
      <w:r>
        <w:t xml:space="preserve"> the results and lessons learnt</w:t>
      </w:r>
      <w:r w:rsidRPr="00955FE0">
        <w:t xml:space="preserve"> as reported on the completion reports.</w:t>
      </w:r>
    </w:p>
    <w:p w:rsidR="005764B1" w:rsidRDefault="005764B1" w:rsidP="005764B1">
      <w:pPr>
        <w:pStyle w:val="Heading1"/>
        <w:keepNext/>
        <w:keepLines/>
        <w:widowControl w:val="0"/>
      </w:pPr>
      <w:r w:rsidRPr="00B66080">
        <w:t>Additional issues of interest may arise duri</w:t>
      </w:r>
      <w:r>
        <w:t>ng the implementation of the 2020</w:t>
      </w:r>
      <w:r w:rsidRPr="00B66080">
        <w:t xml:space="preserve"> work programme that may need to be addressed by the Executive Committee. A certain degree of flexibility therefore might be allowed in its implementation as well as in the allocation of its budget in order to accommodate any such issues. </w:t>
      </w:r>
    </w:p>
    <w:p w:rsidR="005764B1" w:rsidRPr="005809E9" w:rsidRDefault="005764B1" w:rsidP="005764B1">
      <w:pPr>
        <w:pStyle w:val="Heading1"/>
        <w:keepNext/>
        <w:numPr>
          <w:ilvl w:val="0"/>
          <w:numId w:val="0"/>
        </w:numPr>
        <w:rPr>
          <w:b/>
        </w:rPr>
      </w:pPr>
      <w:r w:rsidRPr="007F5B89">
        <w:rPr>
          <w:b/>
        </w:rPr>
        <w:t>Schedule for submission</w:t>
      </w:r>
    </w:p>
    <w:p w:rsidR="005764B1" w:rsidRPr="00955FE0" w:rsidRDefault="005764B1" w:rsidP="005764B1">
      <w:pPr>
        <w:pStyle w:val="Heading1"/>
        <w:tabs>
          <w:tab w:val="clear" w:pos="0"/>
        </w:tabs>
      </w:pPr>
      <w:r w:rsidRPr="00955FE0">
        <w:t>An overview of the activities contained in the proposed draft monitoring and ev</w:t>
      </w:r>
      <w:r w:rsidR="008E2089">
        <w:t>aluation work programme for 2020</w:t>
      </w:r>
      <w:r w:rsidRPr="00955FE0">
        <w:t xml:space="preserve"> is presented in Table 1.</w:t>
      </w:r>
    </w:p>
    <w:p w:rsidR="005764B1" w:rsidRPr="00955FE0" w:rsidRDefault="005764B1" w:rsidP="005764B1">
      <w:pPr>
        <w:keepNext/>
        <w:keepLines/>
        <w:spacing w:after="240"/>
        <w:contextualSpacing/>
        <w:rPr>
          <w:b/>
        </w:rPr>
      </w:pPr>
      <w:r w:rsidRPr="00955FE0">
        <w:rPr>
          <w:b/>
        </w:rPr>
        <w:t>Table 1. Schedule for submission of activities in the monitoring and evaluation work programme</w:t>
      </w:r>
      <w:r w:rsidR="008E2089">
        <w:rPr>
          <w:b/>
        </w:rPr>
        <w:t xml:space="preserve"> for 2020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5764B1" w:rsidRPr="00220566" w:rsidTr="00DE1A81">
        <w:trPr>
          <w:tblHeader/>
        </w:trPr>
        <w:tc>
          <w:tcPr>
            <w:tcW w:w="4725" w:type="dxa"/>
          </w:tcPr>
          <w:p w:rsidR="005764B1" w:rsidRPr="00220566" w:rsidRDefault="005764B1" w:rsidP="006D0697">
            <w:pPr>
              <w:jc w:val="center"/>
              <w:rPr>
                <w:sz w:val="20"/>
                <w:szCs w:val="21"/>
              </w:rPr>
            </w:pPr>
            <w:r w:rsidRPr="00220566">
              <w:rPr>
                <w:b/>
                <w:sz w:val="20"/>
                <w:szCs w:val="21"/>
              </w:rPr>
              <w:t>85</w:t>
            </w:r>
            <w:r w:rsidRPr="00220566">
              <w:rPr>
                <w:b/>
                <w:sz w:val="20"/>
                <w:szCs w:val="21"/>
                <w:vertAlign w:val="superscript"/>
              </w:rPr>
              <w:t>th</w:t>
            </w:r>
            <w:r w:rsidRPr="00220566">
              <w:rPr>
                <w:b/>
                <w:sz w:val="20"/>
                <w:szCs w:val="21"/>
              </w:rPr>
              <w:t xml:space="preserve"> meeting</w:t>
            </w:r>
          </w:p>
        </w:tc>
        <w:tc>
          <w:tcPr>
            <w:tcW w:w="4725" w:type="dxa"/>
          </w:tcPr>
          <w:p w:rsidR="005764B1" w:rsidRPr="00220566" w:rsidRDefault="005764B1" w:rsidP="006D0697">
            <w:pPr>
              <w:pStyle w:val="Heading4"/>
              <w:keepNext w:val="0"/>
              <w:numPr>
                <w:ilvl w:val="0"/>
                <w:numId w:val="0"/>
              </w:numPr>
              <w:spacing w:before="0" w:after="0"/>
              <w:jc w:val="center"/>
              <w:outlineLvl w:val="3"/>
              <w:rPr>
                <w:sz w:val="20"/>
                <w:szCs w:val="21"/>
              </w:rPr>
            </w:pPr>
            <w:r w:rsidRPr="00220566">
              <w:rPr>
                <w:b/>
                <w:sz w:val="20"/>
                <w:szCs w:val="21"/>
              </w:rPr>
              <w:t>86</w:t>
            </w:r>
            <w:r w:rsidRPr="00220566">
              <w:rPr>
                <w:b/>
                <w:sz w:val="20"/>
                <w:szCs w:val="21"/>
                <w:vertAlign w:val="superscript"/>
              </w:rPr>
              <w:t>th</w:t>
            </w:r>
            <w:r w:rsidRPr="00220566">
              <w:rPr>
                <w:b/>
                <w:sz w:val="20"/>
                <w:szCs w:val="21"/>
              </w:rPr>
              <w:t xml:space="preserve"> meeting</w:t>
            </w:r>
          </w:p>
        </w:tc>
      </w:tr>
      <w:tr w:rsidR="005764B1" w:rsidRPr="00220566" w:rsidTr="006D0697">
        <w:tc>
          <w:tcPr>
            <w:tcW w:w="4725" w:type="dxa"/>
          </w:tcPr>
          <w:p w:rsidR="005764B1" w:rsidRPr="00220566" w:rsidRDefault="005764B1" w:rsidP="005B4F25">
            <w:pPr>
              <w:jc w:val="left"/>
              <w:rPr>
                <w:b/>
                <w:sz w:val="20"/>
                <w:szCs w:val="21"/>
              </w:rPr>
            </w:pPr>
            <w:r w:rsidRPr="00220566">
              <w:rPr>
                <w:sz w:val="20"/>
                <w:szCs w:val="21"/>
              </w:rPr>
              <w:t xml:space="preserve">Consolidated </w:t>
            </w:r>
            <w:r w:rsidR="0007148B">
              <w:rPr>
                <w:sz w:val="20"/>
                <w:szCs w:val="21"/>
              </w:rPr>
              <w:t>PCR</w:t>
            </w:r>
            <w:r w:rsidR="00E81370">
              <w:rPr>
                <w:sz w:val="20"/>
                <w:szCs w:val="21"/>
              </w:rPr>
              <w:t xml:space="preserve"> for</w:t>
            </w:r>
            <w:r w:rsidR="0007148B">
              <w:rPr>
                <w:sz w:val="20"/>
                <w:szCs w:val="21"/>
              </w:rPr>
              <w:t xml:space="preserve"> </w:t>
            </w:r>
            <w:r w:rsidRPr="00220566">
              <w:rPr>
                <w:sz w:val="20"/>
                <w:szCs w:val="21"/>
              </w:rPr>
              <w:t>MYA and individual project</w:t>
            </w:r>
            <w:r w:rsidR="005B4F25">
              <w:rPr>
                <w:sz w:val="20"/>
                <w:szCs w:val="21"/>
              </w:rPr>
              <w:t>s</w:t>
            </w:r>
            <w:r w:rsidRPr="00220566">
              <w:rPr>
                <w:sz w:val="20"/>
                <w:szCs w:val="21"/>
              </w:rPr>
              <w:t xml:space="preserve"> </w:t>
            </w:r>
          </w:p>
        </w:tc>
        <w:tc>
          <w:tcPr>
            <w:tcW w:w="4725" w:type="dxa"/>
          </w:tcPr>
          <w:p w:rsidR="005764B1" w:rsidRPr="00220566" w:rsidRDefault="005B4F25" w:rsidP="006D0697">
            <w:pPr>
              <w:pStyle w:val="Heading4"/>
              <w:keepNext w:val="0"/>
              <w:numPr>
                <w:ilvl w:val="0"/>
                <w:numId w:val="0"/>
              </w:numPr>
              <w:spacing w:before="0" w:after="0"/>
              <w:jc w:val="left"/>
              <w:outlineLvl w:val="3"/>
              <w:rPr>
                <w:b/>
                <w:sz w:val="20"/>
                <w:szCs w:val="21"/>
              </w:rPr>
            </w:pPr>
            <w:r w:rsidRPr="00220566">
              <w:rPr>
                <w:sz w:val="20"/>
                <w:szCs w:val="21"/>
              </w:rPr>
              <w:t xml:space="preserve">Consolidated </w:t>
            </w:r>
            <w:r>
              <w:rPr>
                <w:sz w:val="20"/>
                <w:szCs w:val="21"/>
              </w:rPr>
              <w:t xml:space="preserve">PCR </w:t>
            </w:r>
            <w:r w:rsidR="00E81370">
              <w:rPr>
                <w:sz w:val="20"/>
                <w:szCs w:val="21"/>
              </w:rPr>
              <w:t xml:space="preserve">for </w:t>
            </w:r>
            <w:r w:rsidRPr="00220566">
              <w:rPr>
                <w:sz w:val="20"/>
                <w:szCs w:val="21"/>
              </w:rPr>
              <w:t>MYA and individual project</w:t>
            </w:r>
            <w:r>
              <w:rPr>
                <w:sz w:val="20"/>
                <w:szCs w:val="21"/>
              </w:rPr>
              <w:t>s</w:t>
            </w:r>
          </w:p>
        </w:tc>
      </w:tr>
      <w:tr w:rsidR="00291C6C" w:rsidRPr="00220566" w:rsidTr="006D0697">
        <w:tc>
          <w:tcPr>
            <w:tcW w:w="4725" w:type="dxa"/>
          </w:tcPr>
          <w:p w:rsidR="00291C6C" w:rsidRPr="00220566" w:rsidRDefault="00291C6C" w:rsidP="00DE1A81">
            <w:pPr>
              <w:rPr>
                <w:sz w:val="20"/>
                <w:szCs w:val="21"/>
              </w:rPr>
            </w:pPr>
            <w:r w:rsidRPr="00220566">
              <w:rPr>
                <w:sz w:val="20"/>
                <w:szCs w:val="21"/>
                <w:lang w:val="en-US"/>
              </w:rPr>
              <w:t>Desk study for</w:t>
            </w:r>
            <w:r w:rsidRPr="00220566">
              <w:rPr>
                <w:sz w:val="20"/>
                <w:szCs w:val="21"/>
              </w:rPr>
              <w:t xml:space="preserve"> the evaluation of the regional networks of </w:t>
            </w:r>
            <w:r w:rsidR="00DE1A81">
              <w:rPr>
                <w:sz w:val="20"/>
                <w:szCs w:val="21"/>
              </w:rPr>
              <w:t>NOOs</w:t>
            </w:r>
          </w:p>
        </w:tc>
        <w:tc>
          <w:tcPr>
            <w:tcW w:w="4725" w:type="dxa"/>
          </w:tcPr>
          <w:p w:rsidR="00291C6C" w:rsidRPr="00220566" w:rsidRDefault="00291C6C" w:rsidP="00291C6C">
            <w:pPr>
              <w:pStyle w:val="Heading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sz w:val="20"/>
                <w:szCs w:val="21"/>
              </w:rPr>
            </w:pPr>
            <w:r w:rsidRPr="00220566">
              <w:rPr>
                <w:sz w:val="20"/>
                <w:szCs w:val="21"/>
                <w:lang w:val="en-US"/>
              </w:rPr>
              <w:t>Desk study for</w:t>
            </w:r>
            <w:r w:rsidRPr="00220566">
              <w:rPr>
                <w:sz w:val="20"/>
                <w:szCs w:val="21"/>
              </w:rPr>
              <w:t xml:space="preserve"> the evaluation of</w:t>
            </w:r>
            <w:r w:rsidRPr="00355347">
              <w:rPr>
                <w:sz w:val="20"/>
                <w:szCs w:val="21"/>
              </w:rPr>
              <w:t xml:space="preserve"> energy efficiency in the servicing sector</w:t>
            </w:r>
          </w:p>
        </w:tc>
      </w:tr>
      <w:tr w:rsidR="00291C6C" w:rsidRPr="00220566" w:rsidTr="006D0697">
        <w:tc>
          <w:tcPr>
            <w:tcW w:w="4725" w:type="dxa"/>
          </w:tcPr>
          <w:p w:rsidR="00291C6C" w:rsidRPr="00220566" w:rsidRDefault="00291C6C" w:rsidP="00291C6C">
            <w:pPr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 xml:space="preserve">Revised desk study for the evaluation of the </w:t>
            </w:r>
            <w:r w:rsidRPr="00220566">
              <w:rPr>
                <w:sz w:val="20"/>
                <w:szCs w:val="21"/>
              </w:rPr>
              <w:t>sustainability of the Montreal Protocol achievements</w:t>
            </w:r>
          </w:p>
        </w:tc>
        <w:tc>
          <w:tcPr>
            <w:tcW w:w="4725" w:type="dxa"/>
          </w:tcPr>
          <w:p w:rsidR="00291C6C" w:rsidRPr="00220566" w:rsidRDefault="00291C6C" w:rsidP="00291C6C">
            <w:pPr>
              <w:pStyle w:val="Heading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Desk study for the evaluation of the HCFC demonstration projects</w:t>
            </w:r>
          </w:p>
        </w:tc>
      </w:tr>
      <w:tr w:rsidR="00291C6C" w:rsidRPr="00220566" w:rsidTr="006D0697">
        <w:tc>
          <w:tcPr>
            <w:tcW w:w="4725" w:type="dxa"/>
          </w:tcPr>
          <w:p w:rsidR="00291C6C" w:rsidRPr="00220566" w:rsidRDefault="00DE1A81" w:rsidP="00DE1A81">
            <w:pPr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lastRenderedPageBreak/>
              <w:t>TOR</w:t>
            </w:r>
            <w:r w:rsidR="00291C6C">
              <w:rPr>
                <w:sz w:val="20"/>
                <w:szCs w:val="21"/>
                <w:lang w:val="en-US"/>
              </w:rPr>
              <w:t xml:space="preserve"> for the second phase of the evaluation of the regional networks of </w:t>
            </w:r>
            <w:r>
              <w:rPr>
                <w:sz w:val="20"/>
                <w:szCs w:val="21"/>
                <w:lang w:val="en-US"/>
              </w:rPr>
              <w:t>NOOs</w:t>
            </w:r>
          </w:p>
        </w:tc>
        <w:tc>
          <w:tcPr>
            <w:tcW w:w="4725" w:type="dxa"/>
          </w:tcPr>
          <w:p w:rsidR="00291C6C" w:rsidRPr="00220566" w:rsidRDefault="00291C6C" w:rsidP="00291C6C">
            <w:pPr>
              <w:pStyle w:val="Heading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sz w:val="20"/>
                <w:szCs w:val="21"/>
                <w:lang w:val="en-US"/>
              </w:rPr>
            </w:pPr>
          </w:p>
        </w:tc>
      </w:tr>
      <w:tr w:rsidR="00291C6C" w:rsidRPr="00220566" w:rsidTr="006D0697">
        <w:tc>
          <w:tcPr>
            <w:tcW w:w="4725" w:type="dxa"/>
          </w:tcPr>
          <w:p w:rsidR="00291C6C" w:rsidRDefault="00DE1A81" w:rsidP="00291C6C">
            <w:pPr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TOR</w:t>
            </w:r>
            <w:r w:rsidR="00291C6C">
              <w:rPr>
                <w:sz w:val="20"/>
                <w:szCs w:val="21"/>
                <w:lang w:val="en-US"/>
              </w:rPr>
              <w:t xml:space="preserve"> for the evaluation of the HCFC demonstration projects</w:t>
            </w:r>
          </w:p>
        </w:tc>
        <w:tc>
          <w:tcPr>
            <w:tcW w:w="4725" w:type="dxa"/>
          </w:tcPr>
          <w:p w:rsidR="00291C6C" w:rsidRPr="00220566" w:rsidRDefault="00291C6C" w:rsidP="00291C6C">
            <w:pPr>
              <w:pStyle w:val="Heading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sz w:val="20"/>
                <w:szCs w:val="21"/>
                <w:lang w:val="en-US"/>
              </w:rPr>
            </w:pPr>
          </w:p>
        </w:tc>
      </w:tr>
    </w:tbl>
    <w:p w:rsidR="005764B1" w:rsidRPr="00955FE0" w:rsidRDefault="005764B1" w:rsidP="005764B1">
      <w:pPr>
        <w:keepNext/>
        <w:keepLines/>
        <w:spacing w:before="240" w:after="240"/>
        <w:rPr>
          <w:b/>
        </w:rPr>
      </w:pPr>
      <w:r w:rsidRPr="00955FE0">
        <w:rPr>
          <w:b/>
        </w:rPr>
        <w:t>Budget</w:t>
      </w:r>
    </w:p>
    <w:p w:rsidR="00AC4BAB" w:rsidRPr="00AC4BAB" w:rsidRDefault="005764B1" w:rsidP="00E606B1">
      <w:pPr>
        <w:pStyle w:val="Heading1"/>
        <w:keepNext/>
        <w:keepLines/>
        <w:contextualSpacing/>
        <w:jc w:val="left"/>
        <w:rPr>
          <w:b/>
        </w:rPr>
      </w:pPr>
      <w:r w:rsidRPr="00955FE0">
        <w:t xml:space="preserve">Table 2 presents the </w:t>
      </w:r>
      <w:r w:rsidR="00DE1A81">
        <w:t xml:space="preserve">proposed </w:t>
      </w:r>
      <w:r w:rsidRPr="00955FE0">
        <w:t>budget for the monitoring and e</w:t>
      </w:r>
      <w:r w:rsidR="00355347">
        <w:t>valuation work programme for 2020</w:t>
      </w:r>
      <w:r w:rsidRPr="00955FE0">
        <w:t xml:space="preserve">. </w:t>
      </w:r>
    </w:p>
    <w:p w:rsidR="00AC4BAB" w:rsidRDefault="00AC4BAB" w:rsidP="00AC4BAB">
      <w:pPr>
        <w:pStyle w:val="Heading1"/>
        <w:keepNext/>
        <w:keepLines/>
        <w:numPr>
          <w:ilvl w:val="0"/>
          <w:numId w:val="0"/>
        </w:numPr>
        <w:contextualSpacing/>
        <w:jc w:val="left"/>
      </w:pPr>
    </w:p>
    <w:p w:rsidR="005764B1" w:rsidRPr="00AC4BAB" w:rsidRDefault="005764B1" w:rsidP="00AC4BAB">
      <w:pPr>
        <w:pStyle w:val="Heading1"/>
        <w:keepNext/>
        <w:keepLines/>
        <w:numPr>
          <w:ilvl w:val="0"/>
          <w:numId w:val="0"/>
        </w:numPr>
        <w:contextualSpacing/>
        <w:jc w:val="left"/>
        <w:rPr>
          <w:b/>
        </w:rPr>
      </w:pPr>
      <w:r w:rsidRPr="00AC4BAB">
        <w:rPr>
          <w:b/>
        </w:rPr>
        <w:t>Table 2. Proposed budget for the monitoring and evaluation work programme</w:t>
      </w:r>
      <w:r w:rsidR="00355347" w:rsidRPr="00AC4BAB">
        <w:rPr>
          <w:b/>
        </w:rPr>
        <w:t xml:space="preserve"> for 2020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7658"/>
        <w:gridCol w:w="1692"/>
      </w:tblGrid>
      <w:tr w:rsidR="005764B1" w:rsidRPr="00FA017A" w:rsidTr="006D0697">
        <w:trPr>
          <w:tblHeader/>
        </w:trPr>
        <w:tc>
          <w:tcPr>
            <w:tcW w:w="4095" w:type="pct"/>
            <w:vAlign w:val="center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sz w:val="20"/>
                <w:szCs w:val="20"/>
              </w:rPr>
            </w:pPr>
            <w:r w:rsidRPr="008E2089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05" w:type="pct"/>
            <w:vAlign w:val="center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8E2089">
              <w:rPr>
                <w:b/>
                <w:sz w:val="20"/>
                <w:szCs w:val="20"/>
              </w:rPr>
              <w:t>Amount (US $)</w:t>
            </w:r>
          </w:p>
        </w:tc>
      </w:tr>
      <w:tr w:rsidR="005764B1" w:rsidRPr="00FA017A" w:rsidTr="006D0697">
        <w:tc>
          <w:tcPr>
            <w:tcW w:w="4095" w:type="pct"/>
          </w:tcPr>
          <w:p w:rsidR="005764B1" w:rsidRPr="008E2089" w:rsidRDefault="00A36B97" w:rsidP="0027359E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desk study for</w:t>
            </w:r>
            <w:r w:rsidR="005764B1" w:rsidRPr="008E2089">
              <w:rPr>
                <w:b/>
                <w:sz w:val="20"/>
                <w:szCs w:val="20"/>
              </w:rPr>
              <w:t xml:space="preserve"> the evaluation </w:t>
            </w:r>
            <w:r w:rsidR="0027359E">
              <w:rPr>
                <w:b/>
                <w:sz w:val="20"/>
                <w:szCs w:val="20"/>
              </w:rPr>
              <w:t xml:space="preserve">of the </w:t>
            </w:r>
            <w:r w:rsidR="0027359E">
              <w:rPr>
                <w:b/>
                <w:sz w:val="20"/>
                <w:szCs w:val="20"/>
                <w:lang w:val="en-US"/>
              </w:rPr>
              <w:t>sustainability of the Montreal Protocol achievements</w:t>
            </w:r>
          </w:p>
        </w:tc>
        <w:tc>
          <w:tcPr>
            <w:tcW w:w="905" w:type="pct"/>
            <w:vAlign w:val="center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764B1" w:rsidRPr="00FA017A" w:rsidTr="006D0697">
        <w:tc>
          <w:tcPr>
            <w:tcW w:w="4095" w:type="pct"/>
          </w:tcPr>
          <w:p w:rsidR="005764B1" w:rsidRPr="008E2089" w:rsidRDefault="005764B1" w:rsidP="00A36B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  <w:highlight w:val="yellow"/>
              </w:rPr>
            </w:pPr>
            <w:r w:rsidRPr="008E2089">
              <w:rPr>
                <w:sz w:val="20"/>
                <w:szCs w:val="20"/>
              </w:rPr>
              <w:t>Report writing</w:t>
            </w:r>
            <w:r w:rsidRPr="008E2089">
              <w:rPr>
                <w:b/>
                <w:sz w:val="20"/>
                <w:szCs w:val="20"/>
              </w:rPr>
              <w:t xml:space="preserve"> </w:t>
            </w:r>
            <w:r w:rsidR="00B8658E">
              <w:rPr>
                <w:sz w:val="20"/>
                <w:szCs w:val="20"/>
              </w:rPr>
              <w:t>(</w:t>
            </w:r>
            <w:r w:rsidR="00A36B97">
              <w:rPr>
                <w:sz w:val="20"/>
                <w:szCs w:val="20"/>
              </w:rPr>
              <w:t>5</w:t>
            </w:r>
            <w:r w:rsidRPr="008E2089">
              <w:rPr>
                <w:sz w:val="20"/>
                <w:szCs w:val="20"/>
              </w:rPr>
              <w:t xml:space="preserve"> days*US $500/day)</w:t>
            </w:r>
          </w:p>
        </w:tc>
        <w:tc>
          <w:tcPr>
            <w:tcW w:w="905" w:type="pct"/>
            <w:vAlign w:val="center"/>
          </w:tcPr>
          <w:p w:rsidR="005764B1" w:rsidRPr="008E2089" w:rsidRDefault="00A36B97" w:rsidP="00477919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4B1" w:rsidRPr="008E2089">
              <w:rPr>
                <w:sz w:val="20"/>
                <w:szCs w:val="20"/>
              </w:rPr>
              <w:t>,</w:t>
            </w:r>
            <w:r w:rsidR="00477919">
              <w:rPr>
                <w:sz w:val="20"/>
                <w:szCs w:val="20"/>
              </w:rPr>
              <w:t>5</w:t>
            </w:r>
            <w:r w:rsidR="005764B1" w:rsidRPr="008E2089">
              <w:rPr>
                <w:sz w:val="20"/>
                <w:szCs w:val="20"/>
              </w:rPr>
              <w:t>00</w:t>
            </w:r>
          </w:p>
        </w:tc>
      </w:tr>
      <w:tr w:rsidR="005764B1" w:rsidRPr="00FA017A" w:rsidTr="006D0697">
        <w:tc>
          <w:tcPr>
            <w:tcW w:w="4095" w:type="pct"/>
          </w:tcPr>
          <w:p w:rsidR="005764B1" w:rsidRPr="008E2089" w:rsidRDefault="005764B1" w:rsidP="00DE1A81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b/>
                <w:sz w:val="20"/>
                <w:szCs w:val="20"/>
              </w:rPr>
            </w:pPr>
            <w:r w:rsidRPr="008E2089">
              <w:rPr>
                <w:b/>
                <w:sz w:val="20"/>
                <w:szCs w:val="20"/>
              </w:rPr>
              <w:t xml:space="preserve">Desk study for the evaluation of the </w:t>
            </w:r>
            <w:r w:rsidR="008E2089" w:rsidRPr="008E2089">
              <w:rPr>
                <w:b/>
                <w:sz w:val="20"/>
                <w:szCs w:val="20"/>
              </w:rPr>
              <w:t xml:space="preserve">regional networks of </w:t>
            </w:r>
            <w:r w:rsidR="00DE1A81">
              <w:rPr>
                <w:b/>
                <w:sz w:val="20"/>
                <w:szCs w:val="20"/>
              </w:rPr>
              <w:t>NOOs</w:t>
            </w:r>
          </w:p>
        </w:tc>
        <w:tc>
          <w:tcPr>
            <w:tcW w:w="905" w:type="pct"/>
            <w:vAlign w:val="center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764B1" w:rsidRPr="00FA017A" w:rsidTr="006D0697">
        <w:tc>
          <w:tcPr>
            <w:tcW w:w="4095" w:type="pct"/>
          </w:tcPr>
          <w:p w:rsidR="005764B1" w:rsidRPr="008E2089" w:rsidRDefault="00B8658E" w:rsidP="006D06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(30 days*</w:t>
            </w:r>
            <w:r w:rsidR="005764B1" w:rsidRPr="008E2089">
              <w:rPr>
                <w:sz w:val="20"/>
                <w:szCs w:val="20"/>
              </w:rPr>
              <w:t>US $500/day)</w:t>
            </w:r>
          </w:p>
        </w:tc>
        <w:tc>
          <w:tcPr>
            <w:tcW w:w="905" w:type="pct"/>
            <w:vAlign w:val="center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8E2089">
              <w:rPr>
                <w:sz w:val="20"/>
                <w:szCs w:val="20"/>
              </w:rPr>
              <w:t>15,000</w:t>
            </w:r>
          </w:p>
        </w:tc>
      </w:tr>
      <w:tr w:rsidR="005764B1" w:rsidRPr="00FA017A" w:rsidTr="006D0697">
        <w:tc>
          <w:tcPr>
            <w:tcW w:w="4095" w:type="pct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8E2089">
              <w:rPr>
                <w:b/>
                <w:sz w:val="20"/>
                <w:szCs w:val="20"/>
                <w:lang w:val="en-US"/>
              </w:rPr>
              <w:t>Desk study for</w:t>
            </w:r>
            <w:r w:rsidRPr="008E2089">
              <w:rPr>
                <w:b/>
                <w:sz w:val="20"/>
                <w:szCs w:val="20"/>
              </w:rPr>
              <w:t xml:space="preserve"> the evaluation of the energy efficiency in the servicing sector </w:t>
            </w:r>
          </w:p>
        </w:tc>
        <w:tc>
          <w:tcPr>
            <w:tcW w:w="905" w:type="pct"/>
            <w:vAlign w:val="center"/>
          </w:tcPr>
          <w:p w:rsidR="005764B1" w:rsidRPr="008E2089" w:rsidRDefault="005764B1" w:rsidP="006D06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764B1" w:rsidRPr="00FA017A" w:rsidTr="006D0697">
        <w:tc>
          <w:tcPr>
            <w:tcW w:w="4095" w:type="pct"/>
          </w:tcPr>
          <w:p w:rsidR="005764B1" w:rsidRPr="008E2089" w:rsidRDefault="00B8658E" w:rsidP="006D06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(30 days*</w:t>
            </w:r>
            <w:r w:rsidR="005764B1" w:rsidRPr="008E2089">
              <w:rPr>
                <w:sz w:val="20"/>
                <w:szCs w:val="20"/>
              </w:rPr>
              <w:t>US $500/day)</w:t>
            </w:r>
          </w:p>
        </w:tc>
        <w:tc>
          <w:tcPr>
            <w:tcW w:w="905" w:type="pct"/>
            <w:vAlign w:val="center"/>
          </w:tcPr>
          <w:p w:rsidR="005764B1" w:rsidRPr="008E2089" w:rsidRDefault="005D2272" w:rsidP="00546AE9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8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A36B97" w:rsidRPr="00FA017A" w:rsidTr="006D0697">
        <w:tc>
          <w:tcPr>
            <w:tcW w:w="4095" w:type="pct"/>
          </w:tcPr>
          <w:p w:rsidR="00A36B97" w:rsidRDefault="00A36B97" w:rsidP="006D06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8E2089">
              <w:rPr>
                <w:b/>
                <w:sz w:val="20"/>
                <w:szCs w:val="20"/>
                <w:lang w:val="en-US"/>
              </w:rPr>
              <w:t>Desk study for</w:t>
            </w:r>
            <w:r w:rsidRPr="008E2089">
              <w:rPr>
                <w:b/>
                <w:sz w:val="20"/>
                <w:szCs w:val="20"/>
              </w:rPr>
              <w:t xml:space="preserve"> the evaluation of the</w:t>
            </w:r>
            <w:r>
              <w:rPr>
                <w:b/>
                <w:sz w:val="20"/>
                <w:szCs w:val="20"/>
              </w:rPr>
              <w:t xml:space="preserve"> HCFC demonstration projects</w:t>
            </w:r>
          </w:p>
        </w:tc>
        <w:tc>
          <w:tcPr>
            <w:tcW w:w="905" w:type="pct"/>
            <w:vAlign w:val="center"/>
          </w:tcPr>
          <w:p w:rsidR="00A36B97" w:rsidRDefault="00A36B97" w:rsidP="00546AE9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A36B97" w:rsidRPr="00FA017A" w:rsidTr="006D0697">
        <w:tc>
          <w:tcPr>
            <w:tcW w:w="4095" w:type="pct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(30 days*</w:t>
            </w:r>
            <w:r w:rsidRPr="008E2089">
              <w:rPr>
                <w:sz w:val="20"/>
                <w:szCs w:val="20"/>
              </w:rPr>
              <w:t>US $500/day)</w:t>
            </w:r>
          </w:p>
        </w:tc>
        <w:tc>
          <w:tcPr>
            <w:tcW w:w="905" w:type="pct"/>
            <w:vAlign w:val="center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8E2089">
              <w:rPr>
                <w:sz w:val="20"/>
                <w:szCs w:val="20"/>
              </w:rPr>
              <w:t>15,000</w:t>
            </w:r>
          </w:p>
        </w:tc>
      </w:tr>
      <w:tr w:rsidR="00A36B97" w:rsidRPr="00FA017A" w:rsidTr="006D0697">
        <w:tc>
          <w:tcPr>
            <w:tcW w:w="4095" w:type="pct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8E2089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905" w:type="pct"/>
            <w:vAlign w:val="center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8E20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50</w:t>
            </w:r>
            <w:r w:rsidRPr="008E2089">
              <w:rPr>
                <w:b/>
                <w:sz w:val="20"/>
                <w:szCs w:val="20"/>
              </w:rPr>
              <w:t>0</w:t>
            </w:r>
          </w:p>
        </w:tc>
      </w:tr>
      <w:tr w:rsidR="00A36B97" w:rsidRPr="00FA017A" w:rsidTr="006D0697">
        <w:tc>
          <w:tcPr>
            <w:tcW w:w="4095" w:type="pct"/>
          </w:tcPr>
          <w:p w:rsidR="00A36B97" w:rsidRPr="008E2089" w:rsidRDefault="00A36B97" w:rsidP="00A36B97">
            <w:pPr>
              <w:pStyle w:val="Heading1"/>
              <w:keepNext/>
              <w:keepLines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8E2089">
              <w:rPr>
                <w:sz w:val="20"/>
                <w:szCs w:val="20"/>
              </w:rPr>
              <w:t>Miscellaneous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pct"/>
            <w:vAlign w:val="center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8E2089">
              <w:rPr>
                <w:sz w:val="20"/>
                <w:szCs w:val="20"/>
              </w:rPr>
              <w:t>4,000</w:t>
            </w:r>
          </w:p>
        </w:tc>
      </w:tr>
      <w:tr w:rsidR="00A36B97" w:rsidRPr="00FA017A" w:rsidTr="006D0697">
        <w:tc>
          <w:tcPr>
            <w:tcW w:w="4095" w:type="pct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sz w:val="20"/>
                <w:szCs w:val="20"/>
                <w:highlight w:val="green"/>
              </w:rPr>
            </w:pPr>
            <w:r w:rsidRPr="008E208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5" w:type="pct"/>
            <w:vAlign w:val="center"/>
          </w:tcPr>
          <w:p w:rsidR="00A36B97" w:rsidRPr="008E2089" w:rsidRDefault="00A36B97" w:rsidP="00A36B97">
            <w:pPr>
              <w:pStyle w:val="Heading1"/>
              <w:numPr>
                <w:ilvl w:val="0"/>
                <w:numId w:val="0"/>
              </w:numPr>
              <w:spacing w:after="0"/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36,50</w:t>
            </w:r>
            <w:r w:rsidRPr="008E2089">
              <w:rPr>
                <w:b/>
                <w:sz w:val="20"/>
                <w:szCs w:val="20"/>
              </w:rPr>
              <w:t>0</w:t>
            </w:r>
          </w:p>
        </w:tc>
      </w:tr>
    </w:tbl>
    <w:p w:rsidR="00546AE9" w:rsidRPr="005D2272" w:rsidRDefault="00B8658E" w:rsidP="00546AE9">
      <w:pPr>
        <w:pStyle w:val="Heading1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  <w:lang w:eastAsia="ja-JP"/>
        </w:rPr>
        <w:t>*</w:t>
      </w:r>
      <w:r w:rsidR="00546AE9">
        <w:rPr>
          <w:sz w:val="20"/>
          <w:szCs w:val="20"/>
          <w:lang w:eastAsia="ja-JP"/>
        </w:rPr>
        <w:t xml:space="preserve"> The US $15,000 </w:t>
      </w:r>
      <w:r>
        <w:rPr>
          <w:sz w:val="20"/>
          <w:szCs w:val="20"/>
          <w:lang w:eastAsia="ja-JP"/>
        </w:rPr>
        <w:t xml:space="preserve">which was </w:t>
      </w:r>
      <w:r w:rsidR="00546AE9">
        <w:rPr>
          <w:sz w:val="20"/>
          <w:szCs w:val="20"/>
          <w:lang w:eastAsia="ja-JP"/>
        </w:rPr>
        <w:t>allocated for the d</w:t>
      </w:r>
      <w:r w:rsidR="00546AE9" w:rsidRPr="005D2272">
        <w:rPr>
          <w:sz w:val="20"/>
          <w:szCs w:val="20"/>
          <w:lang w:eastAsia="ja-JP"/>
        </w:rPr>
        <w:t>esk study for the evaluation of the energy efficiency in the servicing sector</w:t>
      </w:r>
      <w:r w:rsidR="00546AE9" w:rsidRPr="008E2089">
        <w:rPr>
          <w:b/>
          <w:sz w:val="20"/>
          <w:szCs w:val="20"/>
        </w:rPr>
        <w:t xml:space="preserve"> </w:t>
      </w:r>
      <w:r w:rsidR="00546AE9">
        <w:rPr>
          <w:sz w:val="20"/>
          <w:szCs w:val="20"/>
        </w:rPr>
        <w:t xml:space="preserve">in the 2019 work programme will be reallocated to </w:t>
      </w:r>
      <w:r w:rsidR="008B3C26">
        <w:rPr>
          <w:sz w:val="20"/>
          <w:szCs w:val="20"/>
        </w:rPr>
        <w:t xml:space="preserve">the </w:t>
      </w:r>
      <w:r w:rsidR="00546AE9">
        <w:rPr>
          <w:sz w:val="20"/>
          <w:szCs w:val="20"/>
        </w:rPr>
        <w:t>2020</w:t>
      </w:r>
      <w:r w:rsidR="008B3C26">
        <w:rPr>
          <w:sz w:val="20"/>
          <w:szCs w:val="20"/>
        </w:rPr>
        <w:t xml:space="preserve"> work programme</w:t>
      </w:r>
      <w:r w:rsidR="00546AE9">
        <w:rPr>
          <w:sz w:val="20"/>
          <w:szCs w:val="20"/>
        </w:rPr>
        <w:t xml:space="preserve">. </w:t>
      </w:r>
    </w:p>
    <w:p w:rsidR="005D2272" w:rsidRPr="00325592" w:rsidRDefault="00B8658E" w:rsidP="00DE1A81">
      <w:pPr>
        <w:spacing w:after="240"/>
        <w:rPr>
          <w:sz w:val="20"/>
          <w:szCs w:val="20"/>
          <w:lang w:eastAsia="ja-JP"/>
        </w:rPr>
      </w:pPr>
      <w:r>
        <w:rPr>
          <w:sz w:val="20"/>
          <w:szCs w:val="20"/>
          <w:vertAlign w:val="superscript"/>
          <w:lang w:eastAsia="ja-JP"/>
        </w:rPr>
        <w:t>**</w:t>
      </w:r>
      <w:r w:rsidR="00546AE9">
        <w:rPr>
          <w:sz w:val="20"/>
          <w:szCs w:val="20"/>
          <w:vertAlign w:val="superscript"/>
          <w:lang w:eastAsia="ja-JP"/>
        </w:rPr>
        <w:t xml:space="preserve"> </w:t>
      </w:r>
      <w:r w:rsidR="005764B1" w:rsidRPr="003A0CE7">
        <w:rPr>
          <w:sz w:val="20"/>
          <w:szCs w:val="20"/>
          <w:lang w:eastAsia="ja-JP"/>
        </w:rPr>
        <w:t xml:space="preserve">Miscellaneous funds </w:t>
      </w:r>
      <w:proofErr w:type="gramStart"/>
      <w:r w:rsidR="005764B1" w:rsidRPr="003A0CE7">
        <w:rPr>
          <w:sz w:val="20"/>
          <w:szCs w:val="20"/>
          <w:lang w:eastAsia="ja-JP"/>
        </w:rPr>
        <w:t>are planned</w:t>
      </w:r>
      <w:proofErr w:type="gramEnd"/>
      <w:r w:rsidR="005764B1" w:rsidRPr="003A0CE7">
        <w:rPr>
          <w:sz w:val="20"/>
          <w:szCs w:val="20"/>
          <w:lang w:eastAsia="ja-JP"/>
        </w:rPr>
        <w:t xml:space="preserve"> to cover the unexpected additional travels </w:t>
      </w:r>
      <w:r w:rsidR="00DE1A81">
        <w:rPr>
          <w:sz w:val="20"/>
          <w:szCs w:val="20"/>
          <w:lang w:eastAsia="ja-JP"/>
        </w:rPr>
        <w:t xml:space="preserve">expenses </w:t>
      </w:r>
      <w:r w:rsidR="005764B1" w:rsidRPr="003A0CE7">
        <w:rPr>
          <w:sz w:val="20"/>
          <w:szCs w:val="20"/>
          <w:lang w:eastAsia="ja-JP"/>
        </w:rPr>
        <w:t>while on mission and the unexpected replacement of the Monitoring and Evaluation office equipment.</w:t>
      </w:r>
      <w:bookmarkStart w:id="0" w:name="_GoBack"/>
      <w:bookmarkEnd w:id="0"/>
    </w:p>
    <w:p w:rsidR="005764B1" w:rsidRPr="0080319D" w:rsidRDefault="005764B1" w:rsidP="00DE1A81">
      <w:pPr>
        <w:keepNext/>
        <w:keepLines/>
        <w:spacing w:before="120" w:after="240"/>
        <w:rPr>
          <w:b/>
        </w:rPr>
      </w:pPr>
      <w:r w:rsidRPr="0080319D">
        <w:rPr>
          <w:b/>
        </w:rPr>
        <w:t>Action expected from the Executive Committee</w:t>
      </w:r>
    </w:p>
    <w:p w:rsidR="00931C3C" w:rsidRDefault="005764B1" w:rsidP="00DE1A81">
      <w:pPr>
        <w:pStyle w:val="Heading1"/>
        <w:keepNext/>
        <w:keepLines/>
        <w:spacing w:before="120"/>
      </w:pPr>
      <w:r w:rsidRPr="00DF0289">
        <w:t>The Executive Committee may wish</w:t>
      </w:r>
      <w:r w:rsidR="00931C3C">
        <w:t>:</w:t>
      </w:r>
    </w:p>
    <w:p w:rsidR="00931C3C" w:rsidRDefault="008B3C26" w:rsidP="00DE1A81">
      <w:pPr>
        <w:pStyle w:val="Heading2"/>
        <w:spacing w:before="120"/>
      </w:pPr>
      <w:r>
        <w:t>To a</w:t>
      </w:r>
      <w:r w:rsidR="005764B1">
        <w:t>pprove</w:t>
      </w:r>
      <w:r w:rsidR="005764B1" w:rsidRPr="00DF0289">
        <w:t xml:space="preserve"> the proposed monitoring and e</w:t>
      </w:r>
      <w:r w:rsidR="0027359E">
        <w:t>valuation work programme for 2020</w:t>
      </w:r>
      <w:r>
        <w:t xml:space="preserve"> contained in</w:t>
      </w:r>
      <w:r w:rsidR="005764B1" w:rsidRPr="00DF0289">
        <w:t xml:space="preserve"> </w:t>
      </w:r>
      <w:r>
        <w:t>document UNEP/</w:t>
      </w:r>
      <w:proofErr w:type="spellStart"/>
      <w:r>
        <w:t>OzL.Pro</w:t>
      </w:r>
      <w:proofErr w:type="spellEnd"/>
      <w:r>
        <w:t>/</w:t>
      </w:r>
      <w:proofErr w:type="spellStart"/>
      <w:r>
        <w:t>ExCom</w:t>
      </w:r>
      <w:proofErr w:type="spellEnd"/>
      <w:r>
        <w:t>/84</w:t>
      </w:r>
      <w:r w:rsidRPr="00DF0289">
        <w:t>/</w:t>
      </w:r>
      <w:r>
        <w:t>15</w:t>
      </w:r>
      <w:r w:rsidR="007C050F">
        <w:t>/Rev.1</w:t>
      </w:r>
      <w:r>
        <w:t xml:space="preserve"> and the related </w:t>
      </w:r>
      <w:r w:rsidR="005764B1" w:rsidRPr="00DF0289">
        <w:t xml:space="preserve">budget of </w:t>
      </w:r>
      <w:r w:rsidR="00931C3C">
        <w:t>US </w:t>
      </w:r>
      <w:r w:rsidR="00691B73">
        <w:t>$</w:t>
      </w:r>
      <w:r w:rsidR="00A36B97">
        <w:t>36</w:t>
      </w:r>
      <w:r w:rsidR="005764B1">
        <w:t>,</w:t>
      </w:r>
      <w:r>
        <w:t>5</w:t>
      </w:r>
      <w:r w:rsidR="00A36B97">
        <w:t>0</w:t>
      </w:r>
      <w:r w:rsidR="005764B1">
        <w:t xml:space="preserve">0 </w:t>
      </w:r>
      <w:r w:rsidR="005764B1" w:rsidRPr="00DF0289">
        <w:t>as shown in Table 2 o</w:t>
      </w:r>
      <w:r w:rsidR="0027359E">
        <w:t>f</w:t>
      </w:r>
      <w:r>
        <w:t xml:space="preserve"> that document</w:t>
      </w:r>
      <w:r w:rsidR="00931C3C">
        <w:t>; and</w:t>
      </w:r>
    </w:p>
    <w:p w:rsidR="00931C3C" w:rsidRPr="00931C3C" w:rsidRDefault="00931C3C" w:rsidP="00931C3C">
      <w:pPr>
        <w:pStyle w:val="Heading2"/>
      </w:pPr>
      <w:r>
        <w:t>To re</w:t>
      </w:r>
      <w:r w:rsidR="004B088F">
        <w:t>allocate</w:t>
      </w:r>
      <w:r>
        <w:t xml:space="preserve"> the </w:t>
      </w:r>
      <w:r w:rsidR="008B3C26">
        <w:t>amount</w:t>
      </w:r>
      <w:r>
        <w:t xml:space="preserve"> of US $15,000 for the</w:t>
      </w:r>
      <w:r w:rsidRPr="00931C3C">
        <w:t xml:space="preserve"> desk study for the evaluation of the energy efficiency in the servicing sector</w:t>
      </w:r>
      <w:r>
        <w:t xml:space="preserve"> from the </w:t>
      </w:r>
      <w:r w:rsidR="008B3C26">
        <w:t>m</w:t>
      </w:r>
      <w:r>
        <w:t xml:space="preserve">onitoring and </w:t>
      </w:r>
      <w:r w:rsidR="008B3C26">
        <w:t>e</w:t>
      </w:r>
      <w:r>
        <w:t xml:space="preserve">valuation work programme </w:t>
      </w:r>
      <w:r w:rsidR="008B3C26">
        <w:t>for 2019 to the budget for</w:t>
      </w:r>
      <w:r>
        <w:t xml:space="preserve"> 2020.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93"/>
        <w:gridCol w:w="1893"/>
        <w:gridCol w:w="1893"/>
        <w:gridCol w:w="1787"/>
      </w:tblGrid>
      <w:tr w:rsidR="007B1BF0" w:rsidTr="006D0697">
        <w:tc>
          <w:tcPr>
            <w:tcW w:w="1807" w:type="dxa"/>
          </w:tcPr>
          <w:p w:rsidR="007B1BF0" w:rsidRDefault="007B1BF0" w:rsidP="006D0697"/>
        </w:tc>
        <w:tc>
          <w:tcPr>
            <w:tcW w:w="1915" w:type="dxa"/>
          </w:tcPr>
          <w:p w:rsidR="007B1BF0" w:rsidRDefault="007B1BF0" w:rsidP="006D0697"/>
        </w:tc>
        <w:tc>
          <w:tcPr>
            <w:tcW w:w="1915" w:type="dxa"/>
            <w:tcBorders>
              <w:bottom w:val="single" w:sz="4" w:space="0" w:color="auto"/>
            </w:tcBorders>
          </w:tcPr>
          <w:p w:rsidR="007B1BF0" w:rsidRDefault="007B1BF0" w:rsidP="006D0697"/>
        </w:tc>
        <w:tc>
          <w:tcPr>
            <w:tcW w:w="1915" w:type="dxa"/>
          </w:tcPr>
          <w:p w:rsidR="007B1BF0" w:rsidRDefault="007B1BF0" w:rsidP="006D0697"/>
        </w:tc>
        <w:tc>
          <w:tcPr>
            <w:tcW w:w="1808" w:type="dxa"/>
          </w:tcPr>
          <w:p w:rsidR="007B1BF0" w:rsidRDefault="007B1BF0" w:rsidP="006D0697"/>
        </w:tc>
      </w:tr>
    </w:tbl>
    <w:p w:rsidR="00052C5C" w:rsidRDefault="00052C5C" w:rsidP="001C3C80">
      <w:pPr>
        <w:tabs>
          <w:tab w:val="left" w:pos="8280"/>
        </w:tabs>
      </w:pPr>
    </w:p>
    <w:p w:rsidR="00052C5C" w:rsidRDefault="00052C5C" w:rsidP="001C3C80">
      <w:pPr>
        <w:tabs>
          <w:tab w:val="left" w:pos="8280"/>
        </w:tabs>
      </w:pPr>
    </w:p>
    <w:p w:rsidR="00052C5C" w:rsidRDefault="00052C5C" w:rsidP="001C3C80">
      <w:pPr>
        <w:tabs>
          <w:tab w:val="left" w:pos="8280"/>
        </w:tabs>
      </w:pPr>
    </w:p>
    <w:p w:rsidR="00052C5C" w:rsidRDefault="00052C5C" w:rsidP="001C3C80">
      <w:pPr>
        <w:tabs>
          <w:tab w:val="left" w:pos="8280"/>
        </w:tabs>
      </w:pPr>
    </w:p>
    <w:sectPr w:rsidR="00052C5C" w:rsidSect="00896234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720" w:right="1440" w:bottom="864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FF" w:rsidRDefault="00C055FF" w:rsidP="004A504B">
      <w:r>
        <w:separator/>
      </w:r>
    </w:p>
  </w:endnote>
  <w:endnote w:type="continuationSeparator" w:id="0">
    <w:p w:rsidR="00C055FF" w:rsidRDefault="00C055FF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7C227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E1A8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7C227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E1A8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FF" w:rsidRDefault="00C055FF" w:rsidP="004A504B">
      <w:r>
        <w:separator/>
      </w:r>
    </w:p>
  </w:footnote>
  <w:footnote w:type="continuationSeparator" w:id="0">
    <w:p w:rsidR="00C055FF" w:rsidRDefault="00C055FF" w:rsidP="004A504B">
      <w:r>
        <w:continuationSeparator/>
      </w:r>
    </w:p>
  </w:footnote>
  <w:footnote w:id="1">
    <w:p w:rsidR="00FC796E" w:rsidRPr="00FC796E" w:rsidRDefault="00FC796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UNEP/OzL.Pro/ExCom/82/13/Rev.1</w:t>
      </w:r>
    </w:p>
  </w:footnote>
  <w:footnote w:id="2">
    <w:p w:rsidR="00355347" w:rsidRPr="00355347" w:rsidRDefault="0035534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UNEP/OzL.Pro/ExCom/84/</w:t>
      </w:r>
      <w:r w:rsidR="00FC796E">
        <w:rPr>
          <w:lang w:val="en-CA"/>
        </w:rPr>
        <w:t>12</w:t>
      </w:r>
    </w:p>
  </w:footnote>
  <w:footnote w:id="3">
    <w:p w:rsidR="008E2089" w:rsidRPr="008E2089" w:rsidRDefault="008E208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UNEP/</w:t>
      </w:r>
      <w:proofErr w:type="spellStart"/>
      <w:r>
        <w:rPr>
          <w:lang w:val="en-CA"/>
        </w:rPr>
        <w:t>OzL.Pro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ExCom</w:t>
      </w:r>
      <w:proofErr w:type="spellEnd"/>
      <w:r>
        <w:rPr>
          <w:lang w:val="en-CA"/>
        </w:rPr>
        <w:t>/84/</w:t>
      </w:r>
      <w:r w:rsidR="00FB359C">
        <w:rPr>
          <w:lang w:val="en-CA"/>
        </w:rPr>
        <w:t>13</w:t>
      </w:r>
      <w:r w:rsidR="002546FA">
        <w:rPr>
          <w:lang w:val="en-CA"/>
        </w:rPr>
        <w:t>/Rev.1</w:t>
      </w:r>
    </w:p>
  </w:footnote>
  <w:footnote w:id="4">
    <w:p w:rsidR="00774F0F" w:rsidRPr="00774F0F" w:rsidRDefault="00774F0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07148B">
        <w:rPr>
          <w:lang w:val="en-CA"/>
        </w:rPr>
        <w:t>UNEP/OzL.Pro/ExCom/33/7 and Corr.1</w:t>
      </w:r>
    </w:p>
  </w:footnote>
  <w:footnote w:id="5">
    <w:p w:rsidR="0007148B" w:rsidRPr="0007148B" w:rsidRDefault="0007148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UNEP/OzL.Pro/ExCom/84/14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963378">
    <w:r>
      <w:fldChar w:fldCharType="begin"/>
    </w:r>
    <w:r>
      <w:instrText xml:space="preserve"> DOCPROPERTY "Document number"  \* MERGEFORMAT </w:instrText>
    </w:r>
    <w:r>
      <w:fldChar w:fldCharType="separate"/>
    </w:r>
    <w:r w:rsidR="007C3C32">
      <w:t>UNEP/</w:t>
    </w:r>
    <w:proofErr w:type="spellStart"/>
    <w:r w:rsidR="007C3C32">
      <w:t>OzL.Pro</w:t>
    </w:r>
    <w:proofErr w:type="spellEnd"/>
    <w:r w:rsidR="007C3C32">
      <w:t>/</w:t>
    </w:r>
    <w:proofErr w:type="spellStart"/>
    <w:r w:rsidR="007C3C32">
      <w:t>ExCom</w:t>
    </w:r>
    <w:proofErr w:type="spellEnd"/>
    <w:r w:rsidR="007C3C32">
      <w:t>/84/15/Rev.1</w:t>
    </w:r>
    <w:r>
      <w:fldChar w:fldCharType="end"/>
    </w:r>
  </w:p>
  <w:p w:rsidR="007C227C" w:rsidRPr="0033525D" w:rsidRDefault="007C227C"/>
  <w:p w:rsidR="007C227C" w:rsidRPr="0033525D" w:rsidRDefault="007C22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7C" w:rsidRPr="0033525D" w:rsidRDefault="00963378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7C3C32">
      <w:t>UNEP/</w:t>
    </w:r>
    <w:proofErr w:type="spellStart"/>
    <w:r w:rsidR="007C3C32">
      <w:t>OzL.Pro</w:t>
    </w:r>
    <w:proofErr w:type="spellEnd"/>
    <w:r w:rsidR="007C3C32">
      <w:t>/</w:t>
    </w:r>
    <w:proofErr w:type="spellStart"/>
    <w:r w:rsidR="007C3C32">
      <w:t>ExCom</w:t>
    </w:r>
    <w:proofErr w:type="spellEnd"/>
    <w:r w:rsidR="007C3C32">
      <w:t>/84/15/Rev.1</w:t>
    </w:r>
    <w:r>
      <w:fldChar w:fldCharType="end"/>
    </w:r>
  </w:p>
  <w:p w:rsidR="007C227C" w:rsidRPr="0033525D" w:rsidRDefault="007C227C"/>
  <w:p w:rsidR="007C227C" w:rsidRPr="0033525D" w:rsidRDefault="007C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710546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1BBE6D3F"/>
    <w:multiLevelType w:val="hybridMultilevel"/>
    <w:tmpl w:val="1BECB3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4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16A6190"/>
    <w:multiLevelType w:val="hybridMultilevel"/>
    <w:tmpl w:val="024A47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9012E3"/>
    <w:multiLevelType w:val="hybridMultilevel"/>
    <w:tmpl w:val="A320761E"/>
    <w:lvl w:ilvl="0" w:tplc="AC1E84E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784AA1"/>
    <w:multiLevelType w:val="hybridMultilevel"/>
    <w:tmpl w:val="A1DAA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0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7B1BF0"/>
    <w:rsid w:val="00000FED"/>
    <w:rsid w:val="0000434E"/>
    <w:rsid w:val="00017C3F"/>
    <w:rsid w:val="000211A9"/>
    <w:rsid w:val="00031260"/>
    <w:rsid w:val="0003681A"/>
    <w:rsid w:val="00052C5C"/>
    <w:rsid w:val="00061EC2"/>
    <w:rsid w:val="0007148B"/>
    <w:rsid w:val="00080ED0"/>
    <w:rsid w:val="00084C10"/>
    <w:rsid w:val="00085B8F"/>
    <w:rsid w:val="00090481"/>
    <w:rsid w:val="00092009"/>
    <w:rsid w:val="00097C38"/>
    <w:rsid w:val="000A6C26"/>
    <w:rsid w:val="000C13A1"/>
    <w:rsid w:val="000D52A4"/>
    <w:rsid w:val="000E07BC"/>
    <w:rsid w:val="000E59CB"/>
    <w:rsid w:val="000F1CD4"/>
    <w:rsid w:val="000F4103"/>
    <w:rsid w:val="000F70A7"/>
    <w:rsid w:val="00113CCA"/>
    <w:rsid w:val="00122F25"/>
    <w:rsid w:val="00134AE5"/>
    <w:rsid w:val="00135980"/>
    <w:rsid w:val="00164719"/>
    <w:rsid w:val="00166FC4"/>
    <w:rsid w:val="001677AC"/>
    <w:rsid w:val="001804EA"/>
    <w:rsid w:val="00190A61"/>
    <w:rsid w:val="001A3342"/>
    <w:rsid w:val="001A3E3D"/>
    <w:rsid w:val="001A7049"/>
    <w:rsid w:val="001B1D88"/>
    <w:rsid w:val="001B1E40"/>
    <w:rsid w:val="001B439F"/>
    <w:rsid w:val="001B5C69"/>
    <w:rsid w:val="001B6487"/>
    <w:rsid w:val="001C299E"/>
    <w:rsid w:val="001C3C80"/>
    <w:rsid w:val="001C764E"/>
    <w:rsid w:val="001E1052"/>
    <w:rsid w:val="001E21B1"/>
    <w:rsid w:val="001E2F93"/>
    <w:rsid w:val="001E61E5"/>
    <w:rsid w:val="001F2159"/>
    <w:rsid w:val="00200EAE"/>
    <w:rsid w:val="00213B82"/>
    <w:rsid w:val="00214863"/>
    <w:rsid w:val="002156B4"/>
    <w:rsid w:val="00253222"/>
    <w:rsid w:val="002546FA"/>
    <w:rsid w:val="00262847"/>
    <w:rsid w:val="00264ACF"/>
    <w:rsid w:val="0027359E"/>
    <w:rsid w:val="00281BB2"/>
    <w:rsid w:val="00291C6C"/>
    <w:rsid w:val="002A1D80"/>
    <w:rsid w:val="002B08D9"/>
    <w:rsid w:val="002B72E9"/>
    <w:rsid w:val="002C7998"/>
    <w:rsid w:val="002F1E53"/>
    <w:rsid w:val="002F263D"/>
    <w:rsid w:val="002F2CAA"/>
    <w:rsid w:val="0030052C"/>
    <w:rsid w:val="003306E1"/>
    <w:rsid w:val="003320E4"/>
    <w:rsid w:val="0033525D"/>
    <w:rsid w:val="003414F3"/>
    <w:rsid w:val="00346674"/>
    <w:rsid w:val="003512CB"/>
    <w:rsid w:val="00355347"/>
    <w:rsid w:val="0035613E"/>
    <w:rsid w:val="00363EE9"/>
    <w:rsid w:val="0036427C"/>
    <w:rsid w:val="00366505"/>
    <w:rsid w:val="00376128"/>
    <w:rsid w:val="0037742E"/>
    <w:rsid w:val="00377D56"/>
    <w:rsid w:val="0038245A"/>
    <w:rsid w:val="003840E6"/>
    <w:rsid w:val="00385613"/>
    <w:rsid w:val="00385CFC"/>
    <w:rsid w:val="003919B9"/>
    <w:rsid w:val="0039337A"/>
    <w:rsid w:val="003A3189"/>
    <w:rsid w:val="003A3CA7"/>
    <w:rsid w:val="003B1665"/>
    <w:rsid w:val="003B33BD"/>
    <w:rsid w:val="003B569D"/>
    <w:rsid w:val="003B5BC6"/>
    <w:rsid w:val="003C0C29"/>
    <w:rsid w:val="003C3C0E"/>
    <w:rsid w:val="003D4FAC"/>
    <w:rsid w:val="003E7906"/>
    <w:rsid w:val="003F3C50"/>
    <w:rsid w:val="003F5FBE"/>
    <w:rsid w:val="00406A6A"/>
    <w:rsid w:val="00406B22"/>
    <w:rsid w:val="0041134C"/>
    <w:rsid w:val="004174B4"/>
    <w:rsid w:val="004328A7"/>
    <w:rsid w:val="00434C74"/>
    <w:rsid w:val="00456EB4"/>
    <w:rsid w:val="004718F3"/>
    <w:rsid w:val="004731B8"/>
    <w:rsid w:val="00475040"/>
    <w:rsid w:val="00477919"/>
    <w:rsid w:val="00493D40"/>
    <w:rsid w:val="004967B6"/>
    <w:rsid w:val="004A504B"/>
    <w:rsid w:val="004A6911"/>
    <w:rsid w:val="004B088F"/>
    <w:rsid w:val="004B54E0"/>
    <w:rsid w:val="004B7384"/>
    <w:rsid w:val="004C4269"/>
    <w:rsid w:val="004D6236"/>
    <w:rsid w:val="004D7F90"/>
    <w:rsid w:val="004E4DBB"/>
    <w:rsid w:val="004E4E41"/>
    <w:rsid w:val="004E7F9C"/>
    <w:rsid w:val="004F18A7"/>
    <w:rsid w:val="004F3493"/>
    <w:rsid w:val="004F5143"/>
    <w:rsid w:val="00512B09"/>
    <w:rsid w:val="00515B2F"/>
    <w:rsid w:val="00533796"/>
    <w:rsid w:val="00546AE9"/>
    <w:rsid w:val="00555D75"/>
    <w:rsid w:val="00560DF0"/>
    <w:rsid w:val="0056759C"/>
    <w:rsid w:val="005764B1"/>
    <w:rsid w:val="00586B50"/>
    <w:rsid w:val="0059513E"/>
    <w:rsid w:val="005A4390"/>
    <w:rsid w:val="005B48FF"/>
    <w:rsid w:val="005B4F25"/>
    <w:rsid w:val="005D2272"/>
    <w:rsid w:val="005D54AA"/>
    <w:rsid w:val="005E671F"/>
    <w:rsid w:val="00604C15"/>
    <w:rsid w:val="00614A5B"/>
    <w:rsid w:val="00614BE0"/>
    <w:rsid w:val="006158D5"/>
    <w:rsid w:val="00625D83"/>
    <w:rsid w:val="006623E7"/>
    <w:rsid w:val="00662B80"/>
    <w:rsid w:val="00670F6C"/>
    <w:rsid w:val="00675795"/>
    <w:rsid w:val="006852C7"/>
    <w:rsid w:val="006852CE"/>
    <w:rsid w:val="00691B73"/>
    <w:rsid w:val="006C1727"/>
    <w:rsid w:val="006C32FD"/>
    <w:rsid w:val="006C39CE"/>
    <w:rsid w:val="006D0FCC"/>
    <w:rsid w:val="006D1D2D"/>
    <w:rsid w:val="006D54FC"/>
    <w:rsid w:val="006E1FC3"/>
    <w:rsid w:val="0070616B"/>
    <w:rsid w:val="00706FDA"/>
    <w:rsid w:val="00711F9A"/>
    <w:rsid w:val="00713810"/>
    <w:rsid w:val="007303A5"/>
    <w:rsid w:val="00730B3E"/>
    <w:rsid w:val="0073420B"/>
    <w:rsid w:val="0074760E"/>
    <w:rsid w:val="00754ABA"/>
    <w:rsid w:val="00760781"/>
    <w:rsid w:val="00774F0F"/>
    <w:rsid w:val="007A1546"/>
    <w:rsid w:val="007A228C"/>
    <w:rsid w:val="007A368E"/>
    <w:rsid w:val="007A3991"/>
    <w:rsid w:val="007A5868"/>
    <w:rsid w:val="007B04CE"/>
    <w:rsid w:val="007B1BF0"/>
    <w:rsid w:val="007B6871"/>
    <w:rsid w:val="007B7A2F"/>
    <w:rsid w:val="007C050F"/>
    <w:rsid w:val="007C227C"/>
    <w:rsid w:val="007C3C32"/>
    <w:rsid w:val="007C3D33"/>
    <w:rsid w:val="007C740E"/>
    <w:rsid w:val="007D294A"/>
    <w:rsid w:val="007D47D2"/>
    <w:rsid w:val="007D6EC0"/>
    <w:rsid w:val="007D7E1D"/>
    <w:rsid w:val="00801206"/>
    <w:rsid w:val="00831979"/>
    <w:rsid w:val="00851352"/>
    <w:rsid w:val="00863230"/>
    <w:rsid w:val="008717D8"/>
    <w:rsid w:val="0087215C"/>
    <w:rsid w:val="00880E35"/>
    <w:rsid w:val="008875FE"/>
    <w:rsid w:val="00887F8E"/>
    <w:rsid w:val="00896234"/>
    <w:rsid w:val="00897E43"/>
    <w:rsid w:val="008B3C26"/>
    <w:rsid w:val="008C5738"/>
    <w:rsid w:val="008C7EAD"/>
    <w:rsid w:val="008D0CFE"/>
    <w:rsid w:val="008D3375"/>
    <w:rsid w:val="008D54C2"/>
    <w:rsid w:val="008D6152"/>
    <w:rsid w:val="008E2089"/>
    <w:rsid w:val="008F0F81"/>
    <w:rsid w:val="008F27BF"/>
    <w:rsid w:val="009142EC"/>
    <w:rsid w:val="009154C3"/>
    <w:rsid w:val="00921D85"/>
    <w:rsid w:val="00923540"/>
    <w:rsid w:val="00926767"/>
    <w:rsid w:val="00931C3C"/>
    <w:rsid w:val="009361D5"/>
    <w:rsid w:val="009428A4"/>
    <w:rsid w:val="009544C7"/>
    <w:rsid w:val="00963378"/>
    <w:rsid w:val="009659F4"/>
    <w:rsid w:val="009709B0"/>
    <w:rsid w:val="00970D60"/>
    <w:rsid w:val="009960E5"/>
    <w:rsid w:val="009A7ADC"/>
    <w:rsid w:val="009B2E41"/>
    <w:rsid w:val="009C19B7"/>
    <w:rsid w:val="009D7C51"/>
    <w:rsid w:val="009E196C"/>
    <w:rsid w:val="009F36BF"/>
    <w:rsid w:val="00A111B6"/>
    <w:rsid w:val="00A22F50"/>
    <w:rsid w:val="00A2547B"/>
    <w:rsid w:val="00A26D27"/>
    <w:rsid w:val="00A36B97"/>
    <w:rsid w:val="00A376EE"/>
    <w:rsid w:val="00A42A99"/>
    <w:rsid w:val="00A5151A"/>
    <w:rsid w:val="00A56465"/>
    <w:rsid w:val="00A57E0A"/>
    <w:rsid w:val="00A823F6"/>
    <w:rsid w:val="00A85B29"/>
    <w:rsid w:val="00A93BBA"/>
    <w:rsid w:val="00AA0A89"/>
    <w:rsid w:val="00AA125C"/>
    <w:rsid w:val="00AA6429"/>
    <w:rsid w:val="00AC01AA"/>
    <w:rsid w:val="00AC4BAB"/>
    <w:rsid w:val="00AC4F72"/>
    <w:rsid w:val="00AD1D27"/>
    <w:rsid w:val="00AE77AA"/>
    <w:rsid w:val="00AF741A"/>
    <w:rsid w:val="00B01ADB"/>
    <w:rsid w:val="00B04161"/>
    <w:rsid w:val="00B056F9"/>
    <w:rsid w:val="00B11E3D"/>
    <w:rsid w:val="00B17E82"/>
    <w:rsid w:val="00B4575A"/>
    <w:rsid w:val="00B575BA"/>
    <w:rsid w:val="00B60C75"/>
    <w:rsid w:val="00B76429"/>
    <w:rsid w:val="00B8658E"/>
    <w:rsid w:val="00B92B1B"/>
    <w:rsid w:val="00B956D4"/>
    <w:rsid w:val="00B97446"/>
    <w:rsid w:val="00BA7432"/>
    <w:rsid w:val="00BB06BD"/>
    <w:rsid w:val="00BC1AA0"/>
    <w:rsid w:val="00BC2495"/>
    <w:rsid w:val="00BC7EB9"/>
    <w:rsid w:val="00BD2643"/>
    <w:rsid w:val="00BD56B1"/>
    <w:rsid w:val="00BD6558"/>
    <w:rsid w:val="00BD65CF"/>
    <w:rsid w:val="00BF3022"/>
    <w:rsid w:val="00BF3214"/>
    <w:rsid w:val="00BF5573"/>
    <w:rsid w:val="00C055FF"/>
    <w:rsid w:val="00C104A8"/>
    <w:rsid w:val="00C15867"/>
    <w:rsid w:val="00C2296D"/>
    <w:rsid w:val="00C23155"/>
    <w:rsid w:val="00C40C41"/>
    <w:rsid w:val="00C45885"/>
    <w:rsid w:val="00C50F22"/>
    <w:rsid w:val="00C55303"/>
    <w:rsid w:val="00C57971"/>
    <w:rsid w:val="00C65BD7"/>
    <w:rsid w:val="00C76BA4"/>
    <w:rsid w:val="00C83A48"/>
    <w:rsid w:val="00C85865"/>
    <w:rsid w:val="00C85E85"/>
    <w:rsid w:val="00CA2EAE"/>
    <w:rsid w:val="00CA3634"/>
    <w:rsid w:val="00CA4AC1"/>
    <w:rsid w:val="00CB0316"/>
    <w:rsid w:val="00CB0B11"/>
    <w:rsid w:val="00CB5354"/>
    <w:rsid w:val="00CC003D"/>
    <w:rsid w:val="00CC299E"/>
    <w:rsid w:val="00CC6236"/>
    <w:rsid w:val="00CC6A14"/>
    <w:rsid w:val="00CC70A3"/>
    <w:rsid w:val="00CD0B4A"/>
    <w:rsid w:val="00CD4442"/>
    <w:rsid w:val="00CD53C3"/>
    <w:rsid w:val="00CD574E"/>
    <w:rsid w:val="00CE4C22"/>
    <w:rsid w:val="00CF41EC"/>
    <w:rsid w:val="00CF5D04"/>
    <w:rsid w:val="00D04DE4"/>
    <w:rsid w:val="00D0546C"/>
    <w:rsid w:val="00D063F1"/>
    <w:rsid w:val="00D13CD0"/>
    <w:rsid w:val="00D14F22"/>
    <w:rsid w:val="00D22563"/>
    <w:rsid w:val="00D3081E"/>
    <w:rsid w:val="00D4741C"/>
    <w:rsid w:val="00D51B89"/>
    <w:rsid w:val="00D57918"/>
    <w:rsid w:val="00D62899"/>
    <w:rsid w:val="00D66982"/>
    <w:rsid w:val="00D73DC6"/>
    <w:rsid w:val="00D74C1A"/>
    <w:rsid w:val="00D754C1"/>
    <w:rsid w:val="00D77393"/>
    <w:rsid w:val="00D77A35"/>
    <w:rsid w:val="00D81B3E"/>
    <w:rsid w:val="00D90C70"/>
    <w:rsid w:val="00D90E49"/>
    <w:rsid w:val="00D96ADE"/>
    <w:rsid w:val="00DA0CE2"/>
    <w:rsid w:val="00DC6A10"/>
    <w:rsid w:val="00DE1A81"/>
    <w:rsid w:val="00DE657E"/>
    <w:rsid w:val="00DF4704"/>
    <w:rsid w:val="00E024AA"/>
    <w:rsid w:val="00E250F1"/>
    <w:rsid w:val="00E3550D"/>
    <w:rsid w:val="00E41335"/>
    <w:rsid w:val="00E417E7"/>
    <w:rsid w:val="00E614E0"/>
    <w:rsid w:val="00E72C91"/>
    <w:rsid w:val="00E73F7F"/>
    <w:rsid w:val="00E81370"/>
    <w:rsid w:val="00E85409"/>
    <w:rsid w:val="00EA429F"/>
    <w:rsid w:val="00EA4F9E"/>
    <w:rsid w:val="00EA63CA"/>
    <w:rsid w:val="00EA6D3B"/>
    <w:rsid w:val="00EB00AD"/>
    <w:rsid w:val="00EB136C"/>
    <w:rsid w:val="00EB480E"/>
    <w:rsid w:val="00EB5EC6"/>
    <w:rsid w:val="00EB7FC9"/>
    <w:rsid w:val="00ED27E8"/>
    <w:rsid w:val="00ED7137"/>
    <w:rsid w:val="00EE66BA"/>
    <w:rsid w:val="00F07A58"/>
    <w:rsid w:val="00F21088"/>
    <w:rsid w:val="00F268BE"/>
    <w:rsid w:val="00F26E2B"/>
    <w:rsid w:val="00F327E7"/>
    <w:rsid w:val="00F35746"/>
    <w:rsid w:val="00F447C7"/>
    <w:rsid w:val="00F5211B"/>
    <w:rsid w:val="00F554A9"/>
    <w:rsid w:val="00F716FD"/>
    <w:rsid w:val="00F71D93"/>
    <w:rsid w:val="00F74D93"/>
    <w:rsid w:val="00F80355"/>
    <w:rsid w:val="00F87C43"/>
    <w:rsid w:val="00FB0C81"/>
    <w:rsid w:val="00FB359C"/>
    <w:rsid w:val="00FC2200"/>
    <w:rsid w:val="00FC2540"/>
    <w:rsid w:val="00FC796E"/>
    <w:rsid w:val="00FF0204"/>
    <w:rsid w:val="00FF3AED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1C053"/>
  <w15:docId w15:val="{212E5851-6A2D-41A8-9A15-AE910B8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1,Heading 2 Char2"/>
    <w:basedOn w:val="Normal"/>
    <w:next w:val="Normal"/>
    <w:link w:val="Heading2Char"/>
    <w:qFormat/>
    <w:rsid w:val="0033525D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 Char,Heading 3 Char"/>
    <w:basedOn w:val="Normal"/>
    <w:next w:val="Normal"/>
    <w:qFormat/>
    <w:rsid w:val="0033525D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1 Char"/>
    <w:basedOn w:val="DefaultParagraphFont"/>
    <w:link w:val="Heading2"/>
    <w:rsid w:val="007B1BF0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B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BF0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84th\Templates\Eec84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1483EAF9547AF5405F34A68D8CF" ma:contentTypeVersion="4" ma:contentTypeDescription="Create a new document." ma:contentTypeScope="" ma:versionID="bbbacc9f6101fc0892702c4e4b680072">
  <xsd:schema xmlns:xsd="http://www.w3.org/2001/XMLSchema" xmlns:p="http://schemas.microsoft.com/office/2006/metadata/properties" xmlns:ns2="6b03d5a6-c642-4a08-93b6-965b66bfac2e" xmlns:ns3="64e33b30-101d-41de-b951-961aab25ea29" targetNamespace="http://schemas.microsoft.com/office/2006/metadata/properties" ma:root="true" ma:fieldsID="39409073ccf1d849a0e0d716fd570e97" ns2:_="" ns3:_="">
    <xsd:import namespace="6b03d5a6-c642-4a08-93b6-965b66bfac2e"/>
    <xsd:import namespace="64e33b30-101d-41de-b951-961aab25ea2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100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Number xmlns="6b03d5a6-c642-4a08-93b6-965b66bfac2e">UNEP/OzL.Pro/ExCom/84/15/Rev.1</Document_x0020_Number>
    <DocumentType xmlns="64e33b30-101d-41de-b951-961aab25ea29">In-session</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0930-7E2B-4FC7-AEA6-6C48DCFF6F7C}"/>
</file>

<file path=customXml/itemProps2.xml><?xml version="1.0" encoding="utf-8"?>
<ds:datastoreItem xmlns:ds="http://schemas.openxmlformats.org/officeDocument/2006/customXml" ds:itemID="{C73B212F-6DCD-4C89-87D1-5ABE0BE89451}"/>
</file>

<file path=customXml/itemProps3.xml><?xml version="1.0" encoding="utf-8"?>
<ds:datastoreItem xmlns:ds="http://schemas.openxmlformats.org/officeDocument/2006/customXml" ds:itemID="{AF27EEDF-8DB4-4E4A-B1F8-06EA10B75768}"/>
</file>

<file path=customXml/itemProps4.xml><?xml version="1.0" encoding="utf-8"?>
<ds:datastoreItem xmlns:ds="http://schemas.openxmlformats.org/officeDocument/2006/customXml" ds:itemID="{302CBF5B-1A87-4D63-8A90-1DFCC66CE8A8}"/>
</file>

<file path=docProps/app.xml><?xml version="1.0" encoding="utf-8"?>
<Properties xmlns="http://schemas.openxmlformats.org/officeDocument/2006/extended-properties" xmlns:vt="http://schemas.openxmlformats.org/officeDocument/2006/docPropsVTypes">
  <Template>Eec84G</Template>
  <TotalTime>29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monitoring and evaluation work programme for the year 2020</vt:lpstr>
    </vt:vector>
  </TitlesOfParts>
  <Company>UNMFS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monitoring and evaluation work programme for the year 2020 - Revision</dc:title>
  <dc:creator>Joel Pare-Julien</dc:creator>
  <cp:lastModifiedBy>visitor</cp:lastModifiedBy>
  <cp:revision>9</cp:revision>
  <cp:lastPrinted>2019-12-19T00:02:00Z</cp:lastPrinted>
  <dcterms:created xsi:type="dcterms:W3CDTF">2019-12-18T17:26:00Z</dcterms:created>
  <dcterms:modified xsi:type="dcterms:W3CDTF">2019-12-19T14:45:00Z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UNEP/OzL.Pro/ExCom/84/15/Rev.1</vt:lpwstr>
  </property>
  <property fmtid="{D5CDD505-2E9C-101B-9397-08002B2CF9AE}" pid="3" name="Revision date">
    <vt:lpwstr>12/19/2019</vt:lpwstr>
  </property>
  <property fmtid="{D5CDD505-2E9C-101B-9397-08002B2CF9AE}" pid="4" name="ContentTypeId">
    <vt:lpwstr>0x010100D1FC51483EAF9547AF5405F34A68D8CF</vt:lpwstr>
  </property>
</Properties>
</file>