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Pr="009D59D0" w:rsidRDefault="00264ACF" w:rsidP="00264ACF">
      <w:r w:rsidRPr="009D59D0">
        <w:rPr>
          <w:noProof/>
          <w:lang w:val="en-CA" w:eastAsia="zh-CN"/>
        </w:rPr>
        <w:drawing>
          <wp:anchor distT="0" distB="0" distL="114300" distR="114300" simplePos="0" relativeHeight="251658240" behindDoc="1" locked="0" layoutInCell="1" allowOverlap="1" wp14:anchorId="7FE7582B" wp14:editId="692E774F">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9D59D0">
        <w:t xml:space="preserve"> </w:t>
      </w:r>
    </w:p>
    <w:p w:rsidR="00D0546C" w:rsidRPr="009D59D0" w:rsidRDefault="00D0546C" w:rsidP="00D0546C">
      <w:pPr>
        <w:tabs>
          <w:tab w:val="left" w:pos="1410"/>
        </w:tabs>
      </w:pPr>
    </w:p>
    <w:p w:rsidR="00D0546C" w:rsidRPr="009D59D0" w:rsidRDefault="00D0546C" w:rsidP="003919B9">
      <w:pPr>
        <w:ind w:left="5040"/>
      </w:pPr>
    </w:p>
    <w:p w:rsidR="003919B9" w:rsidRPr="009D59D0" w:rsidRDefault="005A4390" w:rsidP="003919B9">
      <w:pPr>
        <w:ind w:left="5040"/>
      </w:pPr>
      <w:r w:rsidRPr="009D59D0">
        <w:t xml:space="preserve"> </w:t>
      </w:r>
      <w:r w:rsidRPr="009D59D0">
        <w:br/>
        <w:t xml:space="preserve">   </w:t>
      </w:r>
      <w:r w:rsidR="00D0546C" w:rsidRPr="009D59D0">
        <w:br/>
      </w:r>
      <w:r w:rsidR="00D0546C" w:rsidRPr="009D59D0">
        <w:br/>
      </w:r>
      <w:r w:rsidR="00D0546C" w:rsidRPr="009D59D0">
        <w:br/>
      </w:r>
      <w:r w:rsidR="00264ACF" w:rsidRPr="009D59D0">
        <w:t xml:space="preserve">   </w:t>
      </w:r>
      <w:r w:rsidR="00E636E3" w:rsidRPr="009D59D0">
        <w:fldChar w:fldCharType="begin"/>
      </w:r>
      <w:r w:rsidR="00E636E3" w:rsidRPr="009D59D0">
        <w:instrText xml:space="preserve"> DOCPROPERTY "Document number"  \* MERGEFORMAT </w:instrText>
      </w:r>
      <w:r w:rsidR="00E636E3" w:rsidRPr="009D59D0">
        <w:fldChar w:fldCharType="separate"/>
      </w:r>
      <w:r w:rsidR="004C4F0E" w:rsidRPr="009D59D0">
        <w:t>UNEP/</w:t>
      </w:r>
      <w:proofErr w:type="spellStart"/>
      <w:r w:rsidR="004C4F0E" w:rsidRPr="009D59D0">
        <w:t>OzL.Pro</w:t>
      </w:r>
      <w:proofErr w:type="spellEnd"/>
      <w:r w:rsidR="004C4F0E" w:rsidRPr="009D59D0">
        <w:t>/</w:t>
      </w:r>
      <w:proofErr w:type="spellStart"/>
      <w:r w:rsidR="004C4F0E" w:rsidRPr="009D59D0">
        <w:t>ExCom</w:t>
      </w:r>
      <w:proofErr w:type="spellEnd"/>
      <w:r w:rsidR="004C4F0E" w:rsidRPr="009D59D0">
        <w:t>/84/25</w:t>
      </w:r>
      <w:r w:rsidR="00E636E3" w:rsidRPr="009D59D0">
        <w:fldChar w:fldCharType="end"/>
      </w:r>
      <w:r w:rsidR="003919B9" w:rsidRPr="009D59D0">
        <w:br/>
        <w:t xml:space="preserve">   </w:t>
      </w:r>
      <w:r w:rsidR="003919B9" w:rsidRPr="009D59D0">
        <w:fldChar w:fldCharType="begin"/>
      </w:r>
      <w:r w:rsidR="003919B9" w:rsidRPr="009D59D0">
        <w:instrText xml:space="preserve"> DOCPROPERTY "Revision date" \@ "d MMMM YYYY"  \* MERGEFORMAT </w:instrText>
      </w:r>
      <w:r w:rsidR="003919B9" w:rsidRPr="009D59D0">
        <w:fldChar w:fldCharType="separate"/>
      </w:r>
      <w:r w:rsidR="004C7791" w:rsidRPr="009D59D0">
        <w:t>26 November 2019</w:t>
      </w:r>
      <w:r w:rsidR="003919B9" w:rsidRPr="009D59D0">
        <w:fldChar w:fldCharType="end"/>
      </w:r>
    </w:p>
    <w:p w:rsidR="003919B9" w:rsidRPr="009D59D0" w:rsidRDefault="003919B9" w:rsidP="003919B9"/>
    <w:p w:rsidR="00EE66BA" w:rsidRPr="009D59D0" w:rsidRDefault="00EE66BA" w:rsidP="001C3C80">
      <w:pPr>
        <w:tabs>
          <w:tab w:val="left" w:pos="8280"/>
        </w:tabs>
      </w:pPr>
    </w:p>
    <w:p w:rsidR="003919B9" w:rsidRPr="009D59D0" w:rsidRDefault="003919B9" w:rsidP="001C3C80">
      <w:pPr>
        <w:tabs>
          <w:tab w:val="left" w:pos="8280"/>
        </w:tabs>
      </w:pPr>
    </w:p>
    <w:p w:rsidR="003919B9" w:rsidRPr="009D59D0" w:rsidRDefault="00D66982" w:rsidP="00D66982">
      <w:pPr>
        <w:tabs>
          <w:tab w:val="left" w:pos="3940"/>
        </w:tabs>
      </w:pPr>
      <w:r w:rsidRPr="009D59D0">
        <w:tab/>
      </w:r>
    </w:p>
    <w:p w:rsidR="003919B9" w:rsidRPr="009D59D0" w:rsidRDefault="003919B9" w:rsidP="001C3C80">
      <w:pPr>
        <w:tabs>
          <w:tab w:val="left" w:pos="8280"/>
        </w:tabs>
      </w:pPr>
    </w:p>
    <w:p w:rsidR="003919B9" w:rsidRPr="009D59D0" w:rsidRDefault="003919B9" w:rsidP="001C3C80">
      <w:pPr>
        <w:tabs>
          <w:tab w:val="left" w:pos="8280"/>
        </w:tabs>
      </w:pPr>
    </w:p>
    <w:p w:rsidR="003919B9" w:rsidRPr="009D59D0" w:rsidRDefault="003919B9" w:rsidP="001C3C80">
      <w:pPr>
        <w:tabs>
          <w:tab w:val="left" w:pos="8280"/>
        </w:tabs>
      </w:pPr>
    </w:p>
    <w:p w:rsidR="003919B9" w:rsidRPr="009D59D0" w:rsidRDefault="003919B9" w:rsidP="001C3C80">
      <w:pPr>
        <w:tabs>
          <w:tab w:val="left" w:pos="8280"/>
        </w:tabs>
      </w:pPr>
    </w:p>
    <w:p w:rsidR="003919B9" w:rsidRPr="009D59D0" w:rsidRDefault="003919B9" w:rsidP="001C3C80">
      <w:pPr>
        <w:tabs>
          <w:tab w:val="left" w:pos="8280"/>
        </w:tabs>
      </w:pPr>
    </w:p>
    <w:p w:rsidR="003919B9" w:rsidRPr="009D59D0" w:rsidRDefault="003919B9" w:rsidP="001C3C80">
      <w:pPr>
        <w:tabs>
          <w:tab w:val="left" w:pos="8280"/>
        </w:tabs>
      </w:pPr>
    </w:p>
    <w:p w:rsidR="000E59CB" w:rsidRPr="009D59D0" w:rsidRDefault="000E59CB" w:rsidP="001C3C80">
      <w:pPr>
        <w:tabs>
          <w:tab w:val="left" w:pos="8280"/>
        </w:tabs>
      </w:pPr>
    </w:p>
    <w:p w:rsidR="004731B8" w:rsidRPr="009D59D0" w:rsidRDefault="004731B8" w:rsidP="001C3C80">
      <w:pPr>
        <w:tabs>
          <w:tab w:val="left" w:pos="8280"/>
        </w:tabs>
      </w:pPr>
    </w:p>
    <w:p w:rsidR="000E0C00" w:rsidRPr="009D59D0" w:rsidRDefault="000E0C00" w:rsidP="00DE40C2">
      <w:pPr>
        <w:pStyle w:val="Title1"/>
        <w:rPr>
          <w:bCs/>
          <w:lang w:val="en-CA"/>
        </w:rPr>
      </w:pPr>
      <w:r w:rsidRPr="009D59D0">
        <w:rPr>
          <w:bCs/>
          <w:lang w:val="en-CA"/>
        </w:rPr>
        <w:t>TRANCHE SUBMISSION DELAYS</w:t>
      </w:r>
    </w:p>
    <w:p w:rsidR="000E0C00" w:rsidRPr="009D59D0" w:rsidRDefault="000E0C00" w:rsidP="00DE40C2">
      <w:pPr>
        <w:pStyle w:val="StyleHeader4Para4Left0Firstline0"/>
        <w:numPr>
          <w:ilvl w:val="0"/>
          <w:numId w:val="0"/>
        </w:numPr>
        <w:spacing w:after="0"/>
        <w:rPr>
          <w:sz w:val="22"/>
          <w:lang w:val="en-CA"/>
        </w:rPr>
      </w:pPr>
    </w:p>
    <w:p w:rsidR="000E0C00" w:rsidRPr="009D59D0" w:rsidRDefault="000E0C00" w:rsidP="00DE40C2">
      <w:pPr>
        <w:spacing w:after="240"/>
        <w:rPr>
          <w:b/>
          <w:lang w:val="en-CA"/>
        </w:rPr>
      </w:pPr>
      <w:r w:rsidRPr="009D59D0">
        <w:rPr>
          <w:b/>
          <w:lang w:val="en-CA"/>
        </w:rPr>
        <w:t>Introduction</w:t>
      </w:r>
    </w:p>
    <w:p w:rsidR="000E0C00" w:rsidRPr="009D59D0" w:rsidRDefault="000E0C00" w:rsidP="00DE40C2">
      <w:pPr>
        <w:pStyle w:val="Heading1"/>
        <w:rPr>
          <w:lang w:val="en-CA"/>
        </w:rPr>
      </w:pPr>
      <w:r w:rsidRPr="009D59D0">
        <w:rPr>
          <w:lang w:val="en-CA"/>
        </w:rPr>
        <w:t>Pursuant to decision 47/50(d),</w:t>
      </w:r>
      <w:r w:rsidRPr="009D59D0">
        <w:rPr>
          <w:rStyle w:val="FootnoteReference"/>
          <w:lang w:val="en-CA"/>
        </w:rPr>
        <w:footnoteReference w:id="1"/>
      </w:r>
      <w:r w:rsidRPr="009D59D0">
        <w:rPr>
          <w:lang w:val="en-CA"/>
        </w:rPr>
        <w:t xml:space="preserve"> the Secretariat has prepared the present document. It presents actions taken in response to decisions on tranche submission delays adopted at the 83</w:t>
      </w:r>
      <w:r w:rsidRPr="009D59D0">
        <w:rPr>
          <w:vertAlign w:val="superscript"/>
          <w:lang w:val="en-CA"/>
        </w:rPr>
        <w:t>rd</w:t>
      </w:r>
      <w:r w:rsidRPr="009D59D0">
        <w:rPr>
          <w:lang w:val="en-CA"/>
        </w:rPr>
        <w:t xml:space="preserve"> meeting; and an analysis of each of the tranches that were due but were not submitted to the 84</w:t>
      </w:r>
      <w:r w:rsidRPr="009D59D0">
        <w:rPr>
          <w:vertAlign w:val="superscript"/>
          <w:lang w:val="en-CA"/>
        </w:rPr>
        <w:t>th</w:t>
      </w:r>
      <w:r w:rsidRPr="009D59D0">
        <w:rPr>
          <w:lang w:val="en-CA"/>
        </w:rPr>
        <w:t xml:space="preserve"> meeting and the tranches that were submitted but subsequently withdrawn during the project review process. It also provides an overview of the reasons for the delays and the impact on compliance with the countries’ obligations under the Montreal Protocol. It </w:t>
      </w:r>
      <w:r w:rsidR="004C7791" w:rsidRPr="009D59D0">
        <w:rPr>
          <w:lang w:val="en-CA"/>
        </w:rPr>
        <w:t>reports on decision 83/47(b)(ii) relating</w:t>
      </w:r>
      <w:r w:rsidR="008676AE" w:rsidRPr="009D59D0">
        <w:rPr>
          <w:lang w:val="en-CA"/>
        </w:rPr>
        <w:t xml:space="preserve"> </w:t>
      </w:r>
      <w:r w:rsidR="00CA0B37" w:rsidRPr="009D59D0">
        <w:rPr>
          <w:lang w:val="en-CA"/>
        </w:rPr>
        <w:t xml:space="preserve">to </w:t>
      </w:r>
      <w:r w:rsidR="008676AE" w:rsidRPr="009D59D0">
        <w:rPr>
          <w:lang w:val="en-CA"/>
        </w:rPr>
        <w:t>the cancellation procedure for multi</w:t>
      </w:r>
      <w:r w:rsidR="008676AE" w:rsidRPr="009D59D0">
        <w:rPr>
          <w:lang w:val="en-CA"/>
        </w:rPr>
        <w:noBreakHyphen/>
        <w:t>year agreement (MYA) projects</w:t>
      </w:r>
      <w:r w:rsidR="004C7791" w:rsidRPr="009D59D0">
        <w:rPr>
          <w:lang w:val="en-CA"/>
        </w:rPr>
        <w:t xml:space="preserve"> and decision 83/47(c) relating to stage I of the HPMP for Algeria</w:t>
      </w:r>
      <w:r w:rsidRPr="009D59D0">
        <w:rPr>
          <w:lang w:val="en-CA"/>
        </w:rPr>
        <w:t xml:space="preserve">, and presents a recommendation. </w:t>
      </w:r>
    </w:p>
    <w:p w:rsidR="000E0C00" w:rsidRPr="009D59D0" w:rsidRDefault="000E0C00" w:rsidP="00DE40C2">
      <w:pPr>
        <w:spacing w:after="240"/>
        <w:rPr>
          <w:b/>
          <w:lang w:val="en-CA"/>
        </w:rPr>
      </w:pPr>
      <w:r w:rsidRPr="009D59D0">
        <w:rPr>
          <w:b/>
          <w:lang w:val="en-CA"/>
        </w:rPr>
        <w:t>Follow-up to decisions taken on tranche submission delays at the 83</w:t>
      </w:r>
      <w:r w:rsidRPr="009D59D0">
        <w:rPr>
          <w:b/>
          <w:vertAlign w:val="superscript"/>
          <w:lang w:val="en-CA"/>
        </w:rPr>
        <w:t>rd</w:t>
      </w:r>
      <w:r w:rsidRPr="009D59D0">
        <w:rPr>
          <w:b/>
          <w:lang w:val="en-CA"/>
        </w:rPr>
        <w:t xml:space="preserve"> meeting</w:t>
      </w:r>
    </w:p>
    <w:p w:rsidR="000E0C00" w:rsidRPr="009D59D0" w:rsidRDefault="00DE6F26" w:rsidP="00DE40C2">
      <w:pPr>
        <w:pStyle w:val="Heading1"/>
        <w:rPr>
          <w:lang w:val="en-CA"/>
        </w:rPr>
      </w:pPr>
      <w:r w:rsidRPr="009D59D0">
        <w:rPr>
          <w:lang w:val="en-CA"/>
        </w:rPr>
        <w:t>At the 83</w:t>
      </w:r>
      <w:r w:rsidRPr="009D59D0">
        <w:rPr>
          <w:vertAlign w:val="superscript"/>
          <w:lang w:val="en-CA"/>
        </w:rPr>
        <w:t>rd</w:t>
      </w:r>
      <w:r w:rsidRPr="009D59D0">
        <w:rPr>
          <w:lang w:val="en-CA"/>
        </w:rPr>
        <w:t xml:space="preserve"> meeting, </w:t>
      </w:r>
      <w:r w:rsidR="0051066B" w:rsidRPr="009D59D0">
        <w:rPr>
          <w:lang w:val="en-CA"/>
        </w:rPr>
        <w:t>21</w:t>
      </w:r>
      <w:r w:rsidR="00BE06EC" w:rsidRPr="009D59D0">
        <w:rPr>
          <w:rStyle w:val="FootnoteReference"/>
          <w:lang w:val="en-CA"/>
        </w:rPr>
        <w:footnoteReference w:id="2"/>
      </w:r>
      <w:r w:rsidR="000E0C00" w:rsidRPr="009D59D0">
        <w:rPr>
          <w:lang w:val="en-CA"/>
        </w:rPr>
        <w:t xml:space="preserve"> of the </w:t>
      </w:r>
      <w:r w:rsidR="0051066B" w:rsidRPr="009D59D0">
        <w:rPr>
          <w:lang w:val="en-CA"/>
        </w:rPr>
        <w:t>39</w:t>
      </w:r>
      <w:r w:rsidR="000E0C00" w:rsidRPr="009D59D0">
        <w:rPr>
          <w:lang w:val="en-CA"/>
        </w:rPr>
        <w:t xml:space="preserve"> countries that had been scheduled to submit tranche requests</w:t>
      </w:r>
      <w:r w:rsidR="00E46F23" w:rsidRPr="009D59D0">
        <w:rPr>
          <w:lang w:val="en-CA"/>
        </w:rPr>
        <w:t>,</w:t>
      </w:r>
      <w:r w:rsidR="000E0C00" w:rsidRPr="009D59D0">
        <w:rPr>
          <w:lang w:val="en-CA"/>
        </w:rPr>
        <w:t xml:space="preserve"> had not done so</w:t>
      </w:r>
      <w:r w:rsidR="00CD41AA" w:rsidRPr="009D59D0">
        <w:rPr>
          <w:lang w:val="en-CA"/>
        </w:rPr>
        <w:t xml:space="preserve"> on time</w:t>
      </w:r>
      <w:r w:rsidR="000E0C00" w:rsidRPr="009D59D0">
        <w:rPr>
          <w:lang w:val="en-CA"/>
        </w:rPr>
        <w:t xml:space="preserve">, representing a non-submission rate of </w:t>
      </w:r>
      <w:r w:rsidR="00CF494E" w:rsidRPr="009D59D0">
        <w:rPr>
          <w:lang w:val="en-CA"/>
        </w:rPr>
        <w:t>54</w:t>
      </w:r>
      <w:r w:rsidR="000E0C00" w:rsidRPr="009D59D0">
        <w:rPr>
          <w:lang w:val="en-CA"/>
        </w:rPr>
        <w:t xml:space="preserve"> per cent. </w:t>
      </w:r>
    </w:p>
    <w:p w:rsidR="000E0C00" w:rsidRPr="009D59D0" w:rsidRDefault="000E0C00" w:rsidP="00DE40C2">
      <w:pPr>
        <w:pStyle w:val="Heading1"/>
        <w:rPr>
          <w:lang w:val="en-CA"/>
        </w:rPr>
      </w:pPr>
      <w:r w:rsidRPr="009D59D0">
        <w:rPr>
          <w:lang w:val="en-CA"/>
        </w:rPr>
        <w:t xml:space="preserve">Subsequently, the Executive Committee </w:t>
      </w:r>
      <w:r w:rsidRPr="009D59D0">
        <w:rPr>
          <w:i/>
          <w:lang w:val="en-CA"/>
        </w:rPr>
        <w:t>inter alia</w:t>
      </w:r>
      <w:r w:rsidRPr="009D59D0">
        <w:rPr>
          <w:lang w:val="en-CA"/>
        </w:rPr>
        <w:t xml:space="preserve"> requested the Secretariat to send letters to the relevant </w:t>
      </w:r>
      <w:r w:rsidR="00D21A58" w:rsidRPr="009D59D0">
        <w:rPr>
          <w:lang w:val="en-CA"/>
        </w:rPr>
        <w:t>G</w:t>
      </w:r>
      <w:r w:rsidRPr="009D59D0">
        <w:rPr>
          <w:lang w:val="en-CA"/>
        </w:rPr>
        <w:t xml:space="preserve">overnments regarding the decisions on tranche submission delays contained in Annex </w:t>
      </w:r>
      <w:r w:rsidR="00D21A58" w:rsidRPr="009D59D0">
        <w:rPr>
          <w:lang w:val="en-CA"/>
        </w:rPr>
        <w:t>V</w:t>
      </w:r>
      <w:r w:rsidRPr="009D59D0">
        <w:rPr>
          <w:lang w:val="en-CA"/>
        </w:rPr>
        <w:t xml:space="preserve"> of the report of the </w:t>
      </w:r>
      <w:r w:rsidR="00D21A58" w:rsidRPr="009D59D0">
        <w:rPr>
          <w:lang w:val="en-CA"/>
        </w:rPr>
        <w:t>83</w:t>
      </w:r>
      <w:r w:rsidR="00D21A58" w:rsidRPr="009D59D0">
        <w:rPr>
          <w:vertAlign w:val="superscript"/>
          <w:lang w:val="en-CA"/>
        </w:rPr>
        <w:t>rd</w:t>
      </w:r>
      <w:r w:rsidR="00D21A58" w:rsidRPr="009D59D0">
        <w:rPr>
          <w:lang w:val="en-CA"/>
        </w:rPr>
        <w:t xml:space="preserve"> </w:t>
      </w:r>
      <w:r w:rsidRPr="009D59D0">
        <w:rPr>
          <w:lang w:val="en-CA"/>
        </w:rPr>
        <w:t xml:space="preserve">meeting of the Committee (decision </w:t>
      </w:r>
      <w:r w:rsidR="00D21A58" w:rsidRPr="009D59D0">
        <w:rPr>
          <w:lang w:val="en-CA"/>
        </w:rPr>
        <w:t>83</w:t>
      </w:r>
      <w:r w:rsidRPr="009D59D0">
        <w:rPr>
          <w:lang w:val="en-CA"/>
        </w:rPr>
        <w:t>/</w:t>
      </w:r>
      <w:r w:rsidR="00D21A58" w:rsidRPr="009D59D0">
        <w:rPr>
          <w:lang w:val="en-CA"/>
        </w:rPr>
        <w:t>47</w:t>
      </w:r>
      <w:r w:rsidRPr="009D59D0">
        <w:rPr>
          <w:lang w:val="en-CA"/>
        </w:rPr>
        <w:t>(b)</w:t>
      </w:r>
      <w:r w:rsidR="00D21A58" w:rsidRPr="009D59D0">
        <w:rPr>
          <w:lang w:val="en-CA"/>
        </w:rPr>
        <w:t>(</w:t>
      </w:r>
      <w:proofErr w:type="spellStart"/>
      <w:r w:rsidR="00D21A58" w:rsidRPr="009D59D0">
        <w:rPr>
          <w:lang w:val="en-CA"/>
        </w:rPr>
        <w:t>i</w:t>
      </w:r>
      <w:proofErr w:type="spellEnd"/>
      <w:r w:rsidR="00D21A58" w:rsidRPr="009D59D0">
        <w:rPr>
          <w:lang w:val="en-CA"/>
        </w:rPr>
        <w:t>)</w:t>
      </w:r>
      <w:r w:rsidRPr="009D59D0">
        <w:rPr>
          <w:lang w:val="en-CA"/>
        </w:rPr>
        <w:t>).</w:t>
      </w:r>
    </w:p>
    <w:p w:rsidR="000E0C00" w:rsidRPr="009D59D0" w:rsidRDefault="000E0C00" w:rsidP="00DE40C2">
      <w:pPr>
        <w:rPr>
          <w:u w:val="single"/>
          <w:lang w:val="en-CA"/>
        </w:rPr>
      </w:pPr>
      <w:r w:rsidRPr="009D59D0">
        <w:rPr>
          <w:u w:val="single"/>
          <w:lang w:val="en-CA"/>
        </w:rPr>
        <w:t>Letters sent to Governments</w:t>
      </w:r>
    </w:p>
    <w:p w:rsidR="000E0C00" w:rsidRPr="009D59D0" w:rsidRDefault="000E0C00" w:rsidP="00DE40C2">
      <w:pPr>
        <w:rPr>
          <w:lang w:val="en-CA"/>
        </w:rPr>
      </w:pPr>
    </w:p>
    <w:p w:rsidR="000E0C00" w:rsidRPr="009D59D0" w:rsidRDefault="000E0C00" w:rsidP="00DE40C2">
      <w:pPr>
        <w:pStyle w:val="Heading1"/>
        <w:rPr>
          <w:lang w:val="en-CA"/>
        </w:rPr>
      </w:pPr>
      <w:r w:rsidRPr="009D59D0">
        <w:rPr>
          <w:lang w:val="en-CA"/>
        </w:rPr>
        <w:t xml:space="preserve">Pursuant to decision </w:t>
      </w:r>
      <w:r w:rsidR="00E31A2B" w:rsidRPr="009D59D0">
        <w:rPr>
          <w:lang w:val="en-CA"/>
        </w:rPr>
        <w:t>83</w:t>
      </w:r>
      <w:r w:rsidRPr="009D59D0">
        <w:rPr>
          <w:lang w:val="en-CA"/>
        </w:rPr>
        <w:t>/</w:t>
      </w:r>
      <w:r w:rsidR="00E31A2B" w:rsidRPr="009D59D0">
        <w:rPr>
          <w:lang w:val="en-CA"/>
        </w:rPr>
        <w:t>47</w:t>
      </w:r>
      <w:r w:rsidRPr="009D59D0">
        <w:rPr>
          <w:lang w:val="en-CA"/>
        </w:rPr>
        <w:t>(b)</w:t>
      </w:r>
      <w:r w:rsidR="00F16AC4" w:rsidRPr="009D59D0">
        <w:rPr>
          <w:lang w:val="en-CA"/>
        </w:rPr>
        <w:t>(</w:t>
      </w:r>
      <w:proofErr w:type="spellStart"/>
      <w:r w:rsidR="00F16AC4" w:rsidRPr="009D59D0">
        <w:rPr>
          <w:lang w:val="en-CA"/>
        </w:rPr>
        <w:t>i</w:t>
      </w:r>
      <w:proofErr w:type="spellEnd"/>
      <w:r w:rsidR="00F16AC4" w:rsidRPr="009D59D0">
        <w:rPr>
          <w:lang w:val="en-CA"/>
        </w:rPr>
        <w:t>)</w:t>
      </w:r>
      <w:r w:rsidRPr="009D59D0">
        <w:rPr>
          <w:lang w:val="en-CA"/>
        </w:rPr>
        <w:t xml:space="preserve">, the Secretariat sent letters to the Governments of </w:t>
      </w:r>
      <w:r w:rsidR="00760832" w:rsidRPr="009D59D0">
        <w:rPr>
          <w:lang w:val="en-CA"/>
        </w:rPr>
        <w:t>22</w:t>
      </w:r>
      <w:r w:rsidRPr="009D59D0">
        <w:rPr>
          <w:lang w:val="en-CA"/>
        </w:rPr>
        <w:t xml:space="preserve"> Article 5 countries to urge the submission of the next tranche of their HPMPs to the </w:t>
      </w:r>
      <w:r w:rsidR="00760832" w:rsidRPr="009D59D0">
        <w:rPr>
          <w:lang w:val="en-CA"/>
        </w:rPr>
        <w:t>84</w:t>
      </w:r>
      <w:r w:rsidR="00760832" w:rsidRPr="009D59D0">
        <w:rPr>
          <w:vertAlign w:val="superscript"/>
          <w:lang w:val="en-CA"/>
        </w:rPr>
        <w:t>th</w:t>
      </w:r>
      <w:r w:rsidR="00760832" w:rsidRPr="009D59D0">
        <w:rPr>
          <w:lang w:val="en-CA"/>
        </w:rPr>
        <w:t xml:space="preserve"> </w:t>
      </w:r>
      <w:r w:rsidRPr="009D59D0">
        <w:rPr>
          <w:lang w:val="en-CA"/>
        </w:rPr>
        <w:t xml:space="preserve">meeting. As a result, the </w:t>
      </w:r>
      <w:r w:rsidRPr="009D59D0">
        <w:rPr>
          <w:lang w:val="en-CA"/>
        </w:rPr>
        <w:lastRenderedPageBreak/>
        <w:t xml:space="preserve">Governments of </w:t>
      </w:r>
      <w:r w:rsidR="00985F37" w:rsidRPr="009D59D0">
        <w:rPr>
          <w:lang w:val="en-CA"/>
        </w:rPr>
        <w:t>Barbados</w:t>
      </w:r>
      <w:r w:rsidRPr="009D59D0">
        <w:rPr>
          <w:rStyle w:val="FootnoteReference"/>
          <w:lang w:val="en-CA"/>
        </w:rPr>
        <w:footnoteReference w:id="3"/>
      </w:r>
      <w:r w:rsidRPr="009D59D0">
        <w:rPr>
          <w:lang w:val="en-CA"/>
        </w:rPr>
        <w:t xml:space="preserve">, </w:t>
      </w:r>
      <w:r w:rsidR="00985F37" w:rsidRPr="009D59D0">
        <w:rPr>
          <w:lang w:val="en-CA"/>
        </w:rPr>
        <w:t>China (stage II – PU rigid foam sector)</w:t>
      </w:r>
      <w:r w:rsidRPr="009D59D0">
        <w:rPr>
          <w:rStyle w:val="FootnoteReference"/>
          <w:lang w:val="en-CA"/>
        </w:rPr>
        <w:footnoteReference w:id="4"/>
      </w:r>
      <w:r w:rsidRPr="009D59D0">
        <w:rPr>
          <w:lang w:val="en-CA"/>
        </w:rPr>
        <w:t xml:space="preserve">, </w:t>
      </w:r>
      <w:r w:rsidR="00985F37" w:rsidRPr="009D59D0">
        <w:rPr>
          <w:lang w:val="en-CA"/>
        </w:rPr>
        <w:t>Colombia</w:t>
      </w:r>
      <w:r w:rsidRPr="009D59D0">
        <w:rPr>
          <w:rStyle w:val="FootnoteReference"/>
          <w:lang w:val="en-CA"/>
        </w:rPr>
        <w:footnoteReference w:id="5"/>
      </w:r>
      <w:r w:rsidRPr="009D59D0">
        <w:rPr>
          <w:lang w:val="en-CA"/>
        </w:rPr>
        <w:t xml:space="preserve">, </w:t>
      </w:r>
      <w:r w:rsidR="00985F37" w:rsidRPr="009D59D0">
        <w:rPr>
          <w:lang w:val="en-CA"/>
        </w:rPr>
        <w:t>Congo (the)</w:t>
      </w:r>
      <w:r w:rsidRPr="009D59D0">
        <w:rPr>
          <w:rStyle w:val="FootnoteReference"/>
          <w:lang w:val="en-CA"/>
        </w:rPr>
        <w:footnoteReference w:id="6"/>
      </w:r>
      <w:r w:rsidRPr="009D59D0">
        <w:rPr>
          <w:lang w:val="en-CA"/>
        </w:rPr>
        <w:t xml:space="preserve">, </w:t>
      </w:r>
      <w:r w:rsidR="00532D80" w:rsidRPr="009D59D0">
        <w:rPr>
          <w:lang w:val="en-CA"/>
        </w:rPr>
        <w:t>Côte </w:t>
      </w:r>
      <w:r w:rsidR="00985F37" w:rsidRPr="009D59D0">
        <w:rPr>
          <w:lang w:val="en-CA"/>
        </w:rPr>
        <w:t>d’Ivoire</w:t>
      </w:r>
      <w:r w:rsidRPr="009D59D0">
        <w:rPr>
          <w:rStyle w:val="FootnoteReference"/>
          <w:lang w:val="en-CA"/>
        </w:rPr>
        <w:footnoteReference w:id="7"/>
      </w:r>
      <w:r w:rsidRPr="009D59D0">
        <w:rPr>
          <w:lang w:val="en-CA"/>
        </w:rPr>
        <w:t xml:space="preserve">, </w:t>
      </w:r>
      <w:r w:rsidR="00FD4378" w:rsidRPr="009D59D0">
        <w:rPr>
          <w:lang w:val="en-CA"/>
        </w:rPr>
        <w:t>Dominica</w:t>
      </w:r>
      <w:r w:rsidRPr="009D59D0">
        <w:rPr>
          <w:rStyle w:val="FootnoteReference"/>
          <w:lang w:val="en-CA"/>
        </w:rPr>
        <w:footnoteReference w:id="8"/>
      </w:r>
      <w:r w:rsidRPr="009D59D0">
        <w:rPr>
          <w:lang w:val="en-CA"/>
        </w:rPr>
        <w:t xml:space="preserve">, </w:t>
      </w:r>
      <w:r w:rsidR="00FD4378" w:rsidRPr="009D59D0">
        <w:rPr>
          <w:lang w:val="en-CA"/>
        </w:rPr>
        <w:t>Egypt</w:t>
      </w:r>
      <w:r w:rsidRPr="009D59D0">
        <w:rPr>
          <w:rStyle w:val="FootnoteReference"/>
          <w:lang w:val="en-CA"/>
        </w:rPr>
        <w:footnoteReference w:id="9"/>
      </w:r>
      <w:r w:rsidRPr="009D59D0">
        <w:rPr>
          <w:lang w:val="en-CA"/>
        </w:rPr>
        <w:t xml:space="preserve">, </w:t>
      </w:r>
      <w:r w:rsidR="00FD4378" w:rsidRPr="009D59D0">
        <w:rPr>
          <w:lang w:val="en-CA"/>
        </w:rPr>
        <w:t>Ghana</w:t>
      </w:r>
      <w:r w:rsidRPr="009D59D0">
        <w:rPr>
          <w:rStyle w:val="FootnoteReference"/>
          <w:lang w:val="en-CA"/>
        </w:rPr>
        <w:footnoteReference w:id="10"/>
      </w:r>
      <w:r w:rsidRPr="009D59D0">
        <w:rPr>
          <w:lang w:val="en-CA"/>
        </w:rPr>
        <w:t xml:space="preserve">, </w:t>
      </w:r>
      <w:r w:rsidR="00FD4378" w:rsidRPr="009D59D0">
        <w:rPr>
          <w:lang w:val="en-CA"/>
        </w:rPr>
        <w:t>Iran (Islamic Republic of)</w:t>
      </w:r>
      <w:r w:rsidRPr="009D59D0">
        <w:rPr>
          <w:rStyle w:val="FootnoteReference"/>
          <w:lang w:val="en-CA"/>
        </w:rPr>
        <w:footnoteReference w:id="11"/>
      </w:r>
      <w:r w:rsidRPr="009D59D0">
        <w:rPr>
          <w:lang w:val="en-CA"/>
        </w:rPr>
        <w:t xml:space="preserve">, </w:t>
      </w:r>
      <w:r w:rsidR="00FD4378" w:rsidRPr="009D59D0">
        <w:rPr>
          <w:lang w:val="en-CA"/>
        </w:rPr>
        <w:t>Iraq</w:t>
      </w:r>
      <w:r w:rsidRPr="009D59D0">
        <w:rPr>
          <w:rStyle w:val="FootnoteReference"/>
          <w:lang w:val="en-CA"/>
        </w:rPr>
        <w:footnoteReference w:id="12"/>
      </w:r>
      <w:r w:rsidRPr="009D59D0">
        <w:rPr>
          <w:lang w:val="en-CA"/>
        </w:rPr>
        <w:t>,</w:t>
      </w:r>
      <w:r w:rsidR="00FD4378" w:rsidRPr="009D59D0">
        <w:rPr>
          <w:lang w:val="en-CA"/>
        </w:rPr>
        <w:t xml:space="preserve"> Jordan</w:t>
      </w:r>
      <w:r w:rsidRPr="009D59D0">
        <w:rPr>
          <w:rStyle w:val="FootnoteReference"/>
          <w:lang w:val="en-CA"/>
        </w:rPr>
        <w:footnoteReference w:id="13"/>
      </w:r>
      <w:r w:rsidRPr="009D59D0">
        <w:rPr>
          <w:lang w:val="en-CA"/>
        </w:rPr>
        <w:t>,</w:t>
      </w:r>
      <w:r w:rsidR="00FD4378" w:rsidRPr="009D59D0">
        <w:rPr>
          <w:lang w:val="en-CA"/>
        </w:rPr>
        <w:t xml:space="preserve"> Niger (the)</w:t>
      </w:r>
      <w:r w:rsidRPr="009D59D0">
        <w:rPr>
          <w:rStyle w:val="FootnoteReference"/>
          <w:lang w:val="en-CA"/>
        </w:rPr>
        <w:footnoteReference w:id="14"/>
      </w:r>
      <w:r w:rsidR="00FD4378" w:rsidRPr="009D59D0">
        <w:rPr>
          <w:lang w:val="en-CA"/>
        </w:rPr>
        <w:t>, Republic of Moldova</w:t>
      </w:r>
      <w:r w:rsidRPr="009D59D0">
        <w:rPr>
          <w:rStyle w:val="FootnoteReference"/>
          <w:lang w:val="en-CA"/>
        </w:rPr>
        <w:footnoteReference w:id="15"/>
      </w:r>
      <w:r w:rsidR="00FD4378" w:rsidRPr="009D59D0">
        <w:rPr>
          <w:lang w:val="en-CA"/>
        </w:rPr>
        <w:t>,</w:t>
      </w:r>
      <w:r w:rsidRPr="009D59D0">
        <w:rPr>
          <w:lang w:val="en-CA"/>
        </w:rPr>
        <w:t xml:space="preserve"> </w:t>
      </w:r>
      <w:r w:rsidR="00FD4378" w:rsidRPr="009D59D0">
        <w:rPr>
          <w:lang w:val="en-CA"/>
        </w:rPr>
        <w:t>Tunisia</w:t>
      </w:r>
      <w:r w:rsidR="00FD4378" w:rsidRPr="009D59D0">
        <w:rPr>
          <w:rStyle w:val="FootnoteReference"/>
          <w:lang w:val="en-CA"/>
        </w:rPr>
        <w:footnoteReference w:id="16"/>
      </w:r>
      <w:r w:rsidR="00FD4378" w:rsidRPr="009D59D0">
        <w:rPr>
          <w:lang w:val="en-CA"/>
        </w:rPr>
        <w:t>, Turkey</w:t>
      </w:r>
      <w:r w:rsidR="00FD4378" w:rsidRPr="009D59D0">
        <w:rPr>
          <w:rStyle w:val="FootnoteReference"/>
          <w:lang w:val="en-CA"/>
        </w:rPr>
        <w:footnoteReference w:id="17"/>
      </w:r>
      <w:r w:rsidR="00FD4378" w:rsidRPr="009D59D0">
        <w:rPr>
          <w:lang w:val="en-CA"/>
        </w:rPr>
        <w:t xml:space="preserve"> and Viet Nam</w:t>
      </w:r>
      <w:r w:rsidR="00FD4378" w:rsidRPr="009D59D0">
        <w:rPr>
          <w:rStyle w:val="FootnoteReference"/>
          <w:lang w:val="en-CA"/>
        </w:rPr>
        <w:footnoteReference w:id="18"/>
      </w:r>
      <w:r w:rsidR="00FD4378" w:rsidRPr="009D59D0">
        <w:rPr>
          <w:lang w:val="en-CA"/>
        </w:rPr>
        <w:t xml:space="preserve"> </w:t>
      </w:r>
      <w:r w:rsidRPr="009D59D0">
        <w:rPr>
          <w:lang w:val="en-CA"/>
        </w:rPr>
        <w:t xml:space="preserve">submitted respective tranches of their HPMPs. </w:t>
      </w:r>
    </w:p>
    <w:p w:rsidR="000E0C00" w:rsidRPr="009D59D0" w:rsidRDefault="000E0C00" w:rsidP="00DE40C2">
      <w:pPr>
        <w:pStyle w:val="Heading1"/>
        <w:rPr>
          <w:lang w:val="en-CA"/>
        </w:rPr>
      </w:pPr>
      <w:r w:rsidRPr="009D59D0">
        <w:rPr>
          <w:lang w:val="en-CA"/>
        </w:rPr>
        <w:t xml:space="preserve">However, the Governments of China (stage II – </w:t>
      </w:r>
      <w:r w:rsidR="001629B1" w:rsidRPr="009D59D0">
        <w:rPr>
          <w:lang w:val="en-CA"/>
        </w:rPr>
        <w:t>RAC</w:t>
      </w:r>
      <w:r w:rsidRPr="009D59D0">
        <w:rPr>
          <w:lang w:val="en-CA"/>
        </w:rPr>
        <w:t xml:space="preserve"> sector), Guinea,</w:t>
      </w:r>
      <w:r w:rsidR="00E24C19" w:rsidRPr="009D59D0">
        <w:rPr>
          <w:lang w:val="en-CA"/>
        </w:rPr>
        <w:t xml:space="preserve"> Haiti,</w:t>
      </w:r>
      <w:r w:rsidRPr="009D59D0">
        <w:rPr>
          <w:lang w:val="en-CA"/>
        </w:rPr>
        <w:t xml:space="preserve"> </w:t>
      </w:r>
      <w:r w:rsidR="00E24C19" w:rsidRPr="009D59D0">
        <w:rPr>
          <w:lang w:val="en-CA"/>
        </w:rPr>
        <w:t>Peru</w:t>
      </w:r>
      <w:r w:rsidRPr="009D59D0">
        <w:rPr>
          <w:lang w:val="en-CA"/>
        </w:rPr>
        <w:t>,</w:t>
      </w:r>
      <w:r w:rsidR="00E24C19" w:rsidRPr="009D59D0">
        <w:rPr>
          <w:lang w:val="en-CA"/>
        </w:rPr>
        <w:t xml:space="preserve"> Saint Vincent and the Grenadines,</w:t>
      </w:r>
      <w:r w:rsidR="00E24C19" w:rsidRPr="009D59D0">
        <w:t xml:space="preserve"> Senegal and</w:t>
      </w:r>
      <w:r w:rsidRPr="009D59D0">
        <w:t xml:space="preserve"> </w:t>
      </w:r>
      <w:r w:rsidR="00E24C19" w:rsidRPr="009D59D0">
        <w:rPr>
          <w:lang w:val="en-CA"/>
        </w:rPr>
        <w:t>South Sudan</w:t>
      </w:r>
      <w:r w:rsidRPr="009D59D0">
        <w:rPr>
          <w:lang w:val="en-CA"/>
        </w:rPr>
        <w:t xml:space="preserve"> did not submit their tranche request</w:t>
      </w:r>
      <w:r w:rsidR="004C7791" w:rsidRPr="009D59D0">
        <w:rPr>
          <w:lang w:val="en-CA"/>
        </w:rPr>
        <w:t>s</w:t>
      </w:r>
      <w:r w:rsidRPr="009D59D0">
        <w:rPr>
          <w:lang w:val="en-CA"/>
        </w:rPr>
        <w:t xml:space="preserve">. </w:t>
      </w:r>
    </w:p>
    <w:p w:rsidR="000E0C00" w:rsidRPr="009D59D0" w:rsidRDefault="000E0C00" w:rsidP="00DE40C2">
      <w:pPr>
        <w:keepNext/>
        <w:rPr>
          <w:b/>
          <w:lang w:val="en-CA"/>
        </w:rPr>
      </w:pPr>
      <w:r w:rsidRPr="009D59D0">
        <w:rPr>
          <w:b/>
          <w:lang w:val="en-CA"/>
        </w:rPr>
        <w:t>Analysis of tranches not submitted to the 8</w:t>
      </w:r>
      <w:r w:rsidR="00F83D64" w:rsidRPr="009D59D0">
        <w:rPr>
          <w:b/>
          <w:lang w:val="en-CA"/>
        </w:rPr>
        <w:t>4</w:t>
      </w:r>
      <w:r w:rsidR="00F83D64" w:rsidRPr="009D59D0">
        <w:rPr>
          <w:b/>
          <w:vertAlign w:val="superscript"/>
          <w:lang w:val="en-CA"/>
        </w:rPr>
        <w:t>th</w:t>
      </w:r>
      <w:r w:rsidR="00F83D64" w:rsidRPr="009D59D0">
        <w:rPr>
          <w:b/>
          <w:lang w:val="en-CA"/>
        </w:rPr>
        <w:t xml:space="preserve"> </w:t>
      </w:r>
      <w:r w:rsidRPr="009D59D0">
        <w:rPr>
          <w:b/>
          <w:lang w:val="en-CA"/>
        </w:rPr>
        <w:t>meeting</w:t>
      </w:r>
    </w:p>
    <w:p w:rsidR="000E0C00" w:rsidRPr="009D59D0" w:rsidRDefault="000E0C00" w:rsidP="00DE40C2">
      <w:pPr>
        <w:keepNext/>
        <w:rPr>
          <w:b/>
          <w:lang w:val="en-CA"/>
        </w:rPr>
      </w:pPr>
    </w:p>
    <w:p w:rsidR="000E0C00" w:rsidRPr="009D59D0" w:rsidRDefault="00544482" w:rsidP="00DE40C2">
      <w:pPr>
        <w:pStyle w:val="Heading1"/>
        <w:rPr>
          <w:lang w:val="en-CA"/>
        </w:rPr>
      </w:pPr>
      <w:r w:rsidRPr="009D59D0">
        <w:rPr>
          <w:lang w:val="en-CA"/>
        </w:rPr>
        <w:t>Fourteen</w:t>
      </w:r>
      <w:r w:rsidR="000E0C00" w:rsidRPr="009D59D0">
        <w:rPr>
          <w:lang w:val="en-CA"/>
        </w:rPr>
        <w:t xml:space="preserve"> activities associated with tranches of HPMPs for </w:t>
      </w:r>
      <w:r w:rsidRPr="009D59D0">
        <w:rPr>
          <w:lang w:val="en-CA"/>
        </w:rPr>
        <w:t>10</w:t>
      </w:r>
      <w:r w:rsidR="000E0C00" w:rsidRPr="009D59D0">
        <w:rPr>
          <w:lang w:val="en-CA"/>
        </w:rPr>
        <w:t xml:space="preserve"> countries, at a total value of </w:t>
      </w:r>
      <w:r w:rsidR="00434311" w:rsidRPr="009D59D0">
        <w:rPr>
          <w:lang w:val="en-CA"/>
        </w:rPr>
        <w:t>US </w:t>
      </w:r>
      <w:r w:rsidR="000E0C00" w:rsidRPr="009D59D0">
        <w:rPr>
          <w:lang w:val="en-CA"/>
        </w:rPr>
        <w:t>$</w:t>
      </w:r>
      <w:r w:rsidR="00434311" w:rsidRPr="009D59D0">
        <w:rPr>
          <w:lang w:val="en-CA"/>
        </w:rPr>
        <w:t xml:space="preserve">22,932,898 </w:t>
      </w:r>
      <w:r w:rsidR="000E0C00" w:rsidRPr="009D59D0">
        <w:rPr>
          <w:lang w:val="en-CA"/>
        </w:rPr>
        <w:t xml:space="preserve">(including agency support costs), due for submission to the </w:t>
      </w:r>
      <w:r w:rsidRPr="009D59D0">
        <w:rPr>
          <w:lang w:val="en-CA"/>
        </w:rPr>
        <w:t>84</w:t>
      </w:r>
      <w:r w:rsidRPr="009D59D0">
        <w:rPr>
          <w:vertAlign w:val="superscript"/>
          <w:lang w:val="en-CA"/>
        </w:rPr>
        <w:t>th</w:t>
      </w:r>
      <w:r w:rsidRPr="009D59D0">
        <w:rPr>
          <w:lang w:val="en-CA"/>
        </w:rPr>
        <w:t xml:space="preserve"> </w:t>
      </w:r>
      <w:r w:rsidR="000E0C00" w:rsidRPr="009D59D0">
        <w:rPr>
          <w:lang w:val="en-CA"/>
        </w:rPr>
        <w:t>meeting were not submitted, as shown in Annex I to the present document</w:t>
      </w:r>
      <w:r w:rsidR="00BB0C46" w:rsidRPr="009D59D0">
        <w:rPr>
          <w:lang w:val="en-CA"/>
        </w:rPr>
        <w:t>.</w:t>
      </w:r>
      <w:r w:rsidR="000E0C00" w:rsidRPr="009D59D0">
        <w:rPr>
          <w:vertAlign w:val="superscript"/>
          <w:lang w:val="en-CA"/>
        </w:rPr>
        <w:footnoteReference w:id="19"/>
      </w:r>
    </w:p>
    <w:p w:rsidR="00202EDA" w:rsidRPr="009D59D0" w:rsidRDefault="000E0C00" w:rsidP="00DE40C2">
      <w:pPr>
        <w:pStyle w:val="Heading1"/>
        <w:rPr>
          <w:lang w:val="en-CA"/>
        </w:rPr>
      </w:pPr>
      <w:r w:rsidRPr="009D59D0">
        <w:rPr>
          <w:lang w:val="en-CA"/>
        </w:rPr>
        <w:t xml:space="preserve">In addition, </w:t>
      </w:r>
      <w:r w:rsidR="003E1B50" w:rsidRPr="009D59D0">
        <w:rPr>
          <w:lang w:val="en-CA"/>
        </w:rPr>
        <w:t>one</w:t>
      </w:r>
      <w:r w:rsidRPr="009D59D0">
        <w:rPr>
          <w:lang w:val="en-CA"/>
        </w:rPr>
        <w:t xml:space="preserve"> tranche of stage II of</w:t>
      </w:r>
      <w:r w:rsidR="00DF45A2" w:rsidRPr="009D59D0">
        <w:rPr>
          <w:lang w:val="en-CA"/>
        </w:rPr>
        <w:t xml:space="preserve"> the HPMP</w:t>
      </w:r>
      <w:r w:rsidRPr="009D59D0">
        <w:rPr>
          <w:lang w:val="en-CA"/>
        </w:rPr>
        <w:t xml:space="preserve"> for </w:t>
      </w:r>
      <w:r w:rsidR="003E1B50" w:rsidRPr="009D59D0">
        <w:rPr>
          <w:lang w:val="en-CA"/>
        </w:rPr>
        <w:t>one</w:t>
      </w:r>
      <w:r w:rsidRPr="009D59D0">
        <w:rPr>
          <w:lang w:val="en-CA"/>
        </w:rPr>
        <w:t xml:space="preserve"> countr</w:t>
      </w:r>
      <w:r w:rsidR="003E1B50" w:rsidRPr="009D59D0">
        <w:rPr>
          <w:lang w:val="en-CA"/>
        </w:rPr>
        <w:t>y</w:t>
      </w:r>
      <w:r w:rsidRPr="009D59D0">
        <w:rPr>
          <w:lang w:val="en-CA"/>
        </w:rPr>
        <w:t xml:space="preserve"> amounting to US $</w:t>
      </w:r>
      <w:r w:rsidR="003E1B50" w:rsidRPr="009D59D0">
        <w:rPr>
          <w:lang w:val="en-CA"/>
        </w:rPr>
        <w:t xml:space="preserve">615,250 </w:t>
      </w:r>
      <w:r w:rsidRPr="009D59D0">
        <w:rPr>
          <w:lang w:val="en-CA"/>
        </w:rPr>
        <w:t xml:space="preserve">(including agency support costs), </w:t>
      </w:r>
      <w:r w:rsidR="00DF45A2" w:rsidRPr="009D59D0">
        <w:rPr>
          <w:lang w:val="en-CA"/>
        </w:rPr>
        <w:t>was</w:t>
      </w:r>
      <w:r w:rsidRPr="009D59D0">
        <w:rPr>
          <w:lang w:val="en-CA"/>
        </w:rPr>
        <w:t xml:space="preserve"> submitted to the 8</w:t>
      </w:r>
      <w:r w:rsidR="003E1B50" w:rsidRPr="009D59D0">
        <w:rPr>
          <w:lang w:val="en-CA"/>
        </w:rPr>
        <w:t>4</w:t>
      </w:r>
      <w:r w:rsidR="003E1B50" w:rsidRPr="009D59D0">
        <w:rPr>
          <w:vertAlign w:val="superscript"/>
          <w:lang w:val="en-CA"/>
        </w:rPr>
        <w:t>th</w:t>
      </w:r>
      <w:r w:rsidR="003E1B50" w:rsidRPr="009D59D0">
        <w:rPr>
          <w:lang w:val="en-CA"/>
        </w:rPr>
        <w:t xml:space="preserve"> </w:t>
      </w:r>
      <w:r w:rsidRPr="009D59D0">
        <w:rPr>
          <w:lang w:val="en-CA"/>
        </w:rPr>
        <w:t>meeting, but subsequently withdrawn by relevant implementing agencies during the project review process. Th</w:t>
      </w:r>
      <w:r w:rsidR="003E1B50" w:rsidRPr="009D59D0">
        <w:rPr>
          <w:lang w:val="en-CA"/>
        </w:rPr>
        <w:t>is</w:t>
      </w:r>
      <w:r w:rsidRPr="009D59D0">
        <w:rPr>
          <w:lang w:val="en-CA"/>
        </w:rPr>
        <w:t xml:space="preserve"> tranche </w:t>
      </w:r>
      <w:r w:rsidR="003E1B50" w:rsidRPr="009D59D0">
        <w:rPr>
          <w:lang w:val="en-CA"/>
        </w:rPr>
        <w:t>is</w:t>
      </w:r>
      <w:r w:rsidR="002B2AC8" w:rsidRPr="009D59D0">
        <w:rPr>
          <w:lang w:val="en-CA"/>
        </w:rPr>
        <w:t xml:space="preserve"> also included in Annex </w:t>
      </w:r>
      <w:r w:rsidRPr="009D59D0">
        <w:rPr>
          <w:lang w:val="en-CA"/>
        </w:rPr>
        <w:t>I.</w:t>
      </w:r>
    </w:p>
    <w:p w:rsidR="000E0C00" w:rsidRPr="009D59D0" w:rsidRDefault="000E0C00" w:rsidP="00DE40C2">
      <w:pPr>
        <w:keepNext/>
        <w:spacing w:after="240"/>
        <w:rPr>
          <w:b/>
          <w:lang w:val="en-CA"/>
        </w:rPr>
      </w:pPr>
      <w:r w:rsidRPr="009D59D0">
        <w:rPr>
          <w:b/>
          <w:lang w:val="en-CA"/>
        </w:rPr>
        <w:t>Reason for delays and impact on compliance</w:t>
      </w:r>
    </w:p>
    <w:p w:rsidR="000E0C00" w:rsidRPr="009D59D0" w:rsidRDefault="000E0C00" w:rsidP="00DE40C2">
      <w:pPr>
        <w:pStyle w:val="Heading1"/>
        <w:rPr>
          <w:lang w:val="en-CA"/>
        </w:rPr>
      </w:pPr>
      <w:r w:rsidRPr="009D59D0">
        <w:rPr>
          <w:lang w:val="en-CA"/>
        </w:rPr>
        <w:t>The reasons for delays in the submission of tranches of HPMPs include: Government decisions, and/or endorsements, and/or changes in the national ozone unit (NOU), and/or structural change (</w:t>
      </w:r>
      <w:r w:rsidR="00D906BA" w:rsidRPr="009D59D0">
        <w:rPr>
          <w:lang w:val="en-CA"/>
        </w:rPr>
        <w:t>9</w:t>
      </w:r>
      <w:r w:rsidRPr="009D59D0">
        <w:rPr>
          <w:lang w:val="en-CA"/>
        </w:rPr>
        <w:t>); disbursement below the 20 per cent threshold of approved fu</w:t>
      </w:r>
      <w:r w:rsidR="00D906BA" w:rsidRPr="009D59D0">
        <w:rPr>
          <w:lang w:val="en-CA"/>
        </w:rPr>
        <w:t>nds for the previous tranche (4</w:t>
      </w:r>
      <w:r w:rsidRPr="009D59D0">
        <w:rPr>
          <w:lang w:val="en-CA"/>
        </w:rPr>
        <w:t>); enterprise difficulties (1); signi</w:t>
      </w:r>
      <w:r w:rsidR="00D906BA" w:rsidRPr="009D59D0">
        <w:rPr>
          <w:lang w:val="en-CA"/>
        </w:rPr>
        <w:t>ng of agreements or contracts (1)</w:t>
      </w:r>
      <w:r w:rsidRPr="009D59D0">
        <w:rPr>
          <w:lang w:val="en-CA"/>
        </w:rPr>
        <w:t xml:space="preserve">; </w:t>
      </w:r>
      <w:r w:rsidR="00D906BA" w:rsidRPr="009D59D0">
        <w:rPr>
          <w:lang w:val="en-CA"/>
        </w:rPr>
        <w:t>approvals conditions (1); change of lead agency</w:t>
      </w:r>
      <w:r w:rsidR="00605C6D" w:rsidRPr="009D59D0">
        <w:rPr>
          <w:lang w:val="en-CA"/>
        </w:rPr>
        <w:t xml:space="preserve"> (1)</w:t>
      </w:r>
      <w:r w:rsidR="00D906BA" w:rsidRPr="009D59D0">
        <w:rPr>
          <w:lang w:val="en-CA"/>
        </w:rPr>
        <w:t>; transfer to another agency</w:t>
      </w:r>
      <w:r w:rsidR="00605C6D" w:rsidRPr="009D59D0">
        <w:rPr>
          <w:lang w:val="en-CA"/>
        </w:rPr>
        <w:t xml:space="preserve"> (1)</w:t>
      </w:r>
      <w:r w:rsidR="00D906BA" w:rsidRPr="009D59D0">
        <w:rPr>
          <w:lang w:val="en-CA"/>
        </w:rPr>
        <w:t xml:space="preserve">; </w:t>
      </w:r>
      <w:r w:rsidRPr="009D59D0">
        <w:rPr>
          <w:lang w:val="en-CA"/>
        </w:rPr>
        <w:t>internal or external difficulties (</w:t>
      </w:r>
      <w:r w:rsidR="00605C6D" w:rsidRPr="009D59D0">
        <w:rPr>
          <w:lang w:val="en-CA"/>
        </w:rPr>
        <w:t>1</w:t>
      </w:r>
      <w:r w:rsidRPr="009D59D0">
        <w:rPr>
          <w:lang w:val="en-CA"/>
        </w:rPr>
        <w:t>);</w:t>
      </w:r>
      <w:r w:rsidR="00605C6D" w:rsidRPr="009D59D0">
        <w:rPr>
          <w:lang w:val="en-CA"/>
        </w:rPr>
        <w:t xml:space="preserve"> or legislation not in place(1)</w:t>
      </w:r>
      <w:r w:rsidRPr="009D59D0">
        <w:rPr>
          <w:lang w:val="en-CA"/>
        </w:rPr>
        <w:t xml:space="preserve">. </w:t>
      </w:r>
    </w:p>
    <w:p w:rsidR="000E0C00" w:rsidRPr="009D59D0" w:rsidRDefault="000E0C00" w:rsidP="00DE40C2">
      <w:pPr>
        <w:pStyle w:val="Heading1"/>
        <w:rPr>
          <w:lang w:val="en-CA"/>
        </w:rPr>
      </w:pPr>
      <w:r w:rsidRPr="009D59D0">
        <w:rPr>
          <w:lang w:val="en-CA"/>
        </w:rPr>
        <w:t>As reported by the relevant bilateral and implementing agencies, delays in the submission of tranches that were past due would have no impact, or were unlikely to have an impact, on compliance with the countries’ obligations under the Montreal Protocol. All outstanding tranches are expected to be submitted to the 8</w:t>
      </w:r>
      <w:r w:rsidR="00605C6D" w:rsidRPr="009D59D0">
        <w:rPr>
          <w:lang w:val="en-CA"/>
        </w:rPr>
        <w:t>5</w:t>
      </w:r>
      <w:r w:rsidRPr="009D59D0">
        <w:rPr>
          <w:vertAlign w:val="superscript"/>
          <w:lang w:val="en-CA"/>
        </w:rPr>
        <w:t>th</w:t>
      </w:r>
      <w:r w:rsidRPr="009D59D0">
        <w:rPr>
          <w:lang w:val="en-CA"/>
        </w:rPr>
        <w:t> meeting</w:t>
      </w:r>
      <w:r w:rsidR="00605C6D" w:rsidRPr="009D59D0">
        <w:rPr>
          <w:lang w:val="en-CA"/>
        </w:rPr>
        <w:t>, except for</w:t>
      </w:r>
      <w:r w:rsidR="004C7791" w:rsidRPr="009D59D0">
        <w:rPr>
          <w:lang w:val="en-CA"/>
        </w:rPr>
        <w:t xml:space="preserve"> Algeria and</w:t>
      </w:r>
      <w:r w:rsidR="00605C6D" w:rsidRPr="009D59D0">
        <w:rPr>
          <w:lang w:val="en-CA"/>
        </w:rPr>
        <w:t xml:space="preserve"> Haiti which may be submitted to the 86</w:t>
      </w:r>
      <w:r w:rsidR="00605C6D" w:rsidRPr="009D59D0">
        <w:rPr>
          <w:vertAlign w:val="superscript"/>
          <w:lang w:val="en-CA"/>
        </w:rPr>
        <w:t>th</w:t>
      </w:r>
      <w:r w:rsidR="00605C6D" w:rsidRPr="009D59D0">
        <w:rPr>
          <w:lang w:val="en-CA"/>
        </w:rPr>
        <w:t xml:space="preserve"> meeting. </w:t>
      </w:r>
    </w:p>
    <w:p w:rsidR="00F83D64" w:rsidRPr="009D59D0" w:rsidRDefault="008676AE" w:rsidP="00DE40C2">
      <w:pPr>
        <w:rPr>
          <w:b/>
          <w:lang w:val="en-CA"/>
        </w:rPr>
      </w:pPr>
      <w:r w:rsidRPr="009D59D0">
        <w:rPr>
          <w:b/>
          <w:lang w:val="en-CA"/>
        </w:rPr>
        <w:t>S</w:t>
      </w:r>
      <w:r w:rsidR="00F83D64" w:rsidRPr="009D59D0">
        <w:rPr>
          <w:b/>
          <w:lang w:val="en-CA"/>
        </w:rPr>
        <w:t>tage</w:t>
      </w:r>
      <w:r w:rsidRPr="009D59D0">
        <w:rPr>
          <w:b/>
          <w:lang w:val="en-CA"/>
        </w:rPr>
        <w:t xml:space="preserve"> </w:t>
      </w:r>
      <w:r w:rsidR="00F83D64" w:rsidRPr="009D59D0">
        <w:rPr>
          <w:b/>
          <w:lang w:val="en-CA"/>
        </w:rPr>
        <w:t>I of the HPMP for Algeria</w:t>
      </w:r>
    </w:p>
    <w:p w:rsidR="00475F18" w:rsidRPr="009D59D0" w:rsidRDefault="00475F18" w:rsidP="00DE40C2">
      <w:pPr>
        <w:rPr>
          <w:b/>
          <w:lang w:val="en-CA"/>
        </w:rPr>
      </w:pPr>
    </w:p>
    <w:p w:rsidR="00563F10" w:rsidRPr="009D59D0" w:rsidRDefault="00F83D64" w:rsidP="00DE40C2">
      <w:pPr>
        <w:pStyle w:val="Heading1"/>
        <w:rPr>
          <w:lang w:val="en-CA"/>
        </w:rPr>
      </w:pPr>
      <w:r w:rsidRPr="009D59D0">
        <w:rPr>
          <w:lang w:val="en-CA"/>
        </w:rPr>
        <w:t>In line with decision 82/15(f),</w:t>
      </w:r>
      <w:r w:rsidRPr="009D59D0">
        <w:rPr>
          <w:rStyle w:val="FootnoteReference"/>
          <w:lang w:val="en-CA"/>
        </w:rPr>
        <w:footnoteReference w:id="20"/>
      </w:r>
      <w:r w:rsidRPr="009D59D0">
        <w:rPr>
          <w:lang w:val="en-CA"/>
        </w:rPr>
        <w:t xml:space="preserve"> </w:t>
      </w:r>
      <w:r w:rsidRPr="009D59D0">
        <w:t>the Secretariat sent a letter to the Government of Algeria on 21 December 2018 seeking its agreement to cancel stage I of the HPMP. At the 83</w:t>
      </w:r>
      <w:r w:rsidRPr="009D59D0">
        <w:rPr>
          <w:vertAlign w:val="superscript"/>
        </w:rPr>
        <w:t>rd</w:t>
      </w:r>
      <w:r w:rsidRPr="009D59D0">
        <w:t xml:space="preserve"> meeting, the Executive Committee decided to cancel stage I of the HPMP for Algeria if a response from the Government had not </w:t>
      </w:r>
      <w:r w:rsidRPr="009D59D0">
        <w:lastRenderedPageBreak/>
        <w:t>been received by the Secretariat by 30 August 2019</w:t>
      </w:r>
      <w:r w:rsidR="001E30E6" w:rsidRPr="009D59D0">
        <w:t xml:space="preserve"> (decision 83/47(c))</w:t>
      </w:r>
      <w:r w:rsidRPr="009D59D0">
        <w:t xml:space="preserve">. </w:t>
      </w:r>
      <w:r w:rsidR="001E30E6" w:rsidRPr="009D59D0">
        <w:t>Subsequently, a</w:t>
      </w:r>
      <w:r w:rsidRPr="009D59D0">
        <w:t xml:space="preserve"> response </w:t>
      </w:r>
      <w:r w:rsidR="00CC0ADD" w:rsidRPr="009D59D0">
        <w:t>w</w:t>
      </w:r>
      <w:r w:rsidR="00563F10" w:rsidRPr="009D59D0">
        <w:t xml:space="preserve">as received </w:t>
      </w:r>
      <w:r w:rsidRPr="009D59D0">
        <w:t>by the Secretariat on 8 August 2019</w:t>
      </w:r>
      <w:r w:rsidR="00CC0ADD" w:rsidRPr="009D59D0">
        <w:t>,</w:t>
      </w:r>
      <w:r w:rsidRPr="009D59D0">
        <w:t xml:space="preserve"> indicating that the </w:t>
      </w:r>
      <w:r w:rsidR="00CC0ADD" w:rsidRPr="009D59D0">
        <w:t>National Ozone Officer</w:t>
      </w:r>
      <w:r w:rsidRPr="009D59D0">
        <w:t xml:space="preserve"> and UNIDO ha</w:t>
      </w:r>
      <w:r w:rsidR="00CC0ADD" w:rsidRPr="009D59D0">
        <w:t>d</w:t>
      </w:r>
      <w:r w:rsidRPr="009D59D0">
        <w:t xml:space="preserve"> agreed to continue implementing the HPMP in Algeria</w:t>
      </w:r>
      <w:r w:rsidR="006E4CB9" w:rsidRPr="009D59D0">
        <w:t>,</w:t>
      </w:r>
      <w:r w:rsidRPr="009D59D0">
        <w:t xml:space="preserve"> </w:t>
      </w:r>
      <w:r w:rsidR="007C3B50" w:rsidRPr="009D59D0">
        <w:t>and that the third tranche of the HPMP would be submitted no later than the 86</w:t>
      </w:r>
      <w:r w:rsidR="007C3B50" w:rsidRPr="009D59D0">
        <w:rPr>
          <w:vertAlign w:val="superscript"/>
        </w:rPr>
        <w:t>th</w:t>
      </w:r>
      <w:r w:rsidR="007C3B50" w:rsidRPr="009D59D0">
        <w:t> meeting.</w:t>
      </w:r>
    </w:p>
    <w:p w:rsidR="009654DE" w:rsidRPr="009D59D0" w:rsidRDefault="009654DE" w:rsidP="00DE40C2">
      <w:pPr>
        <w:rPr>
          <w:b/>
          <w:lang w:val="en-US"/>
        </w:rPr>
      </w:pPr>
      <w:r w:rsidRPr="009D59D0">
        <w:rPr>
          <w:b/>
          <w:lang w:val="en-US"/>
        </w:rPr>
        <w:t>Cancellation procedure for MYA projects</w:t>
      </w:r>
    </w:p>
    <w:p w:rsidR="009654DE" w:rsidRPr="009D59D0" w:rsidRDefault="009654DE" w:rsidP="00DE40C2">
      <w:pPr>
        <w:rPr>
          <w:b/>
          <w:lang w:val="en-US"/>
        </w:rPr>
      </w:pPr>
    </w:p>
    <w:p w:rsidR="009654DE" w:rsidRPr="009D59D0" w:rsidRDefault="009654DE" w:rsidP="00DE40C2">
      <w:pPr>
        <w:rPr>
          <w:u w:val="single"/>
          <w:lang w:val="en-US"/>
        </w:rPr>
      </w:pPr>
      <w:r w:rsidRPr="009D59D0">
        <w:rPr>
          <w:u w:val="single"/>
          <w:lang w:val="en-US"/>
        </w:rPr>
        <w:t>Background</w:t>
      </w:r>
    </w:p>
    <w:p w:rsidR="009654DE" w:rsidRPr="009D59D0" w:rsidRDefault="009654DE" w:rsidP="00DE40C2">
      <w:pPr>
        <w:rPr>
          <w:lang w:val="en-US"/>
        </w:rPr>
      </w:pPr>
    </w:p>
    <w:p w:rsidR="009654DE" w:rsidRPr="009D59D0" w:rsidRDefault="009654DE" w:rsidP="00DE40C2">
      <w:pPr>
        <w:pStyle w:val="Heading1"/>
        <w:rPr>
          <w:lang w:val="en-US"/>
        </w:rPr>
      </w:pPr>
      <w:r w:rsidRPr="009D59D0">
        <w:rPr>
          <w:lang w:val="en-US"/>
        </w:rPr>
        <w:t>Since the 81</w:t>
      </w:r>
      <w:r w:rsidRPr="009D59D0">
        <w:rPr>
          <w:vertAlign w:val="superscript"/>
          <w:lang w:val="en-US"/>
        </w:rPr>
        <w:t>st</w:t>
      </w:r>
      <w:r w:rsidRPr="009D59D0">
        <w:rPr>
          <w:lang w:val="en-US"/>
        </w:rPr>
        <w:t xml:space="preserve"> meeting, during discussions under different agenda items, the Executive Committee expressed concerns regarding the increase in the number of delayed tranche submissions. These delays, although </w:t>
      </w:r>
      <w:r w:rsidRPr="009D59D0">
        <w:t>would not have a negative effect on compliance, did affect business planning</w:t>
      </w:r>
      <w:r w:rsidR="008A5D4D" w:rsidRPr="009D59D0">
        <w:t>;</w:t>
      </w:r>
      <w:r w:rsidRPr="009D59D0">
        <w:rPr>
          <w:rStyle w:val="FootnoteReference"/>
        </w:rPr>
        <w:footnoteReference w:id="21"/>
      </w:r>
      <w:r w:rsidRPr="009D59D0">
        <w:t xml:space="preserve"> </w:t>
      </w:r>
      <w:r w:rsidR="008A5D4D" w:rsidRPr="009D59D0">
        <w:t xml:space="preserve">in </w:t>
      </w:r>
      <w:r w:rsidRPr="009D59D0">
        <w:t>addition, for tranches where there had been no activity or disbursement for an extended period of time, approved funds for these tranches could have been used for other projects.</w:t>
      </w:r>
      <w:r w:rsidRPr="009D59D0">
        <w:rPr>
          <w:rStyle w:val="FootnoteReference"/>
          <w:lang w:val="en-US"/>
        </w:rPr>
        <w:footnoteReference w:id="22"/>
      </w:r>
      <w:r w:rsidRPr="009D59D0">
        <w:rPr>
          <w:lang w:val="en-US"/>
        </w:rPr>
        <w:t>.</w:t>
      </w:r>
      <w:r w:rsidRPr="009D59D0">
        <w:t xml:space="preserve"> </w:t>
      </w:r>
    </w:p>
    <w:p w:rsidR="009654DE" w:rsidRPr="009D59D0" w:rsidRDefault="009654DE" w:rsidP="00DE40C2">
      <w:pPr>
        <w:pStyle w:val="Heading1"/>
        <w:rPr>
          <w:lang w:val="en-US"/>
        </w:rPr>
      </w:pPr>
      <w:r w:rsidRPr="009D59D0">
        <w:rPr>
          <w:lang w:val="en-US"/>
        </w:rPr>
        <w:t xml:space="preserve">Subsequently, at </w:t>
      </w:r>
      <w:r w:rsidR="0005588D" w:rsidRPr="009D59D0">
        <w:rPr>
          <w:lang w:val="en-US"/>
        </w:rPr>
        <w:t>its</w:t>
      </w:r>
      <w:r w:rsidRPr="009D59D0">
        <w:rPr>
          <w:lang w:val="en-US"/>
        </w:rPr>
        <w:t xml:space="preserve"> 83</w:t>
      </w:r>
      <w:r w:rsidRPr="009D59D0">
        <w:rPr>
          <w:vertAlign w:val="superscript"/>
          <w:lang w:val="en-US"/>
        </w:rPr>
        <w:t>rd</w:t>
      </w:r>
      <w:r w:rsidRPr="009D59D0">
        <w:rPr>
          <w:lang w:val="en-US"/>
        </w:rPr>
        <w:t xml:space="preserve"> meeting, the Executive Committee </w:t>
      </w:r>
      <w:r w:rsidRPr="009D59D0">
        <w:rPr>
          <w:i/>
          <w:lang w:val="en-US"/>
        </w:rPr>
        <w:t xml:space="preserve">inter alia </w:t>
      </w:r>
      <w:r w:rsidRPr="009D59D0">
        <w:rPr>
          <w:lang w:val="en-US"/>
        </w:rPr>
        <w:t>requested the Secretariat to review the existing procedure for project cancellation as set out in decision 26/2 and report back to the Executive Committee at its 84</w:t>
      </w:r>
      <w:r w:rsidRPr="009D59D0">
        <w:rPr>
          <w:vertAlign w:val="superscript"/>
          <w:lang w:val="en-US"/>
        </w:rPr>
        <w:t>th</w:t>
      </w:r>
      <w:r w:rsidRPr="009D59D0">
        <w:rPr>
          <w:lang w:val="en-US"/>
        </w:rPr>
        <w:t xml:space="preserve"> meeting on how the procedure could be applied to multi-year agreements (MYAs) (decision 83/47(b)(ii)).</w:t>
      </w:r>
    </w:p>
    <w:p w:rsidR="009654DE" w:rsidRPr="009D59D0" w:rsidRDefault="009654DE" w:rsidP="00DE40C2">
      <w:pPr>
        <w:rPr>
          <w:u w:val="single"/>
          <w:lang w:val="en-US"/>
        </w:rPr>
      </w:pPr>
      <w:r w:rsidRPr="009D59D0">
        <w:rPr>
          <w:u w:val="single"/>
          <w:lang w:val="en-US"/>
        </w:rPr>
        <w:t>Review of decision 26/2</w:t>
      </w:r>
    </w:p>
    <w:p w:rsidR="009654DE" w:rsidRPr="009D59D0" w:rsidRDefault="009654DE" w:rsidP="00DE40C2">
      <w:pPr>
        <w:rPr>
          <w:lang w:val="en-US"/>
        </w:rPr>
      </w:pPr>
    </w:p>
    <w:p w:rsidR="009654DE" w:rsidRPr="009D59D0" w:rsidRDefault="009654DE" w:rsidP="00DE40C2">
      <w:pPr>
        <w:pStyle w:val="Heading1"/>
        <w:rPr>
          <w:lang w:val="en-US"/>
        </w:rPr>
      </w:pPr>
      <w:r w:rsidRPr="009D59D0">
        <w:rPr>
          <w:lang w:val="en-US"/>
        </w:rPr>
        <w:t xml:space="preserve">In response to decision 83/47(b)(ii), the Secretariat has reviewed decision 26/2 on the procedure for project cancellation, as well as matters related to the implementation of MYAs. </w:t>
      </w:r>
    </w:p>
    <w:p w:rsidR="009654DE" w:rsidRPr="009D59D0" w:rsidRDefault="009654DE" w:rsidP="00DE40C2">
      <w:pPr>
        <w:pStyle w:val="Heading1"/>
        <w:rPr>
          <w:lang w:val="en-US"/>
        </w:rPr>
      </w:pPr>
      <w:r w:rsidRPr="009D59D0">
        <w:rPr>
          <w:lang w:val="en-US"/>
        </w:rPr>
        <w:t>In decision 26/2, the Executive Committee endorsed the following two procedures for project cancellation:</w:t>
      </w:r>
    </w:p>
    <w:p w:rsidR="009654DE" w:rsidRPr="009D59D0" w:rsidRDefault="009654DE" w:rsidP="00DE40C2">
      <w:pPr>
        <w:pStyle w:val="Heading2"/>
        <w:rPr>
          <w:lang w:val="en-US"/>
        </w:rPr>
      </w:pPr>
      <w:r w:rsidRPr="009D59D0">
        <w:rPr>
          <w:lang w:val="en-US"/>
        </w:rPr>
        <w:t>Projects can be cancelled through mutual agreement among the implementing agencies, the Government concerned and the beneficiary enterprise where applicable. Implementing agencies should indicate their proposed cancellations to the Executive Committee through their annual progress reports and/or reports on projects with implementation delays, bearing in mind the definition of project implementation delays adopted at the 22</w:t>
      </w:r>
      <w:r w:rsidRPr="009D59D0">
        <w:rPr>
          <w:vertAlign w:val="superscript"/>
          <w:lang w:val="en-US"/>
        </w:rPr>
        <w:t>nd</w:t>
      </w:r>
      <w:r w:rsidRPr="009D59D0">
        <w:rPr>
          <w:lang w:val="en-US"/>
        </w:rPr>
        <w:t xml:space="preserve"> meeting (decision 22/61);</w:t>
      </w:r>
      <w:r w:rsidRPr="009D59D0">
        <w:rPr>
          <w:rStyle w:val="FootnoteReference"/>
          <w:lang w:val="en-US"/>
        </w:rPr>
        <w:footnoteReference w:id="23"/>
      </w:r>
      <w:r w:rsidRPr="009D59D0">
        <w:rPr>
          <w:lang w:val="en-US"/>
        </w:rPr>
        <w:t xml:space="preserve"> or </w:t>
      </w:r>
    </w:p>
    <w:p w:rsidR="009654DE" w:rsidRPr="009D59D0" w:rsidRDefault="009654DE" w:rsidP="00DE40C2">
      <w:pPr>
        <w:pStyle w:val="Heading2"/>
        <w:rPr>
          <w:lang w:val="en-US"/>
        </w:rPr>
      </w:pPr>
      <w:r w:rsidRPr="009D59D0">
        <w:rPr>
          <w:lang w:val="en-US"/>
        </w:rPr>
        <w:t>Projects with implementation delays identified by the Executive Committee at its second meeting in each year could be considered for cancellation if the following two criteria were met:</w:t>
      </w:r>
    </w:p>
    <w:p w:rsidR="009654DE" w:rsidRPr="009D59D0" w:rsidRDefault="009654DE" w:rsidP="00DE40C2">
      <w:pPr>
        <w:pStyle w:val="Heading3"/>
        <w:rPr>
          <w:lang w:val="en-US"/>
        </w:rPr>
      </w:pPr>
      <w:r w:rsidRPr="009D59D0">
        <w:rPr>
          <w:lang w:val="en-US"/>
        </w:rPr>
        <w:t xml:space="preserve">Criterion 1: If no progress is reported after a project has been classified in the latest progress report as having an implementation delay, the Secretariat on behalf of the Committee may, at the meeting following classification, issue a notice of possible cancellation of the project to the implementing agency concerned and the recipient </w:t>
      </w:r>
      <w:r w:rsidRPr="009D59D0">
        <w:rPr>
          <w:lang w:val="en-US"/>
        </w:rPr>
        <w:lastRenderedPageBreak/>
        <w:t xml:space="preserve">country Government; and </w:t>
      </w:r>
    </w:p>
    <w:p w:rsidR="009654DE" w:rsidRPr="009D59D0" w:rsidRDefault="009654DE" w:rsidP="00DE40C2">
      <w:pPr>
        <w:pStyle w:val="Heading3"/>
        <w:rPr>
          <w:lang w:val="en-US"/>
        </w:rPr>
      </w:pPr>
      <w:r w:rsidRPr="009D59D0">
        <w:rPr>
          <w:lang w:val="en-US"/>
        </w:rPr>
        <w:t>Criterion 2: If no progress is reported to two consecutive meetings of the Executive Committee for a project classified as having an implementation delay, the Committee may, taking into account the response to the notice of possible cancellation, decide on cancellation of the project on a case-by-case basis.</w:t>
      </w:r>
    </w:p>
    <w:p w:rsidR="009654DE" w:rsidRPr="009D59D0" w:rsidRDefault="009654DE" w:rsidP="00DE40C2">
      <w:pPr>
        <w:pStyle w:val="Heading1"/>
        <w:rPr>
          <w:kern w:val="36"/>
          <w:lang w:val="en-US"/>
        </w:rPr>
      </w:pPr>
      <w:r w:rsidRPr="009D59D0">
        <w:rPr>
          <w:lang w:val="en-US"/>
        </w:rPr>
        <w:t xml:space="preserve">The Secretariat noted that decision 26/2 is applicable to stand-alone projects, usually implemented by a designated agency, with an average implementation timeframe of two to three years from the time of their approval, which is specified at the time the project proposal is submitted for consideration by the Executive Committee. It further noted that decision 26/2 does not apply to project preparation, </w:t>
      </w:r>
      <w:r w:rsidR="000C3F94" w:rsidRPr="009D59D0">
        <w:rPr>
          <w:lang w:val="en-US"/>
        </w:rPr>
        <w:t xml:space="preserve">demonstration project, </w:t>
      </w:r>
      <w:r w:rsidRPr="009D59D0">
        <w:rPr>
          <w:lang w:val="en-US"/>
        </w:rPr>
        <w:t>MYAs and institutional strengthening, delays of which will be monitored through additional status reports.</w:t>
      </w:r>
    </w:p>
    <w:p w:rsidR="009654DE" w:rsidRPr="009D59D0" w:rsidRDefault="009654DE" w:rsidP="00DE40C2">
      <w:pPr>
        <w:pStyle w:val="Heading1"/>
        <w:rPr>
          <w:kern w:val="36"/>
          <w:lang w:val="en-US"/>
        </w:rPr>
      </w:pPr>
      <w:r w:rsidRPr="009D59D0">
        <w:rPr>
          <w:lang w:val="en-US"/>
        </w:rPr>
        <w:t xml:space="preserve">Unlike a stand-alone project, a MYA is a compliance-driven and performance-based national phase-out plan, consisting of different components (e.g., individual investment projects subsumed under a MYA, manufacturing sector plans, refrigeration servicing), funded in several tranches with different implementation timeframes depending on the activities to be implemented, and in many cases with more than one bilateral and/or implementing agency. Therefore, delays in implementation of a MYA component are addressed through continued monitoring based on additional status reports, and not through the application of decision 26/2. </w:t>
      </w:r>
    </w:p>
    <w:p w:rsidR="000C3F94" w:rsidRPr="009D59D0" w:rsidRDefault="000C3F94" w:rsidP="00DE40C2">
      <w:pPr>
        <w:pStyle w:val="Heading1"/>
        <w:rPr>
          <w:lang w:val="en-US"/>
        </w:rPr>
      </w:pPr>
      <w:r w:rsidRPr="009D59D0">
        <w:rPr>
          <w:lang w:val="en-US"/>
        </w:rPr>
        <w:t>Taking the above facts into account, implementation delays for MYA components could be defined as per decision 22/61 and subject to cancellation procedures as for stand-alone</w:t>
      </w:r>
      <w:r w:rsidR="00E636E3" w:rsidRPr="009D59D0">
        <w:rPr>
          <w:lang w:val="en-US"/>
        </w:rPr>
        <w:t xml:space="preserve"> projects in line with decision </w:t>
      </w:r>
      <w:r w:rsidRPr="009D59D0">
        <w:rPr>
          <w:lang w:val="en-US"/>
        </w:rPr>
        <w:t>26/2</w:t>
      </w:r>
      <w:r w:rsidR="00011D33" w:rsidRPr="009D59D0">
        <w:rPr>
          <w:lang w:val="en-US"/>
        </w:rPr>
        <w:t xml:space="preserve"> as illustrated below</w:t>
      </w:r>
      <w:r w:rsidRPr="009D59D0">
        <w:rPr>
          <w:lang w:val="en-US"/>
        </w:rPr>
        <w:t xml:space="preserve">. </w:t>
      </w:r>
    </w:p>
    <w:p w:rsidR="009654DE" w:rsidRPr="009D59D0" w:rsidRDefault="000C3F94" w:rsidP="00DE40C2">
      <w:pPr>
        <w:pStyle w:val="Heading1"/>
        <w:rPr>
          <w:lang w:val="en-US"/>
        </w:rPr>
      </w:pPr>
      <w:r w:rsidRPr="009D59D0">
        <w:rPr>
          <w:lang w:val="en-US"/>
        </w:rPr>
        <w:t xml:space="preserve">For MYA components, </w:t>
      </w:r>
      <w:r w:rsidR="009654DE" w:rsidRPr="009D59D0">
        <w:rPr>
          <w:lang w:val="en-US"/>
        </w:rPr>
        <w:t>specific milestones can be set after due consideration of impediments that caused the delays. Similar to stand-alone projects, when no progress is reported at the meeting following a milestone deadline, the Government concerned and the lead implementing agency will be informed of the possible cancellation of that MYA component, including the funding approved in principle relating to that component. When no progress in achieving the milestones is reported to two consecutive meetings, criterion 2 of decision 26/2 can be applied.</w:t>
      </w:r>
    </w:p>
    <w:p w:rsidR="009654DE" w:rsidRPr="009D59D0" w:rsidRDefault="009654DE" w:rsidP="00DE40C2">
      <w:pPr>
        <w:pStyle w:val="Heading1"/>
        <w:rPr>
          <w:lang w:val="en-US"/>
        </w:rPr>
      </w:pPr>
      <w:r w:rsidRPr="009D59D0">
        <w:rPr>
          <w:lang w:val="en-US"/>
        </w:rPr>
        <w:t>With regard to the cancellation of a whole MYA, at the 82</w:t>
      </w:r>
      <w:r w:rsidRPr="009D59D0">
        <w:rPr>
          <w:vertAlign w:val="superscript"/>
          <w:lang w:val="en-US"/>
        </w:rPr>
        <w:t xml:space="preserve">nd </w:t>
      </w:r>
      <w:r w:rsidRPr="009D59D0">
        <w:rPr>
          <w:lang w:val="en-US"/>
        </w:rPr>
        <w:t>meeting, the Secretariat explained that when all components of a MYA were cancelled, the whole MYA would also be considered cancelled.</w:t>
      </w:r>
      <w:r w:rsidRPr="009D59D0">
        <w:rPr>
          <w:rStyle w:val="FootnoteReference"/>
          <w:lang w:val="en-US"/>
        </w:rPr>
        <w:footnoteReference w:id="24"/>
      </w:r>
      <w:r w:rsidRPr="009D59D0">
        <w:rPr>
          <w:lang w:val="en-US"/>
        </w:rPr>
        <w:t xml:space="preserve"> As delayed implementation of one component does not always mean delayed implementation of other components; therefore, only where needed and on a case-by-case basis, the Government concerned and the lead implementing agency will be informed of the Committee’s consideration of possible cancellation of the whole MYA.</w:t>
      </w:r>
    </w:p>
    <w:p w:rsidR="000E0C00" w:rsidRPr="009D59D0" w:rsidRDefault="00EF4FDB" w:rsidP="00DE40C2">
      <w:pPr>
        <w:pStyle w:val="Heading1"/>
        <w:keepNext/>
        <w:numPr>
          <w:ilvl w:val="0"/>
          <w:numId w:val="0"/>
        </w:numPr>
        <w:tabs>
          <w:tab w:val="left" w:pos="0"/>
        </w:tabs>
        <w:rPr>
          <w:b/>
          <w:bCs/>
          <w:lang w:val="en-CA"/>
        </w:rPr>
      </w:pPr>
      <w:r w:rsidRPr="009D59D0">
        <w:rPr>
          <w:b/>
          <w:bCs/>
          <w:lang w:val="en-CA"/>
        </w:rPr>
        <w:t>Recommendation</w:t>
      </w:r>
    </w:p>
    <w:p w:rsidR="000E0C00" w:rsidRPr="009D59D0" w:rsidRDefault="000E0C00" w:rsidP="00DE40C2">
      <w:pPr>
        <w:pStyle w:val="Heading1"/>
        <w:rPr>
          <w:lang w:val="en-CA"/>
        </w:rPr>
      </w:pPr>
      <w:r w:rsidRPr="009D59D0">
        <w:rPr>
          <w:lang w:val="en-CA"/>
        </w:rPr>
        <w:t>The Executive Committee may wish:</w:t>
      </w:r>
    </w:p>
    <w:p w:rsidR="000E0C00" w:rsidRPr="009D59D0" w:rsidRDefault="000E0C00" w:rsidP="00DE40C2">
      <w:pPr>
        <w:pStyle w:val="Heading2"/>
        <w:rPr>
          <w:lang w:val="en-CA"/>
        </w:rPr>
      </w:pPr>
      <w:r w:rsidRPr="009D59D0">
        <w:rPr>
          <w:lang w:val="en-CA"/>
        </w:rPr>
        <w:t>To note:</w:t>
      </w:r>
    </w:p>
    <w:p w:rsidR="000E0C00" w:rsidRPr="009D59D0" w:rsidRDefault="000E0C00" w:rsidP="00DE40C2">
      <w:pPr>
        <w:pStyle w:val="Heading3"/>
        <w:rPr>
          <w:lang w:val="en-CA"/>
        </w:rPr>
      </w:pPr>
      <w:r w:rsidRPr="009D59D0">
        <w:rPr>
          <w:lang w:val="en-CA"/>
        </w:rPr>
        <w:t>The report on tranche submission delays contained in document UNEP/</w:t>
      </w:r>
      <w:proofErr w:type="spellStart"/>
      <w:r w:rsidRPr="009D59D0">
        <w:rPr>
          <w:lang w:val="en-CA"/>
        </w:rPr>
        <w:t>OzL.Pro</w:t>
      </w:r>
      <w:proofErr w:type="spellEnd"/>
      <w:r w:rsidRPr="009D59D0">
        <w:rPr>
          <w:lang w:val="en-CA"/>
        </w:rPr>
        <w:t>/</w:t>
      </w:r>
      <w:proofErr w:type="spellStart"/>
      <w:r w:rsidRPr="009D59D0">
        <w:rPr>
          <w:lang w:val="en-CA"/>
        </w:rPr>
        <w:t>ExCom</w:t>
      </w:r>
      <w:proofErr w:type="spellEnd"/>
      <w:r w:rsidRPr="009D59D0">
        <w:rPr>
          <w:lang w:val="en-CA"/>
        </w:rPr>
        <w:t>/</w:t>
      </w:r>
      <w:r w:rsidR="00096051" w:rsidRPr="009D59D0">
        <w:rPr>
          <w:lang w:val="en-CA"/>
        </w:rPr>
        <w:t>84</w:t>
      </w:r>
      <w:r w:rsidRPr="009D59D0">
        <w:rPr>
          <w:lang w:val="en-CA"/>
        </w:rPr>
        <w:t>/</w:t>
      </w:r>
      <w:r w:rsidR="00563A51" w:rsidRPr="009D59D0">
        <w:rPr>
          <w:lang w:val="en-CA"/>
        </w:rPr>
        <w:t>25</w:t>
      </w:r>
      <w:r w:rsidRPr="009D59D0">
        <w:rPr>
          <w:lang w:val="en-CA"/>
        </w:rPr>
        <w:t>;</w:t>
      </w:r>
    </w:p>
    <w:p w:rsidR="000E0C00" w:rsidRPr="009D59D0" w:rsidRDefault="000E0C00" w:rsidP="00DE40C2">
      <w:pPr>
        <w:pStyle w:val="Heading3"/>
        <w:rPr>
          <w:lang w:val="en-CA"/>
        </w:rPr>
      </w:pPr>
      <w:r w:rsidRPr="009D59D0">
        <w:rPr>
          <w:lang w:val="en-CA"/>
        </w:rPr>
        <w:t>The information on tranche submission delays under HCFC phase-out management plans (HPMPs) submitted by UNDP, UNEP</w:t>
      </w:r>
      <w:r w:rsidR="00B80621" w:rsidRPr="009D59D0">
        <w:rPr>
          <w:lang w:val="en-CA"/>
        </w:rPr>
        <w:t xml:space="preserve"> and</w:t>
      </w:r>
      <w:r w:rsidRPr="009D59D0">
        <w:rPr>
          <w:lang w:val="en-CA"/>
        </w:rPr>
        <w:t xml:space="preserve"> UNIDO;</w:t>
      </w:r>
    </w:p>
    <w:p w:rsidR="000E0C00" w:rsidRPr="009D59D0" w:rsidRDefault="000E0C00" w:rsidP="00DE40C2">
      <w:pPr>
        <w:pStyle w:val="Heading3"/>
        <w:rPr>
          <w:lang w:val="en-CA"/>
        </w:rPr>
      </w:pPr>
      <w:r w:rsidRPr="009D59D0">
        <w:rPr>
          <w:lang w:val="en-CA"/>
        </w:rPr>
        <w:lastRenderedPageBreak/>
        <w:t xml:space="preserve">That </w:t>
      </w:r>
      <w:r w:rsidR="00096051" w:rsidRPr="009D59D0">
        <w:rPr>
          <w:lang w:val="en-CA"/>
        </w:rPr>
        <w:t>43</w:t>
      </w:r>
      <w:r w:rsidRPr="009D59D0">
        <w:rPr>
          <w:lang w:val="en-CA"/>
        </w:rPr>
        <w:t xml:space="preserve"> out of </w:t>
      </w:r>
      <w:r w:rsidR="00096051" w:rsidRPr="009D59D0">
        <w:rPr>
          <w:lang w:val="en-CA"/>
        </w:rPr>
        <w:t>57</w:t>
      </w:r>
      <w:r w:rsidRPr="009D59D0">
        <w:rPr>
          <w:lang w:val="en-CA"/>
        </w:rPr>
        <w:t xml:space="preserve"> activities (</w:t>
      </w:r>
      <w:r w:rsidR="00096051" w:rsidRPr="009D59D0">
        <w:rPr>
          <w:lang w:val="en-CA"/>
        </w:rPr>
        <w:t>21 out of 30</w:t>
      </w:r>
      <w:r w:rsidRPr="009D59D0">
        <w:rPr>
          <w:lang w:val="en-CA"/>
        </w:rPr>
        <w:t xml:space="preserve"> countries) related to tranches of HPMPs due for submission at the </w:t>
      </w:r>
      <w:r w:rsidR="00096051" w:rsidRPr="009D59D0">
        <w:rPr>
          <w:lang w:val="en-CA"/>
        </w:rPr>
        <w:t>84</w:t>
      </w:r>
      <w:r w:rsidR="00096051" w:rsidRPr="009D59D0">
        <w:rPr>
          <w:vertAlign w:val="superscript"/>
          <w:lang w:val="en-CA"/>
        </w:rPr>
        <w:t>th</w:t>
      </w:r>
      <w:r w:rsidR="00096051" w:rsidRPr="009D59D0">
        <w:rPr>
          <w:lang w:val="en-CA"/>
        </w:rPr>
        <w:t xml:space="preserve"> </w:t>
      </w:r>
      <w:r w:rsidRPr="009D59D0">
        <w:rPr>
          <w:lang w:val="en-CA"/>
        </w:rPr>
        <w:t>meeting had been submitted on time;</w:t>
      </w:r>
    </w:p>
    <w:p w:rsidR="000E0C00" w:rsidRPr="009D59D0" w:rsidRDefault="000E0C00" w:rsidP="00DE40C2">
      <w:pPr>
        <w:pStyle w:val="Heading3"/>
        <w:rPr>
          <w:lang w:val="en-CA"/>
        </w:rPr>
      </w:pPr>
      <w:r w:rsidRPr="009D59D0">
        <w:rPr>
          <w:lang w:val="en-CA"/>
        </w:rPr>
        <w:t xml:space="preserve">That relevant bilateral and implementing agencies had indicated that the late submission of the tranches of HPMPs due for submission at the </w:t>
      </w:r>
      <w:r w:rsidR="00665850" w:rsidRPr="009D59D0">
        <w:rPr>
          <w:lang w:val="en-CA"/>
        </w:rPr>
        <w:t>second</w:t>
      </w:r>
      <w:r w:rsidRPr="009D59D0">
        <w:rPr>
          <w:lang w:val="en-CA"/>
        </w:rPr>
        <w:t xml:space="preserve"> meeting of 2019 would have no impact, or was unlikely to have an impact, on compliance with the Montreal Protocol, and that there was no indication that any of the countries concerned were in non</w:t>
      </w:r>
      <w:r w:rsidRPr="009D59D0">
        <w:rPr>
          <w:lang w:val="en-CA"/>
        </w:rPr>
        <w:noBreakHyphen/>
        <w:t xml:space="preserve">compliance with the Montreal Protocol control measures; </w:t>
      </w:r>
    </w:p>
    <w:p w:rsidR="000E0C00" w:rsidRPr="009D59D0" w:rsidRDefault="000E0C00" w:rsidP="00DE40C2">
      <w:pPr>
        <w:pStyle w:val="Heading2"/>
        <w:keepNext/>
        <w:keepLines/>
        <w:numPr>
          <w:ilvl w:val="1"/>
          <w:numId w:val="1"/>
        </w:numPr>
        <w:rPr>
          <w:lang w:val="en-CA"/>
        </w:rPr>
      </w:pPr>
      <w:r w:rsidRPr="009D59D0">
        <w:rPr>
          <w:lang w:val="en-CA"/>
        </w:rPr>
        <w:t xml:space="preserve">To request the Secretariat to send letters to the relevant </w:t>
      </w:r>
      <w:r w:rsidR="00563A51" w:rsidRPr="009D59D0">
        <w:rPr>
          <w:lang w:val="en-CA"/>
        </w:rPr>
        <w:t>G</w:t>
      </w:r>
      <w:r w:rsidRPr="009D59D0">
        <w:rPr>
          <w:lang w:val="en-CA"/>
        </w:rPr>
        <w:t xml:space="preserve">overnments regarding the decisions on tranche submission delays contained in Annex I to the present report; </w:t>
      </w:r>
    </w:p>
    <w:p w:rsidR="00CA0B37" w:rsidRPr="009D59D0" w:rsidRDefault="00CA0B37" w:rsidP="00DE40C2">
      <w:pPr>
        <w:pStyle w:val="Heading2"/>
        <w:rPr>
          <w:u w:val="single"/>
          <w:lang w:val="en-US"/>
        </w:rPr>
      </w:pPr>
      <w:r w:rsidRPr="009D59D0">
        <w:rPr>
          <w:lang w:val="en-US"/>
        </w:rPr>
        <w:t>On the basis that cancellation of multi-year agreement components would not affect the country’s compliance with Montreal Protocol measures, to consider:</w:t>
      </w:r>
    </w:p>
    <w:p w:rsidR="00CA0B37" w:rsidRPr="009D59D0" w:rsidRDefault="00CA0B37" w:rsidP="00DE40C2">
      <w:pPr>
        <w:pStyle w:val="Heading3"/>
        <w:rPr>
          <w:lang w:val="en-US"/>
        </w:rPr>
      </w:pPr>
      <w:r w:rsidRPr="009D59D0">
        <w:rPr>
          <w:lang w:val="en-US"/>
        </w:rPr>
        <w:t>To cancel multi-year-agreement (MYA) components through mutual agreement between the Government concerned and the lead implementing agency of the MYA, where applicable, noting that the lead implementing agency would submit the proposed cancellation to the Executive Committee through its annual progress report and/or reports on projects with specific reporting requirements; or</w:t>
      </w:r>
    </w:p>
    <w:p w:rsidR="00CA0B37" w:rsidRPr="009D59D0" w:rsidRDefault="00CA0B37" w:rsidP="00DE40C2">
      <w:pPr>
        <w:pStyle w:val="Heading3"/>
        <w:rPr>
          <w:lang w:val="en-US"/>
        </w:rPr>
      </w:pPr>
      <w:r w:rsidRPr="009D59D0">
        <w:rPr>
          <w:lang w:val="en-US"/>
        </w:rPr>
        <w:t>To cancel MYA components</w:t>
      </w:r>
      <w:r w:rsidR="000C3F94" w:rsidRPr="009D59D0">
        <w:rPr>
          <w:lang w:val="en-US"/>
        </w:rPr>
        <w:t xml:space="preserve"> identified in progress reports</w:t>
      </w:r>
      <w:r w:rsidRPr="009D59D0">
        <w:rPr>
          <w:lang w:val="en-US"/>
        </w:rPr>
        <w:t xml:space="preserve"> with implementation delays, according to the following procedures:</w:t>
      </w:r>
    </w:p>
    <w:p w:rsidR="00CA0B37" w:rsidRPr="009D59D0" w:rsidRDefault="00CA0B37" w:rsidP="00DE40C2">
      <w:pPr>
        <w:pStyle w:val="Header4"/>
        <w:rPr>
          <w:lang w:val="en-US"/>
        </w:rPr>
      </w:pPr>
      <w:r w:rsidRPr="009D59D0">
        <w:rPr>
          <w:lang w:val="en-US"/>
        </w:rPr>
        <w:t>If no progress in meeting the milestones is reported after a MYA component has been classified as having an implementation delay, the Secretariat on behalf of the Executive Committee may, at the meeting following classification, issue a notice of possible cancellation of the MYA component including the funding approved in principle for the component, and where needed and on a case-by-case basis the whole MYA, to the lead implementing agency concerned and the recipient country Government; and</w:t>
      </w:r>
    </w:p>
    <w:p w:rsidR="00CA0B37" w:rsidRPr="009D59D0" w:rsidRDefault="00CA0B37" w:rsidP="00DE40C2">
      <w:pPr>
        <w:pStyle w:val="Header4"/>
        <w:rPr>
          <w:lang w:val="en-US"/>
        </w:rPr>
      </w:pPr>
      <w:r w:rsidRPr="009D59D0">
        <w:rPr>
          <w:lang w:val="en-US"/>
        </w:rPr>
        <w:t>If no progress is reported to two consecutive meetings of the Executive Committee for a MYA component classified as having an implementation delay, the Executive Committee may, taking into account the response to the notice of possible cancellation, decide to cancel the MYA component and where needed and on a case-by-case basis the whole MYA.</w:t>
      </w:r>
    </w:p>
    <w:p w:rsidR="000E0C00" w:rsidRPr="009D59D0" w:rsidRDefault="000E0C00" w:rsidP="00DE40C2">
      <w:pPr>
        <w:tabs>
          <w:tab w:val="left" w:pos="1384"/>
          <w:tab w:val="left" w:pos="2185"/>
          <w:tab w:val="left" w:pos="2742"/>
          <w:tab w:val="left" w:pos="3829"/>
          <w:tab w:val="left" w:pos="6671"/>
          <w:tab w:val="left" w:pos="7624"/>
          <w:tab w:val="left" w:pos="8384"/>
        </w:tabs>
        <w:ind w:left="1440" w:hanging="1440"/>
        <w:rPr>
          <w:b/>
          <w:bCs/>
          <w:lang w:val="en-US"/>
        </w:rPr>
        <w:sectPr w:rsidR="000E0C00" w:rsidRPr="009D59D0" w:rsidSect="005A30B9">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docGrid w:linePitch="299"/>
        </w:sectPr>
      </w:pPr>
    </w:p>
    <w:p w:rsidR="000E0C00" w:rsidRPr="009D59D0" w:rsidRDefault="000E0C00" w:rsidP="00DE40C2">
      <w:pPr>
        <w:tabs>
          <w:tab w:val="left" w:pos="1384"/>
          <w:tab w:val="left" w:pos="2185"/>
          <w:tab w:val="left" w:pos="2742"/>
          <w:tab w:val="left" w:pos="3829"/>
          <w:tab w:val="left" w:pos="6671"/>
          <w:tab w:val="left" w:pos="7624"/>
          <w:tab w:val="left" w:pos="8384"/>
        </w:tabs>
        <w:ind w:left="1440" w:hanging="1440"/>
        <w:jc w:val="center"/>
        <w:rPr>
          <w:b/>
          <w:bCs/>
          <w:lang w:val="en-CA"/>
        </w:rPr>
      </w:pPr>
      <w:r w:rsidRPr="009D59D0">
        <w:rPr>
          <w:b/>
          <w:bCs/>
          <w:lang w:val="en-CA"/>
        </w:rPr>
        <w:lastRenderedPageBreak/>
        <w:t>Annex I</w:t>
      </w:r>
    </w:p>
    <w:p w:rsidR="000E0C00" w:rsidRPr="009D59D0" w:rsidRDefault="000E0C00" w:rsidP="00DE40C2">
      <w:pPr>
        <w:tabs>
          <w:tab w:val="left" w:pos="1384"/>
          <w:tab w:val="left" w:pos="2185"/>
          <w:tab w:val="left" w:pos="2742"/>
          <w:tab w:val="left" w:pos="3829"/>
          <w:tab w:val="left" w:pos="6671"/>
          <w:tab w:val="left" w:pos="7624"/>
          <w:tab w:val="left" w:pos="8384"/>
        </w:tabs>
        <w:ind w:left="1440" w:hanging="1440"/>
        <w:jc w:val="center"/>
        <w:rPr>
          <w:b/>
          <w:bCs/>
          <w:lang w:val="en-CA"/>
        </w:rPr>
      </w:pPr>
    </w:p>
    <w:p w:rsidR="000E0C00" w:rsidRPr="009D59D0" w:rsidRDefault="000E0C00" w:rsidP="00DE40C2">
      <w:pPr>
        <w:tabs>
          <w:tab w:val="left" w:pos="1384"/>
          <w:tab w:val="left" w:pos="2185"/>
          <w:tab w:val="left" w:pos="2742"/>
          <w:tab w:val="left" w:pos="3829"/>
          <w:tab w:val="left" w:pos="6671"/>
          <w:tab w:val="left" w:pos="7624"/>
          <w:tab w:val="left" w:pos="8384"/>
        </w:tabs>
        <w:ind w:left="1440" w:hanging="1440"/>
        <w:jc w:val="center"/>
        <w:rPr>
          <w:b/>
          <w:bCs/>
          <w:caps/>
          <w:lang w:val="en-CA"/>
        </w:rPr>
      </w:pPr>
      <w:r w:rsidRPr="009D59D0">
        <w:rPr>
          <w:b/>
          <w:bCs/>
          <w:caps/>
          <w:lang w:val="en-CA"/>
        </w:rPr>
        <w:t>tranches NOT SUBMITTED to the 8</w:t>
      </w:r>
      <w:r w:rsidR="00622C77" w:rsidRPr="009D59D0">
        <w:rPr>
          <w:b/>
          <w:bCs/>
          <w:caps/>
          <w:lang w:val="en-CA"/>
        </w:rPr>
        <w:t>4</w:t>
      </w:r>
      <w:r w:rsidR="00622C77" w:rsidRPr="009D59D0">
        <w:rPr>
          <w:b/>
          <w:bCs/>
          <w:caps/>
          <w:vertAlign w:val="superscript"/>
          <w:lang w:val="en-CA"/>
        </w:rPr>
        <w:t>TH</w:t>
      </w:r>
      <w:r w:rsidR="00622C77" w:rsidRPr="009D59D0">
        <w:rPr>
          <w:b/>
          <w:bCs/>
          <w:caps/>
          <w:lang w:val="en-CA"/>
        </w:rPr>
        <w:t xml:space="preserve"> </w:t>
      </w:r>
      <w:r w:rsidRPr="009D59D0">
        <w:rPr>
          <w:b/>
          <w:bCs/>
          <w:caps/>
          <w:lang w:val="en-CA"/>
        </w:rPr>
        <w:t>meeting</w:t>
      </w:r>
    </w:p>
    <w:p w:rsidR="000E0C00" w:rsidRPr="009D59D0" w:rsidRDefault="000E0C00" w:rsidP="00DE40C2">
      <w:pPr>
        <w:tabs>
          <w:tab w:val="left" w:pos="1384"/>
          <w:tab w:val="left" w:pos="2185"/>
          <w:tab w:val="left" w:pos="2742"/>
          <w:tab w:val="left" w:pos="3829"/>
          <w:tab w:val="left" w:pos="6671"/>
          <w:tab w:val="left" w:pos="7624"/>
          <w:tab w:val="left" w:pos="8384"/>
        </w:tabs>
        <w:ind w:left="1440" w:hanging="1440"/>
        <w:jc w:val="center"/>
        <w:rPr>
          <w:b/>
          <w:bCs/>
          <w:caps/>
          <w:lang w:val="en-C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879"/>
        <w:gridCol w:w="1275"/>
        <w:gridCol w:w="3373"/>
        <w:gridCol w:w="5812"/>
      </w:tblGrid>
      <w:tr w:rsidR="009D59D0" w:rsidRPr="009D59D0" w:rsidTr="00CF63E0">
        <w:trPr>
          <w:trHeight w:val="692"/>
          <w:tblHeader/>
        </w:trPr>
        <w:tc>
          <w:tcPr>
            <w:tcW w:w="1560" w:type="dxa"/>
            <w:hideMark/>
          </w:tcPr>
          <w:p w:rsidR="000E0C00" w:rsidRPr="009D59D0" w:rsidRDefault="000E0C00" w:rsidP="00DE40C2">
            <w:pPr>
              <w:ind w:left="-108" w:firstLine="108"/>
              <w:jc w:val="center"/>
              <w:rPr>
                <w:b/>
                <w:bCs/>
                <w:sz w:val="19"/>
                <w:szCs w:val="19"/>
                <w:lang w:val="en-CA" w:eastAsia="en-CA"/>
              </w:rPr>
            </w:pPr>
            <w:r w:rsidRPr="009D59D0">
              <w:rPr>
                <w:b/>
                <w:bCs/>
                <w:sz w:val="19"/>
                <w:szCs w:val="19"/>
                <w:lang w:val="en-CA" w:eastAsia="en-CA"/>
              </w:rPr>
              <w:t>Country</w:t>
            </w:r>
          </w:p>
        </w:tc>
        <w:tc>
          <w:tcPr>
            <w:tcW w:w="1276" w:type="dxa"/>
            <w:hideMark/>
          </w:tcPr>
          <w:p w:rsidR="000E0C00" w:rsidRPr="009D59D0" w:rsidRDefault="000E0C00" w:rsidP="00DE40C2">
            <w:pPr>
              <w:jc w:val="center"/>
              <w:rPr>
                <w:b/>
                <w:bCs/>
                <w:sz w:val="19"/>
                <w:szCs w:val="19"/>
                <w:lang w:val="en-CA" w:eastAsia="en-CA"/>
              </w:rPr>
            </w:pPr>
            <w:r w:rsidRPr="009D59D0">
              <w:rPr>
                <w:b/>
                <w:bCs/>
                <w:sz w:val="19"/>
                <w:szCs w:val="19"/>
                <w:lang w:val="en-CA" w:eastAsia="en-CA"/>
              </w:rPr>
              <w:t>Agency</w:t>
            </w:r>
          </w:p>
        </w:tc>
        <w:tc>
          <w:tcPr>
            <w:tcW w:w="879" w:type="dxa"/>
            <w:hideMark/>
          </w:tcPr>
          <w:p w:rsidR="000E0C00" w:rsidRPr="009D59D0" w:rsidRDefault="000E0C00" w:rsidP="00DE40C2">
            <w:pPr>
              <w:ind w:left="-108" w:right="-128"/>
              <w:jc w:val="center"/>
              <w:rPr>
                <w:b/>
                <w:bCs/>
                <w:sz w:val="19"/>
                <w:szCs w:val="19"/>
                <w:lang w:val="en-CA" w:eastAsia="en-CA"/>
              </w:rPr>
            </w:pPr>
            <w:r w:rsidRPr="009D59D0">
              <w:rPr>
                <w:b/>
                <w:bCs/>
                <w:sz w:val="19"/>
                <w:szCs w:val="19"/>
                <w:lang w:val="en-CA" w:eastAsia="en-CA"/>
              </w:rPr>
              <w:t>Tranche</w:t>
            </w:r>
          </w:p>
        </w:tc>
        <w:tc>
          <w:tcPr>
            <w:tcW w:w="1275" w:type="dxa"/>
            <w:hideMark/>
          </w:tcPr>
          <w:p w:rsidR="000E0C00" w:rsidRPr="009D59D0" w:rsidRDefault="000E0C00" w:rsidP="00DE40C2">
            <w:pPr>
              <w:ind w:left="-108" w:right="-108"/>
              <w:jc w:val="center"/>
              <w:rPr>
                <w:b/>
                <w:bCs/>
                <w:sz w:val="19"/>
                <w:szCs w:val="19"/>
                <w:lang w:val="en-CA" w:eastAsia="en-CA"/>
              </w:rPr>
            </w:pPr>
            <w:r w:rsidRPr="009D59D0">
              <w:rPr>
                <w:b/>
                <w:bCs/>
                <w:sz w:val="19"/>
                <w:szCs w:val="19"/>
                <w:lang w:val="en-CA" w:eastAsia="en-CA"/>
              </w:rPr>
              <w:t>Amount (with support costs)</w:t>
            </w:r>
          </w:p>
          <w:p w:rsidR="000E0C00" w:rsidRPr="009D59D0" w:rsidRDefault="000E0C00" w:rsidP="00DE40C2">
            <w:pPr>
              <w:jc w:val="center"/>
              <w:rPr>
                <w:b/>
                <w:bCs/>
                <w:sz w:val="19"/>
                <w:szCs w:val="19"/>
                <w:lang w:val="en-CA" w:eastAsia="en-CA"/>
              </w:rPr>
            </w:pPr>
            <w:r w:rsidRPr="009D59D0">
              <w:rPr>
                <w:b/>
                <w:bCs/>
                <w:sz w:val="19"/>
                <w:szCs w:val="19"/>
                <w:lang w:val="en-CA" w:eastAsia="en-CA"/>
              </w:rPr>
              <w:t>(US $)</w:t>
            </w:r>
          </w:p>
        </w:tc>
        <w:tc>
          <w:tcPr>
            <w:tcW w:w="3373" w:type="dxa"/>
            <w:hideMark/>
          </w:tcPr>
          <w:p w:rsidR="000E0C00" w:rsidRPr="009D59D0" w:rsidRDefault="000E0C00" w:rsidP="00DE40C2">
            <w:pPr>
              <w:jc w:val="center"/>
              <w:rPr>
                <w:b/>
                <w:bCs/>
                <w:sz w:val="19"/>
                <w:szCs w:val="19"/>
                <w:lang w:val="en-CA" w:eastAsia="en-CA"/>
              </w:rPr>
            </w:pPr>
            <w:r w:rsidRPr="009D59D0">
              <w:rPr>
                <w:b/>
                <w:bCs/>
                <w:sz w:val="19"/>
                <w:szCs w:val="19"/>
                <w:lang w:val="en-CA" w:eastAsia="en-CA"/>
              </w:rPr>
              <w:t>Reason for delay/withdrawal</w:t>
            </w:r>
          </w:p>
        </w:tc>
        <w:tc>
          <w:tcPr>
            <w:tcW w:w="5812" w:type="dxa"/>
          </w:tcPr>
          <w:p w:rsidR="000E0C00" w:rsidRPr="009D59D0" w:rsidRDefault="000E0C00" w:rsidP="00DE40C2">
            <w:pPr>
              <w:jc w:val="center"/>
              <w:rPr>
                <w:b/>
                <w:bCs/>
                <w:sz w:val="19"/>
                <w:szCs w:val="19"/>
                <w:lang w:val="en-CA" w:eastAsia="en-CA"/>
              </w:rPr>
            </w:pPr>
            <w:r w:rsidRPr="009D59D0">
              <w:rPr>
                <w:b/>
                <w:sz w:val="19"/>
                <w:szCs w:val="19"/>
                <w:lang w:val="en-CA"/>
              </w:rPr>
              <w:t>Recommendations</w:t>
            </w:r>
          </w:p>
        </w:tc>
      </w:tr>
      <w:tr w:rsidR="009D59D0" w:rsidRPr="009D59D0" w:rsidTr="00CF63E0">
        <w:trPr>
          <w:trHeight w:val="450"/>
        </w:trPr>
        <w:tc>
          <w:tcPr>
            <w:tcW w:w="1560" w:type="dxa"/>
          </w:tcPr>
          <w:p w:rsidR="00622C77" w:rsidRPr="009D59D0" w:rsidRDefault="00622C77" w:rsidP="00DE40C2">
            <w:pPr>
              <w:jc w:val="left"/>
              <w:rPr>
                <w:sz w:val="19"/>
                <w:szCs w:val="19"/>
                <w:lang w:val="en-CA" w:eastAsia="en-CA"/>
              </w:rPr>
            </w:pPr>
            <w:r w:rsidRPr="009D59D0">
              <w:rPr>
                <w:sz w:val="19"/>
                <w:szCs w:val="19"/>
                <w:lang w:val="en-CA" w:eastAsia="en-CA"/>
              </w:rPr>
              <w:t>Algeria (Stage I)</w:t>
            </w:r>
          </w:p>
        </w:tc>
        <w:tc>
          <w:tcPr>
            <w:tcW w:w="1276" w:type="dxa"/>
          </w:tcPr>
          <w:p w:rsidR="00622C77" w:rsidRPr="009D59D0" w:rsidRDefault="00622C77" w:rsidP="00DE40C2">
            <w:pPr>
              <w:jc w:val="left"/>
              <w:rPr>
                <w:sz w:val="19"/>
                <w:szCs w:val="19"/>
                <w:lang w:val="en-CA" w:eastAsia="en-CA"/>
              </w:rPr>
            </w:pPr>
            <w:r w:rsidRPr="009D59D0">
              <w:rPr>
                <w:sz w:val="19"/>
                <w:szCs w:val="19"/>
                <w:lang w:val="en-CA" w:eastAsia="en-CA"/>
              </w:rPr>
              <w:t>UNIDO</w:t>
            </w:r>
          </w:p>
        </w:tc>
        <w:tc>
          <w:tcPr>
            <w:tcW w:w="879" w:type="dxa"/>
          </w:tcPr>
          <w:p w:rsidR="00622C77" w:rsidRPr="009D59D0" w:rsidRDefault="00622C77" w:rsidP="00DE40C2">
            <w:pPr>
              <w:jc w:val="center"/>
              <w:rPr>
                <w:sz w:val="19"/>
                <w:szCs w:val="19"/>
                <w:lang w:val="en-CA" w:eastAsia="en-CA"/>
              </w:rPr>
            </w:pPr>
            <w:r w:rsidRPr="009D59D0">
              <w:rPr>
                <w:sz w:val="19"/>
                <w:szCs w:val="19"/>
                <w:lang w:val="en-CA" w:eastAsia="en-CA"/>
              </w:rPr>
              <w:t>2014</w:t>
            </w:r>
          </w:p>
        </w:tc>
        <w:tc>
          <w:tcPr>
            <w:tcW w:w="1275" w:type="dxa"/>
          </w:tcPr>
          <w:p w:rsidR="00622C77" w:rsidRPr="009D59D0" w:rsidRDefault="00622C77" w:rsidP="00DE40C2">
            <w:pPr>
              <w:jc w:val="right"/>
              <w:rPr>
                <w:sz w:val="19"/>
                <w:szCs w:val="19"/>
                <w:lang w:val="en-CA" w:eastAsia="en-CA"/>
              </w:rPr>
            </w:pPr>
            <w:r w:rsidRPr="009D59D0">
              <w:rPr>
                <w:sz w:val="19"/>
                <w:szCs w:val="19"/>
                <w:lang w:val="en-CA" w:eastAsia="en-CA"/>
              </w:rPr>
              <w:t>154,800</w:t>
            </w:r>
          </w:p>
        </w:tc>
        <w:tc>
          <w:tcPr>
            <w:tcW w:w="3373" w:type="dxa"/>
          </w:tcPr>
          <w:p w:rsidR="00622C77" w:rsidRPr="009D59D0" w:rsidRDefault="00622C77" w:rsidP="00DE40C2">
            <w:pPr>
              <w:jc w:val="left"/>
              <w:rPr>
                <w:sz w:val="19"/>
                <w:szCs w:val="19"/>
                <w:lang w:val="en-CA" w:eastAsia="en-CA"/>
              </w:rPr>
            </w:pPr>
            <w:r w:rsidRPr="009D59D0">
              <w:rPr>
                <w:sz w:val="19"/>
                <w:szCs w:val="19"/>
                <w:lang w:val="en-CA" w:eastAsia="en-CA"/>
              </w:rPr>
              <w:t>Government decisions/endorsements/</w:t>
            </w:r>
          </w:p>
          <w:p w:rsidR="00622C77" w:rsidRPr="009D59D0" w:rsidRDefault="00622C77" w:rsidP="00DE40C2">
            <w:pPr>
              <w:jc w:val="left"/>
              <w:rPr>
                <w:sz w:val="19"/>
                <w:szCs w:val="19"/>
                <w:lang w:val="en-CA" w:eastAsia="en-CA"/>
              </w:rPr>
            </w:pPr>
            <w:r w:rsidRPr="009D59D0">
              <w:rPr>
                <w:sz w:val="19"/>
                <w:szCs w:val="19"/>
                <w:lang w:val="en-CA" w:eastAsia="en-CA"/>
              </w:rPr>
              <w:t>changes in the NOU/structural change</w:t>
            </w:r>
          </w:p>
        </w:tc>
        <w:tc>
          <w:tcPr>
            <w:tcW w:w="5812" w:type="dxa"/>
          </w:tcPr>
          <w:p w:rsidR="00622C77" w:rsidRPr="009D59D0" w:rsidRDefault="00622C77" w:rsidP="00103C07">
            <w:pPr>
              <w:jc w:val="left"/>
              <w:rPr>
                <w:sz w:val="19"/>
                <w:szCs w:val="19"/>
                <w:lang w:val="en-CA"/>
              </w:rPr>
            </w:pPr>
            <w:r w:rsidRPr="009D59D0">
              <w:rPr>
                <w:sz w:val="19"/>
                <w:szCs w:val="19"/>
                <w:lang w:val="en-CA"/>
              </w:rPr>
              <w:t>Noting the delays due to structural changes within the Government and the</w:t>
            </w:r>
            <w:r w:rsidR="0042126B" w:rsidRPr="009D59D0">
              <w:rPr>
                <w:sz w:val="19"/>
                <w:szCs w:val="19"/>
                <w:lang w:val="en-CA"/>
              </w:rPr>
              <w:t xml:space="preserve"> national ozone unit (</w:t>
            </w:r>
            <w:r w:rsidRPr="009D59D0">
              <w:rPr>
                <w:sz w:val="19"/>
                <w:szCs w:val="19"/>
                <w:lang w:val="en-CA"/>
              </w:rPr>
              <w:t>NOU</w:t>
            </w:r>
            <w:r w:rsidR="0042126B" w:rsidRPr="009D59D0">
              <w:rPr>
                <w:sz w:val="19"/>
                <w:szCs w:val="19"/>
                <w:lang w:val="en-CA"/>
              </w:rPr>
              <w:t>)</w:t>
            </w:r>
            <w:r w:rsidRPr="009D59D0">
              <w:rPr>
                <w:sz w:val="19"/>
                <w:szCs w:val="19"/>
                <w:lang w:val="en-CA"/>
              </w:rPr>
              <w:t xml:space="preserve"> and urging the Government of Algeria to work with UNIDO so that the third (2014) tranche of stage I of the HPMP could be submitted </w:t>
            </w:r>
            <w:r w:rsidR="0042126B" w:rsidRPr="009D59D0">
              <w:rPr>
                <w:sz w:val="19"/>
                <w:szCs w:val="19"/>
                <w:lang w:val="en-CA"/>
              </w:rPr>
              <w:t>no later than</w:t>
            </w:r>
            <w:r w:rsidRPr="009D59D0">
              <w:rPr>
                <w:sz w:val="19"/>
                <w:szCs w:val="19"/>
                <w:lang w:val="en-CA"/>
              </w:rPr>
              <w:t xml:space="preserve"> the 8</w:t>
            </w:r>
            <w:r w:rsidR="0042126B" w:rsidRPr="009D59D0">
              <w:rPr>
                <w:sz w:val="19"/>
                <w:szCs w:val="19"/>
                <w:lang w:val="en-CA"/>
              </w:rPr>
              <w:t>6</w:t>
            </w:r>
            <w:r w:rsidRPr="009D59D0">
              <w:rPr>
                <w:sz w:val="19"/>
                <w:szCs w:val="19"/>
                <w:vertAlign w:val="superscript"/>
                <w:lang w:val="en-CA"/>
              </w:rPr>
              <w:t>th</w:t>
            </w:r>
            <w:r w:rsidRPr="009D59D0">
              <w:rPr>
                <w:sz w:val="19"/>
                <w:szCs w:val="19"/>
                <w:lang w:val="en-CA"/>
              </w:rPr>
              <w:t xml:space="preserve"> meeting with a revised plan of action to take into account the reallocation of the 2014 and subsequent tranches.</w:t>
            </w:r>
            <w:bookmarkStart w:id="0" w:name="_GoBack"/>
            <w:bookmarkEnd w:id="0"/>
          </w:p>
        </w:tc>
      </w:tr>
      <w:tr w:rsidR="009D59D0" w:rsidRPr="009D59D0" w:rsidTr="00CF63E0">
        <w:trPr>
          <w:trHeight w:val="132"/>
        </w:trPr>
        <w:tc>
          <w:tcPr>
            <w:tcW w:w="1560" w:type="dxa"/>
          </w:tcPr>
          <w:p w:rsidR="000E0C00" w:rsidRPr="009D59D0" w:rsidRDefault="000E0C00" w:rsidP="00DE40C2">
            <w:pPr>
              <w:jc w:val="left"/>
              <w:rPr>
                <w:sz w:val="19"/>
                <w:szCs w:val="19"/>
                <w:lang w:val="en-CA" w:eastAsia="en-CA"/>
              </w:rPr>
            </w:pPr>
            <w:r w:rsidRPr="009D59D0">
              <w:rPr>
                <w:sz w:val="19"/>
                <w:szCs w:val="19"/>
                <w:lang w:val="en-CA" w:eastAsia="en-CA"/>
              </w:rPr>
              <w:t xml:space="preserve">China </w:t>
            </w:r>
          </w:p>
          <w:p w:rsidR="000E0C00" w:rsidRPr="009D59D0" w:rsidRDefault="000E0C00" w:rsidP="00DE40C2">
            <w:pPr>
              <w:jc w:val="left"/>
              <w:rPr>
                <w:sz w:val="19"/>
                <w:szCs w:val="19"/>
                <w:lang w:val="en-CA" w:eastAsia="en-CA"/>
              </w:rPr>
            </w:pPr>
            <w:r w:rsidRPr="009D59D0">
              <w:rPr>
                <w:sz w:val="19"/>
                <w:szCs w:val="19"/>
                <w:lang w:val="en-CA" w:eastAsia="en-CA"/>
              </w:rPr>
              <w:t>(Stage II – room air-conditioning (RAC) sector)</w:t>
            </w:r>
          </w:p>
        </w:tc>
        <w:tc>
          <w:tcPr>
            <w:tcW w:w="1276" w:type="dxa"/>
          </w:tcPr>
          <w:p w:rsidR="000E0C00" w:rsidRPr="009D59D0" w:rsidRDefault="000E0C00" w:rsidP="00DE40C2">
            <w:pPr>
              <w:jc w:val="left"/>
              <w:rPr>
                <w:sz w:val="19"/>
                <w:szCs w:val="19"/>
                <w:lang w:val="en-CA" w:eastAsia="en-CA"/>
              </w:rPr>
            </w:pPr>
            <w:r w:rsidRPr="009D59D0">
              <w:rPr>
                <w:sz w:val="19"/>
                <w:szCs w:val="19"/>
                <w:lang w:val="en-CA" w:eastAsia="en-CA"/>
              </w:rPr>
              <w:t>UNIDO</w:t>
            </w:r>
          </w:p>
        </w:tc>
        <w:tc>
          <w:tcPr>
            <w:tcW w:w="879" w:type="dxa"/>
          </w:tcPr>
          <w:p w:rsidR="000E0C00" w:rsidRPr="009D59D0" w:rsidRDefault="000E0C00" w:rsidP="00DE40C2">
            <w:pPr>
              <w:jc w:val="center"/>
              <w:rPr>
                <w:sz w:val="19"/>
                <w:szCs w:val="19"/>
                <w:lang w:val="en-CA" w:eastAsia="en-CA"/>
              </w:rPr>
            </w:pPr>
            <w:r w:rsidRPr="009D59D0">
              <w:rPr>
                <w:sz w:val="19"/>
                <w:szCs w:val="19"/>
                <w:lang w:val="en-CA" w:eastAsia="en-CA"/>
              </w:rPr>
              <w:t>2018</w:t>
            </w:r>
          </w:p>
        </w:tc>
        <w:tc>
          <w:tcPr>
            <w:tcW w:w="1275" w:type="dxa"/>
          </w:tcPr>
          <w:p w:rsidR="000E0C00" w:rsidRPr="009D59D0" w:rsidRDefault="000E0C00" w:rsidP="00DE40C2">
            <w:pPr>
              <w:jc w:val="right"/>
              <w:rPr>
                <w:sz w:val="19"/>
                <w:szCs w:val="19"/>
                <w:lang w:val="en-CA" w:eastAsia="en-CA"/>
              </w:rPr>
            </w:pPr>
            <w:r w:rsidRPr="009D59D0">
              <w:rPr>
                <w:sz w:val="19"/>
                <w:szCs w:val="19"/>
                <w:lang w:val="en-CA" w:eastAsia="en-CA"/>
              </w:rPr>
              <w:t>19,260,000</w:t>
            </w:r>
          </w:p>
        </w:tc>
        <w:tc>
          <w:tcPr>
            <w:tcW w:w="3373" w:type="dxa"/>
          </w:tcPr>
          <w:p w:rsidR="000E0C00" w:rsidRPr="009D59D0" w:rsidRDefault="002E45F9" w:rsidP="00DE40C2">
            <w:pPr>
              <w:jc w:val="left"/>
              <w:rPr>
                <w:sz w:val="19"/>
                <w:szCs w:val="19"/>
                <w:lang w:val="en-CA" w:eastAsia="en-CA"/>
              </w:rPr>
            </w:pPr>
            <w:r w:rsidRPr="009D59D0">
              <w:rPr>
                <w:sz w:val="19"/>
                <w:szCs w:val="19"/>
                <w:lang w:val="en-CA" w:eastAsia="en-CA"/>
              </w:rPr>
              <w:t>20 per cent disbursement threshold/ enterprise delays</w:t>
            </w:r>
          </w:p>
        </w:tc>
        <w:tc>
          <w:tcPr>
            <w:tcW w:w="5812" w:type="dxa"/>
          </w:tcPr>
          <w:p w:rsidR="000E0C00" w:rsidRPr="009D59D0" w:rsidRDefault="000E0C00" w:rsidP="00DE40C2">
            <w:pPr>
              <w:jc w:val="left"/>
              <w:rPr>
                <w:sz w:val="19"/>
                <w:szCs w:val="19"/>
                <w:lang w:val="en-CA"/>
              </w:rPr>
            </w:pPr>
            <w:r w:rsidRPr="009D59D0">
              <w:rPr>
                <w:sz w:val="19"/>
                <w:szCs w:val="19"/>
                <w:lang w:val="en-CA"/>
              </w:rPr>
              <w:t xml:space="preserve">Noting that the overall disbursement rate of the second (2017) tranche of stage II of the HPMP for the room air-conditioning (RAC) sector was below the 20 per cent disbursement threshold and the </w:t>
            </w:r>
            <w:r w:rsidR="00235418" w:rsidRPr="009D59D0">
              <w:rPr>
                <w:sz w:val="19"/>
                <w:szCs w:val="19"/>
                <w:lang w:val="en-CA"/>
              </w:rPr>
              <w:t>delays due to enterprise difficulties</w:t>
            </w:r>
            <w:r w:rsidR="00786157" w:rsidRPr="009D59D0">
              <w:rPr>
                <w:sz w:val="19"/>
                <w:szCs w:val="19"/>
                <w:lang w:val="en-CA"/>
              </w:rPr>
              <w:t>,</w:t>
            </w:r>
            <w:r w:rsidR="00235418" w:rsidRPr="009D59D0">
              <w:rPr>
                <w:sz w:val="19"/>
                <w:szCs w:val="19"/>
                <w:lang w:val="en-CA"/>
              </w:rPr>
              <w:t xml:space="preserve"> </w:t>
            </w:r>
            <w:r w:rsidRPr="009D59D0">
              <w:rPr>
                <w:sz w:val="19"/>
                <w:szCs w:val="19"/>
                <w:lang w:val="en-CA"/>
              </w:rPr>
              <w:t xml:space="preserve">and urging the Government of China to work with UNIDO to expedite implementation so that the third (2018) tranche could be submitted to the </w:t>
            </w:r>
            <w:r w:rsidR="00235418" w:rsidRPr="009D59D0">
              <w:rPr>
                <w:sz w:val="19"/>
                <w:szCs w:val="19"/>
                <w:lang w:val="en-CA"/>
              </w:rPr>
              <w:t>85</w:t>
            </w:r>
            <w:r w:rsidRPr="009D59D0">
              <w:rPr>
                <w:sz w:val="19"/>
                <w:szCs w:val="19"/>
                <w:vertAlign w:val="superscript"/>
                <w:lang w:val="en-CA"/>
              </w:rPr>
              <w:t>th</w:t>
            </w:r>
            <w:r w:rsidRPr="009D59D0">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9D59D0" w:rsidRPr="009D59D0" w:rsidTr="00CF63E0">
        <w:trPr>
          <w:trHeight w:val="677"/>
        </w:trPr>
        <w:tc>
          <w:tcPr>
            <w:tcW w:w="1560" w:type="dxa"/>
            <w:vMerge w:val="restart"/>
            <w:hideMark/>
          </w:tcPr>
          <w:p w:rsidR="000E0C00" w:rsidRPr="009D59D0" w:rsidRDefault="000E0C00" w:rsidP="00DE40C2">
            <w:pPr>
              <w:jc w:val="left"/>
              <w:rPr>
                <w:sz w:val="19"/>
                <w:szCs w:val="19"/>
                <w:lang w:val="en-CA" w:eastAsia="en-CA"/>
              </w:rPr>
            </w:pPr>
            <w:r w:rsidRPr="009D59D0">
              <w:rPr>
                <w:sz w:val="19"/>
                <w:szCs w:val="19"/>
                <w:lang w:val="en-CA" w:eastAsia="en-CA"/>
              </w:rPr>
              <w:t>Guinea (Stage I)</w:t>
            </w:r>
          </w:p>
        </w:tc>
        <w:tc>
          <w:tcPr>
            <w:tcW w:w="1276" w:type="dxa"/>
            <w:hideMark/>
          </w:tcPr>
          <w:p w:rsidR="000E0C00" w:rsidRPr="009D59D0" w:rsidRDefault="000E0C00" w:rsidP="00DE40C2">
            <w:pPr>
              <w:jc w:val="left"/>
              <w:rPr>
                <w:sz w:val="19"/>
                <w:szCs w:val="19"/>
                <w:lang w:val="en-CA" w:eastAsia="en-CA"/>
              </w:rPr>
            </w:pPr>
            <w:r w:rsidRPr="009D59D0">
              <w:rPr>
                <w:sz w:val="19"/>
                <w:szCs w:val="19"/>
                <w:lang w:val="en-CA" w:eastAsia="en-CA"/>
              </w:rPr>
              <w:t>UNIDO</w:t>
            </w:r>
          </w:p>
        </w:tc>
        <w:tc>
          <w:tcPr>
            <w:tcW w:w="879" w:type="dxa"/>
            <w:hideMark/>
          </w:tcPr>
          <w:p w:rsidR="000E0C00" w:rsidRPr="009D59D0" w:rsidRDefault="000E0C00" w:rsidP="00DE40C2">
            <w:pPr>
              <w:jc w:val="center"/>
              <w:rPr>
                <w:sz w:val="19"/>
                <w:szCs w:val="19"/>
                <w:lang w:val="en-CA" w:eastAsia="en-CA"/>
              </w:rPr>
            </w:pPr>
            <w:r w:rsidRPr="009D59D0">
              <w:rPr>
                <w:sz w:val="19"/>
                <w:szCs w:val="19"/>
                <w:lang w:val="en-CA" w:eastAsia="en-CA"/>
              </w:rPr>
              <w:t>2016</w:t>
            </w:r>
          </w:p>
        </w:tc>
        <w:tc>
          <w:tcPr>
            <w:tcW w:w="1275" w:type="dxa"/>
            <w:hideMark/>
          </w:tcPr>
          <w:p w:rsidR="000E0C00" w:rsidRPr="009D59D0" w:rsidRDefault="000E0C00" w:rsidP="00DE40C2">
            <w:pPr>
              <w:jc w:val="right"/>
              <w:rPr>
                <w:sz w:val="19"/>
                <w:szCs w:val="19"/>
                <w:lang w:val="en-CA" w:eastAsia="en-CA"/>
              </w:rPr>
            </w:pPr>
            <w:r w:rsidRPr="009D59D0">
              <w:rPr>
                <w:sz w:val="19"/>
                <w:szCs w:val="19"/>
                <w:lang w:val="en-CA" w:eastAsia="en-CA"/>
              </w:rPr>
              <w:t>172,000</w:t>
            </w:r>
          </w:p>
        </w:tc>
        <w:tc>
          <w:tcPr>
            <w:tcW w:w="3373" w:type="dxa"/>
            <w:vMerge w:val="restart"/>
            <w:hideMark/>
          </w:tcPr>
          <w:p w:rsidR="000E0C00" w:rsidRPr="009D59D0" w:rsidRDefault="004100B3" w:rsidP="00DE40C2">
            <w:pPr>
              <w:jc w:val="left"/>
              <w:rPr>
                <w:sz w:val="19"/>
                <w:szCs w:val="19"/>
                <w:lang w:val="en-CA" w:eastAsia="en-CA"/>
              </w:rPr>
            </w:pPr>
            <w:r w:rsidRPr="009D59D0">
              <w:rPr>
                <w:sz w:val="19"/>
                <w:szCs w:val="19"/>
                <w:lang w:val="en-CA" w:eastAsia="en-CA"/>
              </w:rPr>
              <w:t>Gov</w:t>
            </w:r>
            <w:r w:rsidR="00A739AD" w:rsidRPr="009D59D0">
              <w:rPr>
                <w:sz w:val="19"/>
                <w:szCs w:val="19"/>
                <w:lang w:val="en-CA" w:eastAsia="en-CA"/>
              </w:rPr>
              <w:t xml:space="preserve">ernment decisions/endorsements/ </w:t>
            </w:r>
            <w:r w:rsidRPr="009D59D0">
              <w:rPr>
                <w:sz w:val="19"/>
                <w:szCs w:val="19"/>
                <w:lang w:val="en-CA" w:eastAsia="en-CA"/>
              </w:rPr>
              <w:t>changes in the NOU/structural change</w:t>
            </w:r>
          </w:p>
        </w:tc>
        <w:tc>
          <w:tcPr>
            <w:tcW w:w="5812" w:type="dxa"/>
            <w:vMerge w:val="restart"/>
          </w:tcPr>
          <w:p w:rsidR="000E0C00" w:rsidRPr="009D59D0" w:rsidRDefault="000E0C00" w:rsidP="00DE40C2">
            <w:pPr>
              <w:jc w:val="left"/>
              <w:rPr>
                <w:sz w:val="19"/>
                <w:szCs w:val="19"/>
                <w:lang w:val="en-CA" w:eastAsia="en-CA"/>
              </w:rPr>
            </w:pPr>
            <w:r w:rsidRPr="009D59D0">
              <w:rPr>
                <w:sz w:val="19"/>
                <w:szCs w:val="19"/>
                <w:lang w:val="en-CA"/>
              </w:rPr>
              <w:t>Noting the delays due to changes within the NOU</w:t>
            </w:r>
            <w:r w:rsidR="00786157" w:rsidRPr="009D59D0">
              <w:rPr>
                <w:sz w:val="19"/>
                <w:szCs w:val="19"/>
                <w:lang w:val="en-CA"/>
              </w:rPr>
              <w:t>,</w:t>
            </w:r>
            <w:r w:rsidRPr="009D59D0">
              <w:rPr>
                <w:sz w:val="19"/>
                <w:szCs w:val="19"/>
                <w:lang w:val="en-CA"/>
              </w:rPr>
              <w:t xml:space="preserve"> and urging the Government of Guinea to work with </w:t>
            </w:r>
            <w:r w:rsidRPr="009D59D0">
              <w:rPr>
                <w:sz w:val="19"/>
                <w:szCs w:val="19"/>
                <w:lang w:val="en-CA" w:eastAsia="en-CA"/>
              </w:rPr>
              <w:t>UNEP and UNIDO</w:t>
            </w:r>
            <w:r w:rsidRPr="009D59D0">
              <w:rPr>
                <w:sz w:val="19"/>
                <w:szCs w:val="19"/>
                <w:lang w:val="en-CA"/>
              </w:rPr>
              <w:t xml:space="preserve"> so that the third (2016) tranche of stage I of the HPMP could be submitted to the 8</w:t>
            </w:r>
            <w:r w:rsidR="004100B3" w:rsidRPr="009D59D0">
              <w:rPr>
                <w:sz w:val="19"/>
                <w:szCs w:val="19"/>
                <w:lang w:val="en-CA"/>
              </w:rPr>
              <w:t>5</w:t>
            </w:r>
            <w:r w:rsidRPr="009D59D0">
              <w:rPr>
                <w:sz w:val="19"/>
                <w:szCs w:val="19"/>
                <w:vertAlign w:val="superscript"/>
                <w:lang w:val="en-CA"/>
              </w:rPr>
              <w:t>th</w:t>
            </w:r>
            <w:r w:rsidR="005D1FE4" w:rsidRPr="009D59D0">
              <w:rPr>
                <w:sz w:val="19"/>
                <w:szCs w:val="19"/>
                <w:lang w:val="en-CA"/>
              </w:rPr>
              <w:t> </w:t>
            </w:r>
            <w:r w:rsidRPr="009D59D0">
              <w:rPr>
                <w:sz w:val="19"/>
                <w:szCs w:val="19"/>
                <w:lang w:val="en-CA"/>
              </w:rPr>
              <w:t>meeting with a revised plan of action to take into account the reallocation of the 2016 and subsequent tranches.</w:t>
            </w:r>
          </w:p>
        </w:tc>
      </w:tr>
      <w:tr w:rsidR="009D59D0" w:rsidRPr="009D59D0" w:rsidTr="00A15BA4">
        <w:trPr>
          <w:trHeight w:val="423"/>
        </w:trPr>
        <w:tc>
          <w:tcPr>
            <w:tcW w:w="1560" w:type="dxa"/>
            <w:vMerge/>
            <w:hideMark/>
          </w:tcPr>
          <w:p w:rsidR="000E0C00" w:rsidRPr="009D59D0" w:rsidRDefault="000E0C00" w:rsidP="00DE40C2">
            <w:pPr>
              <w:jc w:val="left"/>
              <w:rPr>
                <w:sz w:val="19"/>
                <w:szCs w:val="19"/>
                <w:lang w:val="en-CA" w:eastAsia="en-CA"/>
              </w:rPr>
            </w:pPr>
          </w:p>
        </w:tc>
        <w:tc>
          <w:tcPr>
            <w:tcW w:w="1276" w:type="dxa"/>
            <w:hideMark/>
          </w:tcPr>
          <w:p w:rsidR="000E0C00" w:rsidRPr="009D59D0" w:rsidRDefault="000E0C00" w:rsidP="00DE40C2">
            <w:pPr>
              <w:jc w:val="left"/>
              <w:rPr>
                <w:sz w:val="19"/>
                <w:szCs w:val="19"/>
                <w:lang w:val="en-CA" w:eastAsia="en-CA"/>
              </w:rPr>
            </w:pPr>
            <w:r w:rsidRPr="009D59D0">
              <w:rPr>
                <w:sz w:val="19"/>
                <w:szCs w:val="19"/>
                <w:lang w:val="en-CA" w:eastAsia="en-CA"/>
              </w:rPr>
              <w:t>UNEP</w:t>
            </w:r>
          </w:p>
        </w:tc>
        <w:tc>
          <w:tcPr>
            <w:tcW w:w="879" w:type="dxa"/>
            <w:hideMark/>
          </w:tcPr>
          <w:p w:rsidR="000E0C00" w:rsidRPr="009D59D0" w:rsidRDefault="000E0C00" w:rsidP="00DE40C2">
            <w:pPr>
              <w:jc w:val="center"/>
              <w:rPr>
                <w:sz w:val="19"/>
                <w:szCs w:val="19"/>
                <w:lang w:val="en-CA" w:eastAsia="en-CA"/>
              </w:rPr>
            </w:pPr>
            <w:r w:rsidRPr="009D59D0">
              <w:rPr>
                <w:sz w:val="19"/>
                <w:szCs w:val="19"/>
                <w:lang w:val="en-CA" w:eastAsia="en-CA"/>
              </w:rPr>
              <w:t>2016</w:t>
            </w:r>
          </w:p>
        </w:tc>
        <w:tc>
          <w:tcPr>
            <w:tcW w:w="1275" w:type="dxa"/>
            <w:hideMark/>
          </w:tcPr>
          <w:p w:rsidR="000E0C00" w:rsidRPr="009D59D0" w:rsidRDefault="000E0C00" w:rsidP="00DE40C2">
            <w:pPr>
              <w:jc w:val="right"/>
              <w:rPr>
                <w:sz w:val="19"/>
                <w:szCs w:val="19"/>
                <w:lang w:val="en-CA" w:eastAsia="en-CA"/>
              </w:rPr>
            </w:pPr>
            <w:r w:rsidRPr="009D59D0">
              <w:rPr>
                <w:sz w:val="19"/>
                <w:szCs w:val="19"/>
                <w:lang w:val="en-CA" w:eastAsia="en-CA"/>
              </w:rPr>
              <w:t>73,450</w:t>
            </w:r>
          </w:p>
        </w:tc>
        <w:tc>
          <w:tcPr>
            <w:tcW w:w="3373" w:type="dxa"/>
            <w:vMerge/>
          </w:tcPr>
          <w:p w:rsidR="000E0C00" w:rsidRPr="009D59D0" w:rsidRDefault="000E0C00" w:rsidP="00DE40C2">
            <w:pPr>
              <w:jc w:val="left"/>
              <w:rPr>
                <w:sz w:val="19"/>
                <w:szCs w:val="19"/>
                <w:lang w:val="en-CA" w:eastAsia="en-CA"/>
              </w:rPr>
            </w:pPr>
          </w:p>
        </w:tc>
        <w:tc>
          <w:tcPr>
            <w:tcW w:w="5812" w:type="dxa"/>
            <w:vMerge/>
          </w:tcPr>
          <w:p w:rsidR="000E0C00" w:rsidRPr="009D59D0" w:rsidRDefault="000E0C00" w:rsidP="00DE40C2">
            <w:pPr>
              <w:jc w:val="left"/>
              <w:rPr>
                <w:sz w:val="19"/>
                <w:szCs w:val="19"/>
                <w:lang w:val="en-CA" w:eastAsia="en-CA"/>
              </w:rPr>
            </w:pPr>
          </w:p>
        </w:tc>
      </w:tr>
      <w:tr w:rsidR="009D59D0" w:rsidRPr="009D59D0" w:rsidTr="00CF63E0">
        <w:trPr>
          <w:trHeight w:val="638"/>
        </w:trPr>
        <w:tc>
          <w:tcPr>
            <w:tcW w:w="1560" w:type="dxa"/>
            <w:shd w:val="clear" w:color="auto" w:fill="auto"/>
          </w:tcPr>
          <w:p w:rsidR="000E0C00" w:rsidRPr="009D59D0" w:rsidRDefault="000E0C00" w:rsidP="00DE40C2">
            <w:pPr>
              <w:jc w:val="left"/>
              <w:rPr>
                <w:sz w:val="19"/>
                <w:szCs w:val="19"/>
                <w:lang w:val="en-CA" w:eastAsia="en-CA"/>
              </w:rPr>
            </w:pPr>
            <w:r w:rsidRPr="009D59D0">
              <w:rPr>
                <w:sz w:val="19"/>
                <w:szCs w:val="19"/>
                <w:lang w:val="en-CA" w:eastAsia="en-CA"/>
              </w:rPr>
              <w:t>Haiti (Stage I)</w:t>
            </w:r>
          </w:p>
        </w:tc>
        <w:tc>
          <w:tcPr>
            <w:tcW w:w="1276" w:type="dxa"/>
            <w:shd w:val="clear" w:color="auto" w:fill="auto"/>
          </w:tcPr>
          <w:p w:rsidR="000E0C00" w:rsidRPr="009D59D0" w:rsidRDefault="000E0C00" w:rsidP="00DE40C2">
            <w:pPr>
              <w:jc w:val="left"/>
              <w:rPr>
                <w:sz w:val="19"/>
                <w:szCs w:val="19"/>
                <w:lang w:val="en-CA" w:eastAsia="en-CA"/>
              </w:rPr>
            </w:pPr>
            <w:r w:rsidRPr="009D59D0">
              <w:rPr>
                <w:sz w:val="19"/>
                <w:szCs w:val="19"/>
                <w:lang w:val="en-CA" w:eastAsia="en-CA"/>
              </w:rPr>
              <w:t>UNEP</w:t>
            </w:r>
          </w:p>
          <w:p w:rsidR="000E0C00" w:rsidRPr="009D59D0" w:rsidRDefault="000E0C00" w:rsidP="00DE40C2">
            <w:pPr>
              <w:jc w:val="left"/>
              <w:rPr>
                <w:sz w:val="19"/>
                <w:szCs w:val="19"/>
                <w:lang w:val="en-CA" w:eastAsia="en-CA"/>
              </w:rPr>
            </w:pPr>
          </w:p>
        </w:tc>
        <w:tc>
          <w:tcPr>
            <w:tcW w:w="879" w:type="dxa"/>
            <w:shd w:val="clear" w:color="auto" w:fill="auto"/>
          </w:tcPr>
          <w:p w:rsidR="000E0C00" w:rsidRPr="009D59D0" w:rsidRDefault="000E0C00" w:rsidP="00DE40C2">
            <w:pPr>
              <w:jc w:val="center"/>
              <w:rPr>
                <w:sz w:val="19"/>
                <w:szCs w:val="19"/>
                <w:lang w:val="en-CA" w:eastAsia="en-CA"/>
              </w:rPr>
            </w:pPr>
            <w:r w:rsidRPr="009D59D0">
              <w:rPr>
                <w:sz w:val="19"/>
                <w:szCs w:val="19"/>
                <w:lang w:val="en-CA" w:eastAsia="en-CA"/>
              </w:rPr>
              <w:t>2018</w:t>
            </w:r>
          </w:p>
        </w:tc>
        <w:tc>
          <w:tcPr>
            <w:tcW w:w="1275" w:type="dxa"/>
            <w:shd w:val="clear" w:color="auto" w:fill="auto"/>
          </w:tcPr>
          <w:p w:rsidR="000E0C00" w:rsidRPr="009D59D0" w:rsidRDefault="000E0C00" w:rsidP="00DE40C2">
            <w:pPr>
              <w:jc w:val="right"/>
              <w:rPr>
                <w:sz w:val="19"/>
                <w:szCs w:val="19"/>
                <w:lang w:val="en-CA" w:eastAsia="en-CA"/>
              </w:rPr>
            </w:pPr>
            <w:r w:rsidRPr="009D59D0">
              <w:rPr>
                <w:sz w:val="19"/>
                <w:szCs w:val="19"/>
                <w:lang w:val="en-CA" w:eastAsia="en-CA"/>
              </w:rPr>
              <w:t>95,916</w:t>
            </w:r>
          </w:p>
        </w:tc>
        <w:tc>
          <w:tcPr>
            <w:tcW w:w="3373" w:type="dxa"/>
            <w:shd w:val="clear" w:color="auto" w:fill="auto"/>
          </w:tcPr>
          <w:p w:rsidR="00CD29FE" w:rsidRPr="009D59D0" w:rsidRDefault="00CD29FE" w:rsidP="00DE40C2">
            <w:pPr>
              <w:jc w:val="left"/>
              <w:rPr>
                <w:sz w:val="20"/>
                <w:szCs w:val="20"/>
                <w:lang w:val="en-CA"/>
              </w:rPr>
            </w:pPr>
            <w:r w:rsidRPr="009D59D0">
              <w:rPr>
                <w:sz w:val="20"/>
                <w:szCs w:val="20"/>
              </w:rPr>
              <w:t>Government decisions/endorsements/ changes in the NOU/structural change/signing of agreement/project document/internal or external difficulties/20 per cent disbursement threshold</w:t>
            </w:r>
          </w:p>
          <w:p w:rsidR="000E0C00" w:rsidRPr="009D59D0" w:rsidRDefault="000E0C00" w:rsidP="00DE40C2">
            <w:pPr>
              <w:jc w:val="left"/>
              <w:rPr>
                <w:sz w:val="16"/>
                <w:szCs w:val="16"/>
                <w:lang w:val="en-CA"/>
              </w:rPr>
            </w:pPr>
          </w:p>
        </w:tc>
        <w:tc>
          <w:tcPr>
            <w:tcW w:w="5812" w:type="dxa"/>
            <w:shd w:val="clear" w:color="auto" w:fill="auto"/>
          </w:tcPr>
          <w:p w:rsidR="000E0C00" w:rsidRPr="009D59D0" w:rsidRDefault="000E0C00" w:rsidP="00DE40C2">
            <w:pPr>
              <w:jc w:val="left"/>
              <w:rPr>
                <w:sz w:val="19"/>
                <w:szCs w:val="19"/>
                <w:lang w:val="en-CA"/>
              </w:rPr>
            </w:pPr>
            <w:r w:rsidRPr="009D59D0">
              <w:rPr>
                <w:sz w:val="19"/>
                <w:szCs w:val="19"/>
                <w:lang w:val="en-CA"/>
              </w:rPr>
              <w:t>Noting the delays in signing the agreement due to structural changes within the Government and the NOU and that the overall disbursement rate of the second (2014) tranche of stage I of the HPMP was below the 20 per cent disbursement threshold</w:t>
            </w:r>
            <w:r w:rsidR="00786157" w:rsidRPr="009D59D0">
              <w:rPr>
                <w:sz w:val="19"/>
                <w:szCs w:val="19"/>
                <w:lang w:val="en-CA"/>
              </w:rPr>
              <w:t>,</w:t>
            </w:r>
            <w:r w:rsidRPr="009D59D0">
              <w:rPr>
                <w:sz w:val="19"/>
                <w:szCs w:val="19"/>
                <w:lang w:val="en-CA"/>
              </w:rPr>
              <w:t xml:space="preserve"> and urging the Government of Haiti to work with </w:t>
            </w:r>
            <w:r w:rsidRPr="009D59D0">
              <w:rPr>
                <w:sz w:val="19"/>
                <w:szCs w:val="19"/>
                <w:lang w:val="en-CA" w:eastAsia="en-CA"/>
              </w:rPr>
              <w:t xml:space="preserve">UNEP </w:t>
            </w:r>
            <w:r w:rsidRPr="009D59D0">
              <w:rPr>
                <w:sz w:val="19"/>
                <w:szCs w:val="19"/>
                <w:lang w:val="en-CA"/>
              </w:rPr>
              <w:t xml:space="preserve">so that the third (2018) tranche of stage I of the HPMP could be submitted to the </w:t>
            </w:r>
            <w:r w:rsidR="00734D2F" w:rsidRPr="009D59D0">
              <w:rPr>
                <w:sz w:val="19"/>
                <w:szCs w:val="19"/>
                <w:lang w:val="en-CA"/>
              </w:rPr>
              <w:t>85</w:t>
            </w:r>
            <w:r w:rsidR="00734D2F" w:rsidRPr="009D59D0">
              <w:rPr>
                <w:sz w:val="19"/>
                <w:szCs w:val="19"/>
                <w:vertAlign w:val="superscript"/>
                <w:lang w:val="en-CA"/>
              </w:rPr>
              <w:t>th</w:t>
            </w:r>
            <w:r w:rsidR="00734D2F" w:rsidRPr="009D59D0">
              <w:rPr>
                <w:sz w:val="19"/>
                <w:szCs w:val="19"/>
                <w:lang w:val="en-CA"/>
              </w:rPr>
              <w:t xml:space="preserve"> or </w:t>
            </w:r>
            <w:r w:rsidRPr="009D59D0">
              <w:rPr>
                <w:sz w:val="19"/>
                <w:szCs w:val="19"/>
                <w:lang w:val="en-CA"/>
              </w:rPr>
              <w:t>8</w:t>
            </w:r>
            <w:r w:rsidR="00CD29FE" w:rsidRPr="009D59D0">
              <w:rPr>
                <w:sz w:val="19"/>
                <w:szCs w:val="19"/>
                <w:lang w:val="en-CA"/>
              </w:rPr>
              <w:t>6</w:t>
            </w:r>
            <w:r w:rsidRPr="009D59D0">
              <w:rPr>
                <w:sz w:val="19"/>
                <w:szCs w:val="19"/>
                <w:vertAlign w:val="superscript"/>
                <w:lang w:val="en-CA"/>
              </w:rPr>
              <w:t>th</w:t>
            </w:r>
            <w:r w:rsidRPr="009D59D0">
              <w:rPr>
                <w:sz w:val="19"/>
                <w:szCs w:val="19"/>
                <w:lang w:val="en-CA"/>
              </w:rPr>
              <w:t> meeting with a revised plan of action to take into account the reallocation of the 2018 and subsequent tranches, on the understanding that the 20 per cent disbursement threshold for funding of the previous tranche had been achieved.</w:t>
            </w:r>
          </w:p>
        </w:tc>
      </w:tr>
      <w:tr w:rsidR="009D59D0" w:rsidRPr="009D59D0" w:rsidTr="00766EAD">
        <w:trPr>
          <w:trHeight w:val="809"/>
        </w:trPr>
        <w:tc>
          <w:tcPr>
            <w:tcW w:w="1560" w:type="dxa"/>
            <w:vMerge w:val="restart"/>
            <w:hideMark/>
          </w:tcPr>
          <w:p w:rsidR="00120BB0" w:rsidRPr="009D59D0" w:rsidRDefault="00120BB0" w:rsidP="00DE40C2">
            <w:pPr>
              <w:jc w:val="left"/>
              <w:rPr>
                <w:sz w:val="19"/>
                <w:szCs w:val="19"/>
                <w:lang w:val="en-CA" w:eastAsia="en-CA"/>
              </w:rPr>
            </w:pPr>
            <w:r w:rsidRPr="009D59D0">
              <w:rPr>
                <w:sz w:val="19"/>
                <w:szCs w:val="19"/>
                <w:lang w:val="en-CA" w:eastAsia="en-CA"/>
              </w:rPr>
              <w:t>Peru</w:t>
            </w:r>
          </w:p>
          <w:p w:rsidR="00120BB0" w:rsidRPr="009D59D0" w:rsidRDefault="00120BB0" w:rsidP="00DE40C2">
            <w:pPr>
              <w:jc w:val="left"/>
              <w:rPr>
                <w:sz w:val="19"/>
                <w:szCs w:val="19"/>
                <w:lang w:val="en-CA" w:eastAsia="en-CA"/>
              </w:rPr>
            </w:pPr>
            <w:r w:rsidRPr="009D59D0">
              <w:rPr>
                <w:sz w:val="19"/>
                <w:szCs w:val="19"/>
                <w:lang w:val="en-CA" w:eastAsia="en-CA"/>
              </w:rPr>
              <w:t>(Stage II)</w:t>
            </w:r>
          </w:p>
          <w:p w:rsidR="00120BB0" w:rsidRPr="009D59D0" w:rsidRDefault="00120BB0" w:rsidP="00DE40C2">
            <w:pPr>
              <w:jc w:val="left"/>
              <w:rPr>
                <w:sz w:val="19"/>
                <w:szCs w:val="19"/>
                <w:lang w:val="en-CA" w:eastAsia="en-CA"/>
              </w:rPr>
            </w:pPr>
          </w:p>
        </w:tc>
        <w:tc>
          <w:tcPr>
            <w:tcW w:w="1276" w:type="dxa"/>
            <w:hideMark/>
          </w:tcPr>
          <w:p w:rsidR="00120BB0" w:rsidRPr="009D59D0" w:rsidRDefault="00120BB0" w:rsidP="00DE40C2">
            <w:pPr>
              <w:rPr>
                <w:sz w:val="19"/>
                <w:szCs w:val="19"/>
                <w:lang w:val="en-CA" w:eastAsia="en-CA"/>
              </w:rPr>
            </w:pPr>
            <w:r w:rsidRPr="009D59D0">
              <w:rPr>
                <w:sz w:val="19"/>
                <w:szCs w:val="19"/>
                <w:lang w:val="en-CA" w:eastAsia="en-CA"/>
              </w:rPr>
              <w:t>UNDP</w:t>
            </w:r>
          </w:p>
        </w:tc>
        <w:tc>
          <w:tcPr>
            <w:tcW w:w="879" w:type="dxa"/>
            <w:hideMark/>
          </w:tcPr>
          <w:p w:rsidR="00120BB0" w:rsidRPr="009D59D0" w:rsidRDefault="00120BB0" w:rsidP="00DE40C2">
            <w:pPr>
              <w:jc w:val="center"/>
              <w:rPr>
                <w:sz w:val="19"/>
                <w:szCs w:val="19"/>
                <w:lang w:val="en-CA" w:eastAsia="en-CA"/>
              </w:rPr>
            </w:pPr>
            <w:r w:rsidRPr="009D59D0">
              <w:rPr>
                <w:sz w:val="19"/>
                <w:szCs w:val="19"/>
                <w:lang w:val="en-CA" w:eastAsia="en-CA"/>
              </w:rPr>
              <w:t>2019</w:t>
            </w:r>
          </w:p>
        </w:tc>
        <w:tc>
          <w:tcPr>
            <w:tcW w:w="1275" w:type="dxa"/>
            <w:hideMark/>
          </w:tcPr>
          <w:p w:rsidR="00120BB0" w:rsidRPr="009D59D0" w:rsidRDefault="00120BB0" w:rsidP="00DE40C2">
            <w:pPr>
              <w:jc w:val="right"/>
              <w:rPr>
                <w:sz w:val="19"/>
                <w:szCs w:val="19"/>
                <w:lang w:val="en-CA" w:eastAsia="en-CA"/>
              </w:rPr>
            </w:pPr>
            <w:r w:rsidRPr="009D59D0">
              <w:rPr>
                <w:sz w:val="19"/>
                <w:szCs w:val="19"/>
                <w:lang w:val="en-CA" w:eastAsia="en-CA"/>
              </w:rPr>
              <w:t>249,738</w:t>
            </w:r>
          </w:p>
        </w:tc>
        <w:tc>
          <w:tcPr>
            <w:tcW w:w="3373" w:type="dxa"/>
            <w:hideMark/>
          </w:tcPr>
          <w:p w:rsidR="00120BB0" w:rsidRPr="009D59D0" w:rsidRDefault="00120BB0" w:rsidP="00DE40C2">
            <w:pPr>
              <w:jc w:val="left"/>
              <w:rPr>
                <w:sz w:val="20"/>
                <w:szCs w:val="20"/>
              </w:rPr>
            </w:pPr>
            <w:r w:rsidRPr="009D59D0">
              <w:rPr>
                <w:sz w:val="20"/>
                <w:szCs w:val="20"/>
              </w:rPr>
              <w:t>Government decisions/endorsements/ changes in the NOU/structural change</w:t>
            </w:r>
          </w:p>
        </w:tc>
        <w:tc>
          <w:tcPr>
            <w:tcW w:w="5812" w:type="dxa"/>
            <w:vMerge w:val="restart"/>
          </w:tcPr>
          <w:p w:rsidR="00120BB0" w:rsidRPr="009D59D0" w:rsidRDefault="00120BB0" w:rsidP="00DE40C2">
            <w:pPr>
              <w:jc w:val="left"/>
              <w:rPr>
                <w:sz w:val="19"/>
                <w:szCs w:val="19"/>
                <w:lang w:val="en-CA" w:eastAsia="en-CA"/>
              </w:rPr>
            </w:pPr>
            <w:r w:rsidRPr="009D59D0">
              <w:rPr>
                <w:sz w:val="19"/>
                <w:szCs w:val="19"/>
                <w:lang w:val="en-CA"/>
              </w:rPr>
              <w:t>Noting the delays due to structural changes within the Government and the NOU and that the overall disbursement rate of the first tranche of stage II of the HPMP was below the 20 per cent disbursement threshold</w:t>
            </w:r>
            <w:r w:rsidR="00786157" w:rsidRPr="009D59D0">
              <w:rPr>
                <w:sz w:val="19"/>
                <w:szCs w:val="19"/>
                <w:lang w:val="en-CA"/>
              </w:rPr>
              <w:t>,</w:t>
            </w:r>
            <w:r w:rsidRPr="009D59D0">
              <w:rPr>
                <w:sz w:val="19"/>
                <w:szCs w:val="19"/>
                <w:lang w:val="en-CA"/>
              </w:rPr>
              <w:t xml:space="preserve"> </w:t>
            </w:r>
            <w:r w:rsidRPr="009D59D0">
              <w:rPr>
                <w:sz w:val="19"/>
                <w:szCs w:val="19"/>
                <w:lang w:val="en-CA"/>
              </w:rPr>
              <w:lastRenderedPageBreak/>
              <w:t>and urging the Government of Peru to work with UNDP and UNEP so that the second (2019) tranche could be submitted to the 85</w:t>
            </w:r>
            <w:r w:rsidRPr="009D59D0">
              <w:rPr>
                <w:sz w:val="19"/>
                <w:szCs w:val="19"/>
                <w:vertAlign w:val="superscript"/>
                <w:lang w:val="en-CA"/>
              </w:rPr>
              <w:t>th</w:t>
            </w:r>
            <w:r w:rsidRPr="009D59D0">
              <w:rPr>
                <w:sz w:val="19"/>
                <w:szCs w:val="19"/>
                <w:lang w:val="en-CA"/>
              </w:rPr>
              <w:t xml:space="preserve"> meeting</w:t>
            </w:r>
            <w:r w:rsidR="00677938" w:rsidRPr="009D59D0">
              <w:rPr>
                <w:sz w:val="19"/>
                <w:szCs w:val="19"/>
                <w:lang w:val="en-CA"/>
              </w:rPr>
              <w:t xml:space="preserve"> with a revised plan of action to take into account the reallocation of the 2019 and subsequent tranches,</w:t>
            </w:r>
            <w:r w:rsidRPr="009D59D0">
              <w:rPr>
                <w:sz w:val="19"/>
                <w:szCs w:val="19"/>
                <w:lang w:val="en-CA"/>
              </w:rPr>
              <w:t xml:space="preserve"> on the understanding that the 20 per cent disbursement threshold for funding of the previous tranche had been achieved.</w:t>
            </w:r>
          </w:p>
        </w:tc>
      </w:tr>
      <w:tr w:rsidR="009D59D0" w:rsidRPr="009D59D0" w:rsidTr="00CF63E0">
        <w:trPr>
          <w:trHeight w:val="770"/>
        </w:trPr>
        <w:tc>
          <w:tcPr>
            <w:tcW w:w="1560" w:type="dxa"/>
            <w:vMerge/>
            <w:hideMark/>
          </w:tcPr>
          <w:p w:rsidR="00120BB0" w:rsidRPr="009D59D0" w:rsidRDefault="00120BB0" w:rsidP="00DE40C2">
            <w:pPr>
              <w:jc w:val="left"/>
              <w:rPr>
                <w:sz w:val="19"/>
                <w:szCs w:val="19"/>
                <w:lang w:val="en-CA" w:eastAsia="en-CA"/>
              </w:rPr>
            </w:pPr>
          </w:p>
        </w:tc>
        <w:tc>
          <w:tcPr>
            <w:tcW w:w="1276" w:type="dxa"/>
            <w:hideMark/>
          </w:tcPr>
          <w:p w:rsidR="00120BB0" w:rsidRPr="009D59D0" w:rsidRDefault="00120BB0" w:rsidP="00DE40C2">
            <w:pPr>
              <w:rPr>
                <w:sz w:val="19"/>
                <w:szCs w:val="19"/>
                <w:lang w:val="en-CA" w:eastAsia="en-CA"/>
              </w:rPr>
            </w:pPr>
            <w:r w:rsidRPr="009D59D0">
              <w:rPr>
                <w:sz w:val="19"/>
                <w:szCs w:val="19"/>
                <w:lang w:val="en-CA" w:eastAsia="en-CA"/>
              </w:rPr>
              <w:t>UNEP</w:t>
            </w:r>
          </w:p>
        </w:tc>
        <w:tc>
          <w:tcPr>
            <w:tcW w:w="879" w:type="dxa"/>
            <w:hideMark/>
          </w:tcPr>
          <w:p w:rsidR="00120BB0" w:rsidRPr="009D59D0" w:rsidRDefault="00120BB0" w:rsidP="00DE40C2">
            <w:pPr>
              <w:jc w:val="center"/>
              <w:rPr>
                <w:sz w:val="19"/>
                <w:szCs w:val="19"/>
                <w:lang w:val="en-CA" w:eastAsia="en-CA"/>
              </w:rPr>
            </w:pPr>
            <w:r w:rsidRPr="009D59D0">
              <w:rPr>
                <w:sz w:val="19"/>
                <w:szCs w:val="19"/>
                <w:lang w:val="en-CA" w:eastAsia="en-CA"/>
              </w:rPr>
              <w:t>2019</w:t>
            </w:r>
          </w:p>
        </w:tc>
        <w:tc>
          <w:tcPr>
            <w:tcW w:w="1275" w:type="dxa"/>
            <w:hideMark/>
          </w:tcPr>
          <w:p w:rsidR="00120BB0" w:rsidRPr="009D59D0" w:rsidRDefault="00120BB0" w:rsidP="00DE40C2">
            <w:pPr>
              <w:jc w:val="right"/>
              <w:rPr>
                <w:sz w:val="19"/>
                <w:szCs w:val="19"/>
                <w:lang w:val="en-CA" w:eastAsia="en-CA"/>
              </w:rPr>
            </w:pPr>
            <w:r w:rsidRPr="009D59D0">
              <w:rPr>
                <w:sz w:val="19"/>
                <w:szCs w:val="19"/>
                <w:lang w:val="en-CA" w:eastAsia="en-CA"/>
              </w:rPr>
              <w:t>47,008</w:t>
            </w:r>
          </w:p>
        </w:tc>
        <w:tc>
          <w:tcPr>
            <w:tcW w:w="3373" w:type="dxa"/>
            <w:hideMark/>
          </w:tcPr>
          <w:p w:rsidR="00120BB0" w:rsidRPr="009D59D0" w:rsidRDefault="00766EAD" w:rsidP="00DE40C2">
            <w:pPr>
              <w:jc w:val="left"/>
              <w:rPr>
                <w:sz w:val="20"/>
                <w:szCs w:val="20"/>
                <w:lang w:val="en-CA"/>
              </w:rPr>
            </w:pPr>
            <w:r w:rsidRPr="009D59D0">
              <w:rPr>
                <w:sz w:val="20"/>
                <w:szCs w:val="20"/>
              </w:rPr>
              <w:t>Government decisions/endorsements/ changes in the NOU/structural change/20 per cent disbursement threshold</w:t>
            </w:r>
          </w:p>
        </w:tc>
        <w:tc>
          <w:tcPr>
            <w:tcW w:w="5812" w:type="dxa"/>
            <w:vMerge/>
          </w:tcPr>
          <w:p w:rsidR="00120BB0" w:rsidRPr="009D59D0" w:rsidRDefault="00120BB0" w:rsidP="00DE40C2">
            <w:pPr>
              <w:jc w:val="left"/>
              <w:rPr>
                <w:sz w:val="19"/>
                <w:szCs w:val="19"/>
                <w:lang w:val="en-CA" w:eastAsia="en-CA"/>
              </w:rPr>
            </w:pPr>
          </w:p>
        </w:tc>
      </w:tr>
      <w:tr w:rsidR="009D59D0" w:rsidRPr="009D59D0" w:rsidTr="00CF63E0">
        <w:trPr>
          <w:trHeight w:val="206"/>
        </w:trPr>
        <w:tc>
          <w:tcPr>
            <w:tcW w:w="1560" w:type="dxa"/>
          </w:tcPr>
          <w:p w:rsidR="000C04F6" w:rsidRPr="009D59D0" w:rsidRDefault="000C04F6" w:rsidP="00DE40C2">
            <w:pPr>
              <w:keepNext/>
              <w:jc w:val="left"/>
              <w:rPr>
                <w:sz w:val="19"/>
                <w:szCs w:val="19"/>
                <w:lang w:val="en-CA" w:eastAsia="en-CA"/>
              </w:rPr>
            </w:pPr>
            <w:r w:rsidRPr="009D59D0">
              <w:rPr>
                <w:sz w:val="19"/>
                <w:szCs w:val="19"/>
                <w:lang w:val="en-CA" w:eastAsia="en-CA"/>
              </w:rPr>
              <w:lastRenderedPageBreak/>
              <w:t>Philippines (Stage II)</w:t>
            </w:r>
          </w:p>
        </w:tc>
        <w:tc>
          <w:tcPr>
            <w:tcW w:w="1276" w:type="dxa"/>
          </w:tcPr>
          <w:p w:rsidR="000C04F6" w:rsidRPr="009D59D0" w:rsidRDefault="000C04F6" w:rsidP="00DE40C2">
            <w:pPr>
              <w:keepNext/>
              <w:jc w:val="left"/>
              <w:rPr>
                <w:sz w:val="19"/>
                <w:szCs w:val="19"/>
                <w:lang w:val="en-CA" w:eastAsia="en-CA"/>
              </w:rPr>
            </w:pPr>
            <w:r w:rsidRPr="009D59D0">
              <w:rPr>
                <w:sz w:val="19"/>
                <w:szCs w:val="19"/>
                <w:lang w:val="en-CA" w:eastAsia="en-CA"/>
              </w:rPr>
              <w:t>UNIDO</w:t>
            </w:r>
          </w:p>
        </w:tc>
        <w:tc>
          <w:tcPr>
            <w:tcW w:w="879" w:type="dxa"/>
          </w:tcPr>
          <w:p w:rsidR="000C04F6" w:rsidRPr="009D59D0" w:rsidRDefault="000C04F6" w:rsidP="00DE40C2">
            <w:pPr>
              <w:jc w:val="center"/>
              <w:rPr>
                <w:sz w:val="19"/>
                <w:szCs w:val="19"/>
                <w:lang w:val="en-CA" w:eastAsia="en-CA"/>
              </w:rPr>
            </w:pPr>
            <w:r w:rsidRPr="009D59D0">
              <w:rPr>
                <w:sz w:val="19"/>
                <w:szCs w:val="19"/>
                <w:lang w:val="en-CA" w:eastAsia="en-CA"/>
              </w:rPr>
              <w:t>2019</w:t>
            </w:r>
          </w:p>
        </w:tc>
        <w:tc>
          <w:tcPr>
            <w:tcW w:w="1275" w:type="dxa"/>
          </w:tcPr>
          <w:p w:rsidR="000C04F6" w:rsidRPr="009D59D0" w:rsidRDefault="000C04F6" w:rsidP="00DE40C2">
            <w:pPr>
              <w:jc w:val="center"/>
              <w:rPr>
                <w:sz w:val="19"/>
                <w:szCs w:val="19"/>
                <w:lang w:val="en-CA" w:eastAsia="en-CA"/>
              </w:rPr>
            </w:pPr>
            <w:r w:rsidRPr="009D59D0">
              <w:rPr>
                <w:sz w:val="19"/>
                <w:szCs w:val="19"/>
                <w:lang w:val="en-CA" w:eastAsia="en-CA"/>
              </w:rPr>
              <w:t>1,551,531</w:t>
            </w:r>
          </w:p>
        </w:tc>
        <w:tc>
          <w:tcPr>
            <w:tcW w:w="3373" w:type="dxa"/>
          </w:tcPr>
          <w:p w:rsidR="000C04F6" w:rsidRPr="009D59D0" w:rsidRDefault="000C04F6" w:rsidP="00DE40C2">
            <w:pPr>
              <w:jc w:val="left"/>
              <w:rPr>
                <w:sz w:val="19"/>
                <w:szCs w:val="19"/>
                <w:lang w:val="en-CA" w:eastAsia="en-CA"/>
              </w:rPr>
            </w:pPr>
            <w:r w:rsidRPr="009D59D0">
              <w:rPr>
                <w:sz w:val="20"/>
                <w:szCs w:val="20"/>
              </w:rPr>
              <w:t>Transfer from another agency</w:t>
            </w:r>
          </w:p>
        </w:tc>
        <w:tc>
          <w:tcPr>
            <w:tcW w:w="5812" w:type="dxa"/>
          </w:tcPr>
          <w:p w:rsidR="000C04F6" w:rsidRPr="009D59D0" w:rsidRDefault="000C04F6" w:rsidP="00DE40C2">
            <w:pPr>
              <w:jc w:val="left"/>
              <w:rPr>
                <w:sz w:val="19"/>
                <w:szCs w:val="19"/>
                <w:lang w:val="en-CA"/>
              </w:rPr>
            </w:pPr>
            <w:r w:rsidRPr="009D59D0">
              <w:rPr>
                <w:sz w:val="19"/>
                <w:szCs w:val="19"/>
                <w:lang w:val="en-CA"/>
              </w:rPr>
              <w:t xml:space="preserve">Nothing the delays due to the transfer </w:t>
            </w:r>
            <w:r w:rsidR="00856AB7" w:rsidRPr="009D59D0">
              <w:rPr>
                <w:sz w:val="19"/>
                <w:szCs w:val="19"/>
                <w:lang w:val="en-CA"/>
              </w:rPr>
              <w:t xml:space="preserve">of the HPMP </w:t>
            </w:r>
            <w:r w:rsidRPr="009D59D0">
              <w:rPr>
                <w:sz w:val="19"/>
                <w:szCs w:val="19"/>
                <w:lang w:val="en-CA"/>
              </w:rPr>
              <w:t>from the World Bank to UNIDO at the 83</w:t>
            </w:r>
            <w:r w:rsidRPr="009D59D0">
              <w:rPr>
                <w:sz w:val="19"/>
                <w:szCs w:val="19"/>
                <w:vertAlign w:val="superscript"/>
                <w:lang w:val="en-CA"/>
              </w:rPr>
              <w:t>rd</w:t>
            </w:r>
            <w:r w:rsidRPr="009D59D0">
              <w:rPr>
                <w:sz w:val="19"/>
                <w:szCs w:val="19"/>
                <w:lang w:val="en-CA"/>
              </w:rPr>
              <w:t xml:space="preserve"> meeting</w:t>
            </w:r>
            <w:r w:rsidR="00786157" w:rsidRPr="009D59D0">
              <w:rPr>
                <w:sz w:val="19"/>
                <w:szCs w:val="19"/>
                <w:lang w:val="en-CA"/>
              </w:rPr>
              <w:t>,</w:t>
            </w:r>
            <w:r w:rsidRPr="009D59D0">
              <w:rPr>
                <w:sz w:val="19"/>
                <w:szCs w:val="19"/>
                <w:lang w:val="en-CA"/>
              </w:rPr>
              <w:t xml:space="preserve"> and urging the Government of the Philippines to work with UNIDO so that the second (2019) tranche of stage II of the HPMP could be submitted to the 85</w:t>
            </w:r>
            <w:r w:rsidRPr="009D59D0">
              <w:rPr>
                <w:sz w:val="19"/>
                <w:szCs w:val="19"/>
                <w:vertAlign w:val="superscript"/>
                <w:lang w:val="en-CA"/>
              </w:rPr>
              <w:t>th</w:t>
            </w:r>
            <w:r w:rsidRPr="009D59D0">
              <w:rPr>
                <w:sz w:val="19"/>
                <w:szCs w:val="19"/>
                <w:lang w:val="en-CA"/>
              </w:rPr>
              <w:t xml:space="preserve"> meeting </w:t>
            </w:r>
            <w:r w:rsidR="00677938" w:rsidRPr="009D59D0">
              <w:rPr>
                <w:sz w:val="19"/>
                <w:szCs w:val="19"/>
                <w:lang w:val="en-CA"/>
              </w:rPr>
              <w:t>with a revised plan of action to take into account the reallocation of the 2019 and subsequent tranches.</w:t>
            </w:r>
          </w:p>
        </w:tc>
      </w:tr>
      <w:tr w:rsidR="009D59D0" w:rsidRPr="009D59D0" w:rsidTr="00CF63E0">
        <w:trPr>
          <w:trHeight w:val="1263"/>
        </w:trPr>
        <w:tc>
          <w:tcPr>
            <w:tcW w:w="1560" w:type="dxa"/>
          </w:tcPr>
          <w:p w:rsidR="000E0C00" w:rsidRPr="009D59D0" w:rsidRDefault="000E0C00" w:rsidP="00DE40C2">
            <w:pPr>
              <w:keepNext/>
              <w:ind w:right="-131"/>
              <w:jc w:val="left"/>
              <w:rPr>
                <w:sz w:val="19"/>
                <w:szCs w:val="19"/>
                <w:lang w:val="en-CA" w:eastAsia="en-CA"/>
              </w:rPr>
            </w:pPr>
            <w:r w:rsidRPr="009D59D0">
              <w:rPr>
                <w:sz w:val="19"/>
                <w:szCs w:val="19"/>
                <w:lang w:val="en-CA" w:eastAsia="en-CA"/>
              </w:rPr>
              <w:t>Saint Vincent and the Grenadines (Stage I)</w:t>
            </w:r>
          </w:p>
        </w:tc>
        <w:tc>
          <w:tcPr>
            <w:tcW w:w="1276" w:type="dxa"/>
          </w:tcPr>
          <w:p w:rsidR="000E0C00" w:rsidRPr="009D59D0" w:rsidRDefault="000E0C00" w:rsidP="00DE40C2">
            <w:pPr>
              <w:jc w:val="left"/>
              <w:rPr>
                <w:sz w:val="19"/>
                <w:szCs w:val="19"/>
                <w:lang w:val="en-CA" w:eastAsia="en-CA"/>
              </w:rPr>
            </w:pPr>
            <w:r w:rsidRPr="009D59D0">
              <w:rPr>
                <w:sz w:val="19"/>
                <w:szCs w:val="19"/>
                <w:lang w:val="en-CA" w:eastAsia="en-CA"/>
              </w:rPr>
              <w:t>UNEP</w:t>
            </w:r>
          </w:p>
          <w:p w:rsidR="000E0C00" w:rsidRPr="009D59D0" w:rsidRDefault="000E0C00" w:rsidP="00DE40C2">
            <w:pPr>
              <w:keepNext/>
              <w:jc w:val="left"/>
              <w:rPr>
                <w:sz w:val="19"/>
                <w:szCs w:val="19"/>
                <w:lang w:val="en-CA" w:eastAsia="en-CA"/>
              </w:rPr>
            </w:pPr>
          </w:p>
        </w:tc>
        <w:tc>
          <w:tcPr>
            <w:tcW w:w="879" w:type="dxa"/>
          </w:tcPr>
          <w:p w:rsidR="000E0C00" w:rsidRPr="009D59D0" w:rsidRDefault="000E0C00" w:rsidP="00DE40C2">
            <w:pPr>
              <w:jc w:val="center"/>
              <w:rPr>
                <w:sz w:val="19"/>
                <w:szCs w:val="19"/>
                <w:lang w:val="en-CA" w:eastAsia="en-CA"/>
              </w:rPr>
            </w:pPr>
            <w:r w:rsidRPr="009D59D0">
              <w:rPr>
                <w:sz w:val="19"/>
                <w:szCs w:val="19"/>
                <w:lang w:val="en-CA" w:eastAsia="en-CA"/>
              </w:rPr>
              <w:t>2018</w:t>
            </w:r>
          </w:p>
        </w:tc>
        <w:tc>
          <w:tcPr>
            <w:tcW w:w="1275" w:type="dxa"/>
          </w:tcPr>
          <w:p w:rsidR="000E0C00" w:rsidRPr="009D59D0" w:rsidRDefault="000E0C00" w:rsidP="00DE40C2">
            <w:pPr>
              <w:jc w:val="right"/>
              <w:rPr>
                <w:sz w:val="19"/>
                <w:szCs w:val="19"/>
                <w:lang w:val="en-CA" w:eastAsia="en-CA"/>
              </w:rPr>
            </w:pPr>
            <w:r w:rsidRPr="009D59D0">
              <w:rPr>
                <w:sz w:val="19"/>
                <w:szCs w:val="19"/>
                <w:lang w:val="en-CA" w:eastAsia="en-CA"/>
              </w:rPr>
              <w:t>116,390</w:t>
            </w:r>
          </w:p>
        </w:tc>
        <w:tc>
          <w:tcPr>
            <w:tcW w:w="3373" w:type="dxa"/>
          </w:tcPr>
          <w:p w:rsidR="00273826" w:rsidRPr="009D59D0" w:rsidRDefault="00273826" w:rsidP="00DE40C2">
            <w:pPr>
              <w:jc w:val="left"/>
              <w:rPr>
                <w:sz w:val="20"/>
                <w:szCs w:val="20"/>
                <w:lang w:val="en-CA"/>
              </w:rPr>
            </w:pPr>
            <w:r w:rsidRPr="009D59D0">
              <w:rPr>
                <w:sz w:val="20"/>
                <w:szCs w:val="20"/>
              </w:rPr>
              <w:t>Government decisions/endorsements/ changes in the NOU/structural change/</w:t>
            </w:r>
            <w:r w:rsidR="005D1FE4" w:rsidRPr="009D59D0">
              <w:rPr>
                <w:sz w:val="20"/>
                <w:szCs w:val="20"/>
              </w:rPr>
              <w:t xml:space="preserve"> </w:t>
            </w:r>
            <w:r w:rsidRPr="009D59D0">
              <w:rPr>
                <w:sz w:val="20"/>
                <w:szCs w:val="20"/>
              </w:rPr>
              <w:t>20 per cent disbursement threshold</w:t>
            </w:r>
          </w:p>
          <w:p w:rsidR="000E0C00" w:rsidRPr="009D59D0" w:rsidRDefault="000E0C00" w:rsidP="00DE40C2">
            <w:pPr>
              <w:jc w:val="left"/>
              <w:rPr>
                <w:sz w:val="19"/>
                <w:szCs w:val="19"/>
                <w:lang w:val="en-CA" w:eastAsia="en-CA"/>
              </w:rPr>
            </w:pPr>
          </w:p>
        </w:tc>
        <w:tc>
          <w:tcPr>
            <w:tcW w:w="5812" w:type="dxa"/>
          </w:tcPr>
          <w:p w:rsidR="000E0C00" w:rsidRPr="009D59D0" w:rsidRDefault="000E0C00" w:rsidP="00DE40C2">
            <w:pPr>
              <w:keepNext/>
              <w:jc w:val="left"/>
              <w:rPr>
                <w:sz w:val="19"/>
                <w:szCs w:val="19"/>
                <w:lang w:val="en-CA"/>
              </w:rPr>
            </w:pPr>
            <w:r w:rsidRPr="009D59D0">
              <w:rPr>
                <w:sz w:val="19"/>
                <w:szCs w:val="19"/>
                <w:lang w:val="en-CA"/>
              </w:rPr>
              <w:t xml:space="preserve">Noting the delays due to structural changes within the Government </w:t>
            </w:r>
            <w:r w:rsidR="00807DE9" w:rsidRPr="009D59D0">
              <w:rPr>
                <w:sz w:val="19"/>
                <w:szCs w:val="19"/>
                <w:lang w:val="en-CA"/>
              </w:rPr>
              <w:t>and that the overall disbursement rate of the second (2015) tranche of stage I of the HPMP was below the 20 per cent disbursement threshold</w:t>
            </w:r>
            <w:r w:rsidR="00786157" w:rsidRPr="009D59D0">
              <w:rPr>
                <w:sz w:val="19"/>
                <w:szCs w:val="19"/>
                <w:lang w:val="en-CA"/>
              </w:rPr>
              <w:t>,</w:t>
            </w:r>
            <w:r w:rsidRPr="009D59D0">
              <w:rPr>
                <w:sz w:val="19"/>
                <w:szCs w:val="19"/>
                <w:lang w:val="en-CA"/>
              </w:rPr>
              <w:t xml:space="preserve"> and urging the Government of Saint Vincent and the Grenadines to work with </w:t>
            </w:r>
            <w:r w:rsidRPr="009D59D0">
              <w:rPr>
                <w:sz w:val="19"/>
                <w:szCs w:val="19"/>
                <w:lang w:val="en-CA" w:eastAsia="en-CA"/>
              </w:rPr>
              <w:t>UNEP</w:t>
            </w:r>
            <w:r w:rsidRPr="009D59D0">
              <w:rPr>
                <w:sz w:val="19"/>
                <w:szCs w:val="19"/>
                <w:lang w:val="en-CA"/>
              </w:rPr>
              <w:t xml:space="preserve"> so that the third (2018) tranche of stage I of the HPMP could be submitted to the 8</w:t>
            </w:r>
            <w:r w:rsidR="00807DE9" w:rsidRPr="009D59D0">
              <w:rPr>
                <w:sz w:val="19"/>
                <w:szCs w:val="19"/>
                <w:lang w:val="en-CA"/>
              </w:rPr>
              <w:t>5</w:t>
            </w:r>
            <w:r w:rsidRPr="009D59D0">
              <w:rPr>
                <w:sz w:val="19"/>
                <w:szCs w:val="19"/>
                <w:vertAlign w:val="superscript"/>
                <w:lang w:val="en-CA"/>
              </w:rPr>
              <w:t>th</w:t>
            </w:r>
            <w:r w:rsidRPr="009D59D0">
              <w:rPr>
                <w:sz w:val="19"/>
                <w:szCs w:val="19"/>
                <w:lang w:val="en-CA"/>
              </w:rPr>
              <w:t xml:space="preserve"> meeting with a revised plan of action to take into account the reallocation of the 2018 and subsequent tranches</w:t>
            </w:r>
            <w:r w:rsidR="00807DE9" w:rsidRPr="009D59D0">
              <w:rPr>
                <w:sz w:val="19"/>
                <w:szCs w:val="19"/>
                <w:lang w:val="en-CA"/>
              </w:rPr>
              <w:t>, on the understanding that the 20 per cent disbursement threshold for funding of the previous tranche had been achieved.</w:t>
            </w:r>
          </w:p>
        </w:tc>
      </w:tr>
      <w:tr w:rsidR="009D59D0" w:rsidRPr="009D59D0" w:rsidTr="00613EDF">
        <w:trPr>
          <w:trHeight w:val="1024"/>
        </w:trPr>
        <w:tc>
          <w:tcPr>
            <w:tcW w:w="1560" w:type="dxa"/>
          </w:tcPr>
          <w:p w:rsidR="009E217D" w:rsidRPr="009D59D0" w:rsidRDefault="009E217D" w:rsidP="00DE40C2">
            <w:pPr>
              <w:keepNext/>
              <w:ind w:right="-131"/>
              <w:jc w:val="left"/>
              <w:rPr>
                <w:sz w:val="19"/>
                <w:szCs w:val="19"/>
                <w:lang w:val="en-CA" w:eastAsia="en-CA"/>
              </w:rPr>
            </w:pPr>
            <w:r w:rsidRPr="009D59D0">
              <w:rPr>
                <w:sz w:val="19"/>
                <w:szCs w:val="19"/>
                <w:lang w:val="en-CA" w:eastAsia="en-CA"/>
              </w:rPr>
              <w:t>Saudi Arabia (Stage I)</w:t>
            </w:r>
          </w:p>
        </w:tc>
        <w:tc>
          <w:tcPr>
            <w:tcW w:w="1276" w:type="dxa"/>
          </w:tcPr>
          <w:p w:rsidR="009E217D" w:rsidRPr="009D59D0" w:rsidRDefault="009E217D" w:rsidP="00DE40C2">
            <w:pPr>
              <w:jc w:val="left"/>
              <w:rPr>
                <w:sz w:val="19"/>
                <w:szCs w:val="19"/>
                <w:lang w:val="en-CA" w:eastAsia="en-CA"/>
              </w:rPr>
            </w:pPr>
            <w:r w:rsidRPr="009D59D0">
              <w:rPr>
                <w:sz w:val="19"/>
                <w:szCs w:val="19"/>
                <w:lang w:val="en-CA" w:eastAsia="en-CA"/>
              </w:rPr>
              <w:t>UNIDO</w:t>
            </w:r>
          </w:p>
        </w:tc>
        <w:tc>
          <w:tcPr>
            <w:tcW w:w="879" w:type="dxa"/>
          </w:tcPr>
          <w:p w:rsidR="009E217D" w:rsidRPr="009D59D0" w:rsidRDefault="009E217D" w:rsidP="00DE40C2">
            <w:pPr>
              <w:jc w:val="center"/>
              <w:rPr>
                <w:sz w:val="19"/>
                <w:szCs w:val="19"/>
                <w:lang w:val="en-CA" w:eastAsia="en-CA"/>
              </w:rPr>
            </w:pPr>
            <w:r w:rsidRPr="009D59D0">
              <w:rPr>
                <w:sz w:val="19"/>
                <w:szCs w:val="19"/>
                <w:lang w:val="en-CA" w:eastAsia="en-CA"/>
              </w:rPr>
              <w:t>2016</w:t>
            </w:r>
          </w:p>
        </w:tc>
        <w:tc>
          <w:tcPr>
            <w:tcW w:w="1275" w:type="dxa"/>
          </w:tcPr>
          <w:p w:rsidR="009E217D" w:rsidRPr="009D59D0" w:rsidRDefault="009E217D" w:rsidP="00DE40C2">
            <w:pPr>
              <w:jc w:val="center"/>
              <w:rPr>
                <w:sz w:val="19"/>
                <w:szCs w:val="19"/>
                <w:lang w:val="en-CA" w:eastAsia="en-CA"/>
              </w:rPr>
            </w:pPr>
            <w:r w:rsidRPr="009D59D0">
              <w:rPr>
                <w:sz w:val="19"/>
                <w:szCs w:val="19"/>
                <w:lang w:val="en-CA" w:eastAsia="en-CA"/>
              </w:rPr>
              <w:t>909,500</w:t>
            </w:r>
          </w:p>
        </w:tc>
        <w:tc>
          <w:tcPr>
            <w:tcW w:w="3373" w:type="dxa"/>
          </w:tcPr>
          <w:p w:rsidR="009E217D" w:rsidRPr="009D59D0" w:rsidRDefault="00613EDF" w:rsidP="00DE40C2">
            <w:pPr>
              <w:jc w:val="left"/>
              <w:rPr>
                <w:sz w:val="20"/>
                <w:szCs w:val="20"/>
              </w:rPr>
            </w:pPr>
            <w:r w:rsidRPr="009D59D0">
              <w:rPr>
                <w:sz w:val="20"/>
                <w:szCs w:val="20"/>
              </w:rPr>
              <w:t>Approval c</w:t>
            </w:r>
            <w:r w:rsidR="00A05695" w:rsidRPr="009D59D0">
              <w:rPr>
                <w:sz w:val="20"/>
                <w:szCs w:val="20"/>
              </w:rPr>
              <w:t>onditions</w:t>
            </w:r>
            <w:r w:rsidRPr="009D59D0">
              <w:rPr>
                <w:sz w:val="20"/>
                <w:szCs w:val="20"/>
              </w:rPr>
              <w:t>/legislation</w:t>
            </w:r>
          </w:p>
        </w:tc>
        <w:tc>
          <w:tcPr>
            <w:tcW w:w="5812" w:type="dxa"/>
          </w:tcPr>
          <w:p w:rsidR="009E217D" w:rsidRPr="009D59D0" w:rsidRDefault="00A25099" w:rsidP="00DE40C2">
            <w:pPr>
              <w:jc w:val="left"/>
              <w:rPr>
                <w:sz w:val="19"/>
                <w:szCs w:val="19"/>
                <w:lang w:val="en-CA"/>
              </w:rPr>
            </w:pPr>
            <w:r w:rsidRPr="009D59D0">
              <w:rPr>
                <w:sz w:val="19"/>
                <w:szCs w:val="19"/>
                <w:lang w:eastAsia="en-CA"/>
              </w:rPr>
              <w:t xml:space="preserve">(a) </w:t>
            </w:r>
            <w:r w:rsidR="006F0662" w:rsidRPr="009D59D0">
              <w:rPr>
                <w:sz w:val="19"/>
                <w:szCs w:val="19"/>
                <w:lang w:eastAsia="en-CA"/>
              </w:rPr>
              <w:t xml:space="preserve">Urging the Government of Saudi Arabia </w:t>
            </w:r>
            <w:r w:rsidR="00786157" w:rsidRPr="009D59D0">
              <w:rPr>
                <w:sz w:val="19"/>
                <w:szCs w:val="19"/>
                <w:lang w:eastAsia="en-CA"/>
              </w:rPr>
              <w:t xml:space="preserve">through UNIDO </w:t>
            </w:r>
            <w:r w:rsidR="006F0662" w:rsidRPr="009D59D0">
              <w:rPr>
                <w:sz w:val="19"/>
                <w:szCs w:val="19"/>
                <w:lang w:eastAsia="en-CA"/>
              </w:rPr>
              <w:t>to submit to the 85</w:t>
            </w:r>
            <w:r w:rsidR="006F0662" w:rsidRPr="009D59D0">
              <w:rPr>
                <w:sz w:val="19"/>
                <w:szCs w:val="19"/>
                <w:vertAlign w:val="superscript"/>
                <w:lang w:eastAsia="en-CA"/>
              </w:rPr>
              <w:t>th</w:t>
            </w:r>
            <w:r w:rsidR="006F0662" w:rsidRPr="009D59D0">
              <w:rPr>
                <w:sz w:val="19"/>
                <w:szCs w:val="19"/>
                <w:lang w:eastAsia="en-CA"/>
              </w:rPr>
              <w:t xml:space="preserve"> meeting: (</w:t>
            </w:r>
            <w:proofErr w:type="spellStart"/>
            <w:r w:rsidR="006F0662" w:rsidRPr="009D59D0">
              <w:rPr>
                <w:sz w:val="19"/>
                <w:szCs w:val="19"/>
                <w:lang w:eastAsia="en-CA"/>
              </w:rPr>
              <w:t>i</w:t>
            </w:r>
            <w:proofErr w:type="spellEnd"/>
            <w:r w:rsidR="006F0662" w:rsidRPr="009D59D0">
              <w:rPr>
                <w:sz w:val="19"/>
                <w:szCs w:val="19"/>
                <w:lang w:eastAsia="en-CA"/>
              </w:rPr>
              <w:t>) a comprehensive report demonstrating that the conditions specified in Appendix 8-A</w:t>
            </w:r>
            <w:r w:rsidR="002779D7" w:rsidRPr="009D59D0">
              <w:rPr>
                <w:sz w:val="19"/>
                <w:szCs w:val="19"/>
                <w:lang w:eastAsia="en-CA"/>
              </w:rPr>
              <w:t xml:space="preserve"> of its Agreement with the Executive Committee</w:t>
            </w:r>
            <w:r w:rsidR="006F0662" w:rsidRPr="009D59D0">
              <w:rPr>
                <w:sz w:val="19"/>
                <w:szCs w:val="19"/>
                <w:lang w:eastAsia="en-CA"/>
              </w:rPr>
              <w:t xml:space="preserve"> had been met; (ii) the request for the fifth (2016) tranche of stage I of the HPMP, with a revised plan of action to take into account the reinstatement of the funds that had been returned to the 81</w:t>
            </w:r>
            <w:r w:rsidR="006F0662" w:rsidRPr="009D59D0">
              <w:rPr>
                <w:sz w:val="19"/>
                <w:szCs w:val="19"/>
                <w:vertAlign w:val="superscript"/>
                <w:lang w:eastAsia="en-CA"/>
              </w:rPr>
              <w:t>st</w:t>
            </w:r>
            <w:r w:rsidR="002779D7" w:rsidRPr="009D59D0">
              <w:rPr>
                <w:sz w:val="19"/>
                <w:szCs w:val="19"/>
                <w:lang w:eastAsia="en-CA"/>
              </w:rPr>
              <w:t> </w:t>
            </w:r>
            <w:r w:rsidR="006F0662" w:rsidRPr="009D59D0">
              <w:rPr>
                <w:sz w:val="19"/>
                <w:szCs w:val="19"/>
                <w:lang w:eastAsia="en-CA"/>
              </w:rPr>
              <w:t xml:space="preserve">meeting </w:t>
            </w:r>
            <w:r w:rsidR="00786157" w:rsidRPr="009D59D0">
              <w:rPr>
                <w:sz w:val="19"/>
                <w:szCs w:val="19"/>
                <w:lang w:eastAsia="en-CA"/>
              </w:rPr>
              <w:t xml:space="preserve">in line with decisions 77/54(f) and 81/2(a)(xii) </w:t>
            </w:r>
            <w:r w:rsidR="006F0662" w:rsidRPr="009D59D0">
              <w:rPr>
                <w:sz w:val="19"/>
                <w:szCs w:val="19"/>
                <w:lang w:eastAsia="en-CA"/>
              </w:rPr>
              <w:t>and the reallocation of the 2016 and subsequent tranches</w:t>
            </w:r>
            <w:r w:rsidR="00786157" w:rsidRPr="009D59D0">
              <w:rPr>
                <w:sz w:val="19"/>
                <w:szCs w:val="19"/>
                <w:lang w:eastAsia="en-CA"/>
              </w:rPr>
              <w:t>;</w:t>
            </w:r>
            <w:r w:rsidR="006F0662" w:rsidRPr="009D59D0">
              <w:rPr>
                <w:sz w:val="19"/>
                <w:szCs w:val="19"/>
                <w:lang w:eastAsia="en-CA"/>
              </w:rPr>
              <w:t xml:space="preserve"> and </w:t>
            </w:r>
            <w:r w:rsidR="00786157" w:rsidRPr="009D59D0">
              <w:rPr>
                <w:sz w:val="19"/>
                <w:szCs w:val="19"/>
                <w:lang w:eastAsia="en-CA"/>
              </w:rPr>
              <w:t xml:space="preserve">(iii) </w:t>
            </w:r>
            <w:r w:rsidR="006F0662" w:rsidRPr="009D59D0">
              <w:rPr>
                <w:sz w:val="19"/>
                <w:szCs w:val="19"/>
                <w:lang w:eastAsia="en-CA"/>
              </w:rPr>
              <w:t>the verification of consumption for 2016, 2017, 2018 and 2019</w:t>
            </w:r>
            <w:r w:rsidR="00002410" w:rsidRPr="009D59D0">
              <w:rPr>
                <w:sz w:val="19"/>
                <w:szCs w:val="19"/>
                <w:lang w:eastAsia="en-CA"/>
              </w:rPr>
              <w:t>;</w:t>
            </w:r>
            <w:r w:rsidR="006F0662" w:rsidRPr="009D59D0">
              <w:rPr>
                <w:sz w:val="19"/>
                <w:szCs w:val="19"/>
                <w:lang w:eastAsia="en-CA"/>
              </w:rPr>
              <w:t xml:space="preserve"> and (b) if all information requested in </w:t>
            </w:r>
            <w:r w:rsidR="00786157" w:rsidRPr="009D59D0">
              <w:rPr>
                <w:sz w:val="19"/>
                <w:szCs w:val="19"/>
                <w:lang w:eastAsia="en-CA"/>
              </w:rPr>
              <w:t>sub-</w:t>
            </w:r>
            <w:r w:rsidR="006F0662" w:rsidRPr="009D59D0">
              <w:rPr>
                <w:sz w:val="19"/>
                <w:szCs w:val="19"/>
                <w:lang w:eastAsia="en-CA"/>
              </w:rPr>
              <w:t>paragraph (a) is not received to the 85</w:t>
            </w:r>
            <w:r w:rsidR="006F0662" w:rsidRPr="009D59D0">
              <w:rPr>
                <w:sz w:val="19"/>
                <w:szCs w:val="19"/>
                <w:vertAlign w:val="superscript"/>
                <w:lang w:eastAsia="en-CA"/>
              </w:rPr>
              <w:t>th</w:t>
            </w:r>
            <w:r w:rsidR="00001907" w:rsidRPr="009D59D0">
              <w:rPr>
                <w:sz w:val="19"/>
                <w:szCs w:val="19"/>
                <w:lang w:eastAsia="en-CA"/>
              </w:rPr>
              <w:t> </w:t>
            </w:r>
            <w:r w:rsidR="006F0662" w:rsidRPr="009D59D0">
              <w:rPr>
                <w:sz w:val="19"/>
                <w:szCs w:val="19"/>
                <w:lang w:eastAsia="en-CA"/>
              </w:rPr>
              <w:t xml:space="preserve">meeting, stage I of the HPMP would be cancelled and the country </w:t>
            </w:r>
            <w:r w:rsidR="00786157" w:rsidRPr="009D59D0">
              <w:rPr>
                <w:sz w:val="19"/>
                <w:szCs w:val="19"/>
                <w:lang w:eastAsia="en-CA"/>
              </w:rPr>
              <w:t>could</w:t>
            </w:r>
            <w:r w:rsidR="006F0662" w:rsidRPr="009D59D0">
              <w:rPr>
                <w:sz w:val="19"/>
                <w:szCs w:val="19"/>
                <w:lang w:eastAsia="en-CA"/>
              </w:rPr>
              <w:t xml:space="preserve"> submit a request for project preparation for stage</w:t>
            </w:r>
            <w:r w:rsidR="00933346" w:rsidRPr="009D59D0">
              <w:rPr>
                <w:sz w:val="19"/>
                <w:szCs w:val="19"/>
                <w:lang w:eastAsia="en-CA"/>
              </w:rPr>
              <w:t> </w:t>
            </w:r>
            <w:r w:rsidR="006F0662" w:rsidRPr="009D59D0">
              <w:rPr>
                <w:sz w:val="19"/>
                <w:szCs w:val="19"/>
                <w:lang w:eastAsia="en-CA"/>
              </w:rPr>
              <w:t xml:space="preserve">II. </w:t>
            </w:r>
          </w:p>
        </w:tc>
      </w:tr>
      <w:tr w:rsidR="009D59D0" w:rsidRPr="009D59D0" w:rsidTr="00CF63E0">
        <w:trPr>
          <w:trHeight w:val="650"/>
        </w:trPr>
        <w:tc>
          <w:tcPr>
            <w:tcW w:w="1560" w:type="dxa"/>
            <w:vMerge w:val="restart"/>
          </w:tcPr>
          <w:p w:rsidR="000E0C00" w:rsidRPr="009D59D0" w:rsidRDefault="000E0C00" w:rsidP="00DE40C2">
            <w:pPr>
              <w:jc w:val="left"/>
              <w:rPr>
                <w:sz w:val="19"/>
                <w:szCs w:val="19"/>
                <w:lang w:val="en-CA" w:eastAsia="en-CA"/>
              </w:rPr>
            </w:pPr>
            <w:r w:rsidRPr="009D59D0">
              <w:rPr>
                <w:sz w:val="19"/>
                <w:szCs w:val="19"/>
                <w:lang w:val="en-CA" w:eastAsia="en-CA"/>
              </w:rPr>
              <w:t>Senegal (Stage I)</w:t>
            </w:r>
          </w:p>
        </w:tc>
        <w:tc>
          <w:tcPr>
            <w:tcW w:w="1276" w:type="dxa"/>
          </w:tcPr>
          <w:p w:rsidR="000E0C00" w:rsidRPr="009D59D0" w:rsidRDefault="000E0C00" w:rsidP="00DE40C2">
            <w:pPr>
              <w:jc w:val="left"/>
              <w:rPr>
                <w:sz w:val="19"/>
                <w:szCs w:val="19"/>
                <w:lang w:val="en-CA" w:eastAsia="en-CA"/>
              </w:rPr>
            </w:pPr>
            <w:r w:rsidRPr="009D59D0">
              <w:rPr>
                <w:sz w:val="19"/>
                <w:szCs w:val="19"/>
                <w:lang w:val="en-CA" w:eastAsia="en-CA"/>
              </w:rPr>
              <w:t>UNEP</w:t>
            </w:r>
          </w:p>
        </w:tc>
        <w:tc>
          <w:tcPr>
            <w:tcW w:w="879" w:type="dxa"/>
          </w:tcPr>
          <w:p w:rsidR="000E0C00" w:rsidRPr="009D59D0" w:rsidRDefault="000E0C00" w:rsidP="00DE40C2">
            <w:pPr>
              <w:jc w:val="center"/>
              <w:rPr>
                <w:sz w:val="19"/>
                <w:szCs w:val="19"/>
                <w:lang w:val="en-CA" w:eastAsia="en-CA"/>
              </w:rPr>
            </w:pPr>
            <w:r w:rsidRPr="009D59D0">
              <w:rPr>
                <w:sz w:val="19"/>
                <w:szCs w:val="19"/>
                <w:lang w:val="en-CA" w:eastAsia="en-CA"/>
              </w:rPr>
              <w:t>2018</w:t>
            </w:r>
          </w:p>
        </w:tc>
        <w:tc>
          <w:tcPr>
            <w:tcW w:w="1275" w:type="dxa"/>
          </w:tcPr>
          <w:p w:rsidR="000E0C00" w:rsidRPr="009D59D0" w:rsidRDefault="000E0C00" w:rsidP="00DE40C2">
            <w:pPr>
              <w:jc w:val="right"/>
              <w:rPr>
                <w:sz w:val="19"/>
                <w:szCs w:val="19"/>
                <w:lang w:val="en-CA" w:eastAsia="en-CA"/>
              </w:rPr>
            </w:pPr>
            <w:r w:rsidRPr="009D59D0">
              <w:rPr>
                <w:sz w:val="19"/>
                <w:szCs w:val="19"/>
                <w:lang w:val="en-CA" w:eastAsia="en-CA"/>
              </w:rPr>
              <w:t>90,400</w:t>
            </w:r>
          </w:p>
        </w:tc>
        <w:tc>
          <w:tcPr>
            <w:tcW w:w="3373" w:type="dxa"/>
            <w:vMerge w:val="restart"/>
          </w:tcPr>
          <w:p w:rsidR="004E42A0" w:rsidRPr="009D59D0" w:rsidRDefault="004E42A0" w:rsidP="00DE40C2">
            <w:pPr>
              <w:jc w:val="left"/>
              <w:rPr>
                <w:sz w:val="20"/>
                <w:szCs w:val="20"/>
                <w:lang w:val="en-CA"/>
              </w:rPr>
            </w:pPr>
            <w:r w:rsidRPr="009D59D0">
              <w:rPr>
                <w:sz w:val="20"/>
                <w:szCs w:val="20"/>
              </w:rPr>
              <w:t>Change in lead agency</w:t>
            </w:r>
          </w:p>
          <w:p w:rsidR="000E0C00" w:rsidRPr="009D59D0" w:rsidRDefault="000E0C00" w:rsidP="00DE40C2">
            <w:pPr>
              <w:jc w:val="left"/>
              <w:rPr>
                <w:sz w:val="19"/>
                <w:szCs w:val="19"/>
                <w:lang w:val="en-CA" w:eastAsia="en-CA"/>
              </w:rPr>
            </w:pPr>
          </w:p>
        </w:tc>
        <w:tc>
          <w:tcPr>
            <w:tcW w:w="5812" w:type="dxa"/>
            <w:vMerge w:val="restart"/>
          </w:tcPr>
          <w:p w:rsidR="000E0C00" w:rsidRPr="009D59D0" w:rsidRDefault="000E0C00" w:rsidP="00DE40C2">
            <w:pPr>
              <w:jc w:val="left"/>
              <w:rPr>
                <w:sz w:val="19"/>
                <w:szCs w:val="19"/>
                <w:lang w:val="en-CA"/>
              </w:rPr>
            </w:pPr>
            <w:r w:rsidRPr="009D59D0">
              <w:rPr>
                <w:sz w:val="19"/>
                <w:szCs w:val="19"/>
                <w:lang w:val="en-CA"/>
              </w:rPr>
              <w:t xml:space="preserve">Noting the delays due to </w:t>
            </w:r>
            <w:r w:rsidR="004E42A0" w:rsidRPr="009D59D0">
              <w:rPr>
                <w:sz w:val="19"/>
                <w:szCs w:val="19"/>
                <w:lang w:val="en-CA"/>
              </w:rPr>
              <w:t xml:space="preserve">change of lead </w:t>
            </w:r>
            <w:r w:rsidR="00786157" w:rsidRPr="009D59D0">
              <w:rPr>
                <w:sz w:val="19"/>
                <w:szCs w:val="19"/>
                <w:lang w:val="en-CA"/>
              </w:rPr>
              <w:t xml:space="preserve">implementing </w:t>
            </w:r>
            <w:r w:rsidR="004E42A0" w:rsidRPr="009D59D0">
              <w:rPr>
                <w:sz w:val="19"/>
                <w:szCs w:val="19"/>
                <w:lang w:val="en-CA"/>
              </w:rPr>
              <w:t>agency</w:t>
            </w:r>
            <w:r w:rsidR="00786157" w:rsidRPr="009D59D0">
              <w:rPr>
                <w:sz w:val="19"/>
                <w:szCs w:val="19"/>
                <w:lang w:val="en-CA"/>
              </w:rPr>
              <w:t>,</w:t>
            </w:r>
            <w:r w:rsidRPr="009D59D0">
              <w:rPr>
                <w:sz w:val="19"/>
                <w:szCs w:val="19"/>
                <w:lang w:val="en-CA"/>
              </w:rPr>
              <w:t xml:space="preserve"> and urging the Government of Senegal to work with UNEP and UNIDO so that the third (2018) tranche of stage I of the HPMP could be submitted to the 8</w:t>
            </w:r>
            <w:r w:rsidR="004E42A0" w:rsidRPr="009D59D0">
              <w:rPr>
                <w:sz w:val="19"/>
                <w:szCs w:val="19"/>
                <w:lang w:val="en-CA"/>
              </w:rPr>
              <w:t>5</w:t>
            </w:r>
            <w:r w:rsidRPr="009D59D0">
              <w:rPr>
                <w:sz w:val="19"/>
                <w:szCs w:val="19"/>
                <w:vertAlign w:val="superscript"/>
                <w:lang w:val="en-CA"/>
              </w:rPr>
              <w:t>th</w:t>
            </w:r>
            <w:r w:rsidR="009B577D" w:rsidRPr="009D59D0">
              <w:rPr>
                <w:sz w:val="19"/>
                <w:szCs w:val="19"/>
                <w:lang w:val="en-CA"/>
              </w:rPr>
              <w:t> </w:t>
            </w:r>
            <w:r w:rsidRPr="009D59D0">
              <w:rPr>
                <w:sz w:val="19"/>
                <w:szCs w:val="19"/>
                <w:lang w:val="en-CA"/>
              </w:rPr>
              <w:t>meeting with a revised plan of action to take into account the reallocation of the 2018 and subsequent tranches.</w:t>
            </w:r>
          </w:p>
        </w:tc>
      </w:tr>
      <w:tr w:rsidR="009D59D0" w:rsidRPr="009D59D0" w:rsidTr="004E42A0">
        <w:trPr>
          <w:trHeight w:val="397"/>
        </w:trPr>
        <w:tc>
          <w:tcPr>
            <w:tcW w:w="1560" w:type="dxa"/>
            <w:vMerge/>
          </w:tcPr>
          <w:p w:rsidR="000E0C00" w:rsidRPr="009D59D0" w:rsidRDefault="000E0C00" w:rsidP="00DE40C2">
            <w:pPr>
              <w:jc w:val="left"/>
              <w:rPr>
                <w:sz w:val="19"/>
                <w:szCs w:val="19"/>
                <w:lang w:val="en-CA" w:eastAsia="en-CA"/>
              </w:rPr>
            </w:pPr>
          </w:p>
        </w:tc>
        <w:tc>
          <w:tcPr>
            <w:tcW w:w="1276" w:type="dxa"/>
          </w:tcPr>
          <w:p w:rsidR="000E0C00" w:rsidRPr="009D59D0" w:rsidRDefault="000E0C00" w:rsidP="00DE40C2">
            <w:pPr>
              <w:jc w:val="left"/>
              <w:rPr>
                <w:sz w:val="19"/>
                <w:szCs w:val="19"/>
                <w:lang w:val="en-CA" w:eastAsia="en-CA"/>
              </w:rPr>
            </w:pPr>
            <w:r w:rsidRPr="009D59D0">
              <w:rPr>
                <w:sz w:val="19"/>
                <w:szCs w:val="19"/>
                <w:lang w:val="en-CA" w:eastAsia="en-CA"/>
              </w:rPr>
              <w:t>UNIDO</w:t>
            </w:r>
          </w:p>
        </w:tc>
        <w:tc>
          <w:tcPr>
            <w:tcW w:w="879" w:type="dxa"/>
          </w:tcPr>
          <w:p w:rsidR="000E0C00" w:rsidRPr="009D59D0" w:rsidRDefault="000E0C00" w:rsidP="00DE40C2">
            <w:pPr>
              <w:jc w:val="center"/>
              <w:rPr>
                <w:sz w:val="19"/>
                <w:szCs w:val="19"/>
                <w:lang w:val="en-CA" w:eastAsia="en-CA"/>
              </w:rPr>
            </w:pPr>
            <w:r w:rsidRPr="009D59D0">
              <w:rPr>
                <w:sz w:val="19"/>
                <w:szCs w:val="19"/>
                <w:lang w:val="en-CA" w:eastAsia="en-CA"/>
              </w:rPr>
              <w:t>2018</w:t>
            </w:r>
          </w:p>
        </w:tc>
        <w:tc>
          <w:tcPr>
            <w:tcW w:w="1275" w:type="dxa"/>
          </w:tcPr>
          <w:p w:rsidR="000E0C00" w:rsidRPr="009D59D0" w:rsidRDefault="000E0C00" w:rsidP="00DE40C2">
            <w:pPr>
              <w:jc w:val="right"/>
              <w:rPr>
                <w:sz w:val="19"/>
                <w:szCs w:val="19"/>
                <w:lang w:val="en-CA" w:eastAsia="en-CA"/>
              </w:rPr>
            </w:pPr>
            <w:r w:rsidRPr="009D59D0">
              <w:rPr>
                <w:sz w:val="19"/>
                <w:szCs w:val="19"/>
                <w:lang w:val="en-CA" w:eastAsia="en-CA"/>
              </w:rPr>
              <w:t>21,500</w:t>
            </w:r>
          </w:p>
        </w:tc>
        <w:tc>
          <w:tcPr>
            <w:tcW w:w="3373" w:type="dxa"/>
            <w:vMerge/>
          </w:tcPr>
          <w:p w:rsidR="000E0C00" w:rsidRPr="009D59D0" w:rsidRDefault="000E0C00" w:rsidP="00DE40C2">
            <w:pPr>
              <w:jc w:val="left"/>
              <w:rPr>
                <w:sz w:val="19"/>
                <w:szCs w:val="19"/>
                <w:lang w:val="en-CA" w:eastAsia="en-CA"/>
              </w:rPr>
            </w:pPr>
          </w:p>
        </w:tc>
        <w:tc>
          <w:tcPr>
            <w:tcW w:w="5812" w:type="dxa"/>
            <w:vMerge/>
          </w:tcPr>
          <w:p w:rsidR="000E0C00" w:rsidRPr="009D59D0" w:rsidRDefault="000E0C00" w:rsidP="00DE40C2">
            <w:pPr>
              <w:jc w:val="left"/>
              <w:rPr>
                <w:sz w:val="19"/>
                <w:szCs w:val="19"/>
                <w:lang w:val="en-CA"/>
              </w:rPr>
            </w:pPr>
          </w:p>
        </w:tc>
      </w:tr>
      <w:tr w:rsidR="009D59D0" w:rsidRPr="009D59D0" w:rsidTr="00773527">
        <w:trPr>
          <w:trHeight w:val="525"/>
        </w:trPr>
        <w:tc>
          <w:tcPr>
            <w:tcW w:w="1560" w:type="dxa"/>
            <w:vMerge w:val="restart"/>
          </w:tcPr>
          <w:p w:rsidR="00773527" w:rsidRPr="009D59D0" w:rsidRDefault="00773527" w:rsidP="00DE40C2">
            <w:pPr>
              <w:keepNext/>
              <w:keepLines/>
              <w:jc w:val="left"/>
              <w:rPr>
                <w:sz w:val="19"/>
                <w:szCs w:val="19"/>
                <w:lang w:val="en-CA" w:eastAsia="en-CA"/>
              </w:rPr>
            </w:pPr>
            <w:r w:rsidRPr="009D59D0">
              <w:rPr>
                <w:sz w:val="19"/>
                <w:szCs w:val="19"/>
                <w:lang w:val="en-CA" w:eastAsia="en-CA"/>
              </w:rPr>
              <w:lastRenderedPageBreak/>
              <w:t>South Sudan (Stage I)</w:t>
            </w:r>
          </w:p>
        </w:tc>
        <w:tc>
          <w:tcPr>
            <w:tcW w:w="1276" w:type="dxa"/>
          </w:tcPr>
          <w:p w:rsidR="00773527" w:rsidRPr="009D59D0" w:rsidRDefault="00773527" w:rsidP="00DE40C2">
            <w:pPr>
              <w:rPr>
                <w:sz w:val="19"/>
                <w:szCs w:val="19"/>
                <w:lang w:val="en-CA" w:eastAsia="en-CA"/>
              </w:rPr>
            </w:pPr>
            <w:r w:rsidRPr="009D59D0">
              <w:rPr>
                <w:sz w:val="19"/>
                <w:szCs w:val="19"/>
                <w:lang w:val="en-CA" w:eastAsia="en-CA"/>
              </w:rPr>
              <w:t>UNDP</w:t>
            </w:r>
          </w:p>
        </w:tc>
        <w:tc>
          <w:tcPr>
            <w:tcW w:w="879" w:type="dxa"/>
          </w:tcPr>
          <w:p w:rsidR="00773527" w:rsidRPr="009D59D0" w:rsidRDefault="00773527" w:rsidP="00DE40C2">
            <w:pPr>
              <w:jc w:val="center"/>
              <w:rPr>
                <w:sz w:val="19"/>
                <w:szCs w:val="19"/>
                <w:lang w:val="en-CA" w:eastAsia="en-CA"/>
              </w:rPr>
            </w:pPr>
            <w:r w:rsidRPr="009D59D0">
              <w:rPr>
                <w:sz w:val="19"/>
                <w:szCs w:val="19"/>
                <w:lang w:val="en-CA" w:eastAsia="en-CA"/>
              </w:rPr>
              <w:t>2018</w:t>
            </w:r>
          </w:p>
        </w:tc>
        <w:tc>
          <w:tcPr>
            <w:tcW w:w="1275" w:type="dxa"/>
          </w:tcPr>
          <w:p w:rsidR="00773527" w:rsidRPr="009D59D0" w:rsidRDefault="00773527" w:rsidP="00DE40C2">
            <w:pPr>
              <w:jc w:val="right"/>
              <w:rPr>
                <w:sz w:val="19"/>
                <w:szCs w:val="19"/>
                <w:lang w:val="en-CA" w:eastAsia="en-CA"/>
              </w:rPr>
            </w:pPr>
            <w:r w:rsidRPr="009D59D0">
              <w:rPr>
                <w:sz w:val="19"/>
                <w:szCs w:val="19"/>
                <w:lang w:val="en-CA" w:eastAsia="en-CA"/>
              </w:rPr>
              <w:t>54,500</w:t>
            </w:r>
          </w:p>
        </w:tc>
        <w:tc>
          <w:tcPr>
            <w:tcW w:w="3373" w:type="dxa"/>
            <w:vMerge w:val="restart"/>
          </w:tcPr>
          <w:p w:rsidR="00773527" w:rsidRPr="009D59D0" w:rsidRDefault="00773527" w:rsidP="00DE40C2">
            <w:pPr>
              <w:jc w:val="left"/>
              <w:rPr>
                <w:sz w:val="19"/>
                <w:szCs w:val="19"/>
                <w:lang w:val="en-CA" w:eastAsia="en-CA"/>
              </w:rPr>
            </w:pPr>
            <w:r w:rsidRPr="009D59D0">
              <w:rPr>
                <w:sz w:val="19"/>
                <w:szCs w:val="19"/>
                <w:lang w:val="en-CA" w:eastAsia="en-CA"/>
              </w:rPr>
              <w:t>Government decisions/endorsements/ changes in the NOU/structural change</w:t>
            </w:r>
          </w:p>
        </w:tc>
        <w:tc>
          <w:tcPr>
            <w:tcW w:w="5812" w:type="dxa"/>
            <w:vMerge w:val="restart"/>
          </w:tcPr>
          <w:p w:rsidR="00773527" w:rsidRPr="009D59D0" w:rsidRDefault="00773527" w:rsidP="00DE40C2">
            <w:pPr>
              <w:jc w:val="left"/>
              <w:rPr>
                <w:sz w:val="19"/>
                <w:szCs w:val="19"/>
                <w:lang w:val="en-CA"/>
              </w:rPr>
            </w:pPr>
            <w:r w:rsidRPr="009D59D0">
              <w:rPr>
                <w:sz w:val="19"/>
                <w:szCs w:val="19"/>
                <w:lang w:val="en-CA"/>
              </w:rPr>
              <w:t>Noting the structural change</w:t>
            </w:r>
            <w:r w:rsidRPr="009D59D0">
              <w:t xml:space="preserve"> </w:t>
            </w:r>
            <w:r w:rsidRPr="009D59D0">
              <w:rPr>
                <w:sz w:val="19"/>
                <w:szCs w:val="19"/>
                <w:lang w:val="en-CA"/>
              </w:rPr>
              <w:t>in the country</w:t>
            </w:r>
            <w:r w:rsidR="00981E02" w:rsidRPr="009D59D0">
              <w:rPr>
                <w:sz w:val="19"/>
                <w:szCs w:val="19"/>
                <w:lang w:val="en-CA"/>
              </w:rPr>
              <w:t>,</w:t>
            </w:r>
            <w:r w:rsidRPr="009D59D0">
              <w:rPr>
                <w:sz w:val="19"/>
                <w:szCs w:val="19"/>
                <w:lang w:val="en-CA"/>
              </w:rPr>
              <w:t xml:space="preserve"> and urging the Government of South Sudan to work with UNDP and UNEP so that the second (2018) tranche of stage I of the HPMP could be submitted to the 85</w:t>
            </w:r>
            <w:r w:rsidRPr="009D59D0">
              <w:rPr>
                <w:sz w:val="19"/>
                <w:szCs w:val="19"/>
                <w:vertAlign w:val="superscript"/>
                <w:lang w:val="en-CA"/>
              </w:rPr>
              <w:t>th</w:t>
            </w:r>
            <w:r w:rsidRPr="009D59D0">
              <w:rPr>
                <w:sz w:val="19"/>
                <w:szCs w:val="19"/>
                <w:lang w:val="en-CA"/>
              </w:rPr>
              <w:t xml:space="preserve"> meeting with a revised plan of action to take into account the reallocation of the 2018 and subsequent tranches.</w:t>
            </w:r>
          </w:p>
        </w:tc>
      </w:tr>
      <w:tr w:rsidR="009D59D0" w:rsidRPr="009D59D0" w:rsidTr="00773527">
        <w:trPr>
          <w:trHeight w:val="264"/>
        </w:trPr>
        <w:tc>
          <w:tcPr>
            <w:tcW w:w="1560" w:type="dxa"/>
            <w:vMerge/>
          </w:tcPr>
          <w:p w:rsidR="00773527" w:rsidRPr="009D59D0" w:rsidRDefault="00773527" w:rsidP="00DE40C2">
            <w:pPr>
              <w:keepNext/>
              <w:keepLines/>
              <w:jc w:val="left"/>
              <w:rPr>
                <w:sz w:val="19"/>
                <w:szCs w:val="19"/>
                <w:lang w:val="en-CA" w:eastAsia="en-CA"/>
              </w:rPr>
            </w:pPr>
          </w:p>
        </w:tc>
        <w:tc>
          <w:tcPr>
            <w:tcW w:w="1276" w:type="dxa"/>
          </w:tcPr>
          <w:p w:rsidR="00773527" w:rsidRPr="009D59D0" w:rsidRDefault="00773527" w:rsidP="00DE40C2">
            <w:pPr>
              <w:rPr>
                <w:sz w:val="19"/>
                <w:szCs w:val="19"/>
                <w:lang w:val="en-CA" w:eastAsia="en-CA"/>
              </w:rPr>
            </w:pPr>
            <w:r w:rsidRPr="009D59D0">
              <w:rPr>
                <w:sz w:val="19"/>
                <w:szCs w:val="19"/>
                <w:lang w:val="en-CA" w:eastAsia="en-CA"/>
              </w:rPr>
              <w:t>UNEP</w:t>
            </w:r>
          </w:p>
        </w:tc>
        <w:tc>
          <w:tcPr>
            <w:tcW w:w="879" w:type="dxa"/>
          </w:tcPr>
          <w:p w:rsidR="00773527" w:rsidRPr="009D59D0" w:rsidRDefault="00773527" w:rsidP="00DE40C2">
            <w:pPr>
              <w:jc w:val="center"/>
              <w:rPr>
                <w:sz w:val="19"/>
                <w:szCs w:val="19"/>
                <w:lang w:val="en-CA" w:eastAsia="en-CA"/>
              </w:rPr>
            </w:pPr>
            <w:r w:rsidRPr="009D59D0">
              <w:rPr>
                <w:sz w:val="19"/>
                <w:szCs w:val="19"/>
                <w:lang w:val="en-CA" w:eastAsia="en-CA"/>
              </w:rPr>
              <w:t>2018</w:t>
            </w:r>
          </w:p>
        </w:tc>
        <w:tc>
          <w:tcPr>
            <w:tcW w:w="1275" w:type="dxa"/>
          </w:tcPr>
          <w:p w:rsidR="00773527" w:rsidRPr="009D59D0" w:rsidRDefault="00773527" w:rsidP="00DE40C2">
            <w:pPr>
              <w:jc w:val="right"/>
              <w:rPr>
                <w:sz w:val="19"/>
                <w:szCs w:val="19"/>
                <w:lang w:val="en-CA" w:eastAsia="en-CA"/>
              </w:rPr>
            </w:pPr>
            <w:r w:rsidRPr="009D59D0">
              <w:rPr>
                <w:sz w:val="19"/>
                <w:szCs w:val="19"/>
                <w:lang w:val="en-CA" w:eastAsia="en-CA"/>
              </w:rPr>
              <w:t>79,665</w:t>
            </w:r>
          </w:p>
        </w:tc>
        <w:tc>
          <w:tcPr>
            <w:tcW w:w="3373" w:type="dxa"/>
            <w:vMerge/>
          </w:tcPr>
          <w:p w:rsidR="00773527" w:rsidRPr="009D59D0" w:rsidRDefault="00773527" w:rsidP="00DE40C2">
            <w:pPr>
              <w:jc w:val="left"/>
              <w:rPr>
                <w:sz w:val="19"/>
                <w:szCs w:val="19"/>
                <w:lang w:val="en-CA" w:eastAsia="en-CA"/>
              </w:rPr>
            </w:pPr>
          </w:p>
        </w:tc>
        <w:tc>
          <w:tcPr>
            <w:tcW w:w="5812" w:type="dxa"/>
            <w:vMerge/>
          </w:tcPr>
          <w:p w:rsidR="00773527" w:rsidRPr="009D59D0" w:rsidRDefault="00773527" w:rsidP="00DE40C2">
            <w:pPr>
              <w:jc w:val="left"/>
              <w:rPr>
                <w:sz w:val="19"/>
                <w:szCs w:val="19"/>
                <w:lang w:val="en-CA"/>
              </w:rPr>
            </w:pPr>
          </w:p>
        </w:tc>
      </w:tr>
      <w:tr w:rsidR="009D59D0" w:rsidRPr="009D59D0" w:rsidTr="00734D2F">
        <w:trPr>
          <w:trHeight w:val="1263"/>
        </w:trPr>
        <w:tc>
          <w:tcPr>
            <w:tcW w:w="1560" w:type="dxa"/>
          </w:tcPr>
          <w:p w:rsidR="00734D2F" w:rsidRPr="009D59D0" w:rsidRDefault="00734D2F" w:rsidP="00DE40C2">
            <w:pPr>
              <w:jc w:val="left"/>
              <w:rPr>
                <w:sz w:val="19"/>
                <w:szCs w:val="19"/>
                <w:lang w:val="en-CA" w:eastAsia="en-CA"/>
              </w:rPr>
            </w:pPr>
            <w:r w:rsidRPr="009D59D0">
              <w:rPr>
                <w:sz w:val="19"/>
                <w:szCs w:val="19"/>
                <w:lang w:val="en-CA" w:eastAsia="en-CA"/>
              </w:rPr>
              <w:t xml:space="preserve">Venezuela (Bolivarian Republic of) </w:t>
            </w:r>
          </w:p>
          <w:p w:rsidR="00734D2F" w:rsidRPr="009D59D0" w:rsidRDefault="00734D2F" w:rsidP="00DE40C2">
            <w:pPr>
              <w:jc w:val="left"/>
              <w:rPr>
                <w:sz w:val="19"/>
                <w:szCs w:val="19"/>
                <w:lang w:val="en-CA" w:eastAsia="en-CA"/>
              </w:rPr>
            </w:pPr>
            <w:r w:rsidRPr="009D59D0">
              <w:rPr>
                <w:sz w:val="19"/>
                <w:szCs w:val="19"/>
                <w:lang w:val="en-CA" w:eastAsia="en-CA"/>
              </w:rPr>
              <w:t>(Stage II)</w:t>
            </w:r>
          </w:p>
        </w:tc>
        <w:tc>
          <w:tcPr>
            <w:tcW w:w="1276" w:type="dxa"/>
          </w:tcPr>
          <w:p w:rsidR="00734D2F" w:rsidRPr="009D59D0" w:rsidRDefault="00734D2F" w:rsidP="00DE40C2">
            <w:pPr>
              <w:jc w:val="left"/>
              <w:rPr>
                <w:sz w:val="19"/>
                <w:szCs w:val="19"/>
                <w:lang w:val="en-CA" w:eastAsia="en-CA"/>
              </w:rPr>
            </w:pPr>
            <w:r w:rsidRPr="009D59D0">
              <w:rPr>
                <w:sz w:val="19"/>
                <w:szCs w:val="19"/>
                <w:lang w:val="en-CA" w:eastAsia="en-CA"/>
              </w:rPr>
              <w:t>UNIDO</w:t>
            </w:r>
          </w:p>
          <w:p w:rsidR="00734D2F" w:rsidRPr="009D59D0" w:rsidRDefault="00734D2F" w:rsidP="00DE40C2">
            <w:pPr>
              <w:jc w:val="left"/>
              <w:rPr>
                <w:sz w:val="19"/>
                <w:szCs w:val="19"/>
                <w:lang w:val="en-CA" w:eastAsia="en-CA"/>
              </w:rPr>
            </w:pPr>
          </w:p>
        </w:tc>
        <w:tc>
          <w:tcPr>
            <w:tcW w:w="879" w:type="dxa"/>
          </w:tcPr>
          <w:p w:rsidR="00734D2F" w:rsidRPr="009D59D0" w:rsidRDefault="00734D2F" w:rsidP="00DE40C2">
            <w:pPr>
              <w:jc w:val="center"/>
              <w:rPr>
                <w:sz w:val="19"/>
                <w:szCs w:val="19"/>
                <w:lang w:val="en-CA" w:eastAsia="en-CA"/>
              </w:rPr>
            </w:pPr>
            <w:r w:rsidRPr="009D59D0">
              <w:rPr>
                <w:sz w:val="19"/>
                <w:szCs w:val="19"/>
                <w:lang w:val="en-CA" w:eastAsia="en-CA"/>
              </w:rPr>
              <w:t>2019</w:t>
            </w:r>
          </w:p>
        </w:tc>
        <w:tc>
          <w:tcPr>
            <w:tcW w:w="1275" w:type="dxa"/>
          </w:tcPr>
          <w:p w:rsidR="00734D2F" w:rsidRPr="009D59D0" w:rsidRDefault="00734D2F" w:rsidP="00DE40C2">
            <w:pPr>
              <w:jc w:val="right"/>
              <w:rPr>
                <w:sz w:val="19"/>
                <w:szCs w:val="19"/>
                <w:lang w:val="en-CA" w:eastAsia="en-CA"/>
              </w:rPr>
            </w:pPr>
            <w:r w:rsidRPr="009D59D0">
              <w:rPr>
                <w:sz w:val="19"/>
                <w:szCs w:val="19"/>
                <w:lang w:val="en-CA" w:eastAsia="en-CA"/>
              </w:rPr>
              <w:t>615,250</w:t>
            </w:r>
          </w:p>
        </w:tc>
        <w:tc>
          <w:tcPr>
            <w:tcW w:w="3373" w:type="dxa"/>
          </w:tcPr>
          <w:p w:rsidR="00734D2F" w:rsidRPr="009D59D0" w:rsidRDefault="00A253C4" w:rsidP="00DE40C2">
            <w:pPr>
              <w:jc w:val="left"/>
            </w:pPr>
            <w:r w:rsidRPr="009D59D0">
              <w:rPr>
                <w:sz w:val="19"/>
                <w:szCs w:val="19"/>
                <w:lang w:val="en-CA" w:eastAsia="en-CA"/>
              </w:rPr>
              <w:t>Limited implementation of the key activities</w:t>
            </w:r>
            <w:r w:rsidR="00734D2F" w:rsidRPr="009D59D0">
              <w:rPr>
                <w:sz w:val="19"/>
                <w:szCs w:val="19"/>
                <w:lang w:val="en-CA" w:eastAsia="en-CA"/>
              </w:rPr>
              <w:t>/</w:t>
            </w:r>
            <w:r w:rsidR="0082643C" w:rsidRPr="009D59D0">
              <w:rPr>
                <w:sz w:val="19"/>
                <w:szCs w:val="19"/>
                <w:lang w:val="en-CA" w:eastAsia="en-CA"/>
              </w:rPr>
              <w:t>l</w:t>
            </w:r>
            <w:r w:rsidR="00734D2F" w:rsidRPr="009D59D0">
              <w:rPr>
                <w:sz w:val="19"/>
                <w:szCs w:val="19"/>
                <w:lang w:val="en-CA" w:eastAsia="en-CA"/>
              </w:rPr>
              <w:t>ack of verification report</w:t>
            </w:r>
          </w:p>
        </w:tc>
        <w:tc>
          <w:tcPr>
            <w:tcW w:w="5812" w:type="dxa"/>
          </w:tcPr>
          <w:p w:rsidR="00734D2F" w:rsidRPr="009D59D0" w:rsidRDefault="00734D2F" w:rsidP="00DE40C2">
            <w:pPr>
              <w:jc w:val="left"/>
              <w:rPr>
                <w:sz w:val="19"/>
                <w:szCs w:val="19"/>
                <w:lang w:val="en-CA" w:eastAsia="en-CA"/>
              </w:rPr>
            </w:pPr>
            <w:r w:rsidRPr="009D59D0">
              <w:rPr>
                <w:sz w:val="19"/>
                <w:szCs w:val="19"/>
                <w:lang w:val="en-CA"/>
              </w:rPr>
              <w:t>Noting that the second (2019) tranche of stage II of the HPMP submitted to the 84</w:t>
            </w:r>
            <w:r w:rsidRPr="009D59D0">
              <w:rPr>
                <w:sz w:val="19"/>
                <w:szCs w:val="19"/>
                <w:vertAlign w:val="superscript"/>
                <w:lang w:val="en-CA"/>
              </w:rPr>
              <w:t>th</w:t>
            </w:r>
            <w:r w:rsidR="00A253C4" w:rsidRPr="009D59D0">
              <w:rPr>
                <w:sz w:val="19"/>
                <w:szCs w:val="19"/>
                <w:lang w:val="en-CA"/>
              </w:rPr>
              <w:t xml:space="preserve"> </w:t>
            </w:r>
            <w:r w:rsidRPr="009D59D0">
              <w:rPr>
                <w:sz w:val="19"/>
                <w:szCs w:val="19"/>
                <w:lang w:val="en-CA"/>
              </w:rPr>
              <w:t>meeting had been withdrawn</w:t>
            </w:r>
            <w:r w:rsidR="00981E02" w:rsidRPr="009D59D0">
              <w:rPr>
                <w:sz w:val="19"/>
                <w:szCs w:val="19"/>
                <w:lang w:val="en-CA"/>
              </w:rPr>
              <w:t>,</w:t>
            </w:r>
            <w:r w:rsidRPr="009D59D0">
              <w:rPr>
                <w:sz w:val="19"/>
                <w:szCs w:val="19"/>
                <w:lang w:val="en-CA"/>
              </w:rPr>
              <w:t xml:space="preserve"> and </w:t>
            </w:r>
            <w:r w:rsidR="00A253C4" w:rsidRPr="009D59D0">
              <w:rPr>
                <w:sz w:val="19"/>
                <w:szCs w:val="19"/>
                <w:lang w:val="en-CA"/>
              </w:rPr>
              <w:t xml:space="preserve">urging the Government of </w:t>
            </w:r>
            <w:r w:rsidR="00981E02" w:rsidRPr="009D59D0">
              <w:rPr>
                <w:sz w:val="19"/>
                <w:szCs w:val="19"/>
                <w:lang w:val="en-CA"/>
              </w:rPr>
              <w:t xml:space="preserve">the Bolivarian Republic of </w:t>
            </w:r>
            <w:r w:rsidR="00A253C4" w:rsidRPr="009D59D0">
              <w:rPr>
                <w:sz w:val="19"/>
                <w:szCs w:val="19"/>
                <w:lang w:val="en-CA"/>
              </w:rPr>
              <w:t xml:space="preserve">Venezuela to work with UNIDO to expedite implementation of the remaining activities under stage I and the first (2016) tranche of stage II so that the second (2019) </w:t>
            </w:r>
            <w:r w:rsidR="00AF25F3" w:rsidRPr="009D59D0">
              <w:rPr>
                <w:sz w:val="19"/>
                <w:szCs w:val="19"/>
                <w:lang w:val="en-CA"/>
              </w:rPr>
              <w:t>tranche could be submitted to 86</w:t>
            </w:r>
            <w:r w:rsidR="00AF25F3" w:rsidRPr="009D59D0">
              <w:rPr>
                <w:sz w:val="19"/>
                <w:szCs w:val="19"/>
                <w:vertAlign w:val="superscript"/>
                <w:lang w:val="en-CA"/>
              </w:rPr>
              <w:t>th</w:t>
            </w:r>
            <w:r w:rsidR="00AF25F3" w:rsidRPr="009D59D0">
              <w:rPr>
                <w:sz w:val="19"/>
                <w:szCs w:val="19"/>
                <w:lang w:val="en-CA"/>
              </w:rPr>
              <w:t xml:space="preserve"> </w:t>
            </w:r>
            <w:r w:rsidR="00A253C4" w:rsidRPr="009D59D0">
              <w:rPr>
                <w:sz w:val="19"/>
                <w:szCs w:val="19"/>
                <w:lang w:val="en-CA"/>
              </w:rPr>
              <w:t>meeting with a verification report and a revised plan of action to take into account the reallocation of the 2019 and subsequent tranches, including activities that will contribute to achieve or maintain compliance with the control measures under the Montreal Protocol.</w:t>
            </w:r>
          </w:p>
        </w:tc>
      </w:tr>
      <w:tr w:rsidR="000E0C00" w:rsidRPr="009D59D0" w:rsidTr="00CF63E0">
        <w:trPr>
          <w:trHeight w:val="287"/>
        </w:trPr>
        <w:tc>
          <w:tcPr>
            <w:tcW w:w="1560" w:type="dxa"/>
            <w:hideMark/>
          </w:tcPr>
          <w:p w:rsidR="000E0C00" w:rsidRPr="009D59D0" w:rsidRDefault="000E0C00" w:rsidP="00DE40C2">
            <w:pPr>
              <w:jc w:val="left"/>
              <w:rPr>
                <w:b/>
                <w:sz w:val="19"/>
                <w:szCs w:val="19"/>
                <w:lang w:val="en-CA" w:eastAsia="en-CA"/>
              </w:rPr>
            </w:pPr>
            <w:r w:rsidRPr="009D59D0">
              <w:rPr>
                <w:b/>
                <w:sz w:val="19"/>
                <w:szCs w:val="19"/>
                <w:lang w:val="en-CA" w:eastAsia="en-CA"/>
              </w:rPr>
              <w:t>Total</w:t>
            </w:r>
          </w:p>
        </w:tc>
        <w:tc>
          <w:tcPr>
            <w:tcW w:w="1276" w:type="dxa"/>
          </w:tcPr>
          <w:p w:rsidR="000E0C00" w:rsidRPr="009D59D0" w:rsidRDefault="000E0C00" w:rsidP="00DE40C2">
            <w:pPr>
              <w:jc w:val="center"/>
              <w:rPr>
                <w:b/>
                <w:sz w:val="19"/>
                <w:szCs w:val="19"/>
                <w:lang w:val="en-CA" w:eastAsia="en-CA"/>
              </w:rPr>
            </w:pPr>
          </w:p>
        </w:tc>
        <w:tc>
          <w:tcPr>
            <w:tcW w:w="879" w:type="dxa"/>
          </w:tcPr>
          <w:p w:rsidR="000E0C00" w:rsidRPr="009D59D0" w:rsidRDefault="000E0C00" w:rsidP="00DE40C2">
            <w:pPr>
              <w:jc w:val="center"/>
              <w:rPr>
                <w:b/>
                <w:sz w:val="19"/>
                <w:szCs w:val="19"/>
                <w:lang w:val="en-CA" w:eastAsia="en-CA"/>
              </w:rPr>
            </w:pPr>
          </w:p>
        </w:tc>
        <w:tc>
          <w:tcPr>
            <w:tcW w:w="1275" w:type="dxa"/>
            <w:hideMark/>
          </w:tcPr>
          <w:p w:rsidR="000E0C00" w:rsidRPr="009D59D0" w:rsidRDefault="00262B85" w:rsidP="00DE40C2">
            <w:pPr>
              <w:jc w:val="right"/>
              <w:rPr>
                <w:b/>
                <w:sz w:val="19"/>
                <w:szCs w:val="19"/>
                <w:lang w:val="en-CA" w:eastAsia="en-CA"/>
              </w:rPr>
            </w:pPr>
            <w:r w:rsidRPr="009D59D0">
              <w:rPr>
                <w:b/>
                <w:sz w:val="19"/>
                <w:szCs w:val="19"/>
                <w:lang w:val="en-CA" w:eastAsia="en-CA"/>
              </w:rPr>
              <w:t>23,548,148</w:t>
            </w:r>
          </w:p>
        </w:tc>
        <w:tc>
          <w:tcPr>
            <w:tcW w:w="3373" w:type="dxa"/>
          </w:tcPr>
          <w:p w:rsidR="000E0C00" w:rsidRPr="009D59D0" w:rsidRDefault="000E0C00" w:rsidP="00DE40C2">
            <w:pPr>
              <w:jc w:val="left"/>
              <w:rPr>
                <w:b/>
                <w:sz w:val="19"/>
                <w:szCs w:val="19"/>
                <w:lang w:val="en-CA" w:eastAsia="en-CA"/>
              </w:rPr>
            </w:pPr>
          </w:p>
        </w:tc>
        <w:tc>
          <w:tcPr>
            <w:tcW w:w="5812" w:type="dxa"/>
          </w:tcPr>
          <w:p w:rsidR="000E0C00" w:rsidRPr="009D59D0" w:rsidRDefault="000E0C00" w:rsidP="00DE40C2">
            <w:pPr>
              <w:jc w:val="left"/>
              <w:rPr>
                <w:b/>
                <w:sz w:val="19"/>
                <w:szCs w:val="19"/>
                <w:lang w:val="en-CA" w:eastAsia="en-CA"/>
              </w:rPr>
            </w:pPr>
          </w:p>
        </w:tc>
      </w:tr>
    </w:tbl>
    <w:p w:rsidR="00052C5C" w:rsidRPr="009D59D0" w:rsidRDefault="00052C5C" w:rsidP="00DE40C2">
      <w:pPr>
        <w:tabs>
          <w:tab w:val="left" w:pos="8280"/>
        </w:tabs>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52C5C" w:rsidRPr="009D59D0" w:rsidTr="00C77349">
        <w:trPr>
          <w:jc w:val="center"/>
        </w:trPr>
        <w:tc>
          <w:tcPr>
            <w:tcW w:w="1915" w:type="dxa"/>
          </w:tcPr>
          <w:p w:rsidR="00052C5C" w:rsidRPr="009D59D0" w:rsidRDefault="00052C5C" w:rsidP="00DE40C2">
            <w:pPr>
              <w:tabs>
                <w:tab w:val="left" w:pos="8280"/>
              </w:tabs>
            </w:pPr>
          </w:p>
        </w:tc>
        <w:tc>
          <w:tcPr>
            <w:tcW w:w="1915" w:type="dxa"/>
          </w:tcPr>
          <w:p w:rsidR="00052C5C" w:rsidRPr="009D59D0" w:rsidRDefault="00052C5C" w:rsidP="00DE40C2">
            <w:pPr>
              <w:tabs>
                <w:tab w:val="left" w:pos="8280"/>
              </w:tabs>
            </w:pPr>
          </w:p>
        </w:tc>
        <w:tc>
          <w:tcPr>
            <w:tcW w:w="1915" w:type="dxa"/>
            <w:tcBorders>
              <w:bottom w:val="single" w:sz="4" w:space="0" w:color="auto"/>
            </w:tcBorders>
          </w:tcPr>
          <w:p w:rsidR="00052C5C" w:rsidRPr="009D59D0" w:rsidRDefault="00052C5C" w:rsidP="00DE40C2">
            <w:pPr>
              <w:tabs>
                <w:tab w:val="left" w:pos="8280"/>
              </w:tabs>
            </w:pPr>
          </w:p>
        </w:tc>
        <w:tc>
          <w:tcPr>
            <w:tcW w:w="1915" w:type="dxa"/>
          </w:tcPr>
          <w:p w:rsidR="00052C5C" w:rsidRPr="009D59D0" w:rsidRDefault="00052C5C" w:rsidP="00DE40C2">
            <w:pPr>
              <w:tabs>
                <w:tab w:val="left" w:pos="8280"/>
              </w:tabs>
            </w:pPr>
          </w:p>
        </w:tc>
        <w:tc>
          <w:tcPr>
            <w:tcW w:w="1916" w:type="dxa"/>
          </w:tcPr>
          <w:p w:rsidR="00052C5C" w:rsidRPr="009D59D0" w:rsidRDefault="00052C5C" w:rsidP="00DE40C2">
            <w:pPr>
              <w:tabs>
                <w:tab w:val="left" w:pos="8280"/>
              </w:tabs>
            </w:pPr>
          </w:p>
        </w:tc>
      </w:tr>
    </w:tbl>
    <w:p w:rsidR="00052C5C" w:rsidRPr="009D59D0" w:rsidRDefault="00052C5C" w:rsidP="00DE40C2">
      <w:pPr>
        <w:tabs>
          <w:tab w:val="left" w:pos="8280"/>
        </w:tabs>
        <w:rPr>
          <w:lang w:val="en-CA"/>
        </w:rPr>
      </w:pPr>
    </w:p>
    <w:p w:rsidR="00052C5C" w:rsidRPr="009D59D0" w:rsidRDefault="00052C5C" w:rsidP="00DE40C2">
      <w:pPr>
        <w:tabs>
          <w:tab w:val="left" w:pos="8280"/>
        </w:tabs>
      </w:pPr>
    </w:p>
    <w:sectPr w:rsidR="00052C5C" w:rsidRPr="009D59D0" w:rsidSect="007B6D5E">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00" w:rsidRDefault="000E0C00" w:rsidP="004A504B">
      <w:r>
        <w:separator/>
      </w:r>
    </w:p>
  </w:endnote>
  <w:endnote w:type="continuationSeparator" w:id="0">
    <w:p w:rsidR="000E0C00" w:rsidRDefault="000E0C0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00" w:rsidRPr="0033525D" w:rsidRDefault="000E0C00">
    <w:pPr>
      <w:jc w:val="center"/>
    </w:pPr>
    <w:r>
      <w:fldChar w:fldCharType="begin"/>
    </w:r>
    <w:r>
      <w:instrText xml:space="preserve"> PAGE </w:instrText>
    </w:r>
    <w:r>
      <w:fldChar w:fldCharType="separate"/>
    </w:r>
    <w:r w:rsidR="00103C07">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00" w:rsidRPr="0033525D" w:rsidRDefault="000E0C00">
    <w:pPr>
      <w:jc w:val="center"/>
    </w:pPr>
    <w:r>
      <w:fldChar w:fldCharType="begin"/>
    </w:r>
    <w:r>
      <w:instrText xml:space="preserve"> PAGE </w:instrText>
    </w:r>
    <w:r>
      <w:fldChar w:fldCharType="separate"/>
    </w:r>
    <w:r w:rsidR="00103C07">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66417"/>
      <w:docPartObj>
        <w:docPartGallery w:val="Page Numbers (Bottom of Page)"/>
        <w:docPartUnique/>
      </w:docPartObj>
    </w:sdtPr>
    <w:sdtEndPr>
      <w:rPr>
        <w:noProof/>
      </w:rPr>
    </w:sdtEndPr>
    <w:sdtContent>
      <w:p w:rsidR="000E0C00" w:rsidRDefault="000E0C00" w:rsidP="005A30B9">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0E0C00" w:rsidRDefault="000E0C00" w:rsidP="005A30B9">
        <w:pPr>
          <w:pBdr>
            <w:top w:val="single" w:sz="4" w:space="1" w:color="auto"/>
            <w:left w:val="single" w:sz="4" w:space="4" w:color="auto"/>
            <w:bottom w:val="single" w:sz="4" w:space="1" w:color="auto"/>
            <w:right w:val="single" w:sz="4" w:space="4" w:color="auto"/>
          </w:pBdr>
          <w:jc w:val="center"/>
          <w:rPr>
            <w:sz w:val="18"/>
            <w:szCs w:val="18"/>
          </w:rPr>
        </w:pPr>
      </w:p>
      <w:p w:rsidR="000E0C00" w:rsidRPr="005A30B9" w:rsidRDefault="00103C07" w:rsidP="005A30B9">
        <w:pPr>
          <w:pStyle w:val="Foo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103C07">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103C07">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53578"/>
      <w:docPartObj>
        <w:docPartGallery w:val="Page Numbers (Bottom of Page)"/>
        <w:docPartUnique/>
      </w:docPartObj>
    </w:sdtPr>
    <w:sdtEndPr>
      <w:rPr>
        <w:noProof/>
      </w:rPr>
    </w:sdtEndPr>
    <w:sdtContent>
      <w:p w:rsidR="007B6D5E" w:rsidRDefault="007B6D5E">
        <w:pPr>
          <w:pStyle w:val="Footer"/>
          <w:jc w:val="center"/>
        </w:pPr>
        <w:r>
          <w:fldChar w:fldCharType="begin"/>
        </w:r>
        <w:r>
          <w:instrText xml:space="preserve"> PAGE   \* MERGEFORMAT </w:instrText>
        </w:r>
        <w:r>
          <w:fldChar w:fldCharType="separate"/>
        </w:r>
        <w:r w:rsidR="00103C07">
          <w:rPr>
            <w:noProof/>
          </w:rPr>
          <w:t>1</w:t>
        </w:r>
        <w:r>
          <w:rPr>
            <w:noProof/>
          </w:rPr>
          <w:fldChar w:fldCharType="end"/>
        </w:r>
      </w:p>
    </w:sdtContent>
  </w:sdt>
  <w:p w:rsidR="007C227C" w:rsidRPr="007B6D5E" w:rsidRDefault="007C227C" w:rsidP="007B6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00" w:rsidRDefault="000E0C00" w:rsidP="004A504B">
      <w:r>
        <w:separator/>
      </w:r>
    </w:p>
  </w:footnote>
  <w:footnote w:type="continuationSeparator" w:id="0">
    <w:p w:rsidR="000E0C00" w:rsidRDefault="000E0C00" w:rsidP="004A504B">
      <w:r>
        <w:continuationSeparator/>
      </w:r>
    </w:p>
  </w:footnote>
  <w:footnote w:id="1">
    <w:p w:rsidR="000E0C00" w:rsidRPr="000A3265" w:rsidRDefault="000E0C00" w:rsidP="000E0C00">
      <w:pPr>
        <w:pStyle w:val="FootnoteText"/>
        <w:rPr>
          <w:lang w:val="en-CA"/>
        </w:rPr>
      </w:pPr>
      <w:r w:rsidRPr="000A3265">
        <w:rPr>
          <w:rStyle w:val="FootnoteReference"/>
        </w:rPr>
        <w:footnoteRef/>
      </w:r>
      <w:r w:rsidRPr="000A3265">
        <w:t xml:space="preserve"> </w:t>
      </w:r>
      <w:r w:rsidRPr="000A3265">
        <w:rPr>
          <w:lang w:val="en-CA"/>
        </w:rPr>
        <w:t xml:space="preserve">The Executive Committee decided that a separate sub-agenda item on delays in the submission of annual tranches and disbursement of funds for tranches and obligations should be included for future meetings. </w:t>
      </w:r>
    </w:p>
  </w:footnote>
  <w:footnote w:id="2">
    <w:p w:rsidR="00BE06EC" w:rsidRPr="00BE06EC" w:rsidRDefault="00BE06EC">
      <w:pPr>
        <w:pStyle w:val="FootnoteText"/>
      </w:pPr>
      <w:r w:rsidRPr="000A3265">
        <w:rPr>
          <w:rStyle w:val="FootnoteReference"/>
        </w:rPr>
        <w:footnoteRef/>
      </w:r>
      <w:r w:rsidRPr="000A3265">
        <w:t xml:space="preserve"> Excluding one country </w:t>
      </w:r>
      <w:r w:rsidR="001629B1" w:rsidRPr="000A3265">
        <w:t>(Iran (Islamic Republic of)</w:t>
      </w:r>
      <w:r w:rsidR="000A3265">
        <w:t>,</w:t>
      </w:r>
      <w:r w:rsidR="001629B1" w:rsidRPr="000A3265">
        <w:t xml:space="preserve"> </w:t>
      </w:r>
      <w:r w:rsidR="000A3265" w:rsidRPr="000A3265">
        <w:t>who</w:t>
      </w:r>
      <w:r w:rsidR="000A3265">
        <w:t>se</w:t>
      </w:r>
      <w:r w:rsidR="000A3265" w:rsidRPr="000A3265">
        <w:t xml:space="preserve"> tranche request</w:t>
      </w:r>
      <w:r w:rsidRPr="000A3265">
        <w:t xml:space="preserve"> </w:t>
      </w:r>
      <w:r w:rsidR="000A3265">
        <w:t xml:space="preserve">was </w:t>
      </w:r>
      <w:r w:rsidR="000A3265" w:rsidRPr="000A3265">
        <w:t xml:space="preserve">submitted </w:t>
      </w:r>
      <w:r w:rsidRPr="000A3265">
        <w:t>to the 83</w:t>
      </w:r>
      <w:r w:rsidRPr="000A3265">
        <w:rPr>
          <w:vertAlign w:val="superscript"/>
        </w:rPr>
        <w:t>rd</w:t>
      </w:r>
      <w:r w:rsidRPr="000A3265">
        <w:t xml:space="preserve"> meeting but </w:t>
      </w:r>
      <w:r w:rsidR="000A3265">
        <w:t xml:space="preserve">was </w:t>
      </w:r>
      <w:r w:rsidRPr="000A3265">
        <w:t>subsequently withdrawn.</w:t>
      </w:r>
      <w:r>
        <w:t xml:space="preserve"> </w:t>
      </w:r>
    </w:p>
  </w:footnote>
  <w:footnote w:id="3">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41</w:t>
      </w:r>
    </w:p>
  </w:footnote>
  <w:footnote w:id="4">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42</w:t>
      </w:r>
    </w:p>
  </w:footnote>
  <w:footnote w:id="5">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43</w:t>
      </w:r>
    </w:p>
  </w:footnote>
  <w:footnote w:id="6">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44</w:t>
      </w:r>
    </w:p>
  </w:footnote>
  <w:footnote w:id="7">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46</w:t>
      </w:r>
    </w:p>
  </w:footnote>
  <w:footnote w:id="8">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48</w:t>
      </w:r>
    </w:p>
  </w:footnote>
  <w:footnote w:id="9">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49</w:t>
      </w:r>
    </w:p>
  </w:footnote>
  <w:footnote w:id="10">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50</w:t>
      </w:r>
    </w:p>
  </w:footnote>
  <w:footnote w:id="11">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51</w:t>
      </w:r>
    </w:p>
  </w:footnote>
  <w:footnote w:id="12">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w:t>
      </w:r>
      <w:r w:rsidR="00434311" w:rsidRPr="00434311">
        <w:t>84/52</w:t>
      </w:r>
    </w:p>
  </w:footnote>
  <w:footnote w:id="13">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53</w:t>
      </w:r>
    </w:p>
  </w:footnote>
  <w:footnote w:id="14">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55</w:t>
      </w:r>
    </w:p>
  </w:footnote>
  <w:footnote w:id="15">
    <w:p w:rsidR="000E0C00" w:rsidRPr="00434311" w:rsidRDefault="000E0C00" w:rsidP="000E0C00">
      <w:pPr>
        <w:pStyle w:val="FootnoteText"/>
      </w:pPr>
      <w:r w:rsidRPr="00434311">
        <w:rPr>
          <w:rStyle w:val="FootnoteReference"/>
        </w:rPr>
        <w:footnoteRef/>
      </w:r>
      <w:r w:rsidRPr="00434311">
        <w:t xml:space="preserve"> </w:t>
      </w:r>
      <w:r w:rsidR="004C1E9A" w:rsidRPr="00434311">
        <w:t>UNEP/</w:t>
      </w:r>
      <w:proofErr w:type="spellStart"/>
      <w:r w:rsidR="004C1E9A" w:rsidRPr="00434311">
        <w:t>OzL.Pro</w:t>
      </w:r>
      <w:proofErr w:type="spellEnd"/>
      <w:r w:rsidR="004C1E9A" w:rsidRPr="00434311">
        <w:t>/</w:t>
      </w:r>
      <w:proofErr w:type="spellStart"/>
      <w:r w:rsidR="004C1E9A" w:rsidRPr="00434311">
        <w:t>ExCom</w:t>
      </w:r>
      <w:proofErr w:type="spellEnd"/>
      <w:r w:rsidR="004C1E9A" w:rsidRPr="00434311">
        <w:t>/84/</w:t>
      </w:r>
      <w:r w:rsidR="00434311" w:rsidRPr="00434311">
        <w:t>58</w:t>
      </w:r>
    </w:p>
  </w:footnote>
  <w:footnote w:id="16">
    <w:p w:rsidR="00FD4378" w:rsidRPr="00434311" w:rsidRDefault="00FD4378">
      <w:pPr>
        <w:pStyle w:val="FootnoteText"/>
        <w:rPr>
          <w:lang w:val="en-CA"/>
        </w:rPr>
      </w:pPr>
      <w:r w:rsidRPr="00434311">
        <w:rPr>
          <w:rStyle w:val="FootnoteReference"/>
        </w:rPr>
        <w:footnoteRef/>
      </w:r>
      <w:r w:rsidRPr="00434311">
        <w:t xml:space="preserve"> UNEP/</w:t>
      </w:r>
      <w:proofErr w:type="spellStart"/>
      <w:r w:rsidRPr="00434311">
        <w:t>OzL.Pro</w:t>
      </w:r>
      <w:proofErr w:type="spellEnd"/>
      <w:r w:rsidRPr="00434311">
        <w:t>/</w:t>
      </w:r>
      <w:proofErr w:type="spellStart"/>
      <w:r w:rsidRPr="00434311">
        <w:t>ExCom</w:t>
      </w:r>
      <w:proofErr w:type="spellEnd"/>
      <w:r w:rsidRPr="00434311">
        <w:t>/84/</w:t>
      </w:r>
      <w:r w:rsidR="00434311" w:rsidRPr="00434311">
        <w:t>60</w:t>
      </w:r>
    </w:p>
  </w:footnote>
  <w:footnote w:id="17">
    <w:p w:rsidR="00FD4378" w:rsidRPr="00434311" w:rsidRDefault="00FD4378">
      <w:pPr>
        <w:pStyle w:val="FootnoteText"/>
      </w:pPr>
      <w:r w:rsidRPr="00434311">
        <w:rPr>
          <w:rStyle w:val="FootnoteReference"/>
        </w:rPr>
        <w:footnoteRef/>
      </w:r>
      <w:r w:rsidRPr="00434311">
        <w:t xml:space="preserve"> UNEP/</w:t>
      </w:r>
      <w:proofErr w:type="spellStart"/>
      <w:r w:rsidRPr="00434311">
        <w:t>OzL.Pro</w:t>
      </w:r>
      <w:proofErr w:type="spellEnd"/>
      <w:r w:rsidRPr="00434311">
        <w:t>/</w:t>
      </w:r>
      <w:proofErr w:type="spellStart"/>
      <w:r w:rsidRPr="00434311">
        <w:t>ExCom</w:t>
      </w:r>
      <w:proofErr w:type="spellEnd"/>
      <w:r w:rsidRPr="00434311">
        <w:t>/84/</w:t>
      </w:r>
      <w:r w:rsidR="00434311" w:rsidRPr="00434311">
        <w:t>61</w:t>
      </w:r>
    </w:p>
  </w:footnote>
  <w:footnote w:id="18">
    <w:p w:rsidR="00FD4378" w:rsidRPr="00FD4378" w:rsidRDefault="00FD4378">
      <w:pPr>
        <w:pStyle w:val="FootnoteText"/>
      </w:pPr>
      <w:r w:rsidRPr="00434311">
        <w:rPr>
          <w:rStyle w:val="FootnoteReference"/>
        </w:rPr>
        <w:footnoteRef/>
      </w:r>
      <w:r w:rsidRPr="00434311">
        <w:t xml:space="preserve"> UNEP/</w:t>
      </w:r>
      <w:proofErr w:type="spellStart"/>
      <w:r w:rsidRPr="00434311">
        <w:t>OzL.Pro</w:t>
      </w:r>
      <w:proofErr w:type="spellEnd"/>
      <w:r w:rsidRPr="00434311">
        <w:t>/</w:t>
      </w:r>
      <w:proofErr w:type="spellStart"/>
      <w:r w:rsidRPr="00434311">
        <w:t>ExCom</w:t>
      </w:r>
      <w:proofErr w:type="spellEnd"/>
      <w:r w:rsidRPr="00434311">
        <w:t>/84/</w:t>
      </w:r>
      <w:r w:rsidR="00434311" w:rsidRPr="00434311">
        <w:t>62</w:t>
      </w:r>
    </w:p>
  </w:footnote>
  <w:footnote w:id="19">
    <w:p w:rsidR="000E0C00" w:rsidRPr="00EB0C3E" w:rsidRDefault="000E0C00" w:rsidP="000E0C00">
      <w:pPr>
        <w:pStyle w:val="FootnoteText"/>
        <w:rPr>
          <w:lang w:val="en-CA"/>
        </w:rPr>
      </w:pPr>
      <w:r w:rsidRPr="00EB0C3E">
        <w:rPr>
          <w:rStyle w:val="FootnoteReference"/>
        </w:rPr>
        <w:footnoteRef/>
      </w:r>
      <w:r w:rsidRPr="00EB0C3E">
        <w:t xml:space="preserve"> For comparison, at the </w:t>
      </w:r>
      <w:r w:rsidR="004A79A7" w:rsidRPr="00EB0C3E">
        <w:t>83</w:t>
      </w:r>
      <w:r w:rsidR="004A79A7" w:rsidRPr="00EB0C3E">
        <w:rPr>
          <w:vertAlign w:val="superscript"/>
        </w:rPr>
        <w:t>rd</w:t>
      </w:r>
      <w:r w:rsidR="004A79A7" w:rsidRPr="00EB0C3E">
        <w:t xml:space="preserve"> </w:t>
      </w:r>
      <w:r w:rsidRPr="00EB0C3E">
        <w:t xml:space="preserve">meeting, </w:t>
      </w:r>
      <w:r w:rsidR="004A79A7" w:rsidRPr="00EB0C3E">
        <w:t>36</w:t>
      </w:r>
      <w:r w:rsidRPr="00EB0C3E">
        <w:t xml:space="preserve"> tranches for </w:t>
      </w:r>
      <w:r w:rsidR="00AB3DED" w:rsidRPr="00EB0C3E">
        <w:t>21</w:t>
      </w:r>
      <w:r w:rsidRPr="00EB0C3E">
        <w:t xml:space="preserve"> countries that were due were not submitted.</w:t>
      </w:r>
    </w:p>
  </w:footnote>
  <w:footnote w:id="20">
    <w:p w:rsidR="00F83D64" w:rsidRPr="00A16670" w:rsidRDefault="00F83D64" w:rsidP="00F83D64">
      <w:pPr>
        <w:pStyle w:val="FootnoteText"/>
        <w:rPr>
          <w:lang w:val="en-US"/>
        </w:rPr>
      </w:pPr>
      <w:r w:rsidRPr="006626E0">
        <w:rPr>
          <w:rStyle w:val="FootnoteReference"/>
        </w:rPr>
        <w:footnoteRef/>
      </w:r>
      <w:r w:rsidRPr="006626E0">
        <w:t xml:space="preserve"> To request the Secretariat with respect to the HPMP for Algeria (stage I, first tranche) (ALG/PHA/66/INV/77), to send a letter to the Government seeking its agreement to cancel the project at the 83</w:t>
      </w:r>
      <w:r w:rsidRPr="006626E0">
        <w:rPr>
          <w:vertAlign w:val="superscript"/>
        </w:rPr>
        <w:t>rd</w:t>
      </w:r>
      <w:r w:rsidRPr="006626E0">
        <w:t xml:space="preserve"> meeting.</w:t>
      </w:r>
    </w:p>
  </w:footnote>
  <w:footnote w:id="21">
    <w:p w:rsidR="009654DE" w:rsidRPr="00E62CC3" w:rsidRDefault="009654DE" w:rsidP="009654DE">
      <w:pPr>
        <w:pStyle w:val="FootnoteText"/>
        <w:rPr>
          <w:lang w:val="en-CA"/>
        </w:rPr>
      </w:pPr>
      <w:r>
        <w:rPr>
          <w:rStyle w:val="FootnoteReference"/>
        </w:rPr>
        <w:footnoteRef/>
      </w:r>
      <w:r>
        <w:t xml:space="preserve"> </w:t>
      </w:r>
      <w:r>
        <w:rPr>
          <w:lang w:val="en-CA"/>
        </w:rPr>
        <w:t>Paragraph 98 of document UNEP/</w:t>
      </w:r>
      <w:proofErr w:type="spellStart"/>
      <w:r>
        <w:rPr>
          <w:lang w:val="en-CA"/>
        </w:rPr>
        <w:t>OzL.Pro</w:t>
      </w:r>
      <w:proofErr w:type="spellEnd"/>
      <w:r>
        <w:rPr>
          <w:lang w:val="en-CA"/>
        </w:rPr>
        <w:t>/</w:t>
      </w:r>
      <w:proofErr w:type="spellStart"/>
      <w:r>
        <w:rPr>
          <w:lang w:val="en-CA"/>
        </w:rPr>
        <w:t>ExCom</w:t>
      </w:r>
      <w:proofErr w:type="spellEnd"/>
      <w:r>
        <w:rPr>
          <w:lang w:val="en-CA"/>
        </w:rPr>
        <w:t>/81/58</w:t>
      </w:r>
    </w:p>
  </w:footnote>
  <w:footnote w:id="22">
    <w:p w:rsidR="009654DE" w:rsidRPr="00E62CC3" w:rsidRDefault="009654DE" w:rsidP="009654DE">
      <w:pPr>
        <w:pStyle w:val="FootnoteText"/>
        <w:rPr>
          <w:lang w:val="en-CA"/>
        </w:rPr>
      </w:pPr>
      <w:r>
        <w:rPr>
          <w:rStyle w:val="FootnoteReference"/>
        </w:rPr>
        <w:footnoteRef/>
      </w:r>
      <w:r>
        <w:t xml:space="preserve"> </w:t>
      </w:r>
      <w:r>
        <w:rPr>
          <w:lang w:val="en-CA"/>
        </w:rPr>
        <w:t>Paragraph 92 of document UNEP/</w:t>
      </w:r>
      <w:proofErr w:type="spellStart"/>
      <w:r>
        <w:rPr>
          <w:lang w:val="en-CA"/>
        </w:rPr>
        <w:t>OzL.Pro</w:t>
      </w:r>
      <w:proofErr w:type="spellEnd"/>
      <w:r>
        <w:rPr>
          <w:lang w:val="en-CA"/>
        </w:rPr>
        <w:t>/</w:t>
      </w:r>
      <w:proofErr w:type="spellStart"/>
      <w:r>
        <w:rPr>
          <w:lang w:val="en-CA"/>
        </w:rPr>
        <w:t>ExCom</w:t>
      </w:r>
      <w:proofErr w:type="spellEnd"/>
      <w:r>
        <w:rPr>
          <w:lang w:val="en-CA"/>
        </w:rPr>
        <w:t>/82/72</w:t>
      </w:r>
    </w:p>
  </w:footnote>
  <w:footnote w:id="23">
    <w:p w:rsidR="009654DE" w:rsidRPr="00B70784" w:rsidRDefault="009654DE" w:rsidP="009654DE">
      <w:pPr>
        <w:pStyle w:val="FootnoteText"/>
        <w:rPr>
          <w:lang w:val="en-US"/>
        </w:rPr>
      </w:pPr>
      <w:r>
        <w:rPr>
          <w:rStyle w:val="FootnoteReference"/>
        </w:rPr>
        <w:footnoteRef/>
      </w:r>
      <w:r>
        <w:t xml:space="preserve"> Where no disbursement had occurred 18 months after the date of approval of a project, a full explanation of the reason for the delay should be submitted by the implementing agency to the next meeting of the Executive Committee for review. Those reports should contain the comments received from the Article 5 countries and enterprises concerned; Where a project had not been completed 12 months after the proposed completion date in the progress report of the implementing agencies to the Executive Committee, a full explanation of the reason for the delay should also be submitted by the implementing agencies to the next meeting of the Executive Committee for review. Those reports should contain the comments received from the Article 5 countries and enterprises concerned (decision 22/61(a) and (b)).</w:t>
      </w:r>
    </w:p>
  </w:footnote>
  <w:footnote w:id="24">
    <w:p w:rsidR="009654DE" w:rsidRPr="00214E31" w:rsidRDefault="009654DE" w:rsidP="009654DE">
      <w:pPr>
        <w:pStyle w:val="FootnoteText"/>
        <w:rPr>
          <w:lang w:val="en-CA"/>
        </w:rPr>
      </w:pPr>
      <w:r>
        <w:rPr>
          <w:rStyle w:val="FootnoteReference"/>
        </w:rPr>
        <w:footnoteRef/>
      </w:r>
      <w:r>
        <w:t xml:space="preserve"> </w:t>
      </w:r>
      <w:r>
        <w:rPr>
          <w:lang w:val="en-CA"/>
        </w:rPr>
        <w:t>Paragraph 92 of document UNEP/</w:t>
      </w:r>
      <w:proofErr w:type="spellStart"/>
      <w:r>
        <w:rPr>
          <w:lang w:val="en-CA"/>
        </w:rPr>
        <w:t>OzL.Pro</w:t>
      </w:r>
      <w:proofErr w:type="spellEnd"/>
      <w:r>
        <w:rPr>
          <w:lang w:val="en-CA"/>
        </w:rPr>
        <w:t>/</w:t>
      </w:r>
      <w:proofErr w:type="spellStart"/>
      <w:r>
        <w:rPr>
          <w:lang w:val="en-CA"/>
        </w:rPr>
        <w:t>ExCom</w:t>
      </w:r>
      <w:proofErr w:type="spellEnd"/>
      <w:r>
        <w:rPr>
          <w:lang w:val="en-CA"/>
        </w:rPr>
        <w:t>/82/72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00" w:rsidRPr="0033525D" w:rsidRDefault="00E636E3">
    <w:r>
      <w:fldChar w:fldCharType="begin"/>
    </w:r>
    <w:r>
      <w:instrText xml:space="preserve"> DOCPROPERTY "Document number"  \* MERGEFORMAT </w:instrText>
    </w:r>
    <w:r>
      <w:fldChar w:fldCharType="separate"/>
    </w:r>
    <w:r w:rsidR="00C433FA">
      <w:t>UNEP/</w:t>
    </w:r>
    <w:proofErr w:type="spellStart"/>
    <w:r w:rsidR="00C433FA">
      <w:t>OzL.Pro</w:t>
    </w:r>
    <w:proofErr w:type="spellEnd"/>
    <w:r w:rsidR="00C433FA">
      <w:t>/</w:t>
    </w:r>
    <w:proofErr w:type="spellStart"/>
    <w:r w:rsidR="00C433FA">
      <w:t>ExCom</w:t>
    </w:r>
    <w:proofErr w:type="spellEnd"/>
    <w:r w:rsidR="00C433FA">
      <w:t>/84/25</w:t>
    </w:r>
    <w:r>
      <w:fldChar w:fldCharType="end"/>
    </w:r>
  </w:p>
  <w:p w:rsidR="000E0C00" w:rsidRPr="0033525D" w:rsidRDefault="000E0C00"/>
  <w:p w:rsidR="000E0C00" w:rsidRPr="0033525D" w:rsidRDefault="000E0C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00" w:rsidRPr="0033525D" w:rsidRDefault="00E636E3">
    <w:pPr>
      <w:jc w:val="right"/>
    </w:pPr>
    <w:r>
      <w:fldChar w:fldCharType="begin"/>
    </w:r>
    <w:r>
      <w:instrText xml:space="preserve"> DOCPROPERTY "Document number"  \* MERGEFORMAT </w:instrText>
    </w:r>
    <w:r>
      <w:fldChar w:fldCharType="separate"/>
    </w:r>
    <w:r w:rsidR="00C433FA">
      <w:t>UNEP/</w:t>
    </w:r>
    <w:proofErr w:type="spellStart"/>
    <w:r w:rsidR="00C433FA">
      <w:t>OzL.Pro</w:t>
    </w:r>
    <w:proofErr w:type="spellEnd"/>
    <w:r w:rsidR="00C433FA">
      <w:t>/</w:t>
    </w:r>
    <w:proofErr w:type="spellStart"/>
    <w:r w:rsidR="00C433FA">
      <w:t>ExCom</w:t>
    </w:r>
    <w:proofErr w:type="spellEnd"/>
    <w:r w:rsidR="00C433FA">
      <w:t>/84/25</w:t>
    </w:r>
    <w:r>
      <w:fldChar w:fldCharType="end"/>
    </w:r>
  </w:p>
  <w:p w:rsidR="000E0C00" w:rsidRPr="0033525D" w:rsidRDefault="000E0C00"/>
  <w:p w:rsidR="000E0C00" w:rsidRPr="0033525D" w:rsidRDefault="000E0C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5E" w:rsidRDefault="00E636E3" w:rsidP="007B6D5E">
    <w:pPr>
      <w:pStyle w:val="Header"/>
      <w:jc w:val="left"/>
    </w:pPr>
    <w:r>
      <w:fldChar w:fldCharType="begin"/>
    </w:r>
    <w:r>
      <w:instrText xml:space="preserve"> DOCPROPERTY "Document number"  \* MERGEFORMAT </w:instrText>
    </w:r>
    <w:r>
      <w:fldChar w:fldCharType="separate"/>
    </w:r>
    <w:r w:rsidR="00C433FA">
      <w:t>UNEP/</w:t>
    </w:r>
    <w:proofErr w:type="spellStart"/>
    <w:r w:rsidR="00C433FA">
      <w:t>OzL.Pro</w:t>
    </w:r>
    <w:proofErr w:type="spellEnd"/>
    <w:r w:rsidR="00C433FA">
      <w:t>/</w:t>
    </w:r>
    <w:proofErr w:type="spellStart"/>
    <w:r w:rsidR="00C433FA">
      <w:t>ExCom</w:t>
    </w:r>
    <w:proofErr w:type="spellEnd"/>
    <w:r w:rsidR="00C433FA">
      <w:t>/84/25</w:t>
    </w:r>
    <w:r>
      <w:fldChar w:fldCharType="end"/>
    </w:r>
  </w:p>
  <w:p w:rsidR="007B6D5E" w:rsidRDefault="007B6D5E" w:rsidP="007B6D5E">
    <w:pPr>
      <w:pStyle w:val="Header"/>
      <w:jc w:val="left"/>
    </w:pPr>
    <w:r>
      <w:t>Annex I</w:t>
    </w:r>
  </w:p>
  <w:p w:rsidR="007B6D5E" w:rsidRDefault="007B6D5E" w:rsidP="007B6D5E">
    <w:pPr>
      <w:pStyle w:val="Heade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5E" w:rsidRDefault="00E636E3" w:rsidP="007B6D5E">
    <w:pPr>
      <w:pStyle w:val="Header"/>
      <w:jc w:val="right"/>
    </w:pPr>
    <w:r>
      <w:fldChar w:fldCharType="begin"/>
    </w:r>
    <w:r>
      <w:instrText xml:space="preserve"> DOCPROPERTY "Document number"  \* MERGEFORMAT </w:instrText>
    </w:r>
    <w:r>
      <w:fldChar w:fldCharType="separate"/>
    </w:r>
    <w:r w:rsidR="00C433FA">
      <w:t>UNEP/</w:t>
    </w:r>
    <w:proofErr w:type="spellStart"/>
    <w:r w:rsidR="00C433FA">
      <w:t>OzL.Pro</w:t>
    </w:r>
    <w:proofErr w:type="spellEnd"/>
    <w:r w:rsidR="00C433FA">
      <w:t>/</w:t>
    </w:r>
    <w:proofErr w:type="spellStart"/>
    <w:r w:rsidR="00C433FA">
      <w:t>ExCom</w:t>
    </w:r>
    <w:proofErr w:type="spellEnd"/>
    <w:r w:rsidR="00C433FA">
      <w:t>/84/25</w:t>
    </w:r>
    <w:r>
      <w:fldChar w:fldCharType="end"/>
    </w:r>
  </w:p>
  <w:p w:rsidR="007B6D5E" w:rsidRDefault="007B6D5E" w:rsidP="007B6D5E">
    <w:pPr>
      <w:pStyle w:val="Header"/>
      <w:jc w:val="right"/>
    </w:pPr>
    <w:r>
      <w:t>Annex I</w:t>
    </w:r>
  </w:p>
  <w:p w:rsidR="007B6D5E" w:rsidRDefault="007B6D5E" w:rsidP="007B6D5E">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5E" w:rsidRDefault="00E636E3" w:rsidP="007B6D5E">
    <w:pPr>
      <w:pStyle w:val="Header"/>
      <w:jc w:val="right"/>
    </w:pPr>
    <w:r>
      <w:fldChar w:fldCharType="begin"/>
    </w:r>
    <w:r>
      <w:instrText xml:space="preserve"> DOCPROPERTY "Document number"  \* MERGEFORMAT </w:instrText>
    </w:r>
    <w:r>
      <w:fldChar w:fldCharType="separate"/>
    </w:r>
    <w:r w:rsidR="00C433FA">
      <w:t>UNEP/</w:t>
    </w:r>
    <w:proofErr w:type="spellStart"/>
    <w:r w:rsidR="00C433FA">
      <w:t>OzL.Pro</w:t>
    </w:r>
    <w:proofErr w:type="spellEnd"/>
    <w:r w:rsidR="00C433FA">
      <w:t>/</w:t>
    </w:r>
    <w:proofErr w:type="spellStart"/>
    <w:r w:rsidR="00C433FA">
      <w:t>ExCom</w:t>
    </w:r>
    <w:proofErr w:type="spellEnd"/>
    <w:r w:rsidR="00C433FA">
      <w:t>/84/25</w:t>
    </w:r>
    <w:r>
      <w:fldChar w:fldCharType="end"/>
    </w:r>
  </w:p>
  <w:p w:rsidR="007B6D5E" w:rsidRDefault="007B6D5E" w:rsidP="007B6D5E">
    <w:pPr>
      <w:pStyle w:val="Header"/>
      <w:jc w:val="right"/>
    </w:pPr>
    <w:r>
      <w:t>Annex I</w:t>
    </w:r>
  </w:p>
  <w:p w:rsidR="007B6D5E" w:rsidRDefault="007B6D5E" w:rsidP="007B6D5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0E0C00"/>
    <w:rsid w:val="00000FED"/>
    <w:rsid w:val="00001907"/>
    <w:rsid w:val="00002410"/>
    <w:rsid w:val="0000434E"/>
    <w:rsid w:val="00011D33"/>
    <w:rsid w:val="00017C3F"/>
    <w:rsid w:val="000211A9"/>
    <w:rsid w:val="00031260"/>
    <w:rsid w:val="0003681A"/>
    <w:rsid w:val="00042A68"/>
    <w:rsid w:val="0004484B"/>
    <w:rsid w:val="00052C5C"/>
    <w:rsid w:val="0005588D"/>
    <w:rsid w:val="00061EC2"/>
    <w:rsid w:val="00080ED0"/>
    <w:rsid w:val="00085B8F"/>
    <w:rsid w:val="00090481"/>
    <w:rsid w:val="00092009"/>
    <w:rsid w:val="00096051"/>
    <w:rsid w:val="000A3265"/>
    <w:rsid w:val="000A4DCD"/>
    <w:rsid w:val="000A6C26"/>
    <w:rsid w:val="000C04F6"/>
    <w:rsid w:val="000C3F94"/>
    <w:rsid w:val="000D2714"/>
    <w:rsid w:val="000D52A4"/>
    <w:rsid w:val="000E069D"/>
    <w:rsid w:val="000E07BC"/>
    <w:rsid w:val="000E0C00"/>
    <w:rsid w:val="000E59CB"/>
    <w:rsid w:val="000F1CD4"/>
    <w:rsid w:val="000F4103"/>
    <w:rsid w:val="000F70A7"/>
    <w:rsid w:val="00103C07"/>
    <w:rsid w:val="00113CCA"/>
    <w:rsid w:val="00120BB0"/>
    <w:rsid w:val="00122F25"/>
    <w:rsid w:val="00135980"/>
    <w:rsid w:val="001629B1"/>
    <w:rsid w:val="00164719"/>
    <w:rsid w:val="00166FC4"/>
    <w:rsid w:val="001677AC"/>
    <w:rsid w:val="00176F5B"/>
    <w:rsid w:val="001804EA"/>
    <w:rsid w:val="00180FEE"/>
    <w:rsid w:val="00190A61"/>
    <w:rsid w:val="001A3342"/>
    <w:rsid w:val="001A3E3D"/>
    <w:rsid w:val="001A7049"/>
    <w:rsid w:val="001B1D88"/>
    <w:rsid w:val="001B1E40"/>
    <w:rsid w:val="001B6487"/>
    <w:rsid w:val="001C3C80"/>
    <w:rsid w:val="001C764E"/>
    <w:rsid w:val="001E1052"/>
    <w:rsid w:val="001E21B1"/>
    <w:rsid w:val="001E2F93"/>
    <w:rsid w:val="001E30E6"/>
    <w:rsid w:val="001E61E5"/>
    <w:rsid w:val="001F2159"/>
    <w:rsid w:val="00202EDA"/>
    <w:rsid w:val="002063DC"/>
    <w:rsid w:val="00213B82"/>
    <w:rsid w:val="00214863"/>
    <w:rsid w:val="002156B4"/>
    <w:rsid w:val="00235418"/>
    <w:rsid w:val="00253222"/>
    <w:rsid w:val="00262735"/>
    <w:rsid w:val="00262847"/>
    <w:rsid w:val="00262B85"/>
    <w:rsid w:val="00264ACF"/>
    <w:rsid w:val="00273826"/>
    <w:rsid w:val="002779D7"/>
    <w:rsid w:val="00281BB2"/>
    <w:rsid w:val="002B08D9"/>
    <w:rsid w:val="002B2AC8"/>
    <w:rsid w:val="002B72E9"/>
    <w:rsid w:val="002C5497"/>
    <w:rsid w:val="002C7998"/>
    <w:rsid w:val="002E45F9"/>
    <w:rsid w:val="002E79E4"/>
    <w:rsid w:val="002F1E53"/>
    <w:rsid w:val="002F263D"/>
    <w:rsid w:val="002F2CAA"/>
    <w:rsid w:val="0030052C"/>
    <w:rsid w:val="003306E1"/>
    <w:rsid w:val="003320E4"/>
    <w:rsid w:val="0033525D"/>
    <w:rsid w:val="003414F3"/>
    <w:rsid w:val="0034654E"/>
    <w:rsid w:val="00346674"/>
    <w:rsid w:val="003512CB"/>
    <w:rsid w:val="003528C1"/>
    <w:rsid w:val="0035613E"/>
    <w:rsid w:val="00363EE9"/>
    <w:rsid w:val="0036427C"/>
    <w:rsid w:val="00366505"/>
    <w:rsid w:val="00376128"/>
    <w:rsid w:val="0037742E"/>
    <w:rsid w:val="00377D56"/>
    <w:rsid w:val="0038245A"/>
    <w:rsid w:val="003840E6"/>
    <w:rsid w:val="00385613"/>
    <w:rsid w:val="00385CFC"/>
    <w:rsid w:val="003919B9"/>
    <w:rsid w:val="0039337A"/>
    <w:rsid w:val="003A3189"/>
    <w:rsid w:val="003A3CA7"/>
    <w:rsid w:val="003B33BD"/>
    <w:rsid w:val="003B569D"/>
    <w:rsid w:val="003B5BC6"/>
    <w:rsid w:val="003C0C29"/>
    <w:rsid w:val="003C3C0E"/>
    <w:rsid w:val="003D4FAC"/>
    <w:rsid w:val="003E1B50"/>
    <w:rsid w:val="003E7906"/>
    <w:rsid w:val="003F3C50"/>
    <w:rsid w:val="003F5FBE"/>
    <w:rsid w:val="0040031C"/>
    <w:rsid w:val="00404CCA"/>
    <w:rsid w:val="00406A6A"/>
    <w:rsid w:val="00406B22"/>
    <w:rsid w:val="004100B3"/>
    <w:rsid w:val="004174B4"/>
    <w:rsid w:val="0042126B"/>
    <w:rsid w:val="004328A7"/>
    <w:rsid w:val="00434311"/>
    <w:rsid w:val="00434C74"/>
    <w:rsid w:val="00456EB4"/>
    <w:rsid w:val="004718F3"/>
    <w:rsid w:val="004731B8"/>
    <w:rsid w:val="00475040"/>
    <w:rsid w:val="00475F18"/>
    <w:rsid w:val="00477C3C"/>
    <w:rsid w:val="00493D40"/>
    <w:rsid w:val="004967B6"/>
    <w:rsid w:val="004A3564"/>
    <w:rsid w:val="004A504B"/>
    <w:rsid w:val="004A6911"/>
    <w:rsid w:val="004A79A7"/>
    <w:rsid w:val="004A7B49"/>
    <w:rsid w:val="004B54E0"/>
    <w:rsid w:val="004B7384"/>
    <w:rsid w:val="004C1E9A"/>
    <w:rsid w:val="004C4269"/>
    <w:rsid w:val="004C4F0E"/>
    <w:rsid w:val="004C7791"/>
    <w:rsid w:val="004D6236"/>
    <w:rsid w:val="004D7F90"/>
    <w:rsid w:val="004E42A0"/>
    <w:rsid w:val="004E4DBB"/>
    <w:rsid w:val="004E4E41"/>
    <w:rsid w:val="004E7F9C"/>
    <w:rsid w:val="004F18A7"/>
    <w:rsid w:val="004F3493"/>
    <w:rsid w:val="004F3EF7"/>
    <w:rsid w:val="004F5143"/>
    <w:rsid w:val="0051066B"/>
    <w:rsid w:val="00512B09"/>
    <w:rsid w:val="00515B2F"/>
    <w:rsid w:val="00532D80"/>
    <w:rsid w:val="00533796"/>
    <w:rsid w:val="00544482"/>
    <w:rsid w:val="00547ED2"/>
    <w:rsid w:val="00555D75"/>
    <w:rsid w:val="00560DF0"/>
    <w:rsid w:val="00563A51"/>
    <w:rsid w:val="00563F10"/>
    <w:rsid w:val="0056759C"/>
    <w:rsid w:val="00576175"/>
    <w:rsid w:val="0059513E"/>
    <w:rsid w:val="005A4390"/>
    <w:rsid w:val="005A65DC"/>
    <w:rsid w:val="005B48FF"/>
    <w:rsid w:val="005D1FE4"/>
    <w:rsid w:val="00604C15"/>
    <w:rsid w:val="00605C6D"/>
    <w:rsid w:val="00613EDF"/>
    <w:rsid w:val="00614BE0"/>
    <w:rsid w:val="006158D5"/>
    <w:rsid w:val="00622C77"/>
    <w:rsid w:val="00625D83"/>
    <w:rsid w:val="00631F34"/>
    <w:rsid w:val="006550CE"/>
    <w:rsid w:val="006623E7"/>
    <w:rsid w:val="006626E0"/>
    <w:rsid w:val="00662B80"/>
    <w:rsid w:val="00665850"/>
    <w:rsid w:val="00670F6C"/>
    <w:rsid w:val="00675795"/>
    <w:rsid w:val="00677938"/>
    <w:rsid w:val="006852C7"/>
    <w:rsid w:val="006852CE"/>
    <w:rsid w:val="006C1727"/>
    <w:rsid w:val="006C2AFB"/>
    <w:rsid w:val="006C32FD"/>
    <w:rsid w:val="006C39CE"/>
    <w:rsid w:val="006D0FCC"/>
    <w:rsid w:val="006D1D2D"/>
    <w:rsid w:val="006D54FC"/>
    <w:rsid w:val="006E1FC3"/>
    <w:rsid w:val="006E4CB9"/>
    <w:rsid w:val="006F0662"/>
    <w:rsid w:val="0070616B"/>
    <w:rsid w:val="00706FDA"/>
    <w:rsid w:val="00711F9A"/>
    <w:rsid w:val="00713810"/>
    <w:rsid w:val="007303A5"/>
    <w:rsid w:val="00730B3E"/>
    <w:rsid w:val="0073420B"/>
    <w:rsid w:val="00734D2F"/>
    <w:rsid w:val="00734F5E"/>
    <w:rsid w:val="0074760E"/>
    <w:rsid w:val="00754ABA"/>
    <w:rsid w:val="00760832"/>
    <w:rsid w:val="00766EAD"/>
    <w:rsid w:val="00773527"/>
    <w:rsid w:val="00777248"/>
    <w:rsid w:val="00786157"/>
    <w:rsid w:val="00795CBC"/>
    <w:rsid w:val="00797370"/>
    <w:rsid w:val="007A1546"/>
    <w:rsid w:val="007A228C"/>
    <w:rsid w:val="007A368E"/>
    <w:rsid w:val="007A5868"/>
    <w:rsid w:val="007A5AF8"/>
    <w:rsid w:val="007B04CE"/>
    <w:rsid w:val="007B6871"/>
    <w:rsid w:val="007B6D5E"/>
    <w:rsid w:val="007B7A2F"/>
    <w:rsid w:val="007C227C"/>
    <w:rsid w:val="007C3B50"/>
    <w:rsid w:val="007C3D33"/>
    <w:rsid w:val="007D294A"/>
    <w:rsid w:val="007D47D2"/>
    <w:rsid w:val="007D6EC0"/>
    <w:rsid w:val="007D7E1D"/>
    <w:rsid w:val="00807DE9"/>
    <w:rsid w:val="0082643C"/>
    <w:rsid w:val="00831979"/>
    <w:rsid w:val="00851352"/>
    <w:rsid w:val="00856AB7"/>
    <w:rsid w:val="00860039"/>
    <w:rsid w:val="00863230"/>
    <w:rsid w:val="00867510"/>
    <w:rsid w:val="008676AE"/>
    <w:rsid w:val="008717D8"/>
    <w:rsid w:val="0087215C"/>
    <w:rsid w:val="00880E35"/>
    <w:rsid w:val="008875FE"/>
    <w:rsid w:val="00887F8E"/>
    <w:rsid w:val="008903D7"/>
    <w:rsid w:val="00896234"/>
    <w:rsid w:val="00897E43"/>
    <w:rsid w:val="008A5D4D"/>
    <w:rsid w:val="008C5738"/>
    <w:rsid w:val="008C7EAD"/>
    <w:rsid w:val="008D0CFE"/>
    <w:rsid w:val="008D3375"/>
    <w:rsid w:val="008D54C2"/>
    <w:rsid w:val="008D6152"/>
    <w:rsid w:val="008F0F81"/>
    <w:rsid w:val="008F27BF"/>
    <w:rsid w:val="008F5234"/>
    <w:rsid w:val="009142EC"/>
    <w:rsid w:val="009154C3"/>
    <w:rsid w:val="00923094"/>
    <w:rsid w:val="00923540"/>
    <w:rsid w:val="00926767"/>
    <w:rsid w:val="00933346"/>
    <w:rsid w:val="009361D5"/>
    <w:rsid w:val="009428A4"/>
    <w:rsid w:val="00947364"/>
    <w:rsid w:val="009654DE"/>
    <w:rsid w:val="009659F4"/>
    <w:rsid w:val="009709B0"/>
    <w:rsid w:val="00970D60"/>
    <w:rsid w:val="00972E94"/>
    <w:rsid w:val="00981E02"/>
    <w:rsid w:val="00985F37"/>
    <w:rsid w:val="009960E5"/>
    <w:rsid w:val="009A7ADC"/>
    <w:rsid w:val="009B442F"/>
    <w:rsid w:val="009B577D"/>
    <w:rsid w:val="009C048A"/>
    <w:rsid w:val="009C15FE"/>
    <w:rsid w:val="009C19B7"/>
    <w:rsid w:val="009D59D0"/>
    <w:rsid w:val="009D7C51"/>
    <w:rsid w:val="009E196C"/>
    <w:rsid w:val="009E217D"/>
    <w:rsid w:val="009F36BF"/>
    <w:rsid w:val="00A05695"/>
    <w:rsid w:val="00A111B6"/>
    <w:rsid w:val="00A15BA4"/>
    <w:rsid w:val="00A25099"/>
    <w:rsid w:val="00A253C4"/>
    <w:rsid w:val="00A2547B"/>
    <w:rsid w:val="00A26D27"/>
    <w:rsid w:val="00A376EE"/>
    <w:rsid w:val="00A42A99"/>
    <w:rsid w:val="00A5151A"/>
    <w:rsid w:val="00A55457"/>
    <w:rsid w:val="00A56465"/>
    <w:rsid w:val="00A57E0A"/>
    <w:rsid w:val="00A719BA"/>
    <w:rsid w:val="00A739AD"/>
    <w:rsid w:val="00A823F6"/>
    <w:rsid w:val="00A93BBA"/>
    <w:rsid w:val="00A958E1"/>
    <w:rsid w:val="00AA0A89"/>
    <w:rsid w:val="00AA6429"/>
    <w:rsid w:val="00AA7E93"/>
    <w:rsid w:val="00AB3DED"/>
    <w:rsid w:val="00AC01AA"/>
    <w:rsid w:val="00AC069F"/>
    <w:rsid w:val="00AC4F72"/>
    <w:rsid w:val="00AE77AA"/>
    <w:rsid w:val="00AF25F3"/>
    <w:rsid w:val="00AF741A"/>
    <w:rsid w:val="00B01ADB"/>
    <w:rsid w:val="00B04161"/>
    <w:rsid w:val="00B056F9"/>
    <w:rsid w:val="00B11E3D"/>
    <w:rsid w:val="00B17E82"/>
    <w:rsid w:val="00B21AEA"/>
    <w:rsid w:val="00B24D44"/>
    <w:rsid w:val="00B33F25"/>
    <w:rsid w:val="00B4575A"/>
    <w:rsid w:val="00B55943"/>
    <w:rsid w:val="00B575BA"/>
    <w:rsid w:val="00B643B7"/>
    <w:rsid w:val="00B76429"/>
    <w:rsid w:val="00B80621"/>
    <w:rsid w:val="00B956D4"/>
    <w:rsid w:val="00B97446"/>
    <w:rsid w:val="00BA7432"/>
    <w:rsid w:val="00BB0C46"/>
    <w:rsid w:val="00BC1AA0"/>
    <w:rsid w:val="00BC2495"/>
    <w:rsid w:val="00BC7EB9"/>
    <w:rsid w:val="00BD2643"/>
    <w:rsid w:val="00BD56B1"/>
    <w:rsid w:val="00BD6558"/>
    <w:rsid w:val="00BE06EC"/>
    <w:rsid w:val="00BE6F2A"/>
    <w:rsid w:val="00BF3022"/>
    <w:rsid w:val="00BF3214"/>
    <w:rsid w:val="00BF5573"/>
    <w:rsid w:val="00C104A8"/>
    <w:rsid w:val="00C15867"/>
    <w:rsid w:val="00C2296D"/>
    <w:rsid w:val="00C23155"/>
    <w:rsid w:val="00C40C41"/>
    <w:rsid w:val="00C433FA"/>
    <w:rsid w:val="00C45885"/>
    <w:rsid w:val="00C50F22"/>
    <w:rsid w:val="00C541E9"/>
    <w:rsid w:val="00C55303"/>
    <w:rsid w:val="00C57971"/>
    <w:rsid w:val="00C65BD7"/>
    <w:rsid w:val="00C76BA4"/>
    <w:rsid w:val="00C77349"/>
    <w:rsid w:val="00C83A48"/>
    <w:rsid w:val="00C85865"/>
    <w:rsid w:val="00C85E85"/>
    <w:rsid w:val="00C912AD"/>
    <w:rsid w:val="00CA0B37"/>
    <w:rsid w:val="00CA2EAE"/>
    <w:rsid w:val="00CA316B"/>
    <w:rsid w:val="00CA4AC1"/>
    <w:rsid w:val="00CB0316"/>
    <w:rsid w:val="00CB0B11"/>
    <w:rsid w:val="00CB5354"/>
    <w:rsid w:val="00CC0ADD"/>
    <w:rsid w:val="00CC299E"/>
    <w:rsid w:val="00CC2ECA"/>
    <w:rsid w:val="00CC6236"/>
    <w:rsid w:val="00CC6A14"/>
    <w:rsid w:val="00CC70A3"/>
    <w:rsid w:val="00CD29FE"/>
    <w:rsid w:val="00CD41AA"/>
    <w:rsid w:val="00CD4442"/>
    <w:rsid w:val="00CD53C3"/>
    <w:rsid w:val="00CD574E"/>
    <w:rsid w:val="00CE4C22"/>
    <w:rsid w:val="00CF41EC"/>
    <w:rsid w:val="00CF494E"/>
    <w:rsid w:val="00CF5D04"/>
    <w:rsid w:val="00D04DE4"/>
    <w:rsid w:val="00D0546C"/>
    <w:rsid w:val="00D063F1"/>
    <w:rsid w:val="00D13CD0"/>
    <w:rsid w:val="00D14F22"/>
    <w:rsid w:val="00D21A58"/>
    <w:rsid w:val="00D22563"/>
    <w:rsid w:val="00D4741C"/>
    <w:rsid w:val="00D51B89"/>
    <w:rsid w:val="00D57918"/>
    <w:rsid w:val="00D62899"/>
    <w:rsid w:val="00D63FFB"/>
    <w:rsid w:val="00D66982"/>
    <w:rsid w:val="00D73DC6"/>
    <w:rsid w:val="00D74C1A"/>
    <w:rsid w:val="00D754C1"/>
    <w:rsid w:val="00D77393"/>
    <w:rsid w:val="00D77A35"/>
    <w:rsid w:val="00D81B3E"/>
    <w:rsid w:val="00D906BA"/>
    <w:rsid w:val="00D90C70"/>
    <w:rsid w:val="00D90E49"/>
    <w:rsid w:val="00D96ADE"/>
    <w:rsid w:val="00DA0CE2"/>
    <w:rsid w:val="00DC6A10"/>
    <w:rsid w:val="00DE40C2"/>
    <w:rsid w:val="00DE657E"/>
    <w:rsid w:val="00DE6F26"/>
    <w:rsid w:val="00DF45A2"/>
    <w:rsid w:val="00DF4704"/>
    <w:rsid w:val="00E024AA"/>
    <w:rsid w:val="00E24C19"/>
    <w:rsid w:val="00E250F1"/>
    <w:rsid w:val="00E26BDC"/>
    <w:rsid w:val="00E31A2B"/>
    <w:rsid w:val="00E3550D"/>
    <w:rsid w:val="00E41335"/>
    <w:rsid w:val="00E46F23"/>
    <w:rsid w:val="00E614E0"/>
    <w:rsid w:val="00E636E3"/>
    <w:rsid w:val="00E73F7F"/>
    <w:rsid w:val="00E85409"/>
    <w:rsid w:val="00E93CBC"/>
    <w:rsid w:val="00EA429F"/>
    <w:rsid w:val="00EA4F9E"/>
    <w:rsid w:val="00EA63CA"/>
    <w:rsid w:val="00EA6CB7"/>
    <w:rsid w:val="00EA6D3B"/>
    <w:rsid w:val="00EB00AD"/>
    <w:rsid w:val="00EB0C3E"/>
    <w:rsid w:val="00EB136C"/>
    <w:rsid w:val="00EB480E"/>
    <w:rsid w:val="00EB5EC6"/>
    <w:rsid w:val="00EB7FC9"/>
    <w:rsid w:val="00EC3563"/>
    <w:rsid w:val="00ED27E8"/>
    <w:rsid w:val="00ED7137"/>
    <w:rsid w:val="00EE66BA"/>
    <w:rsid w:val="00EF4FDB"/>
    <w:rsid w:val="00F07A58"/>
    <w:rsid w:val="00F16AC4"/>
    <w:rsid w:val="00F21088"/>
    <w:rsid w:val="00F268BE"/>
    <w:rsid w:val="00F26E2B"/>
    <w:rsid w:val="00F327E7"/>
    <w:rsid w:val="00F35746"/>
    <w:rsid w:val="00F447C7"/>
    <w:rsid w:val="00F5211B"/>
    <w:rsid w:val="00F554A9"/>
    <w:rsid w:val="00F56283"/>
    <w:rsid w:val="00F716FD"/>
    <w:rsid w:val="00F80355"/>
    <w:rsid w:val="00F83D64"/>
    <w:rsid w:val="00F87C43"/>
    <w:rsid w:val="00FB0C81"/>
    <w:rsid w:val="00FC2200"/>
    <w:rsid w:val="00FC2540"/>
    <w:rsid w:val="00FD4378"/>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9D3EE"/>
  <w15:docId w15:val="{50C82C1F-89DF-4F83-A054-B88629D5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E0C00"/>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0E0C00"/>
    <w:rPr>
      <w:sz w:val="22"/>
      <w:szCs w:val="22"/>
      <w:lang w:val="en-GB"/>
    </w:rPr>
  </w:style>
  <w:style w:type="paragraph" w:styleId="FootnoteText">
    <w:name w:val="footnote text"/>
    <w:basedOn w:val="Normal"/>
    <w:link w:val="FootnoteTextChar"/>
    <w:uiPriority w:val="99"/>
    <w:unhideWhenUsed/>
    <w:rsid w:val="000E0C00"/>
    <w:rPr>
      <w:sz w:val="20"/>
      <w:szCs w:val="20"/>
    </w:rPr>
  </w:style>
  <w:style w:type="character" w:customStyle="1" w:styleId="FootnoteTextChar">
    <w:name w:val="Footnote Text Char"/>
    <w:basedOn w:val="DefaultParagraphFont"/>
    <w:link w:val="FootnoteText"/>
    <w:uiPriority w:val="99"/>
    <w:rsid w:val="000E0C00"/>
    <w:rPr>
      <w:lang w:val="en-GB"/>
    </w:rPr>
  </w:style>
  <w:style w:type="character" w:styleId="FootnoteReference">
    <w:name w:val="footnote reference"/>
    <w:uiPriority w:val="99"/>
    <w:semiHidden/>
    <w:unhideWhenUsed/>
    <w:rsid w:val="000E0C00"/>
    <w:rPr>
      <w:vertAlign w:val="superscript"/>
    </w:rPr>
  </w:style>
  <w:style w:type="character" w:customStyle="1" w:styleId="FooterChar">
    <w:name w:val="Footer Char"/>
    <w:basedOn w:val="DefaultParagraphFont"/>
    <w:link w:val="Footer"/>
    <w:uiPriority w:val="99"/>
    <w:rsid w:val="000E0C0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2578">
      <w:bodyDiv w:val="1"/>
      <w:marLeft w:val="0"/>
      <w:marRight w:val="0"/>
      <w:marTop w:val="0"/>
      <w:marBottom w:val="0"/>
      <w:divBdr>
        <w:top w:val="none" w:sz="0" w:space="0" w:color="auto"/>
        <w:left w:val="none" w:sz="0" w:space="0" w:color="auto"/>
        <w:bottom w:val="none" w:sz="0" w:space="0" w:color="auto"/>
        <w:right w:val="none" w:sz="0" w:space="0" w:color="auto"/>
      </w:divBdr>
    </w:div>
    <w:div w:id="651712000">
      <w:bodyDiv w:val="1"/>
      <w:marLeft w:val="0"/>
      <w:marRight w:val="0"/>
      <w:marTop w:val="0"/>
      <w:marBottom w:val="0"/>
      <w:divBdr>
        <w:top w:val="none" w:sz="0" w:space="0" w:color="auto"/>
        <w:left w:val="none" w:sz="0" w:space="0" w:color="auto"/>
        <w:bottom w:val="none" w:sz="0" w:space="0" w:color="auto"/>
        <w:right w:val="none" w:sz="0" w:space="0" w:color="auto"/>
      </w:divBdr>
    </w:div>
    <w:div w:id="667560510">
      <w:bodyDiv w:val="1"/>
      <w:marLeft w:val="0"/>
      <w:marRight w:val="0"/>
      <w:marTop w:val="0"/>
      <w:marBottom w:val="0"/>
      <w:divBdr>
        <w:top w:val="none" w:sz="0" w:space="0" w:color="auto"/>
        <w:left w:val="none" w:sz="0" w:space="0" w:color="auto"/>
        <w:bottom w:val="none" w:sz="0" w:space="0" w:color="auto"/>
        <w:right w:val="none" w:sz="0" w:space="0" w:color="auto"/>
      </w:divBdr>
    </w:div>
    <w:div w:id="808018274">
      <w:bodyDiv w:val="1"/>
      <w:marLeft w:val="0"/>
      <w:marRight w:val="0"/>
      <w:marTop w:val="0"/>
      <w:marBottom w:val="0"/>
      <w:divBdr>
        <w:top w:val="none" w:sz="0" w:space="0" w:color="auto"/>
        <w:left w:val="none" w:sz="0" w:space="0" w:color="auto"/>
        <w:bottom w:val="none" w:sz="0" w:space="0" w:color="auto"/>
        <w:right w:val="none" w:sz="0" w:space="0" w:color="auto"/>
      </w:divBdr>
    </w:div>
    <w:div w:id="1133602297">
      <w:bodyDiv w:val="1"/>
      <w:marLeft w:val="0"/>
      <w:marRight w:val="0"/>
      <w:marTop w:val="0"/>
      <w:marBottom w:val="0"/>
      <w:divBdr>
        <w:top w:val="none" w:sz="0" w:space="0" w:color="auto"/>
        <w:left w:val="none" w:sz="0" w:space="0" w:color="auto"/>
        <w:bottom w:val="none" w:sz="0" w:space="0" w:color="auto"/>
        <w:right w:val="none" w:sz="0" w:space="0" w:color="auto"/>
      </w:divBdr>
    </w:div>
    <w:div w:id="139342833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UNEP/OzL.Pro/ExCom/84/25</Document_x0020_Number>
    <DocumentType xmlns="64e33b30-101d-41de-b951-961aab25ea29">Pre-session</DocumentType>
  </documentManagement>
</p:properties>
</file>

<file path=customXml/itemProps1.xml><?xml version="1.0" encoding="utf-8"?>
<ds:datastoreItem xmlns:ds="http://schemas.openxmlformats.org/officeDocument/2006/customXml" ds:itemID="{3925BC40-136A-47C8-9D3A-F2FE78D9EB32}"/>
</file>

<file path=customXml/itemProps2.xml><?xml version="1.0" encoding="utf-8"?>
<ds:datastoreItem xmlns:ds="http://schemas.openxmlformats.org/officeDocument/2006/customXml" ds:itemID="{74466005-CBFA-462E-87EC-1DDAACFD22F0}"/>
</file>

<file path=customXml/itemProps3.xml><?xml version="1.0" encoding="utf-8"?>
<ds:datastoreItem xmlns:ds="http://schemas.openxmlformats.org/officeDocument/2006/customXml" ds:itemID="{E6453E9A-812E-4E2A-A8E8-128441ECDCD7}"/>
</file>

<file path=customXml/itemProps4.xml><?xml version="1.0" encoding="utf-8"?>
<ds:datastoreItem xmlns:ds="http://schemas.openxmlformats.org/officeDocument/2006/customXml" ds:itemID="{E2F7F02F-101F-45C3-B0E9-D6867F039FA8}"/>
</file>

<file path=docProps/app.xml><?xml version="1.0" encoding="utf-8"?>
<Properties xmlns="http://schemas.openxmlformats.org/officeDocument/2006/extended-properties" xmlns:vt="http://schemas.openxmlformats.org/officeDocument/2006/docPropsVTypes">
  <Template>Eec84G</Template>
  <TotalTime>4</TotalTime>
  <Pages>9</Pages>
  <Words>2994</Words>
  <Characters>16154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Tranche Submission Delays</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submission delays</dc:title>
  <dc:creator>Muriel Aguiar</dc:creator>
  <cp:lastModifiedBy>Muriel Aguiar</cp:lastModifiedBy>
  <cp:revision>5</cp:revision>
  <cp:lastPrinted>2019-11-12T21:26:00Z</cp:lastPrinted>
  <dcterms:created xsi:type="dcterms:W3CDTF">2019-11-26T21:29:00Z</dcterms:created>
  <dcterms:modified xsi:type="dcterms:W3CDTF">2019-11-26T21:41:00Z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UNEP/OzL.Pro/ExCom/84/25</vt:lpwstr>
  </property>
  <property fmtid="{D5CDD505-2E9C-101B-9397-08002B2CF9AE}" pid="3" name="Revision date">
    <vt:lpwstr>11/26/2019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