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bookmarkStart w:id="0" w:name="_GoBack"/>
      <w:bookmarkEnd w:id="0"/>
      <w:r>
        <w:rPr>
          <w:noProof/>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27830</wp:posOffset>
            </wp:positionV>
            <wp:extent cx="5943600" cy="304534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045349"/>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fldSimple w:instr=" DOCPROPERTY &quot;Document number&quot;  \* MERGEFORMAT ">
        <w:r w:rsidR="007F5C6B">
          <w:t>UNEP/OzL.Pro/ExCom/84/37</w:t>
        </w:r>
      </w:fldSimple>
      <w:r w:rsidR="003919B9">
        <w:br/>
        <w:t xml:space="preserve">   </w:t>
      </w:r>
      <w:r w:rsidR="003919B9">
        <w:fldChar w:fldCharType="begin"/>
      </w:r>
      <w:r w:rsidR="003919B9">
        <w:instrText xml:space="preserve"> DOCPROPERTY "Revision date" \@ "d MMMM YYYY"  \* MERGEFORMAT </w:instrText>
      </w:r>
      <w:r w:rsidR="003919B9">
        <w:fldChar w:fldCharType="separate"/>
      </w:r>
      <w:r w:rsidR="00B77AAD">
        <w:t>20 November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DA2A56" w:rsidRDefault="00DA2A56" w:rsidP="00DA2A56">
      <w:pPr>
        <w:jc w:val="left"/>
        <w:rPr>
          <w:lang w:val="en-US"/>
        </w:rPr>
      </w:pPr>
    </w:p>
    <w:p w:rsidR="009C0F59" w:rsidRDefault="009C0F59" w:rsidP="009C0F59">
      <w:pPr>
        <w:pStyle w:val="StyleHeader4Para4Left0Firstline0"/>
        <w:numPr>
          <w:ilvl w:val="0"/>
          <w:numId w:val="0"/>
        </w:numPr>
        <w:tabs>
          <w:tab w:val="left" w:pos="488"/>
          <w:tab w:val="center" w:pos="4680"/>
        </w:tabs>
        <w:spacing w:after="0" w:line="360" w:lineRule="auto"/>
        <w:jc w:val="center"/>
        <w:rPr>
          <w:b/>
          <w:sz w:val="22"/>
        </w:rPr>
      </w:pPr>
    </w:p>
    <w:p w:rsidR="00DA2A56" w:rsidRDefault="00DA2A56" w:rsidP="00DF29AB">
      <w:pPr>
        <w:pStyle w:val="StyleHeader4Para4Left0Firstline0"/>
        <w:numPr>
          <w:ilvl w:val="0"/>
          <w:numId w:val="0"/>
        </w:numPr>
        <w:tabs>
          <w:tab w:val="left" w:pos="488"/>
          <w:tab w:val="center" w:pos="4680"/>
        </w:tabs>
        <w:jc w:val="center"/>
        <w:rPr>
          <w:b/>
          <w:sz w:val="22"/>
        </w:rPr>
      </w:pPr>
      <w:r w:rsidRPr="008A602E">
        <w:rPr>
          <w:b/>
          <w:sz w:val="22"/>
        </w:rPr>
        <w:t>UNEP’S COMPLIANCE ASSISTANCE PROGRAMME BUDGET FOR 20</w:t>
      </w:r>
      <w:r>
        <w:rPr>
          <w:b/>
          <w:sz w:val="22"/>
        </w:rPr>
        <w:t>20</w:t>
      </w:r>
    </w:p>
    <w:p w:rsidR="00DA2A56" w:rsidRDefault="009C3F0B" w:rsidP="00DF29AB">
      <w:pPr>
        <w:pStyle w:val="StyleHeader4Para4Left0Firstline0"/>
        <w:numPr>
          <w:ilvl w:val="0"/>
          <w:numId w:val="0"/>
        </w:numPr>
        <w:tabs>
          <w:tab w:val="left" w:pos="488"/>
          <w:tab w:val="center" w:pos="4680"/>
        </w:tabs>
        <w:rPr>
          <w:b/>
          <w:sz w:val="22"/>
        </w:rPr>
      </w:pPr>
      <w:r>
        <w:rPr>
          <w:b/>
          <w:sz w:val="22"/>
        </w:rPr>
        <w:t xml:space="preserve"> Introduction</w:t>
      </w:r>
    </w:p>
    <w:p w:rsidR="00B77AAD" w:rsidRPr="00B77AAD" w:rsidRDefault="00B77AAD" w:rsidP="00DF29AB">
      <w:pPr>
        <w:pStyle w:val="Heading1"/>
        <w:rPr>
          <w:u w:val="single"/>
        </w:rPr>
      </w:pPr>
      <w:r>
        <w:t>UNEP has submitted</w:t>
      </w:r>
      <w:r w:rsidR="00DA2A56">
        <w:t xml:space="preserve"> the budget for its Compliance Assistance Programme (CAP) for 2020 at </w:t>
      </w:r>
      <w:r>
        <w:t xml:space="preserve">a total cost of </w:t>
      </w:r>
      <w:r w:rsidR="00DA2A56">
        <w:t>US $10,113,000, plus agency support costs of US $809,040.</w:t>
      </w:r>
      <w:r>
        <w:rPr>
          <w:rStyle w:val="FootnoteReference"/>
        </w:rPr>
        <w:footnoteReference w:id="1"/>
      </w:r>
      <w:r w:rsidR="00DA2A56">
        <w:t xml:space="preserve"> The submission contains the 2019 progress report</w:t>
      </w:r>
      <w:r w:rsidR="00DA2A56">
        <w:rPr>
          <w:rStyle w:val="FootnoteReference"/>
        </w:rPr>
        <w:footnoteReference w:id="2"/>
      </w:r>
      <w:r w:rsidR="00DA2A56">
        <w:t xml:space="preserve"> and the 2020 work programme. The submission is attached to the present </w:t>
      </w:r>
      <w:r w:rsidR="00DA2A56" w:rsidRPr="00843E9A">
        <w:t>document.</w:t>
      </w:r>
      <w:r w:rsidR="009C3F0B">
        <w:t xml:space="preserve"> </w:t>
      </w:r>
    </w:p>
    <w:p w:rsidR="0082063A" w:rsidRPr="0082063A" w:rsidRDefault="009C3F0B" w:rsidP="00DF29AB">
      <w:pPr>
        <w:pStyle w:val="Heading1"/>
        <w:rPr>
          <w:u w:val="single"/>
        </w:rPr>
      </w:pPr>
      <w:r w:rsidRPr="009C3F0B">
        <w:t xml:space="preserve">The proposed CAP </w:t>
      </w:r>
      <w:r>
        <w:t xml:space="preserve">2020 </w:t>
      </w:r>
      <w:r w:rsidRPr="009C3F0B">
        <w:t>work plan is submitted</w:t>
      </w:r>
      <w:r>
        <w:t xml:space="preserve"> for the last year of the revised three-year 2018</w:t>
      </w:r>
      <w:r w:rsidR="007F5C6B">
        <w:noBreakHyphen/>
      </w:r>
      <w:r>
        <w:t>2020</w:t>
      </w:r>
      <w:r w:rsidR="009C0F59">
        <w:rPr>
          <w:rStyle w:val="FootnoteReference"/>
        </w:rPr>
        <w:footnoteReference w:id="3"/>
      </w:r>
      <w:r>
        <w:t xml:space="preserve"> s</w:t>
      </w:r>
      <w:r w:rsidRPr="009C3F0B">
        <w:t xml:space="preserve">trategy </w:t>
      </w:r>
      <w:r>
        <w:t>for the CAP</w:t>
      </w:r>
      <w:r w:rsidR="00E42B03">
        <w:t>,</w:t>
      </w:r>
      <w:r>
        <w:t xml:space="preserve"> </w:t>
      </w:r>
      <w:r w:rsidRPr="009C3F0B">
        <w:t>noted at the 80</w:t>
      </w:r>
      <w:r w:rsidRPr="007F5C6B">
        <w:rPr>
          <w:vertAlign w:val="superscript"/>
        </w:rPr>
        <w:t>th</w:t>
      </w:r>
      <w:r w:rsidR="007F5C6B">
        <w:t xml:space="preserve"> </w:t>
      </w:r>
      <w:r w:rsidRPr="009C3F0B">
        <w:t xml:space="preserve">meeting during the approval of the 2018 budget to accommodate new priorities </w:t>
      </w:r>
      <w:r>
        <w:t>related to the Kigali Amendment.</w:t>
      </w:r>
    </w:p>
    <w:p w:rsidR="00DA2A56" w:rsidRPr="00843E9A" w:rsidRDefault="00DA2A56" w:rsidP="00DF29AB">
      <w:pPr>
        <w:pStyle w:val="Heading1"/>
        <w:numPr>
          <w:ilvl w:val="0"/>
          <w:numId w:val="0"/>
        </w:numPr>
        <w:rPr>
          <w:u w:val="single"/>
        </w:rPr>
      </w:pPr>
      <w:r w:rsidRPr="00843E9A">
        <w:rPr>
          <w:u w:val="single"/>
        </w:rPr>
        <w:t>2019 CAP progress report</w:t>
      </w:r>
    </w:p>
    <w:p w:rsidR="00DA2A56" w:rsidRPr="00843E9A" w:rsidRDefault="00DA2A56" w:rsidP="00DF29AB">
      <w:pPr>
        <w:pStyle w:val="Heading1"/>
      </w:pPr>
      <w:r w:rsidRPr="00843E9A">
        <w:t>The following activities were implemented:</w:t>
      </w:r>
    </w:p>
    <w:p w:rsidR="003A6D95" w:rsidRPr="00EB3374" w:rsidRDefault="009C3F0B" w:rsidP="00DF29AB">
      <w:pPr>
        <w:pStyle w:val="Heading2"/>
      </w:pPr>
      <w:r>
        <w:t xml:space="preserve">Provided compliance assistance to Article 5 countries where required, </w:t>
      </w:r>
      <w:r w:rsidR="001B419F">
        <w:t>including assistance</w:t>
      </w:r>
      <w:r w:rsidR="00250A5F">
        <w:t xml:space="preserve"> </w:t>
      </w:r>
      <w:r>
        <w:t xml:space="preserve">for </w:t>
      </w:r>
      <w:r w:rsidR="003A6D95" w:rsidRPr="00843E9A">
        <w:t xml:space="preserve">Article 7 and country programme (CP) data reporting </w:t>
      </w:r>
      <w:r w:rsidR="00843E9A">
        <w:t>to 62 countries</w:t>
      </w:r>
      <w:r w:rsidR="00151F0D">
        <w:t>;</w:t>
      </w:r>
      <w:r w:rsidR="009550CA">
        <w:t xml:space="preserve"> </w:t>
      </w:r>
      <w:r w:rsidR="00151F0D">
        <w:t>assist</w:t>
      </w:r>
      <w:r w:rsidR="009C0F59">
        <w:t>ance to </w:t>
      </w:r>
      <w:r w:rsidR="00151F0D">
        <w:t>40</w:t>
      </w:r>
      <w:r w:rsidR="009C0F59">
        <w:t> </w:t>
      </w:r>
      <w:r w:rsidR="00151F0D">
        <w:t>countries with new national ozone officers (NOO</w:t>
      </w:r>
      <w:r w:rsidR="009C0F59">
        <w:t>s</w:t>
      </w:r>
      <w:r w:rsidR="00151F0D">
        <w:t>)</w:t>
      </w:r>
      <w:r w:rsidR="009C0F59">
        <w:t xml:space="preserve">; and </w:t>
      </w:r>
      <w:r w:rsidR="009C0F59" w:rsidRPr="001E4476">
        <w:rPr>
          <w:color w:val="000000" w:themeColor="text1"/>
        </w:rPr>
        <w:t>conducting</w:t>
      </w:r>
      <w:r w:rsidR="00151F0D" w:rsidRPr="001E4476">
        <w:rPr>
          <w:color w:val="000000" w:themeColor="text1"/>
        </w:rPr>
        <w:t xml:space="preserve"> </w:t>
      </w:r>
      <w:r w:rsidR="009550CA" w:rsidRPr="001E4476">
        <w:rPr>
          <w:color w:val="000000" w:themeColor="text1"/>
        </w:rPr>
        <w:t xml:space="preserve">demonstrations </w:t>
      </w:r>
      <w:r w:rsidR="009550CA">
        <w:t xml:space="preserve">on data reporting in network </w:t>
      </w:r>
      <w:r w:rsidR="009C0F59">
        <w:t>meetings</w:t>
      </w:r>
      <w:r w:rsidR="00250A5F">
        <w:t>;</w:t>
      </w:r>
      <w:r w:rsidR="001B419F">
        <w:t xml:space="preserve"> </w:t>
      </w:r>
    </w:p>
    <w:p w:rsidR="007567A3" w:rsidRDefault="00D95996" w:rsidP="00DF29AB">
      <w:pPr>
        <w:pStyle w:val="Heading2"/>
      </w:pPr>
      <w:r>
        <w:t>Supported</w:t>
      </w:r>
      <w:r w:rsidR="00DA2A56" w:rsidRPr="0040570A">
        <w:t xml:space="preserve"> </w:t>
      </w:r>
      <w:r w:rsidR="007567A3">
        <w:t>104 countries in implementing</w:t>
      </w:r>
      <w:r w:rsidR="007567A3" w:rsidRPr="00D95996">
        <w:t>, monitoring and reporting of institutional strengthening</w:t>
      </w:r>
      <w:r w:rsidR="00E42B03">
        <w:t xml:space="preserve"> (IS) projects;</w:t>
      </w:r>
    </w:p>
    <w:p w:rsidR="00DA2A56" w:rsidRPr="0040570A" w:rsidRDefault="007567A3" w:rsidP="00DF29AB">
      <w:pPr>
        <w:pStyle w:val="Heading2"/>
      </w:pPr>
      <w:r>
        <w:t xml:space="preserve">Supported </w:t>
      </w:r>
      <w:r w:rsidR="005C450B">
        <w:t>72</w:t>
      </w:r>
      <w:r w:rsidR="00D95996" w:rsidRPr="007F5C6B">
        <w:t xml:space="preserve"> c</w:t>
      </w:r>
      <w:r w:rsidR="00D95996">
        <w:t xml:space="preserve">ountries as lead implementing agency and </w:t>
      </w:r>
      <w:r w:rsidR="005C450B">
        <w:t>31</w:t>
      </w:r>
      <w:r w:rsidR="00D95996">
        <w:t xml:space="preserve"> countries as cooperating </w:t>
      </w:r>
      <w:r w:rsidR="001B419F">
        <w:lastRenderedPageBreak/>
        <w:t xml:space="preserve">implementing </w:t>
      </w:r>
      <w:r w:rsidR="00D95996">
        <w:t>agency</w:t>
      </w:r>
      <w:r>
        <w:t>,</w:t>
      </w:r>
      <w:r w:rsidR="00D95996">
        <w:t xml:space="preserve"> in </w:t>
      </w:r>
      <w:r>
        <w:t>the</w:t>
      </w:r>
      <w:r w:rsidR="00D95996">
        <w:t xml:space="preserve"> implementation of the HCFC ph</w:t>
      </w:r>
      <w:r>
        <w:t>ase-out management plans (HPMPs)</w:t>
      </w:r>
      <w:r w:rsidR="007F5C6B">
        <w:t>;</w:t>
      </w:r>
    </w:p>
    <w:p w:rsidR="00D95996" w:rsidRDefault="00D95996" w:rsidP="00DF29AB">
      <w:pPr>
        <w:pStyle w:val="Heading2"/>
      </w:pPr>
      <w:r>
        <w:t>Managed the operation of regional networks by organizing</w:t>
      </w:r>
      <w:r w:rsidRPr="00D95996">
        <w:t xml:space="preserve"> 36 network (one inter-regional) and thematic meeting</w:t>
      </w:r>
      <w:r w:rsidR="007567A3">
        <w:t>s</w:t>
      </w:r>
      <w:r w:rsidRPr="00D95996">
        <w:t xml:space="preserve"> to address issues related t</w:t>
      </w:r>
      <w:r w:rsidR="007567A3">
        <w:t>o</w:t>
      </w:r>
      <w:r w:rsidR="00E42B03">
        <w:t xml:space="preserve"> </w:t>
      </w:r>
      <w:r w:rsidR="00E42B03" w:rsidRPr="00E42B03">
        <w:rPr>
          <w:i/>
        </w:rPr>
        <w:t>inter alia</w:t>
      </w:r>
      <w:r w:rsidR="007567A3">
        <w:t xml:space="preserve"> HCFC </w:t>
      </w:r>
      <w:r w:rsidR="001E4476">
        <w:t xml:space="preserve">reporting and </w:t>
      </w:r>
      <w:r w:rsidR="007567A3">
        <w:t>phas</w:t>
      </w:r>
      <w:r w:rsidR="00E42B03">
        <w:t>e-out commitments; licensing and quota</w:t>
      </w:r>
      <w:r w:rsidR="007567A3">
        <w:t xml:space="preserve"> </w:t>
      </w:r>
      <w:r w:rsidRPr="00D95996">
        <w:t xml:space="preserve">systems, </w:t>
      </w:r>
      <w:r w:rsidR="001E4476">
        <w:t>c</w:t>
      </w:r>
      <w:r w:rsidRPr="00D95996">
        <w:t xml:space="preserve">ustoms training including ODS trade control, </w:t>
      </w:r>
      <w:r w:rsidR="002F1C55" w:rsidRPr="002F1C55">
        <w:t xml:space="preserve">informal prior informed consent </w:t>
      </w:r>
      <w:r w:rsidR="002F1C55">
        <w:t>(</w:t>
      </w:r>
      <w:r w:rsidRPr="00D95996">
        <w:t>iPIC</w:t>
      </w:r>
      <w:r w:rsidR="002F1C55">
        <w:t>)</w:t>
      </w:r>
      <w:r w:rsidRPr="00D95996">
        <w:t xml:space="preserve"> mechanism, the refrigeration servicing sector </w:t>
      </w:r>
      <w:r w:rsidR="007567A3">
        <w:t>and HFC phase</w:t>
      </w:r>
      <w:r w:rsidR="007567A3">
        <w:noBreakHyphen/>
      </w:r>
      <w:r w:rsidRPr="00D95996">
        <w:t xml:space="preserve">down; developed and operated a network/thematic meeting portal which has </w:t>
      </w:r>
      <w:r>
        <w:t>facilitated access of documentation to</w:t>
      </w:r>
      <w:r w:rsidRPr="00D95996">
        <w:t xml:space="preserve"> </w:t>
      </w:r>
      <w:r>
        <w:t xml:space="preserve">network </w:t>
      </w:r>
      <w:r w:rsidRPr="00D95996">
        <w:t>meetings</w:t>
      </w:r>
      <w:r w:rsidR="007F5C6B">
        <w:t>;</w:t>
      </w:r>
    </w:p>
    <w:p w:rsidR="007567A3" w:rsidRPr="00D7224A" w:rsidRDefault="007567A3" w:rsidP="00DF29AB">
      <w:pPr>
        <w:pStyle w:val="Heading2"/>
      </w:pPr>
      <w:r w:rsidRPr="00D7224A">
        <w:t>Introduced the refrigerants literacy e-learning course and sound management of refrigerants and offered to all stakeholders in Article 5 countries; in cooperation with international partners, developed the Universal Training Kit for technicians and the refrigerant management certification programme, being</w:t>
      </w:r>
      <w:r w:rsidR="00F379A0" w:rsidRPr="00D7224A">
        <w:t xml:space="preserve"> implemented </w:t>
      </w:r>
      <w:r w:rsidRPr="00D7224A">
        <w:t>in six countries; provided technical and policy assistance to NOUs in developing and enforcing national certification schemes;</w:t>
      </w:r>
      <w:r w:rsidR="000F398B" w:rsidRPr="00D7224A">
        <w:t xml:space="preserve"> </w:t>
      </w:r>
      <w:r w:rsidRPr="00D7224A">
        <w:t xml:space="preserve">supported countries to develop a competency standard under National Qualification Frameworks (NQF) to include good practices competency; and supported RAC industry associations in seven countries to promote certification system with good practices requirements for servicing workshops; </w:t>
      </w:r>
    </w:p>
    <w:p w:rsidR="00BC337B" w:rsidRPr="005D701E" w:rsidRDefault="00FE0881" w:rsidP="00DF29AB">
      <w:pPr>
        <w:pStyle w:val="Heading2"/>
        <w:keepNext/>
        <w:widowControl/>
      </w:pPr>
      <w:r w:rsidRPr="00FE0881">
        <w:t xml:space="preserve">Disseminated information on safety standards, factsheets, mobile applications and publications </w:t>
      </w:r>
      <w:r>
        <w:t xml:space="preserve">relating to </w:t>
      </w:r>
      <w:r w:rsidR="00D7224A">
        <w:t xml:space="preserve">flammable and toxic alternative </w:t>
      </w:r>
      <w:r w:rsidR="002C1CBB">
        <w:t>refrigerants</w:t>
      </w:r>
      <w:r>
        <w:t xml:space="preserve">; </w:t>
      </w:r>
      <w:r w:rsidR="002C1CBB">
        <w:t xml:space="preserve">and </w:t>
      </w:r>
      <w:r>
        <w:t>a</w:t>
      </w:r>
      <w:r w:rsidRPr="00FE0881">
        <w:t xml:space="preserve">ssisted </w:t>
      </w:r>
      <w:r w:rsidR="00B44193">
        <w:t>13 </w:t>
      </w:r>
      <w:r w:rsidRPr="00FE0881">
        <w:t xml:space="preserve">countries </w:t>
      </w:r>
      <w:r w:rsidR="000F398B">
        <w:t xml:space="preserve">to </w:t>
      </w:r>
      <w:r w:rsidRPr="00FE0881">
        <w:t>develop a national work</w:t>
      </w:r>
      <w:r w:rsidR="00D7224A">
        <w:t xml:space="preserve"> </w:t>
      </w:r>
      <w:r w:rsidRPr="00FE0881">
        <w:t xml:space="preserve">plan for the cooperation with </w:t>
      </w:r>
      <w:r w:rsidR="00D7224A">
        <w:t xml:space="preserve">local </w:t>
      </w:r>
      <w:r w:rsidRPr="005D701E">
        <w:t>standard</w:t>
      </w:r>
      <w:r w:rsidR="000F398B">
        <w:t xml:space="preserve">s </w:t>
      </w:r>
      <w:r w:rsidR="00D7224A">
        <w:t xml:space="preserve"> </w:t>
      </w:r>
      <w:r w:rsidRPr="005D701E">
        <w:t>bodies in updating/enforcing relevant standards</w:t>
      </w:r>
      <w:r w:rsidR="00A244AC" w:rsidRPr="005D701E">
        <w:t xml:space="preserve">; </w:t>
      </w:r>
    </w:p>
    <w:p w:rsidR="005D701E" w:rsidRPr="0040570A" w:rsidRDefault="00DA2A56" w:rsidP="00DF29AB">
      <w:pPr>
        <w:pStyle w:val="Heading2"/>
      </w:pPr>
      <w:r w:rsidRPr="0040570A">
        <w:t>Developed new global and regional capacity building and information products and services</w:t>
      </w:r>
      <w:r w:rsidR="00FF1520" w:rsidRPr="0040570A">
        <w:t>, including guides and publications, factsheets and policy briefs</w:t>
      </w:r>
      <w:r w:rsidRPr="0040570A">
        <w:t xml:space="preserve">; </w:t>
      </w:r>
      <w:r w:rsidR="00FF1520" w:rsidRPr="0040570A">
        <w:t xml:space="preserve">developed </w:t>
      </w:r>
      <w:r w:rsidR="005D701E" w:rsidRPr="0040570A">
        <w:t xml:space="preserve">information tools </w:t>
      </w:r>
      <w:r w:rsidR="001B419F">
        <w:t>(</w:t>
      </w:r>
      <w:r w:rsidR="002C1CBB">
        <w:t>e</w:t>
      </w:r>
      <w:r w:rsidR="001B419F">
        <w:t>.</w:t>
      </w:r>
      <w:r w:rsidR="002C1CBB">
        <w:t>g</w:t>
      </w:r>
      <w:r w:rsidR="001B419F">
        <w:t>.</w:t>
      </w:r>
      <w:r w:rsidR="00F379A0">
        <w:t>,</w:t>
      </w:r>
      <w:r w:rsidR="001B419F">
        <w:t xml:space="preserve"> </w:t>
      </w:r>
      <w:r w:rsidR="005D701E" w:rsidRPr="0040570A">
        <w:t xml:space="preserve">videos on how to use and maintain a refrigerant identifier, guidance </w:t>
      </w:r>
      <w:r w:rsidR="002C1CBB">
        <w:t>on safety and best practice</w:t>
      </w:r>
      <w:r w:rsidR="00F379A0">
        <w:t xml:space="preserve"> and testing procedures)</w:t>
      </w:r>
      <w:r w:rsidR="005D701E" w:rsidRPr="0040570A">
        <w:t>; distributed OzonAction newsletter</w:t>
      </w:r>
      <w:r w:rsidR="002C1CBB">
        <w:t>,</w:t>
      </w:r>
      <w:r w:rsidR="005D701E" w:rsidRPr="0040570A">
        <w:t xml:space="preserve"> translated OzonAction publications; </w:t>
      </w:r>
      <w:r w:rsidR="002C1CBB">
        <w:t xml:space="preserve">and </w:t>
      </w:r>
      <w:r w:rsidR="005D701E" w:rsidRPr="0040570A">
        <w:t xml:space="preserve">regularly updated the OzonAction website; </w:t>
      </w:r>
    </w:p>
    <w:p w:rsidR="002C1CBB" w:rsidRPr="0040570A" w:rsidRDefault="002C1CBB" w:rsidP="00DF29AB">
      <w:pPr>
        <w:pStyle w:val="Heading2"/>
      </w:pPr>
      <w:r>
        <w:t xml:space="preserve">Provided assistance in the implementation of </w:t>
      </w:r>
      <w:r w:rsidRPr="0040570A">
        <w:t xml:space="preserve">enabling activities </w:t>
      </w:r>
      <w:r>
        <w:t xml:space="preserve">for HFC phase-down </w:t>
      </w:r>
      <w:r w:rsidRPr="0040570A">
        <w:t xml:space="preserve">in </w:t>
      </w:r>
      <w:r>
        <w:t>94</w:t>
      </w:r>
      <w:r w:rsidRPr="0040570A">
        <w:t xml:space="preserve"> countries; conducted </w:t>
      </w:r>
      <w:r>
        <w:t>m</w:t>
      </w:r>
      <w:r w:rsidRPr="0040570A">
        <w:t>issions to 32 countries to assist them with timely implementation</w:t>
      </w:r>
      <w:r w:rsidR="00E42B03">
        <w:t>,</w:t>
      </w:r>
      <w:r>
        <w:t xml:space="preserve"> and facilitating</w:t>
      </w:r>
      <w:r w:rsidRPr="0040570A">
        <w:t xml:space="preserve"> multi-stakeholder consultations on the Kigali Amendment; in cooperation with Ozone Secretariat, provided support as needed to countries in the ratification process and, provided documentation and information to NOUs on implications of Kigali ratification; developed a modelling tool (HFC outlook) to assist in understanding of the impact of Kigali Amendment on technology selection and options i</w:t>
      </w:r>
      <w:r>
        <w:t>n the air-conditioning industry;</w:t>
      </w:r>
      <w:r w:rsidR="00246F2A">
        <w:t xml:space="preserve"> </w:t>
      </w:r>
      <w:r w:rsidR="00D7224A">
        <w:t>and</w:t>
      </w:r>
    </w:p>
    <w:p w:rsidR="0062552A" w:rsidRPr="00DF29AB" w:rsidRDefault="00DA2A56" w:rsidP="00DF29AB">
      <w:pPr>
        <w:pStyle w:val="Heading2"/>
      </w:pPr>
      <w:r w:rsidRPr="0040570A">
        <w:t>Continued partnerships with industry associations</w:t>
      </w:r>
      <w:r w:rsidR="00F379A0">
        <w:rPr>
          <w:rStyle w:val="FootnoteReference"/>
        </w:rPr>
        <w:footnoteReference w:id="4"/>
      </w:r>
      <w:r w:rsidR="002C1CBB">
        <w:t xml:space="preserve">, </w:t>
      </w:r>
      <w:r w:rsidRPr="0040570A">
        <w:rPr>
          <w:i/>
        </w:rPr>
        <w:t>inter alia</w:t>
      </w:r>
      <w:r w:rsidRPr="0040570A">
        <w:t xml:space="preserve">, on the development and operation of e-learning modules for technicians and the </w:t>
      </w:r>
      <w:r w:rsidR="00F379A0">
        <w:t xml:space="preserve">refrigerant driving license </w:t>
      </w:r>
      <w:r w:rsidR="002C1CBB">
        <w:t>(RDL)</w:t>
      </w:r>
      <w:r w:rsidRPr="0040570A">
        <w:t xml:space="preserve"> global refrigeration qualification program</w:t>
      </w:r>
      <w:r w:rsidR="002C1CBB">
        <w:t>me</w:t>
      </w:r>
      <w:r w:rsidRPr="0040570A">
        <w:t xml:space="preserve">; </w:t>
      </w:r>
      <w:r w:rsidR="00D7224A">
        <w:t xml:space="preserve">and </w:t>
      </w:r>
      <w:r w:rsidR="005918D6" w:rsidRPr="0040570A">
        <w:t>develop</w:t>
      </w:r>
      <w:r w:rsidR="005918D6">
        <w:t>ed</w:t>
      </w:r>
      <w:r w:rsidR="005918D6" w:rsidRPr="0040570A">
        <w:t xml:space="preserve"> </w:t>
      </w:r>
      <w:r w:rsidRPr="0040570A">
        <w:t xml:space="preserve">a guide </w:t>
      </w:r>
      <w:r w:rsidRPr="00DF29AB">
        <w:t xml:space="preserve">for laboratories </w:t>
      </w:r>
      <w:r w:rsidR="005918D6" w:rsidRPr="00DF29AB">
        <w:t xml:space="preserve">for </w:t>
      </w:r>
      <w:r w:rsidRPr="00DF29AB">
        <w:t xml:space="preserve">testing </w:t>
      </w:r>
      <w:r w:rsidR="005918D6" w:rsidRPr="00DF29AB">
        <w:t xml:space="preserve">alternative </w:t>
      </w:r>
      <w:r w:rsidRPr="00DF29AB">
        <w:t>refrigerants</w:t>
      </w:r>
      <w:r w:rsidR="005D701E" w:rsidRPr="00DF29AB">
        <w:t>.</w:t>
      </w:r>
    </w:p>
    <w:p w:rsidR="00DA2A56" w:rsidRPr="0075579E" w:rsidRDefault="00DA2A56" w:rsidP="00B44193">
      <w:pPr>
        <w:keepNext/>
        <w:keepLines/>
        <w:spacing w:after="240"/>
        <w:rPr>
          <w:u w:val="single"/>
          <w:lang w:val="en-US"/>
        </w:rPr>
      </w:pPr>
      <w:r w:rsidRPr="0075579E">
        <w:rPr>
          <w:u w:val="single"/>
          <w:lang w:val="en-US"/>
        </w:rPr>
        <w:lastRenderedPageBreak/>
        <w:t>Fund disbursement</w:t>
      </w:r>
    </w:p>
    <w:p w:rsidR="00DA2A56" w:rsidRPr="0075579E" w:rsidRDefault="00DA2A56" w:rsidP="00B44193">
      <w:pPr>
        <w:pStyle w:val="Heading1"/>
        <w:keepNext/>
        <w:keepLines/>
        <w:rPr>
          <w:lang w:val="en-US"/>
        </w:rPr>
      </w:pPr>
      <w:r w:rsidRPr="0075579E">
        <w:rPr>
          <w:lang w:val="en-US"/>
        </w:rPr>
        <w:t>Of the US $</w:t>
      </w:r>
      <w:r w:rsidR="0075579E" w:rsidRPr="0075579E">
        <w:rPr>
          <w:lang w:val="en-US"/>
        </w:rPr>
        <w:t>9,</w:t>
      </w:r>
      <w:r w:rsidR="00D7224A">
        <w:rPr>
          <w:lang w:val="en-US"/>
        </w:rPr>
        <w:t>863</w:t>
      </w:r>
      <w:r w:rsidRPr="0075579E">
        <w:rPr>
          <w:lang w:val="en-US"/>
        </w:rPr>
        <w:t>,</w:t>
      </w:r>
      <w:r w:rsidR="0075579E" w:rsidRPr="0075579E">
        <w:rPr>
          <w:lang w:val="en-US"/>
        </w:rPr>
        <w:t>000</w:t>
      </w:r>
      <w:r w:rsidRPr="0075579E">
        <w:rPr>
          <w:lang w:val="en-US"/>
        </w:rPr>
        <w:t xml:space="preserve"> plus agency support costs of US $</w:t>
      </w:r>
      <w:r w:rsidR="00D7224A">
        <w:rPr>
          <w:lang w:val="en-US"/>
        </w:rPr>
        <w:t>789,040</w:t>
      </w:r>
      <w:r w:rsidRPr="0075579E">
        <w:rPr>
          <w:lang w:val="en-US"/>
        </w:rPr>
        <w:t xml:space="preserve"> approved for the CAP budget for </w:t>
      </w:r>
      <w:r w:rsidR="005918D6" w:rsidRPr="0075579E">
        <w:rPr>
          <w:lang w:val="en-US"/>
        </w:rPr>
        <w:t>201</w:t>
      </w:r>
      <w:r w:rsidR="005918D6">
        <w:rPr>
          <w:lang w:val="en-US"/>
        </w:rPr>
        <w:t>8</w:t>
      </w:r>
      <w:r w:rsidRPr="0075579E">
        <w:rPr>
          <w:lang w:val="en-US"/>
        </w:rPr>
        <w:t xml:space="preserve">, UNEP would return </w:t>
      </w:r>
      <w:r w:rsidRPr="00DF29AB">
        <w:rPr>
          <w:lang w:val="en-US"/>
        </w:rPr>
        <w:t>US $</w:t>
      </w:r>
      <w:r w:rsidR="005918D6" w:rsidRPr="00DF29AB">
        <w:rPr>
          <w:lang w:val="en-US"/>
        </w:rPr>
        <w:t>1,972,809</w:t>
      </w:r>
      <w:r w:rsidRPr="00DF29AB">
        <w:rPr>
          <w:lang w:val="en-US"/>
        </w:rPr>
        <w:t>, plus agency support costs of US $</w:t>
      </w:r>
      <w:r w:rsidR="005918D6" w:rsidRPr="00DF29AB">
        <w:rPr>
          <w:lang w:val="en-US"/>
        </w:rPr>
        <w:t>157,825</w:t>
      </w:r>
      <w:r w:rsidR="005918D6" w:rsidRPr="0075579E">
        <w:rPr>
          <w:lang w:val="en-US"/>
        </w:rPr>
        <w:t xml:space="preserve"> </w:t>
      </w:r>
      <w:r w:rsidRPr="0075579E">
        <w:rPr>
          <w:lang w:val="en-US"/>
        </w:rPr>
        <w:t>to the 8</w:t>
      </w:r>
      <w:r w:rsidR="0075579E" w:rsidRPr="0075579E">
        <w:rPr>
          <w:lang w:val="en-US"/>
        </w:rPr>
        <w:t>4</w:t>
      </w:r>
      <w:r w:rsidR="0075579E" w:rsidRPr="0075579E">
        <w:rPr>
          <w:vertAlign w:val="superscript"/>
          <w:lang w:val="en-US"/>
        </w:rPr>
        <w:t>th</w:t>
      </w:r>
      <w:r w:rsidR="0075579E" w:rsidRPr="0075579E">
        <w:rPr>
          <w:lang w:val="en-US"/>
        </w:rPr>
        <w:t xml:space="preserve"> </w:t>
      </w:r>
      <w:r w:rsidRPr="0075579E">
        <w:rPr>
          <w:lang w:val="en-US"/>
        </w:rPr>
        <w:t>meeting, in line with decision 35/36(d)</w:t>
      </w:r>
      <w:r w:rsidR="00945064">
        <w:rPr>
          <w:lang w:val="en-US"/>
        </w:rPr>
        <w:t>.</w:t>
      </w:r>
      <w:r w:rsidR="00E930CE">
        <w:rPr>
          <w:lang w:val="en-US"/>
        </w:rPr>
        <w:t xml:space="preserve"> The return is included in the report on balances and availability of resources.</w:t>
      </w:r>
      <w:r w:rsidR="00E930CE">
        <w:rPr>
          <w:rStyle w:val="FootnoteReference"/>
          <w:lang w:val="en-US"/>
        </w:rPr>
        <w:footnoteReference w:id="5"/>
      </w:r>
    </w:p>
    <w:p w:rsidR="00DA2A56" w:rsidRPr="003D5FB9" w:rsidRDefault="00DA2A56" w:rsidP="00DF29AB">
      <w:pPr>
        <w:keepNext/>
        <w:spacing w:after="240"/>
        <w:rPr>
          <w:u w:val="single"/>
          <w:lang w:val="en-US"/>
        </w:rPr>
      </w:pPr>
      <w:r w:rsidRPr="0075579E">
        <w:rPr>
          <w:u w:val="single"/>
          <w:lang w:val="en-US"/>
        </w:rPr>
        <w:t>20</w:t>
      </w:r>
      <w:r w:rsidR="0075579E" w:rsidRPr="0075579E">
        <w:rPr>
          <w:u w:val="single"/>
          <w:lang w:val="en-US"/>
        </w:rPr>
        <w:t>20</w:t>
      </w:r>
      <w:r w:rsidRPr="0075579E">
        <w:rPr>
          <w:u w:val="single"/>
          <w:lang w:val="en-US"/>
        </w:rPr>
        <w:t xml:space="preserve"> </w:t>
      </w:r>
      <w:r w:rsidRPr="003D5FB9">
        <w:rPr>
          <w:u w:val="single"/>
          <w:lang w:val="en-US"/>
        </w:rPr>
        <w:t>CAP work programme</w:t>
      </w:r>
    </w:p>
    <w:p w:rsidR="00DA2A56" w:rsidRPr="003D5FB9" w:rsidRDefault="00DA2A56" w:rsidP="00DF29AB">
      <w:pPr>
        <w:pStyle w:val="Heading1"/>
        <w:keepNext/>
        <w:rPr>
          <w:lang w:val="en-US"/>
        </w:rPr>
      </w:pPr>
      <w:r w:rsidRPr="003D5FB9">
        <w:rPr>
          <w:lang w:val="en-US"/>
        </w:rPr>
        <w:t>For 20</w:t>
      </w:r>
      <w:r w:rsidR="0075579E" w:rsidRPr="003D5FB9">
        <w:rPr>
          <w:lang w:val="en-US"/>
        </w:rPr>
        <w:t>20</w:t>
      </w:r>
      <w:r w:rsidRPr="003D5FB9">
        <w:rPr>
          <w:lang w:val="en-US"/>
        </w:rPr>
        <w:t xml:space="preserve"> UNEP will continue implementing the activities identified as part of the revised 2018</w:t>
      </w:r>
      <w:r w:rsidRPr="003D5FB9">
        <w:rPr>
          <w:lang w:val="en-US"/>
        </w:rPr>
        <w:noBreakHyphen/>
        <w:t>2020 three-year rolling strategy and in line with the strategic programme objectives through those listed below:</w:t>
      </w:r>
    </w:p>
    <w:p w:rsidR="00DA2A56" w:rsidRPr="003D5FB9" w:rsidRDefault="006054CB" w:rsidP="00DF29AB">
      <w:pPr>
        <w:pStyle w:val="Heading2"/>
        <w:rPr>
          <w:lang w:val="en-US"/>
        </w:rPr>
      </w:pPr>
      <w:r w:rsidRPr="003D5FB9">
        <w:rPr>
          <w:lang w:val="en-US"/>
        </w:rPr>
        <w:t xml:space="preserve">Provide </w:t>
      </w:r>
      <w:r w:rsidR="005918D6">
        <w:rPr>
          <w:lang w:val="en-US"/>
        </w:rPr>
        <w:t>over 400</w:t>
      </w:r>
      <w:r w:rsidR="005918D6" w:rsidRPr="003D5FB9">
        <w:rPr>
          <w:lang w:val="en-US"/>
        </w:rPr>
        <w:t xml:space="preserve"> </w:t>
      </w:r>
      <w:r w:rsidR="00DA2A56" w:rsidRPr="003D5FB9">
        <w:rPr>
          <w:lang w:val="en-US"/>
        </w:rPr>
        <w:t>country-specific compliance services to Article 5 countries targeting those at risk of compliance with their Montreal Protocol targets;</w:t>
      </w:r>
    </w:p>
    <w:p w:rsidR="0082063A" w:rsidRPr="0082063A" w:rsidRDefault="00DA2A56" w:rsidP="00DF29AB">
      <w:pPr>
        <w:pStyle w:val="Heading2"/>
        <w:rPr>
          <w:lang w:val="en-US"/>
        </w:rPr>
      </w:pPr>
      <w:r w:rsidRPr="0082063A">
        <w:rPr>
          <w:lang w:val="en-US"/>
        </w:rPr>
        <w:t>Continue operation of the 10 regional networks of NOU officers</w:t>
      </w:r>
      <w:r w:rsidR="00E42B03">
        <w:rPr>
          <w:lang w:val="en-US"/>
        </w:rPr>
        <w:t>,</w:t>
      </w:r>
      <w:r w:rsidRPr="0082063A">
        <w:rPr>
          <w:lang w:val="en-US"/>
        </w:rPr>
        <w:t xml:space="preserve"> </w:t>
      </w:r>
      <w:r w:rsidR="006A423F" w:rsidRPr="0082063A">
        <w:rPr>
          <w:lang w:val="en-US"/>
        </w:rPr>
        <w:t xml:space="preserve">provide </w:t>
      </w:r>
      <w:r w:rsidRPr="0082063A">
        <w:rPr>
          <w:lang w:val="en-US"/>
        </w:rPr>
        <w:t>assistance for NOO</w:t>
      </w:r>
      <w:r w:rsidR="006054CB" w:rsidRPr="0082063A">
        <w:rPr>
          <w:lang w:val="en-US"/>
        </w:rPr>
        <w:t>s</w:t>
      </w:r>
      <w:r w:rsidR="00E56D5F" w:rsidRPr="0082063A">
        <w:rPr>
          <w:lang w:val="en-US"/>
        </w:rPr>
        <w:t xml:space="preserve"> </w:t>
      </w:r>
      <w:r w:rsidR="006A423F" w:rsidRPr="003D5FB9">
        <w:t xml:space="preserve">in </w:t>
      </w:r>
      <w:r w:rsidR="00165EF6" w:rsidRPr="003D5FB9">
        <w:t xml:space="preserve">the </w:t>
      </w:r>
      <w:r w:rsidR="006A423F" w:rsidRPr="003D5FB9">
        <w:t xml:space="preserve">implementation </w:t>
      </w:r>
      <w:r w:rsidR="00165EF6" w:rsidRPr="003D5FB9">
        <w:t xml:space="preserve">of licensing and quota systems </w:t>
      </w:r>
      <w:r w:rsidR="005918D6">
        <w:t xml:space="preserve">and </w:t>
      </w:r>
      <w:r w:rsidR="00165EF6" w:rsidRPr="003D5FB9">
        <w:t xml:space="preserve">the use of </w:t>
      </w:r>
      <w:r w:rsidR="003C5CBC">
        <w:t xml:space="preserve">the </w:t>
      </w:r>
      <w:r w:rsidR="00165EF6" w:rsidRPr="003D5FB9">
        <w:t>online iPIC system;</w:t>
      </w:r>
      <w:r w:rsidR="00E56D5F" w:rsidRPr="003D5FB9">
        <w:t xml:space="preserve"> </w:t>
      </w:r>
    </w:p>
    <w:p w:rsidR="006A423F" w:rsidRPr="0082063A" w:rsidRDefault="00555672" w:rsidP="00DF29AB">
      <w:pPr>
        <w:pStyle w:val="Heading2"/>
        <w:rPr>
          <w:lang w:val="en-US"/>
        </w:rPr>
      </w:pPr>
      <w:r w:rsidRPr="0082063A">
        <w:rPr>
          <w:lang w:val="en-US"/>
        </w:rPr>
        <w:t xml:space="preserve">Assist NOUs </w:t>
      </w:r>
      <w:r w:rsidR="00165EF6" w:rsidRPr="0082063A">
        <w:rPr>
          <w:lang w:val="en-US"/>
        </w:rPr>
        <w:t xml:space="preserve">in reviewing Customs and trade regulations and policies in cooperation with </w:t>
      </w:r>
      <w:r w:rsidR="005918D6">
        <w:rPr>
          <w:lang w:val="en-US"/>
        </w:rPr>
        <w:t>relevant</w:t>
      </w:r>
      <w:r w:rsidR="005918D6" w:rsidRPr="0082063A">
        <w:rPr>
          <w:lang w:val="en-US"/>
        </w:rPr>
        <w:t xml:space="preserve"> </w:t>
      </w:r>
      <w:r w:rsidR="00165EF6" w:rsidRPr="0082063A">
        <w:rPr>
          <w:lang w:val="en-US"/>
        </w:rPr>
        <w:t xml:space="preserve">national authorities; </w:t>
      </w:r>
      <w:r w:rsidRPr="0082063A">
        <w:rPr>
          <w:lang w:val="en-US"/>
        </w:rPr>
        <w:t xml:space="preserve">demonstrate and promote the UNEP-World Customs Organisation (WCO) Montreal Protocol Training for Customs Officers e-learning course, </w:t>
      </w:r>
      <w:r w:rsidRPr="005C450B">
        <w:rPr>
          <w:i/>
          <w:lang w:val="en-US"/>
        </w:rPr>
        <w:t>WhatGas?</w:t>
      </w:r>
      <w:r w:rsidRPr="0082063A">
        <w:rPr>
          <w:lang w:val="en-US"/>
        </w:rPr>
        <w:t xml:space="preserve"> mobile application, and Refrigerant Identifier mobile application to NOUs and national Customs agencies</w:t>
      </w:r>
      <w:r w:rsidR="00165EF6" w:rsidRPr="0082063A">
        <w:rPr>
          <w:lang w:val="en-US"/>
        </w:rPr>
        <w:t>;</w:t>
      </w:r>
    </w:p>
    <w:p w:rsidR="00DA2A56" w:rsidRPr="0040570A" w:rsidRDefault="00DA2A56" w:rsidP="00DF29AB">
      <w:pPr>
        <w:pStyle w:val="Heading2"/>
        <w:rPr>
          <w:lang w:val="en-US"/>
        </w:rPr>
      </w:pPr>
      <w:r w:rsidRPr="0040570A">
        <w:rPr>
          <w:lang w:val="en-US"/>
        </w:rPr>
        <w:t>S</w:t>
      </w:r>
      <w:r w:rsidR="00945064">
        <w:rPr>
          <w:lang w:val="en-US"/>
        </w:rPr>
        <w:t xml:space="preserve">trengthen the servicing sector by further providing training through the </w:t>
      </w:r>
      <w:r w:rsidR="00555672" w:rsidRPr="0040570A">
        <w:rPr>
          <w:lang w:val="en-US"/>
        </w:rPr>
        <w:t>RDL</w:t>
      </w:r>
      <w:r w:rsidR="0040570A">
        <w:rPr>
          <w:lang w:val="en-US"/>
        </w:rPr>
        <w:t>,</w:t>
      </w:r>
      <w:r w:rsidRPr="0040570A">
        <w:rPr>
          <w:lang w:val="en-US"/>
        </w:rPr>
        <w:t xml:space="preserve"> certification scheme for technicians</w:t>
      </w:r>
      <w:r w:rsidR="0040570A">
        <w:rPr>
          <w:lang w:val="en-US"/>
        </w:rPr>
        <w:t>,</w:t>
      </w:r>
      <w:r w:rsidRPr="0040570A">
        <w:rPr>
          <w:lang w:val="en-US"/>
        </w:rPr>
        <w:t xml:space="preserve"> global training for service technicians;</w:t>
      </w:r>
      <w:r w:rsidRPr="0040570A">
        <w:t xml:space="preserve"> </w:t>
      </w:r>
      <w:r w:rsidR="00945064">
        <w:rPr>
          <w:lang w:val="en-US"/>
        </w:rPr>
        <w:t xml:space="preserve">building capacity of regional and national </w:t>
      </w:r>
      <w:r w:rsidR="00C60DED" w:rsidRPr="0040570A">
        <w:rPr>
          <w:lang w:val="en-US"/>
        </w:rPr>
        <w:t xml:space="preserve">master </w:t>
      </w:r>
      <w:r w:rsidR="005C450B" w:rsidRPr="0040570A">
        <w:rPr>
          <w:lang w:val="en-US"/>
        </w:rPr>
        <w:t>trainer</w:t>
      </w:r>
      <w:r w:rsidR="005C450B">
        <w:rPr>
          <w:lang w:val="en-US"/>
        </w:rPr>
        <w:t>s,</w:t>
      </w:r>
      <w:r w:rsidR="00C60DED" w:rsidRPr="0040570A">
        <w:rPr>
          <w:lang w:val="en-US"/>
        </w:rPr>
        <w:t xml:space="preserve"> and promote gender mainstreaming of female technicians</w:t>
      </w:r>
      <w:r w:rsidR="0082063A">
        <w:rPr>
          <w:lang w:val="en-US"/>
        </w:rPr>
        <w:t xml:space="preserve"> and</w:t>
      </w:r>
      <w:r w:rsidR="00C60DED" w:rsidRPr="0040570A">
        <w:rPr>
          <w:lang w:val="en-US"/>
        </w:rPr>
        <w:t xml:space="preserve"> </w:t>
      </w:r>
      <w:r w:rsidR="0082063A" w:rsidRPr="0040570A">
        <w:rPr>
          <w:lang w:val="en-US"/>
        </w:rPr>
        <w:t xml:space="preserve">experts </w:t>
      </w:r>
      <w:r w:rsidR="005C450B">
        <w:rPr>
          <w:lang w:val="en-US"/>
        </w:rPr>
        <w:t xml:space="preserve">in </w:t>
      </w:r>
      <w:r w:rsidR="0082063A" w:rsidRPr="0040570A">
        <w:rPr>
          <w:lang w:val="en-US"/>
        </w:rPr>
        <w:t xml:space="preserve">the RAC sector </w:t>
      </w:r>
      <w:r w:rsidR="00C60DED" w:rsidRPr="0040570A">
        <w:rPr>
          <w:lang w:val="en-US"/>
        </w:rPr>
        <w:t>encourag</w:t>
      </w:r>
      <w:r w:rsidR="003C5CBC">
        <w:rPr>
          <w:lang w:val="en-US"/>
        </w:rPr>
        <w:t>ing their</w:t>
      </w:r>
      <w:r w:rsidR="00C60DED" w:rsidRPr="0040570A">
        <w:rPr>
          <w:lang w:val="en-US"/>
        </w:rPr>
        <w:t xml:space="preserve"> participation in workshops and training organised by CAP and by Article 5 countries; </w:t>
      </w:r>
    </w:p>
    <w:p w:rsidR="00945064" w:rsidRPr="00D7224A" w:rsidRDefault="00555672" w:rsidP="00DF29AB">
      <w:pPr>
        <w:pStyle w:val="Heading2"/>
        <w:rPr>
          <w:lang w:val="en-US"/>
        </w:rPr>
      </w:pPr>
      <w:r w:rsidRPr="00945064">
        <w:rPr>
          <w:lang w:val="en-US"/>
        </w:rPr>
        <w:t xml:space="preserve">Promote the development and implementation of certification programmes for </w:t>
      </w:r>
      <w:r w:rsidR="00945064" w:rsidRPr="00945064">
        <w:rPr>
          <w:lang w:val="en-US"/>
        </w:rPr>
        <w:t xml:space="preserve">the </w:t>
      </w:r>
      <w:r w:rsidR="00D7224A">
        <w:rPr>
          <w:lang w:val="en-US"/>
        </w:rPr>
        <w:t>refrigeration servicing sector</w:t>
      </w:r>
      <w:r w:rsidRPr="00945064">
        <w:rPr>
          <w:lang w:val="en-US"/>
        </w:rPr>
        <w:t xml:space="preserve"> in Article 5 countries as part of HPMPs or through CAP services; encourage and assist NOUs to work with their </w:t>
      </w:r>
      <w:r w:rsidR="00945064" w:rsidRPr="00945064">
        <w:rPr>
          <w:lang w:val="en-US"/>
        </w:rPr>
        <w:t xml:space="preserve">technical and vocational education and training </w:t>
      </w:r>
      <w:r w:rsidRPr="00945064">
        <w:rPr>
          <w:lang w:val="en-US"/>
        </w:rPr>
        <w:t>authorities to integrate good servicing practices and into nat</w:t>
      </w:r>
      <w:r w:rsidR="003C5CBC">
        <w:rPr>
          <w:lang w:val="en-US"/>
        </w:rPr>
        <w:t xml:space="preserve">ional qualification </w:t>
      </w:r>
      <w:r w:rsidR="003C5CBC" w:rsidRPr="00D7224A">
        <w:rPr>
          <w:lang w:val="en-US"/>
        </w:rPr>
        <w:t>frameworks</w:t>
      </w:r>
      <w:r w:rsidRPr="00D7224A">
        <w:rPr>
          <w:lang w:val="en-US"/>
        </w:rPr>
        <w:t xml:space="preserve">; </w:t>
      </w:r>
    </w:p>
    <w:p w:rsidR="00945064" w:rsidRPr="00D7224A" w:rsidRDefault="00E56D5F" w:rsidP="00DF29AB">
      <w:pPr>
        <w:pStyle w:val="Heading2"/>
        <w:rPr>
          <w:lang w:val="en-US"/>
        </w:rPr>
      </w:pPr>
      <w:r w:rsidRPr="00D7224A">
        <w:rPr>
          <w:lang w:val="en-US"/>
        </w:rPr>
        <w:t xml:space="preserve">Promote </w:t>
      </w:r>
      <w:r w:rsidR="003C5CBC" w:rsidRPr="00D7224A">
        <w:rPr>
          <w:lang w:val="en-US"/>
        </w:rPr>
        <w:t xml:space="preserve">the </w:t>
      </w:r>
      <w:r w:rsidRPr="00D7224A">
        <w:rPr>
          <w:lang w:val="en-US"/>
        </w:rPr>
        <w:t>development and enforcement of standards for safe handling of flammable and toxic</w:t>
      </w:r>
      <w:r w:rsidR="00E42B03" w:rsidRPr="00D7224A">
        <w:rPr>
          <w:lang w:val="en-US"/>
        </w:rPr>
        <w:t xml:space="preserve"> refrigerants</w:t>
      </w:r>
      <w:r w:rsidRPr="00D7224A">
        <w:rPr>
          <w:lang w:val="en-US"/>
        </w:rPr>
        <w:t xml:space="preserve"> in cooperation with </w:t>
      </w:r>
      <w:r w:rsidR="003C5CBC" w:rsidRPr="00D7224A">
        <w:rPr>
          <w:lang w:val="en-US"/>
        </w:rPr>
        <w:t>international/regional partners</w:t>
      </w:r>
      <w:r w:rsidRPr="00D7224A">
        <w:rPr>
          <w:lang w:val="en-US"/>
        </w:rPr>
        <w:t xml:space="preserve">; development of a model </w:t>
      </w:r>
      <w:r w:rsidR="005918D6" w:rsidRPr="00D7224A">
        <w:rPr>
          <w:lang w:val="en-US"/>
        </w:rPr>
        <w:t xml:space="preserve">national refrigerant code </w:t>
      </w:r>
      <w:r w:rsidRPr="00D7224A">
        <w:rPr>
          <w:lang w:val="en-US"/>
        </w:rPr>
        <w:t xml:space="preserve">that can be incorporated </w:t>
      </w:r>
      <w:r w:rsidR="005918D6" w:rsidRPr="00D7224A">
        <w:rPr>
          <w:lang w:val="en-US"/>
        </w:rPr>
        <w:t xml:space="preserve">as </w:t>
      </w:r>
      <w:r w:rsidR="00B44193" w:rsidRPr="00D7224A">
        <w:rPr>
          <w:lang w:val="en-US"/>
        </w:rPr>
        <w:t>stand</w:t>
      </w:r>
      <w:r w:rsidR="00B44193" w:rsidRPr="00D7224A">
        <w:rPr>
          <w:lang w:val="en-US"/>
        </w:rPr>
        <w:noBreakHyphen/>
      </w:r>
      <w:r w:rsidRPr="00D7224A">
        <w:rPr>
          <w:lang w:val="en-US"/>
        </w:rPr>
        <w:t>alone or as part of local codes (e.g. RAC</w:t>
      </w:r>
      <w:r w:rsidR="003C5CBC" w:rsidRPr="00D7224A">
        <w:rPr>
          <w:lang w:val="en-US"/>
        </w:rPr>
        <w:t xml:space="preserve"> applications</w:t>
      </w:r>
      <w:r w:rsidRPr="00D7224A">
        <w:rPr>
          <w:lang w:val="en-US"/>
        </w:rPr>
        <w:t xml:space="preserve"> </w:t>
      </w:r>
      <w:r w:rsidR="005918D6" w:rsidRPr="00D7224A">
        <w:rPr>
          <w:lang w:val="en-US"/>
        </w:rPr>
        <w:t xml:space="preserve">or </w:t>
      </w:r>
      <w:r w:rsidRPr="00D7224A">
        <w:rPr>
          <w:lang w:val="en-US"/>
        </w:rPr>
        <w:t>buildings)</w:t>
      </w:r>
      <w:r w:rsidR="00D7224A">
        <w:rPr>
          <w:lang w:val="en-US"/>
        </w:rPr>
        <w:t>;</w:t>
      </w:r>
      <w:r w:rsidRPr="00D7224A">
        <w:rPr>
          <w:lang w:val="en-US"/>
        </w:rPr>
        <w:t xml:space="preserve"> and update and outreach of technical information on good practices; </w:t>
      </w:r>
    </w:p>
    <w:p w:rsidR="00E56D5F" w:rsidRPr="003D5FB9" w:rsidRDefault="00945064" w:rsidP="00DF29AB">
      <w:pPr>
        <w:pStyle w:val="Heading2"/>
        <w:rPr>
          <w:lang w:val="en-US"/>
        </w:rPr>
      </w:pPr>
      <w:r>
        <w:rPr>
          <w:lang w:val="en-US"/>
        </w:rPr>
        <w:t>Provide ass</w:t>
      </w:r>
      <w:r w:rsidR="0055569B">
        <w:rPr>
          <w:lang w:val="en-US"/>
        </w:rPr>
        <w:t xml:space="preserve">istance to </w:t>
      </w:r>
      <w:r w:rsidR="003C5CBC">
        <w:rPr>
          <w:lang w:val="en-US"/>
        </w:rPr>
        <w:t xml:space="preserve">Article 5 </w:t>
      </w:r>
      <w:r w:rsidR="0055569B">
        <w:rPr>
          <w:lang w:val="en-US"/>
        </w:rPr>
        <w:t xml:space="preserve">countries with high </w:t>
      </w:r>
      <w:r>
        <w:rPr>
          <w:lang w:val="en-US"/>
        </w:rPr>
        <w:t xml:space="preserve">ambient temperature </w:t>
      </w:r>
      <w:r w:rsidR="00B34531">
        <w:rPr>
          <w:lang w:val="en-US"/>
        </w:rPr>
        <w:t xml:space="preserve">(HAT) </w:t>
      </w:r>
      <w:r>
        <w:rPr>
          <w:lang w:val="en-US"/>
        </w:rPr>
        <w:t xml:space="preserve">through </w:t>
      </w:r>
      <w:r w:rsidR="00E56D5F" w:rsidRPr="0040570A">
        <w:rPr>
          <w:lang w:val="en-US"/>
        </w:rPr>
        <w:t>pilot</w:t>
      </w:r>
      <w:r>
        <w:rPr>
          <w:lang w:val="en-US"/>
        </w:rPr>
        <w:t>ing</w:t>
      </w:r>
      <w:r w:rsidR="003C5CBC">
        <w:rPr>
          <w:lang w:val="en-US"/>
        </w:rPr>
        <w:t xml:space="preserve"> the risk assessment model for the safe handling of flammable r</w:t>
      </w:r>
      <w:r w:rsidR="00E56D5F" w:rsidRPr="0040570A">
        <w:rPr>
          <w:lang w:val="en-US"/>
        </w:rPr>
        <w:t>efrigerants produced under the PRAHA-II project to explore the technica</w:t>
      </w:r>
      <w:r w:rsidR="00E56D5F" w:rsidRPr="00E56D5F">
        <w:rPr>
          <w:lang w:val="en-US"/>
        </w:rPr>
        <w:t xml:space="preserve">l feasibility of lower-GWP alternatives </w:t>
      </w:r>
      <w:r w:rsidR="003C5CBC" w:rsidRPr="0040570A">
        <w:rPr>
          <w:lang w:val="en-US"/>
        </w:rPr>
        <w:t>in the commercial and industrial refrigeration sectors</w:t>
      </w:r>
      <w:r>
        <w:rPr>
          <w:lang w:val="en-US"/>
        </w:rPr>
        <w:t>;</w:t>
      </w:r>
    </w:p>
    <w:p w:rsidR="00DA2A56" w:rsidRPr="003D5FB9" w:rsidRDefault="0001571A" w:rsidP="00DF29AB">
      <w:pPr>
        <w:pStyle w:val="Heading2"/>
        <w:keepNext/>
        <w:widowControl/>
        <w:rPr>
          <w:lang w:val="en-US"/>
        </w:rPr>
      </w:pPr>
      <w:r>
        <w:rPr>
          <w:lang w:val="en-US"/>
        </w:rPr>
        <w:t>Continue implementation of enabling activities in 94 countries to f</w:t>
      </w:r>
      <w:r w:rsidR="00DA2A56" w:rsidRPr="003D5FB9">
        <w:rPr>
          <w:lang w:val="en-US"/>
        </w:rPr>
        <w:t>acilitate and support the ratification of Kigali Amendment</w:t>
      </w:r>
      <w:r>
        <w:rPr>
          <w:lang w:val="en-US"/>
        </w:rPr>
        <w:t xml:space="preserve"> and build capacity of NOUs to address the HFC phase</w:t>
      </w:r>
      <w:r w:rsidR="0002626D">
        <w:rPr>
          <w:lang w:val="en-US"/>
        </w:rPr>
        <w:noBreakHyphen/>
      </w:r>
      <w:r>
        <w:rPr>
          <w:lang w:val="en-US"/>
        </w:rPr>
        <w:t>down as soon as possible</w:t>
      </w:r>
      <w:r w:rsidR="000F398B">
        <w:rPr>
          <w:lang w:val="en-US"/>
        </w:rPr>
        <w:t>;</w:t>
      </w:r>
      <w:r w:rsidR="00E56D5F" w:rsidRPr="003D5FB9">
        <w:rPr>
          <w:lang w:val="en-US"/>
        </w:rPr>
        <w:t xml:space="preserve"> encourage and support Article 5 countries to ratify the Kigali Amen</w:t>
      </w:r>
      <w:r w:rsidR="003C5CBC">
        <w:rPr>
          <w:lang w:val="en-US"/>
        </w:rPr>
        <w:t>dment through presentations at regional n</w:t>
      </w:r>
      <w:r w:rsidR="00E56D5F" w:rsidRPr="003D5FB9">
        <w:rPr>
          <w:lang w:val="en-US"/>
        </w:rPr>
        <w:t xml:space="preserve">etwork meetings </w:t>
      </w:r>
      <w:r w:rsidR="003C5CBC">
        <w:rPr>
          <w:lang w:val="en-US"/>
        </w:rPr>
        <w:t xml:space="preserve">and other </w:t>
      </w:r>
      <w:r w:rsidR="00E56D5F" w:rsidRPr="003D5FB9">
        <w:rPr>
          <w:lang w:val="en-US"/>
        </w:rPr>
        <w:t>meetings</w:t>
      </w:r>
      <w:r w:rsidR="003C5CBC">
        <w:rPr>
          <w:lang w:val="en-US"/>
        </w:rPr>
        <w:t xml:space="preserve"> </w:t>
      </w:r>
      <w:r w:rsidR="003C5CBC" w:rsidRPr="003D5FB9">
        <w:rPr>
          <w:lang w:val="en-US"/>
        </w:rPr>
        <w:lastRenderedPageBreak/>
        <w:t>in cooperation with the Ozone Secretariat</w:t>
      </w:r>
      <w:r w:rsidR="005918D6">
        <w:rPr>
          <w:lang w:val="en-US"/>
        </w:rPr>
        <w:t>,</w:t>
      </w:r>
      <w:r w:rsidR="00E56D5F" w:rsidRPr="003D5FB9">
        <w:rPr>
          <w:lang w:val="en-US"/>
        </w:rPr>
        <w:t xml:space="preserve"> and identify</w:t>
      </w:r>
      <w:r w:rsidR="00940EDB">
        <w:rPr>
          <w:lang w:val="en-US"/>
        </w:rPr>
        <w:t>ing</w:t>
      </w:r>
      <w:r w:rsidR="00E56D5F" w:rsidRPr="003D5FB9">
        <w:rPr>
          <w:lang w:val="en-US"/>
        </w:rPr>
        <w:t xml:space="preserve"> opportunities </w:t>
      </w:r>
      <w:r w:rsidR="005918D6">
        <w:rPr>
          <w:lang w:val="en-US"/>
        </w:rPr>
        <w:t xml:space="preserve">for joint implementation </w:t>
      </w:r>
      <w:r w:rsidR="00E56D5F" w:rsidRPr="003D5FB9">
        <w:rPr>
          <w:lang w:val="en-US"/>
        </w:rPr>
        <w:t>between HPMPs and HFC phase-down plans;</w:t>
      </w:r>
    </w:p>
    <w:p w:rsidR="00DA2A56" w:rsidRPr="003D5FB9" w:rsidRDefault="00DA2A56" w:rsidP="00DF29AB">
      <w:pPr>
        <w:pStyle w:val="Heading2"/>
        <w:rPr>
          <w:lang w:val="en-US"/>
        </w:rPr>
      </w:pPr>
      <w:r w:rsidRPr="003D5FB9">
        <w:rPr>
          <w:lang w:val="en-US"/>
        </w:rPr>
        <w:t xml:space="preserve">Continue </w:t>
      </w:r>
      <w:r w:rsidR="0001571A">
        <w:rPr>
          <w:lang w:val="en-US"/>
        </w:rPr>
        <w:t>global c</w:t>
      </w:r>
      <w:r w:rsidRPr="003D5FB9">
        <w:rPr>
          <w:lang w:val="en-US"/>
        </w:rPr>
        <w:t>learinghouse activities t</w:t>
      </w:r>
      <w:r w:rsidR="00940EDB">
        <w:rPr>
          <w:lang w:val="en-US"/>
        </w:rPr>
        <w:t xml:space="preserve">hrough developing publications; </w:t>
      </w:r>
      <w:r w:rsidR="00940EDB" w:rsidRPr="003D5FB9">
        <w:rPr>
          <w:lang w:val="en-US"/>
        </w:rPr>
        <w:t>organize</w:t>
      </w:r>
      <w:r w:rsidRPr="003D5FB9">
        <w:rPr>
          <w:lang w:val="en-US"/>
        </w:rPr>
        <w:t xml:space="preserve"> thematic meetings </w:t>
      </w:r>
      <w:r w:rsidR="00940EDB">
        <w:rPr>
          <w:lang w:val="en-US"/>
        </w:rPr>
        <w:t>at</w:t>
      </w:r>
      <w:r w:rsidRPr="003D5FB9">
        <w:rPr>
          <w:lang w:val="en-US"/>
        </w:rPr>
        <w:t xml:space="preserve"> international, regional and national fora; </w:t>
      </w:r>
      <w:r w:rsidR="003D5FB9" w:rsidRPr="003D5FB9">
        <w:rPr>
          <w:lang w:val="en-US"/>
        </w:rPr>
        <w:t xml:space="preserve">facilitating country-to-country cooperation to address specific needs by NOUs; </w:t>
      </w:r>
      <w:r w:rsidRPr="003D5FB9">
        <w:rPr>
          <w:lang w:val="en-US"/>
        </w:rPr>
        <w:t xml:space="preserve">and </w:t>
      </w:r>
      <w:r w:rsidR="003D5FB9" w:rsidRPr="003D5FB9">
        <w:rPr>
          <w:lang w:val="en-US"/>
        </w:rPr>
        <w:t xml:space="preserve">assisting in </w:t>
      </w:r>
      <w:r w:rsidRPr="003D5FB9">
        <w:rPr>
          <w:lang w:val="en-US"/>
        </w:rPr>
        <w:t xml:space="preserve">the adoption of </w:t>
      </w:r>
      <w:r w:rsidR="005918D6">
        <w:rPr>
          <w:lang w:val="en-US"/>
        </w:rPr>
        <w:t xml:space="preserve">capacity </w:t>
      </w:r>
      <w:r w:rsidRPr="003D5FB9">
        <w:rPr>
          <w:lang w:val="en-US"/>
        </w:rPr>
        <w:t xml:space="preserve">building tools (i.e. iPIC and </w:t>
      </w:r>
      <w:r w:rsidR="00940EDB">
        <w:rPr>
          <w:lang w:val="en-US"/>
        </w:rPr>
        <w:t>RDL</w:t>
      </w:r>
      <w:r w:rsidRPr="003D5FB9">
        <w:rPr>
          <w:lang w:val="en-US"/>
        </w:rPr>
        <w:t>); and</w:t>
      </w:r>
    </w:p>
    <w:p w:rsidR="00DA2A56" w:rsidRPr="003D5FB9" w:rsidRDefault="001E2E8D" w:rsidP="00DF29AB">
      <w:pPr>
        <w:pStyle w:val="Heading2"/>
        <w:rPr>
          <w:lang w:val="en-US"/>
        </w:rPr>
      </w:pPr>
      <w:r w:rsidRPr="00DF29AB">
        <w:rPr>
          <w:lang w:val="en-US"/>
        </w:rPr>
        <w:t xml:space="preserve">Continue implementation of HPMPs for </w:t>
      </w:r>
      <w:r>
        <w:rPr>
          <w:lang w:val="en-US"/>
        </w:rPr>
        <w:t xml:space="preserve">103 and institutional strengthening projects for </w:t>
      </w:r>
      <w:r w:rsidRPr="003D5FB9">
        <w:rPr>
          <w:lang w:val="en-US"/>
        </w:rPr>
        <w:t xml:space="preserve">104 </w:t>
      </w:r>
      <w:r>
        <w:rPr>
          <w:lang w:val="en-US"/>
        </w:rPr>
        <w:t>Article 5 countries</w:t>
      </w:r>
      <w:r w:rsidR="00940EDB">
        <w:rPr>
          <w:lang w:val="en-US"/>
        </w:rPr>
        <w:t>.</w:t>
      </w:r>
    </w:p>
    <w:p w:rsidR="00945064" w:rsidRDefault="00DA2A56" w:rsidP="00DF29AB">
      <w:pPr>
        <w:pStyle w:val="Heading1"/>
        <w:numPr>
          <w:ilvl w:val="0"/>
          <w:numId w:val="0"/>
        </w:numPr>
        <w:rPr>
          <w:u w:val="single"/>
          <w:lang w:val="en-US"/>
        </w:rPr>
      </w:pPr>
      <w:r w:rsidRPr="0075579E">
        <w:rPr>
          <w:u w:val="single"/>
          <w:lang w:val="en-US"/>
        </w:rPr>
        <w:t xml:space="preserve">Changes in the CAP </w:t>
      </w:r>
      <w:r w:rsidR="0075579E" w:rsidRPr="0075579E">
        <w:rPr>
          <w:u w:val="single"/>
          <w:lang w:val="en-US"/>
        </w:rPr>
        <w:t xml:space="preserve">2020 </w:t>
      </w:r>
      <w:r w:rsidRPr="0075579E">
        <w:rPr>
          <w:u w:val="single"/>
          <w:lang w:val="en-US"/>
        </w:rPr>
        <w:t>budge</w:t>
      </w:r>
      <w:r w:rsidR="00945064">
        <w:rPr>
          <w:u w:val="single"/>
          <w:lang w:val="en-US"/>
        </w:rPr>
        <w:t>t</w:t>
      </w:r>
    </w:p>
    <w:p w:rsidR="007877E8" w:rsidRDefault="00DA2A56" w:rsidP="00DF29AB">
      <w:pPr>
        <w:pStyle w:val="Heading1"/>
        <w:rPr>
          <w:lang w:val="en-US"/>
        </w:rPr>
      </w:pPr>
      <w:r w:rsidRPr="0075579E">
        <w:rPr>
          <w:lang w:val="en-US"/>
        </w:rPr>
        <w:t>The CAP budget for 20</w:t>
      </w:r>
      <w:r w:rsidR="0075579E">
        <w:rPr>
          <w:lang w:val="en-US"/>
        </w:rPr>
        <w:t>20</w:t>
      </w:r>
      <w:r w:rsidRPr="0075579E">
        <w:rPr>
          <w:lang w:val="en-US"/>
        </w:rPr>
        <w:t xml:space="preserve"> of US $</w:t>
      </w:r>
      <w:r w:rsidR="0075579E">
        <w:rPr>
          <w:lang w:val="en-US"/>
        </w:rPr>
        <w:t>10</w:t>
      </w:r>
      <w:r w:rsidRPr="0075579E">
        <w:rPr>
          <w:lang w:val="en-US"/>
        </w:rPr>
        <w:t>,</w:t>
      </w:r>
      <w:r w:rsidR="0075579E">
        <w:rPr>
          <w:lang w:val="en-US"/>
        </w:rPr>
        <w:t>113,000</w:t>
      </w:r>
      <w:r w:rsidR="00940EDB">
        <w:rPr>
          <w:lang w:val="en-US"/>
        </w:rPr>
        <w:t>,</w:t>
      </w:r>
      <w:r w:rsidRPr="0075579E">
        <w:rPr>
          <w:lang w:val="en-US"/>
        </w:rPr>
        <w:t xml:space="preserve"> plus agency support costs of </w:t>
      </w:r>
      <w:r w:rsidRPr="0082053B">
        <w:rPr>
          <w:lang w:val="en-US"/>
        </w:rPr>
        <w:t>US $</w:t>
      </w:r>
      <w:r w:rsidR="0075579E" w:rsidRPr="0082053B">
        <w:rPr>
          <w:lang w:val="en-US"/>
        </w:rPr>
        <w:t>809,040</w:t>
      </w:r>
      <w:r w:rsidRPr="0082053B">
        <w:rPr>
          <w:lang w:val="en-US"/>
        </w:rPr>
        <w:t xml:space="preserve"> is contained in Annex 1D of the </w:t>
      </w:r>
      <w:r w:rsidR="005C450B" w:rsidRPr="0082053B">
        <w:rPr>
          <w:lang w:val="en-US"/>
        </w:rPr>
        <w:t>submission</w:t>
      </w:r>
      <w:r w:rsidR="005C450B">
        <w:rPr>
          <w:lang w:val="en-US"/>
        </w:rPr>
        <w:t>.</w:t>
      </w:r>
      <w:r w:rsidR="005C450B" w:rsidRPr="00945064">
        <w:rPr>
          <w:lang w:val="en-US"/>
        </w:rPr>
        <w:t xml:space="preserve"> The</w:t>
      </w:r>
      <w:r w:rsidR="0001571A" w:rsidRPr="00945064">
        <w:rPr>
          <w:lang w:val="en-US"/>
        </w:rPr>
        <w:t xml:space="preserve"> overall CAP budget represented an increase of 1.</w:t>
      </w:r>
      <w:r w:rsidR="007877E8" w:rsidRPr="00945064">
        <w:rPr>
          <w:lang w:val="en-US"/>
        </w:rPr>
        <w:t>3</w:t>
      </w:r>
      <w:r w:rsidR="00940EDB">
        <w:rPr>
          <w:lang w:val="en-US"/>
        </w:rPr>
        <w:t>9</w:t>
      </w:r>
      <w:r w:rsidR="0001571A" w:rsidRPr="00945064">
        <w:rPr>
          <w:lang w:val="en-US"/>
        </w:rPr>
        <w:t xml:space="preserve"> per cent from the 2019 approved budget (i.e., US</w:t>
      </w:r>
      <w:r w:rsidR="0001571A" w:rsidRPr="0087394D">
        <w:t> </w:t>
      </w:r>
      <w:r w:rsidR="0001571A" w:rsidRPr="00945064">
        <w:rPr>
          <w:lang w:val="en-US"/>
        </w:rPr>
        <w:t>$9,974,000, plus support costs of US $797,920)</w:t>
      </w:r>
      <w:r w:rsidR="00940EDB">
        <w:rPr>
          <w:lang w:val="en-US"/>
        </w:rPr>
        <w:t xml:space="preserve"> with a 2 percent </w:t>
      </w:r>
      <w:r w:rsidR="001E2E8D">
        <w:rPr>
          <w:lang w:val="en-US"/>
        </w:rPr>
        <w:t xml:space="preserve">increase </w:t>
      </w:r>
      <w:r w:rsidR="00940EDB">
        <w:rPr>
          <w:lang w:val="en-US"/>
        </w:rPr>
        <w:t xml:space="preserve">on </w:t>
      </w:r>
      <w:r w:rsidR="0001571A" w:rsidRPr="00945064">
        <w:rPr>
          <w:lang w:val="en-US"/>
        </w:rPr>
        <w:t>staff costs</w:t>
      </w:r>
      <w:r w:rsidR="00940EDB">
        <w:rPr>
          <w:lang w:val="en-US"/>
        </w:rPr>
        <w:t xml:space="preserve"> (U</w:t>
      </w:r>
      <w:r w:rsidR="0001571A" w:rsidRPr="00945064">
        <w:rPr>
          <w:lang w:val="en-US"/>
        </w:rPr>
        <w:t>S $139,000</w:t>
      </w:r>
      <w:r w:rsidR="00940EDB">
        <w:rPr>
          <w:lang w:val="en-US"/>
        </w:rPr>
        <w:t>)</w:t>
      </w:r>
      <w:r w:rsidR="0001571A" w:rsidRPr="00945064">
        <w:rPr>
          <w:lang w:val="en-US"/>
        </w:rPr>
        <w:t xml:space="preserve"> </w:t>
      </w:r>
      <w:r w:rsidR="00940EDB">
        <w:rPr>
          <w:lang w:val="en-US"/>
        </w:rPr>
        <w:t>due</w:t>
      </w:r>
      <w:r w:rsidR="0001571A" w:rsidRPr="00945064">
        <w:rPr>
          <w:lang w:val="en-US"/>
        </w:rPr>
        <w:t xml:space="preserve"> to increases for existing posts in the system, and adjustments to </w:t>
      </w:r>
      <w:r w:rsidR="00940EDB">
        <w:rPr>
          <w:lang w:val="en-US"/>
        </w:rPr>
        <w:t>s</w:t>
      </w:r>
      <w:r w:rsidR="000F398B">
        <w:rPr>
          <w:lang w:val="en-US"/>
        </w:rPr>
        <w:t>o</w:t>
      </w:r>
      <w:r w:rsidR="00940EDB">
        <w:rPr>
          <w:lang w:val="en-US"/>
        </w:rPr>
        <w:t xml:space="preserve">me </w:t>
      </w:r>
      <w:r w:rsidR="0001571A" w:rsidRPr="00945064">
        <w:rPr>
          <w:lang w:val="en-US"/>
        </w:rPr>
        <w:t>posts based</w:t>
      </w:r>
      <w:r w:rsidR="001E2E8D">
        <w:rPr>
          <w:lang w:val="en-US"/>
        </w:rPr>
        <w:t xml:space="preserve"> on</w:t>
      </w:r>
      <w:r w:rsidR="0001571A" w:rsidRPr="00945064">
        <w:rPr>
          <w:lang w:val="en-US"/>
        </w:rPr>
        <w:t xml:space="preserve"> expanded roles and r</w:t>
      </w:r>
      <w:r w:rsidR="007877E8">
        <w:rPr>
          <w:lang w:val="en-US"/>
        </w:rPr>
        <w:t>esponsibilities.</w:t>
      </w:r>
    </w:p>
    <w:p w:rsidR="007877E8" w:rsidRPr="0087394D" w:rsidRDefault="007877E8" w:rsidP="00DF29AB">
      <w:pPr>
        <w:pStyle w:val="Heading1"/>
        <w:numPr>
          <w:ilvl w:val="0"/>
          <w:numId w:val="0"/>
        </w:numPr>
        <w:rPr>
          <w:i/>
          <w:lang w:val="en-US"/>
        </w:rPr>
      </w:pPr>
      <w:r w:rsidRPr="007877E8">
        <w:rPr>
          <w:i/>
          <w:lang w:val="en-US"/>
        </w:rPr>
        <w:t xml:space="preserve"> </w:t>
      </w:r>
      <w:r w:rsidRPr="0087394D">
        <w:rPr>
          <w:i/>
          <w:lang w:val="en-US"/>
        </w:rPr>
        <w:t>Changes in CAP staff</w:t>
      </w:r>
      <w:r w:rsidR="00940EDB">
        <w:rPr>
          <w:i/>
          <w:lang w:val="en-US"/>
        </w:rPr>
        <w:t xml:space="preserve"> </w:t>
      </w:r>
      <w:r w:rsidRPr="0087394D">
        <w:rPr>
          <w:rStyle w:val="FootnoteReference"/>
          <w:i/>
          <w:lang w:val="en-US"/>
        </w:rPr>
        <w:footnoteReference w:id="6"/>
      </w:r>
      <w:r w:rsidRPr="0087394D">
        <w:rPr>
          <w:i/>
          <w:lang w:val="en-US"/>
        </w:rPr>
        <w:t xml:space="preserve"> </w:t>
      </w:r>
    </w:p>
    <w:p w:rsidR="00770EB2" w:rsidRDefault="00AE0E2D" w:rsidP="00DF29AB">
      <w:pPr>
        <w:pStyle w:val="Heading1"/>
        <w:rPr>
          <w:lang w:val="en-US"/>
        </w:rPr>
      </w:pPr>
      <w:r w:rsidRPr="00770EB2">
        <w:rPr>
          <w:lang w:val="en-US"/>
        </w:rPr>
        <w:t>UNEP indicated that the post that was approved for the 2019 CAP budget as ROWA</w:t>
      </w:r>
      <w:r w:rsidR="00940EDB">
        <w:rPr>
          <w:rStyle w:val="FootnoteReference"/>
          <w:lang w:val="en-US"/>
        </w:rPr>
        <w:footnoteReference w:id="7"/>
      </w:r>
      <w:r w:rsidRPr="00770EB2">
        <w:rPr>
          <w:lang w:val="en-US"/>
        </w:rPr>
        <w:t xml:space="preserve"> Montreal Protocol Coordinator for International Partnerships (BL 1132) </w:t>
      </w:r>
      <w:r w:rsidR="007B7B2E" w:rsidRPr="00770EB2">
        <w:rPr>
          <w:lang w:val="en-US"/>
        </w:rPr>
        <w:t xml:space="preserve">located in Bahrain would be </w:t>
      </w:r>
      <w:r w:rsidRPr="00770EB2">
        <w:rPr>
          <w:lang w:val="en-US"/>
        </w:rPr>
        <w:t xml:space="preserve">reassigned to Paris </w:t>
      </w:r>
      <w:r w:rsidR="00770EB2" w:rsidRPr="00770EB2">
        <w:rPr>
          <w:lang w:val="en-US"/>
        </w:rPr>
        <w:t>(</w:t>
      </w:r>
      <w:r w:rsidRPr="00770EB2">
        <w:rPr>
          <w:lang w:val="en-US"/>
        </w:rPr>
        <w:t>BL 1112</w:t>
      </w:r>
      <w:r w:rsidR="00770EB2" w:rsidRPr="00770EB2">
        <w:rPr>
          <w:lang w:val="en-US"/>
        </w:rPr>
        <w:t xml:space="preserve">) with </w:t>
      </w:r>
      <w:r w:rsidRPr="00770EB2">
        <w:rPr>
          <w:lang w:val="en-US"/>
        </w:rPr>
        <w:t xml:space="preserve">no financial implications. </w:t>
      </w:r>
    </w:p>
    <w:p w:rsidR="007877E8" w:rsidRPr="00770EB2" w:rsidRDefault="007B7B2E" w:rsidP="00DF29AB">
      <w:pPr>
        <w:pStyle w:val="Heading1"/>
        <w:keepNext/>
        <w:numPr>
          <w:ilvl w:val="0"/>
          <w:numId w:val="0"/>
        </w:numPr>
        <w:rPr>
          <w:lang w:val="en-US"/>
        </w:rPr>
      </w:pPr>
      <w:r w:rsidRPr="00770EB2">
        <w:rPr>
          <w:i/>
          <w:lang w:val="en-US"/>
        </w:rPr>
        <w:t>Changes in the programmatic budget</w:t>
      </w:r>
      <w:r w:rsidRPr="00770EB2">
        <w:rPr>
          <w:lang w:val="en-US"/>
        </w:rPr>
        <w:t>:</w:t>
      </w:r>
      <w:r w:rsidR="00770EB2">
        <w:rPr>
          <w:rStyle w:val="FootnoteReference"/>
          <w:lang w:val="en-US"/>
        </w:rPr>
        <w:footnoteReference w:id="8"/>
      </w:r>
    </w:p>
    <w:p w:rsidR="00DA2A56" w:rsidRPr="0040570A" w:rsidRDefault="007877E8" w:rsidP="00DF29AB">
      <w:pPr>
        <w:pStyle w:val="Heading1"/>
        <w:keepNext/>
        <w:rPr>
          <w:lang w:val="en-US"/>
        </w:rPr>
      </w:pPr>
      <w:r>
        <w:rPr>
          <w:lang w:val="en-US"/>
        </w:rPr>
        <w:t xml:space="preserve">The </w:t>
      </w:r>
      <w:r w:rsidR="007B7B2E">
        <w:rPr>
          <w:lang w:val="en-US"/>
        </w:rPr>
        <w:t>following reallocations were proposed:</w:t>
      </w:r>
    </w:p>
    <w:p w:rsidR="00DA2A56" w:rsidRPr="0040570A" w:rsidRDefault="0082053B" w:rsidP="00DF29AB">
      <w:pPr>
        <w:pStyle w:val="Heading2"/>
      </w:pPr>
      <w:r w:rsidRPr="0040570A">
        <w:t>Policy and technical assistance</w:t>
      </w:r>
      <w:r w:rsidR="00770EB2">
        <w:t xml:space="preserve"> (</w:t>
      </w:r>
      <w:r w:rsidR="00770EB2" w:rsidRPr="0040570A">
        <w:t>BL 3211</w:t>
      </w:r>
      <w:r w:rsidR="00770EB2">
        <w:t>)</w:t>
      </w:r>
      <w:r w:rsidR="00770EB2" w:rsidRPr="0040570A">
        <w:t xml:space="preserve"> </w:t>
      </w:r>
      <w:r w:rsidR="00770EB2">
        <w:t xml:space="preserve">at </w:t>
      </w:r>
      <w:r w:rsidR="007B7B2E" w:rsidRPr="007B7B2E">
        <w:t>US</w:t>
      </w:r>
      <w:r w:rsidR="002226FE">
        <w:t> </w:t>
      </w:r>
      <w:r w:rsidR="007B7B2E" w:rsidRPr="007B7B2E">
        <w:t>$130,000 (an increase of US</w:t>
      </w:r>
      <w:r w:rsidR="00BC3B70">
        <w:t> </w:t>
      </w:r>
      <w:r w:rsidR="007B7B2E" w:rsidRPr="007B7B2E">
        <w:t xml:space="preserve">$30,000 compared to 2019) to provide for online/smartphone applications (national quotas and licenses, iPIC), a </w:t>
      </w:r>
      <w:r w:rsidR="00736B55">
        <w:t>mobile air-conditioner t</w:t>
      </w:r>
      <w:r w:rsidR="007B7B2E" w:rsidRPr="007B7B2E">
        <w:t>raining survey, and development of a model certification programme and a model refrigerant code</w:t>
      </w:r>
      <w:r w:rsidR="00736B55">
        <w:t>;</w:t>
      </w:r>
    </w:p>
    <w:p w:rsidR="0082053B" w:rsidRDefault="0082053B" w:rsidP="00DF29AB">
      <w:pPr>
        <w:pStyle w:val="Heading2"/>
      </w:pPr>
      <w:r>
        <w:t>Outreach and translation</w:t>
      </w:r>
      <w:r w:rsidR="00736B55">
        <w:t xml:space="preserve"> (BL 3213) at </w:t>
      </w:r>
      <w:r w:rsidR="007B7B2E" w:rsidRPr="007B7B2E">
        <w:t>US</w:t>
      </w:r>
      <w:r w:rsidR="002226FE">
        <w:t> </w:t>
      </w:r>
      <w:r w:rsidR="007B7B2E" w:rsidRPr="007B7B2E">
        <w:t>$110,000 (an increase of US</w:t>
      </w:r>
      <w:r w:rsidR="00BC3B70">
        <w:t> </w:t>
      </w:r>
      <w:r w:rsidR="00736B55">
        <w:t>$10,000 compared to 2019)</w:t>
      </w:r>
      <w:r w:rsidR="007B7B2E" w:rsidRPr="007B7B2E">
        <w:t xml:space="preserve">, translation of key documents, development of publications/factsheets, production of the OzonAction </w:t>
      </w:r>
      <w:r w:rsidR="007B7B2E" w:rsidRPr="00DF29AB">
        <w:t>Scoop</w:t>
      </w:r>
      <w:r w:rsidR="001E2E8D" w:rsidRPr="00DF29AB">
        <w:t xml:space="preserve"> (a newsletter</w:t>
      </w:r>
      <w:r w:rsidR="001E2E8D">
        <w:t xml:space="preserve"> for special topics)</w:t>
      </w:r>
      <w:r w:rsidR="007B7B2E" w:rsidRPr="007B7B2E">
        <w:t xml:space="preserve">, and development of a publication on </w:t>
      </w:r>
      <w:r w:rsidR="001E2E8D">
        <w:t xml:space="preserve">the </w:t>
      </w:r>
      <w:r w:rsidR="007B7B2E" w:rsidRPr="007B7B2E">
        <w:t xml:space="preserve">Montreal Protocol and </w:t>
      </w:r>
      <w:r w:rsidR="00736B55">
        <w:t xml:space="preserve">the UN </w:t>
      </w:r>
      <w:r w:rsidR="007B7B2E" w:rsidRPr="007B7B2E">
        <w:t>Sustainable Development Goals</w:t>
      </w:r>
      <w:r w:rsidR="00736B55">
        <w:t>;</w:t>
      </w:r>
    </w:p>
    <w:p w:rsidR="0082053B" w:rsidRDefault="006B4C93" w:rsidP="00DF29AB">
      <w:pPr>
        <w:pStyle w:val="Heading2"/>
      </w:pPr>
      <w:r>
        <w:t>Legal framework post-Kigali</w:t>
      </w:r>
      <w:r w:rsidR="005821BB">
        <w:t xml:space="preserve"> (BL 3214) </w:t>
      </w:r>
      <w:r w:rsidR="007B7B2E" w:rsidRPr="007B7B2E">
        <w:t xml:space="preserve">at </w:t>
      </w:r>
      <w:r w:rsidR="005821BB">
        <w:t xml:space="preserve">no cost </w:t>
      </w:r>
      <w:r w:rsidR="007B7B2E" w:rsidRPr="007B7B2E">
        <w:t>(a decrease of US</w:t>
      </w:r>
      <w:r w:rsidR="00BC3B70">
        <w:t> </w:t>
      </w:r>
      <w:r w:rsidR="007B7B2E" w:rsidRPr="007B7B2E">
        <w:t xml:space="preserve">$75,000 compared to 2019) since this assistance will be provided through CAP staff and </w:t>
      </w:r>
      <w:r w:rsidR="005821BB">
        <w:t>during n</w:t>
      </w:r>
      <w:r w:rsidR="007B7B2E" w:rsidRPr="007B7B2E">
        <w:t xml:space="preserve">etwork </w:t>
      </w:r>
      <w:r w:rsidR="005821BB">
        <w:t>meetings;</w:t>
      </w:r>
    </w:p>
    <w:p w:rsidR="006B4C93" w:rsidRDefault="006B4C93" w:rsidP="00DF29AB">
      <w:pPr>
        <w:pStyle w:val="Heading2"/>
      </w:pPr>
      <w:r>
        <w:t>R</w:t>
      </w:r>
      <w:r w:rsidR="005821BB">
        <w:t xml:space="preserve">DL (BL 3215) </w:t>
      </w:r>
      <w:r w:rsidR="007B7B2E" w:rsidRPr="007B7B2E">
        <w:t>at US</w:t>
      </w:r>
      <w:r w:rsidR="00CD4E3C">
        <w:t> </w:t>
      </w:r>
      <w:r w:rsidR="007B7B2E" w:rsidRPr="007B7B2E">
        <w:t>$85,000 (an increase of US</w:t>
      </w:r>
      <w:r w:rsidR="00CD4E3C">
        <w:t> </w:t>
      </w:r>
      <w:r w:rsidR="007B7B2E" w:rsidRPr="007B7B2E">
        <w:t xml:space="preserve">$5,000 compared to 2019) to provide for the evaluation of the outcomes of the pilot stage of RDL for </w:t>
      </w:r>
      <w:r w:rsidR="005821BB">
        <w:t>s</w:t>
      </w:r>
      <w:r w:rsidR="007B7B2E" w:rsidRPr="007B7B2E">
        <w:t xml:space="preserve">mall </w:t>
      </w:r>
      <w:r w:rsidR="005821BB">
        <w:t>a</w:t>
      </w:r>
      <w:r w:rsidR="007B7B2E" w:rsidRPr="007B7B2E">
        <w:t>pplications and to complete the documentation for the remaining applications</w:t>
      </w:r>
      <w:r w:rsidR="005821BB">
        <w:t>; and</w:t>
      </w:r>
    </w:p>
    <w:p w:rsidR="007B7B2E" w:rsidRDefault="006B4C93" w:rsidP="00DF29AB">
      <w:pPr>
        <w:pStyle w:val="Heading2"/>
        <w:numPr>
          <w:ilvl w:val="1"/>
          <w:numId w:val="2"/>
        </w:numPr>
      </w:pPr>
      <w:r>
        <w:lastRenderedPageBreak/>
        <w:t>Enforcement</w:t>
      </w:r>
      <w:r w:rsidR="005821BB">
        <w:t xml:space="preserve"> (BL 3216) at</w:t>
      </w:r>
      <w:r w:rsidR="007B7B2E" w:rsidRPr="007B7B2E">
        <w:t xml:space="preserve"> US</w:t>
      </w:r>
      <w:r w:rsidR="002226FE">
        <w:t> </w:t>
      </w:r>
      <w:r w:rsidR="007B7B2E" w:rsidRPr="007B7B2E">
        <w:t>$130,000 (an increase of US</w:t>
      </w:r>
      <w:r w:rsidR="00CD4E3C">
        <w:t> </w:t>
      </w:r>
      <w:r w:rsidR="007B7B2E" w:rsidRPr="007B7B2E">
        <w:t>$30,000 compared to 2019) to provide for the development of the Montreal Protocol Enforcement and Guidebook on Setting Penalties, and the updating of the UNEP Customs Trai</w:t>
      </w:r>
      <w:r w:rsidR="00DF29AB">
        <w:t>ning Manual and the UNEP</w:t>
      </w:r>
      <w:r w:rsidR="00DF29AB">
        <w:noBreakHyphen/>
      </w:r>
      <w:r w:rsidR="007B7B2E" w:rsidRPr="007B7B2E">
        <w:t>WCO Montreal Protocol Training for Customs Officers e-learning course.</w:t>
      </w:r>
    </w:p>
    <w:p w:rsidR="007B7B2E" w:rsidRPr="00F463B5" w:rsidRDefault="007B7B2E" w:rsidP="00DF29AB">
      <w:pPr>
        <w:pStyle w:val="Heading1"/>
        <w:keepNext/>
        <w:numPr>
          <w:ilvl w:val="0"/>
          <w:numId w:val="0"/>
        </w:numPr>
        <w:rPr>
          <w:i/>
          <w:lang w:val="en-US"/>
        </w:rPr>
      </w:pPr>
      <w:r w:rsidRPr="00F463B5">
        <w:rPr>
          <w:i/>
          <w:lang w:val="en-US"/>
        </w:rPr>
        <w:t>Comparison of the budget for 2018-2020</w:t>
      </w:r>
    </w:p>
    <w:p w:rsidR="00DA2A56" w:rsidRDefault="005821BB" w:rsidP="00DF29AB">
      <w:pPr>
        <w:pStyle w:val="Heading1"/>
        <w:keepNext/>
      </w:pPr>
      <w:r>
        <w:t>In line with decision 82/57(c)(iv),</w:t>
      </w:r>
      <w:r>
        <w:rPr>
          <w:rStyle w:val="FootnoteReference"/>
        </w:rPr>
        <w:footnoteReference w:id="9"/>
      </w:r>
      <w:r>
        <w:t xml:space="preserve"> </w:t>
      </w:r>
      <w:r w:rsidR="007B7B2E">
        <w:t>UNEP had provided a comparison of the budget for the last three years</w:t>
      </w:r>
      <w:r w:rsidR="00945064">
        <w:t xml:space="preserve"> </w:t>
      </w:r>
      <w:r w:rsidR="007B7B2E">
        <w:t xml:space="preserve">as shown </w:t>
      </w:r>
      <w:r>
        <w:t>in Table 1</w:t>
      </w:r>
      <w:r w:rsidR="007B7B2E">
        <w:t>:</w:t>
      </w:r>
    </w:p>
    <w:p w:rsidR="007B7B2E" w:rsidRPr="0082063A" w:rsidRDefault="0082063A" w:rsidP="00F463B5">
      <w:pPr>
        <w:keepNext/>
        <w:rPr>
          <w:b/>
        </w:rPr>
      </w:pPr>
      <w:r w:rsidRPr="0082063A">
        <w:rPr>
          <w:b/>
        </w:rPr>
        <w:t>Table 1: CAP budget for 2018-2019</w:t>
      </w:r>
    </w:p>
    <w:tbl>
      <w:tblPr>
        <w:tblStyle w:val="TableGrid"/>
        <w:tblW w:w="0" w:type="auto"/>
        <w:tblInd w:w="-147" w:type="dxa"/>
        <w:tblLook w:val="04A0" w:firstRow="1" w:lastRow="0" w:firstColumn="1" w:lastColumn="0" w:noHBand="0" w:noVBand="1"/>
      </w:tblPr>
      <w:tblGrid>
        <w:gridCol w:w="1606"/>
        <w:gridCol w:w="1110"/>
        <w:gridCol w:w="1177"/>
        <w:gridCol w:w="1097"/>
        <w:gridCol w:w="1111"/>
        <w:gridCol w:w="1177"/>
        <w:gridCol w:w="1108"/>
        <w:gridCol w:w="1111"/>
      </w:tblGrid>
      <w:tr w:rsidR="002A469B" w:rsidTr="002A469B">
        <w:trPr>
          <w:trHeight w:val="507"/>
        </w:trPr>
        <w:tc>
          <w:tcPr>
            <w:tcW w:w="1606" w:type="dxa"/>
            <w:vMerge w:val="restart"/>
          </w:tcPr>
          <w:p w:rsidR="002A469B" w:rsidRDefault="002A469B" w:rsidP="00382A79">
            <w:pPr>
              <w:jc w:val="left"/>
              <w:rPr>
                <w:lang w:val="en-US"/>
              </w:rPr>
            </w:pPr>
          </w:p>
          <w:p w:rsidR="002A469B" w:rsidRDefault="002A469B" w:rsidP="00382A79">
            <w:pPr>
              <w:jc w:val="left"/>
              <w:rPr>
                <w:lang w:val="en-US"/>
              </w:rPr>
            </w:pPr>
          </w:p>
          <w:p w:rsidR="002A469B" w:rsidRDefault="002A469B" w:rsidP="00382A79">
            <w:pPr>
              <w:jc w:val="center"/>
              <w:rPr>
                <w:lang w:val="en-US"/>
              </w:rPr>
            </w:pPr>
            <w:r>
              <w:rPr>
                <w:b/>
                <w:bCs/>
                <w:color w:val="000000"/>
                <w:sz w:val="18"/>
                <w:szCs w:val="18"/>
                <w:lang w:eastAsia="en-GB"/>
              </w:rPr>
              <w:t>Item</w:t>
            </w:r>
          </w:p>
          <w:p w:rsidR="002A469B" w:rsidRDefault="002A469B" w:rsidP="00382A79">
            <w:pPr>
              <w:jc w:val="left"/>
              <w:rPr>
                <w:lang w:val="en-US"/>
              </w:rPr>
            </w:pPr>
          </w:p>
          <w:p w:rsidR="002A469B" w:rsidRDefault="002A469B" w:rsidP="00382A79">
            <w:pPr>
              <w:jc w:val="left"/>
              <w:rPr>
                <w:lang w:val="en-US"/>
              </w:rPr>
            </w:pPr>
          </w:p>
        </w:tc>
        <w:tc>
          <w:tcPr>
            <w:tcW w:w="2287" w:type="dxa"/>
            <w:gridSpan w:val="2"/>
            <w:vAlign w:val="center"/>
          </w:tcPr>
          <w:p w:rsidR="002A469B" w:rsidRPr="0031094F" w:rsidRDefault="002A469B" w:rsidP="00382A79">
            <w:pPr>
              <w:keepNext/>
              <w:jc w:val="center"/>
              <w:rPr>
                <w:b/>
                <w:bCs/>
                <w:color w:val="000000"/>
                <w:sz w:val="18"/>
                <w:szCs w:val="18"/>
                <w:lang w:eastAsia="en-GB"/>
              </w:rPr>
            </w:pPr>
            <w:r>
              <w:rPr>
                <w:b/>
                <w:bCs/>
                <w:color w:val="000000"/>
                <w:sz w:val="18"/>
                <w:szCs w:val="18"/>
                <w:lang w:eastAsia="en-GB"/>
              </w:rPr>
              <w:t>2018</w:t>
            </w:r>
          </w:p>
        </w:tc>
        <w:tc>
          <w:tcPr>
            <w:tcW w:w="4493" w:type="dxa"/>
            <w:gridSpan w:val="4"/>
            <w:vAlign w:val="center"/>
          </w:tcPr>
          <w:p w:rsidR="002A469B" w:rsidRPr="0031094F" w:rsidRDefault="002A469B" w:rsidP="00382A79">
            <w:pPr>
              <w:keepNext/>
              <w:jc w:val="center"/>
              <w:rPr>
                <w:b/>
                <w:bCs/>
                <w:color w:val="000000"/>
                <w:sz w:val="18"/>
                <w:szCs w:val="18"/>
                <w:lang w:eastAsia="en-GB"/>
              </w:rPr>
            </w:pPr>
            <w:r>
              <w:rPr>
                <w:b/>
                <w:bCs/>
                <w:color w:val="000000"/>
                <w:sz w:val="18"/>
                <w:szCs w:val="18"/>
                <w:lang w:eastAsia="en-GB"/>
              </w:rPr>
              <w:t>2019</w:t>
            </w:r>
          </w:p>
          <w:p w:rsidR="002A469B" w:rsidRPr="0031094F" w:rsidRDefault="002A469B" w:rsidP="00382A79">
            <w:pPr>
              <w:keepNext/>
              <w:jc w:val="center"/>
              <w:rPr>
                <w:b/>
                <w:bCs/>
                <w:color w:val="000000"/>
                <w:sz w:val="18"/>
                <w:szCs w:val="18"/>
                <w:lang w:eastAsia="en-GB"/>
              </w:rPr>
            </w:pPr>
          </w:p>
        </w:tc>
        <w:tc>
          <w:tcPr>
            <w:tcW w:w="1111" w:type="dxa"/>
            <w:vAlign w:val="center"/>
          </w:tcPr>
          <w:p w:rsidR="002A469B" w:rsidRPr="0031094F" w:rsidRDefault="002A469B" w:rsidP="00382A79">
            <w:pPr>
              <w:keepNext/>
              <w:jc w:val="center"/>
              <w:rPr>
                <w:b/>
                <w:bCs/>
                <w:color w:val="000000"/>
                <w:sz w:val="18"/>
                <w:szCs w:val="18"/>
                <w:lang w:eastAsia="en-GB"/>
              </w:rPr>
            </w:pPr>
            <w:r>
              <w:rPr>
                <w:b/>
                <w:bCs/>
                <w:color w:val="000000"/>
                <w:sz w:val="18"/>
                <w:szCs w:val="18"/>
                <w:lang w:eastAsia="en-GB"/>
              </w:rPr>
              <w:t>2020</w:t>
            </w:r>
          </w:p>
        </w:tc>
      </w:tr>
      <w:tr w:rsidR="00FF2724" w:rsidTr="002A469B">
        <w:trPr>
          <w:trHeight w:val="507"/>
        </w:trPr>
        <w:tc>
          <w:tcPr>
            <w:tcW w:w="1606" w:type="dxa"/>
            <w:vMerge/>
          </w:tcPr>
          <w:p w:rsidR="00FF2724" w:rsidRDefault="00FF2724" w:rsidP="00382A79">
            <w:pPr>
              <w:jc w:val="left"/>
              <w:rPr>
                <w:lang w:val="en-US"/>
              </w:rPr>
            </w:pPr>
          </w:p>
        </w:tc>
        <w:tc>
          <w:tcPr>
            <w:tcW w:w="1110" w:type="dxa"/>
            <w:vAlign w:val="center"/>
          </w:tcPr>
          <w:p w:rsidR="00FF2724" w:rsidRPr="0031094F" w:rsidRDefault="00FF2724" w:rsidP="00382A79">
            <w:pPr>
              <w:keepNext/>
              <w:jc w:val="center"/>
              <w:rPr>
                <w:b/>
                <w:bCs/>
                <w:color w:val="000000"/>
                <w:sz w:val="18"/>
                <w:szCs w:val="18"/>
                <w:lang w:eastAsia="en-GB"/>
              </w:rPr>
            </w:pPr>
            <w:r w:rsidRPr="0031094F">
              <w:rPr>
                <w:b/>
                <w:bCs/>
                <w:color w:val="000000"/>
                <w:sz w:val="18"/>
                <w:szCs w:val="18"/>
                <w:lang w:eastAsia="en-GB"/>
              </w:rPr>
              <w:t>Approved</w:t>
            </w:r>
          </w:p>
        </w:tc>
        <w:tc>
          <w:tcPr>
            <w:tcW w:w="1177" w:type="dxa"/>
            <w:vAlign w:val="center"/>
          </w:tcPr>
          <w:p w:rsidR="00FF2724" w:rsidRPr="0031094F" w:rsidRDefault="00FF2724" w:rsidP="00382A79">
            <w:pPr>
              <w:keepNext/>
              <w:jc w:val="center"/>
              <w:rPr>
                <w:b/>
                <w:bCs/>
                <w:color w:val="000000"/>
                <w:sz w:val="18"/>
                <w:szCs w:val="18"/>
                <w:lang w:eastAsia="en-GB"/>
              </w:rPr>
            </w:pPr>
            <w:r w:rsidRPr="0031094F">
              <w:rPr>
                <w:b/>
                <w:bCs/>
                <w:color w:val="000000"/>
                <w:sz w:val="18"/>
                <w:szCs w:val="18"/>
                <w:lang w:eastAsia="en-GB"/>
              </w:rPr>
              <w:t>Expenditure</w:t>
            </w:r>
          </w:p>
        </w:tc>
        <w:tc>
          <w:tcPr>
            <w:tcW w:w="1097" w:type="dxa"/>
            <w:vAlign w:val="center"/>
          </w:tcPr>
          <w:p w:rsidR="00FF2724" w:rsidRPr="0031094F" w:rsidRDefault="00FF2724" w:rsidP="00382A79">
            <w:pPr>
              <w:keepNext/>
              <w:jc w:val="center"/>
              <w:rPr>
                <w:b/>
                <w:bCs/>
                <w:color w:val="000000"/>
                <w:sz w:val="18"/>
                <w:szCs w:val="18"/>
                <w:lang w:eastAsia="en-GB"/>
              </w:rPr>
            </w:pPr>
            <w:r w:rsidRPr="0031094F">
              <w:rPr>
                <w:b/>
                <w:bCs/>
                <w:color w:val="000000"/>
                <w:sz w:val="18"/>
                <w:szCs w:val="18"/>
                <w:lang w:eastAsia="en-GB"/>
              </w:rPr>
              <w:t>Balance</w:t>
            </w:r>
          </w:p>
        </w:tc>
        <w:tc>
          <w:tcPr>
            <w:tcW w:w="1111" w:type="dxa"/>
            <w:vAlign w:val="center"/>
          </w:tcPr>
          <w:p w:rsidR="00FF2724" w:rsidRPr="0031094F" w:rsidRDefault="00FF2724" w:rsidP="00382A79">
            <w:pPr>
              <w:keepNext/>
              <w:jc w:val="center"/>
              <w:rPr>
                <w:b/>
                <w:bCs/>
                <w:color w:val="000000"/>
                <w:sz w:val="18"/>
                <w:szCs w:val="18"/>
                <w:lang w:eastAsia="en-GB"/>
              </w:rPr>
            </w:pPr>
            <w:r w:rsidRPr="0031094F">
              <w:rPr>
                <w:b/>
                <w:bCs/>
                <w:color w:val="000000"/>
                <w:sz w:val="18"/>
                <w:szCs w:val="18"/>
                <w:lang w:eastAsia="en-GB"/>
              </w:rPr>
              <w:t>Approved</w:t>
            </w:r>
          </w:p>
        </w:tc>
        <w:tc>
          <w:tcPr>
            <w:tcW w:w="1177" w:type="dxa"/>
            <w:vAlign w:val="center"/>
          </w:tcPr>
          <w:p w:rsidR="00FF2724" w:rsidRPr="0031094F" w:rsidRDefault="00FF2724" w:rsidP="00F87105">
            <w:pPr>
              <w:keepNext/>
              <w:jc w:val="center"/>
              <w:rPr>
                <w:b/>
                <w:bCs/>
                <w:color w:val="000000"/>
                <w:sz w:val="18"/>
                <w:szCs w:val="18"/>
                <w:lang w:eastAsia="en-GB"/>
              </w:rPr>
            </w:pPr>
            <w:r w:rsidRPr="0031094F">
              <w:rPr>
                <w:b/>
                <w:bCs/>
                <w:color w:val="000000"/>
                <w:sz w:val="18"/>
                <w:szCs w:val="18"/>
                <w:lang w:eastAsia="en-GB"/>
              </w:rPr>
              <w:t xml:space="preserve">Estimated </w:t>
            </w:r>
            <w:r w:rsidR="00F87105">
              <w:rPr>
                <w:b/>
                <w:bCs/>
                <w:color w:val="000000"/>
                <w:sz w:val="18"/>
                <w:szCs w:val="18"/>
                <w:lang w:eastAsia="en-GB"/>
              </w:rPr>
              <w:t>e</w:t>
            </w:r>
            <w:r w:rsidRPr="0031094F">
              <w:rPr>
                <w:b/>
                <w:bCs/>
                <w:color w:val="000000"/>
                <w:sz w:val="18"/>
                <w:szCs w:val="18"/>
                <w:lang w:eastAsia="en-GB"/>
              </w:rPr>
              <w:t>xpenditure</w:t>
            </w:r>
          </w:p>
        </w:tc>
        <w:tc>
          <w:tcPr>
            <w:tcW w:w="1108" w:type="dxa"/>
            <w:vAlign w:val="center"/>
          </w:tcPr>
          <w:p w:rsidR="00FF2724" w:rsidRPr="0031094F" w:rsidRDefault="00FF2724" w:rsidP="00382A79">
            <w:pPr>
              <w:keepNext/>
              <w:jc w:val="center"/>
              <w:rPr>
                <w:b/>
                <w:bCs/>
                <w:color w:val="000000"/>
                <w:sz w:val="18"/>
                <w:szCs w:val="18"/>
                <w:lang w:eastAsia="en-GB"/>
              </w:rPr>
            </w:pPr>
            <w:r w:rsidRPr="0031094F">
              <w:rPr>
                <w:b/>
                <w:bCs/>
                <w:color w:val="000000"/>
                <w:sz w:val="18"/>
                <w:szCs w:val="18"/>
                <w:lang w:eastAsia="en-GB"/>
              </w:rPr>
              <w:t>Estimated</w:t>
            </w:r>
          </w:p>
          <w:p w:rsidR="00FF2724" w:rsidRPr="0031094F" w:rsidRDefault="00F87105" w:rsidP="00382A79">
            <w:pPr>
              <w:keepNext/>
              <w:jc w:val="center"/>
              <w:rPr>
                <w:b/>
                <w:bCs/>
                <w:color w:val="000000"/>
                <w:sz w:val="18"/>
                <w:szCs w:val="18"/>
                <w:lang w:eastAsia="en-GB"/>
              </w:rPr>
            </w:pPr>
            <w:r>
              <w:rPr>
                <w:b/>
                <w:bCs/>
                <w:color w:val="000000"/>
                <w:sz w:val="18"/>
                <w:szCs w:val="18"/>
                <w:lang w:eastAsia="en-GB"/>
              </w:rPr>
              <w:t>b</w:t>
            </w:r>
            <w:r w:rsidR="00FF2724" w:rsidRPr="0031094F">
              <w:rPr>
                <w:b/>
                <w:bCs/>
                <w:color w:val="000000"/>
                <w:sz w:val="18"/>
                <w:szCs w:val="18"/>
                <w:lang w:eastAsia="en-GB"/>
              </w:rPr>
              <w:t>alance</w:t>
            </w:r>
          </w:p>
        </w:tc>
        <w:tc>
          <w:tcPr>
            <w:tcW w:w="1111" w:type="dxa"/>
            <w:vAlign w:val="center"/>
          </w:tcPr>
          <w:p w:rsidR="00FF2724" w:rsidRPr="0031094F" w:rsidRDefault="00FF2724" w:rsidP="00F87105">
            <w:pPr>
              <w:keepNext/>
              <w:jc w:val="center"/>
              <w:rPr>
                <w:b/>
                <w:bCs/>
                <w:color w:val="000000"/>
                <w:sz w:val="18"/>
                <w:szCs w:val="18"/>
                <w:lang w:eastAsia="en-GB"/>
              </w:rPr>
            </w:pPr>
            <w:r w:rsidRPr="0031094F">
              <w:rPr>
                <w:b/>
                <w:bCs/>
                <w:color w:val="000000"/>
                <w:sz w:val="18"/>
                <w:szCs w:val="18"/>
                <w:lang w:eastAsia="en-GB"/>
              </w:rPr>
              <w:t xml:space="preserve">Proposed </w:t>
            </w:r>
            <w:r w:rsidR="00F87105">
              <w:rPr>
                <w:b/>
                <w:bCs/>
                <w:color w:val="000000"/>
                <w:sz w:val="18"/>
                <w:szCs w:val="18"/>
                <w:lang w:eastAsia="en-GB"/>
              </w:rPr>
              <w:t>b</w:t>
            </w:r>
            <w:r w:rsidRPr="0031094F">
              <w:rPr>
                <w:b/>
                <w:bCs/>
                <w:color w:val="000000"/>
                <w:sz w:val="18"/>
                <w:szCs w:val="18"/>
                <w:lang w:eastAsia="en-GB"/>
              </w:rPr>
              <w:t>udget</w:t>
            </w:r>
          </w:p>
        </w:tc>
      </w:tr>
      <w:tr w:rsidR="00FF2724" w:rsidTr="002A469B">
        <w:tc>
          <w:tcPr>
            <w:tcW w:w="1606" w:type="dxa"/>
          </w:tcPr>
          <w:p w:rsidR="00FF2724" w:rsidRPr="007B7B2E" w:rsidRDefault="00FF2724" w:rsidP="00DF29AB">
            <w:pPr>
              <w:ind w:right="433"/>
              <w:jc w:val="left"/>
              <w:rPr>
                <w:color w:val="000000"/>
                <w:sz w:val="18"/>
                <w:szCs w:val="18"/>
                <w:lang w:eastAsia="en-GB"/>
              </w:rPr>
            </w:pPr>
            <w:r w:rsidRPr="007B7B2E">
              <w:rPr>
                <w:color w:val="000000"/>
                <w:sz w:val="18"/>
                <w:szCs w:val="18"/>
                <w:lang w:eastAsia="en-GB"/>
              </w:rPr>
              <w:t xml:space="preserve">Staff personnel and </w:t>
            </w:r>
            <w:r w:rsidR="00DF29AB">
              <w:rPr>
                <w:color w:val="000000"/>
                <w:sz w:val="18"/>
                <w:szCs w:val="18"/>
                <w:lang w:eastAsia="en-GB"/>
              </w:rPr>
              <w:t>c</w:t>
            </w:r>
            <w:r w:rsidRPr="007B7B2E">
              <w:rPr>
                <w:color w:val="000000"/>
                <w:sz w:val="18"/>
                <w:szCs w:val="18"/>
                <w:lang w:eastAsia="en-GB"/>
              </w:rPr>
              <w:t>onsultants</w:t>
            </w:r>
          </w:p>
        </w:tc>
        <w:tc>
          <w:tcPr>
            <w:tcW w:w="1110" w:type="dxa"/>
          </w:tcPr>
          <w:p w:rsidR="00FF2724" w:rsidRPr="007B7B2E" w:rsidRDefault="00FF2724" w:rsidP="00382A79">
            <w:pPr>
              <w:jc w:val="right"/>
              <w:rPr>
                <w:color w:val="000000"/>
                <w:sz w:val="18"/>
                <w:szCs w:val="18"/>
                <w:lang w:eastAsia="en-GB"/>
              </w:rPr>
            </w:pPr>
            <w:r w:rsidRPr="007B7B2E">
              <w:rPr>
                <w:color w:val="000000"/>
                <w:sz w:val="18"/>
                <w:szCs w:val="18"/>
                <w:lang w:eastAsia="en-GB"/>
              </w:rPr>
              <w:t>6,928,000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5,364,229</w:t>
            </w:r>
          </w:p>
        </w:tc>
        <w:tc>
          <w:tcPr>
            <w:tcW w:w="1097" w:type="dxa"/>
          </w:tcPr>
          <w:p w:rsidR="00FF2724" w:rsidRPr="007B7B2E" w:rsidRDefault="00FF2724" w:rsidP="00382A79">
            <w:pPr>
              <w:jc w:val="right"/>
              <w:rPr>
                <w:color w:val="000000"/>
                <w:sz w:val="18"/>
                <w:szCs w:val="18"/>
                <w:lang w:eastAsia="en-GB"/>
              </w:rPr>
            </w:pPr>
            <w:r w:rsidRPr="007B7B2E">
              <w:rPr>
                <w:color w:val="000000"/>
                <w:sz w:val="18"/>
                <w:szCs w:val="18"/>
                <w:lang w:eastAsia="en-GB"/>
              </w:rPr>
              <w:t>1,563,771</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7,069,000</w:t>
            </w:r>
          </w:p>
        </w:tc>
        <w:tc>
          <w:tcPr>
            <w:tcW w:w="1177" w:type="dxa"/>
          </w:tcPr>
          <w:p w:rsidR="00FF2724" w:rsidRPr="007B7B2E" w:rsidRDefault="00FF2724" w:rsidP="00382A79">
            <w:pPr>
              <w:spacing w:line="259" w:lineRule="auto"/>
              <w:jc w:val="right"/>
              <w:rPr>
                <w:color w:val="000000"/>
                <w:sz w:val="18"/>
                <w:szCs w:val="18"/>
              </w:rPr>
            </w:pPr>
            <w:r w:rsidRPr="007B7B2E">
              <w:rPr>
                <w:rFonts w:eastAsia="Calibri"/>
                <w:color w:val="000000"/>
                <w:sz w:val="18"/>
                <w:szCs w:val="18"/>
              </w:rPr>
              <w:t>6,214,403</w:t>
            </w:r>
          </w:p>
        </w:tc>
        <w:tc>
          <w:tcPr>
            <w:tcW w:w="1108" w:type="dxa"/>
          </w:tcPr>
          <w:p w:rsidR="00FF2724" w:rsidRPr="007B7B2E" w:rsidRDefault="00FF2724" w:rsidP="00382A79">
            <w:pPr>
              <w:spacing w:line="259" w:lineRule="auto"/>
              <w:jc w:val="right"/>
              <w:rPr>
                <w:color w:val="000000"/>
                <w:sz w:val="18"/>
                <w:szCs w:val="18"/>
              </w:rPr>
            </w:pPr>
            <w:r w:rsidRPr="007B7B2E">
              <w:rPr>
                <w:rFonts w:eastAsia="Calibri"/>
                <w:color w:val="000000"/>
                <w:sz w:val="18"/>
                <w:szCs w:val="18"/>
              </w:rPr>
              <w:t>854,597</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7,208,000</w:t>
            </w:r>
          </w:p>
        </w:tc>
      </w:tr>
      <w:tr w:rsidR="00FF2724" w:rsidTr="002A469B">
        <w:tc>
          <w:tcPr>
            <w:tcW w:w="1606" w:type="dxa"/>
          </w:tcPr>
          <w:p w:rsidR="00FF2724" w:rsidRPr="007B7B2E" w:rsidRDefault="00FF2724" w:rsidP="00382A79">
            <w:pPr>
              <w:jc w:val="left"/>
              <w:rPr>
                <w:color w:val="000000"/>
                <w:sz w:val="18"/>
                <w:szCs w:val="18"/>
                <w:lang w:eastAsia="en-GB"/>
              </w:rPr>
            </w:pPr>
            <w:r w:rsidRPr="007B7B2E">
              <w:rPr>
                <w:color w:val="000000"/>
                <w:sz w:val="18"/>
                <w:szCs w:val="18"/>
                <w:lang w:eastAsia="en-GB"/>
              </w:rPr>
              <w:t>Travel (staff and consultants)</w:t>
            </w:r>
          </w:p>
        </w:tc>
        <w:tc>
          <w:tcPr>
            <w:tcW w:w="1110" w:type="dxa"/>
          </w:tcPr>
          <w:p w:rsidR="00FF2724" w:rsidRPr="007B7B2E" w:rsidRDefault="00FF2724" w:rsidP="00382A79">
            <w:pPr>
              <w:jc w:val="right"/>
              <w:rPr>
                <w:color w:val="000000"/>
                <w:sz w:val="18"/>
                <w:szCs w:val="18"/>
                <w:lang w:eastAsia="en-GB"/>
              </w:rPr>
            </w:pPr>
            <w:r w:rsidRPr="007B7B2E">
              <w:rPr>
                <w:color w:val="000000"/>
                <w:sz w:val="18"/>
                <w:szCs w:val="18"/>
                <w:lang w:eastAsia="en-GB"/>
              </w:rPr>
              <w:t>548,000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526,528</w:t>
            </w:r>
          </w:p>
        </w:tc>
        <w:tc>
          <w:tcPr>
            <w:tcW w:w="1097" w:type="dxa"/>
          </w:tcPr>
          <w:p w:rsidR="00FF2724" w:rsidRPr="007B7B2E" w:rsidRDefault="00FF2724" w:rsidP="00382A79">
            <w:pPr>
              <w:jc w:val="right"/>
              <w:rPr>
                <w:color w:val="000000"/>
                <w:sz w:val="18"/>
                <w:szCs w:val="18"/>
                <w:lang w:eastAsia="en-GB"/>
              </w:rPr>
            </w:pPr>
            <w:r w:rsidRPr="007B7B2E">
              <w:rPr>
                <w:color w:val="000000"/>
                <w:sz w:val="18"/>
                <w:szCs w:val="18"/>
                <w:lang w:eastAsia="en-GB"/>
              </w:rPr>
              <w:t>21,472</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548,000</w:t>
            </w:r>
          </w:p>
        </w:tc>
        <w:tc>
          <w:tcPr>
            <w:tcW w:w="1177" w:type="dxa"/>
          </w:tcPr>
          <w:p w:rsidR="00FF2724" w:rsidRPr="007B7B2E" w:rsidRDefault="00FF2724" w:rsidP="00382A79">
            <w:pPr>
              <w:spacing w:line="259" w:lineRule="auto"/>
              <w:jc w:val="right"/>
              <w:rPr>
                <w:color w:val="000000"/>
                <w:sz w:val="18"/>
                <w:szCs w:val="18"/>
                <w:lang w:eastAsia="en-GB"/>
              </w:rPr>
            </w:pPr>
            <w:r w:rsidRPr="007B7B2E">
              <w:rPr>
                <w:rFonts w:eastAsia="Calibri"/>
                <w:color w:val="000000"/>
                <w:sz w:val="18"/>
                <w:szCs w:val="18"/>
              </w:rPr>
              <w:t>511,742</w:t>
            </w:r>
          </w:p>
        </w:tc>
        <w:tc>
          <w:tcPr>
            <w:tcW w:w="1108" w:type="dxa"/>
          </w:tcPr>
          <w:p w:rsidR="00FF2724" w:rsidRPr="007B7B2E" w:rsidRDefault="00FF2724" w:rsidP="00382A79">
            <w:pPr>
              <w:spacing w:line="259" w:lineRule="auto"/>
              <w:jc w:val="right"/>
              <w:rPr>
                <w:color w:val="000000"/>
                <w:sz w:val="18"/>
                <w:szCs w:val="18"/>
              </w:rPr>
            </w:pPr>
            <w:r w:rsidRPr="007B7B2E">
              <w:rPr>
                <w:rFonts w:eastAsia="Calibri"/>
                <w:color w:val="000000"/>
                <w:sz w:val="18"/>
                <w:szCs w:val="18"/>
              </w:rPr>
              <w:t>36,258</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548,000</w:t>
            </w:r>
          </w:p>
        </w:tc>
      </w:tr>
      <w:tr w:rsidR="00FF2724" w:rsidTr="002A469B">
        <w:tc>
          <w:tcPr>
            <w:tcW w:w="1606" w:type="dxa"/>
          </w:tcPr>
          <w:p w:rsidR="00FF2724" w:rsidRPr="007B7B2E" w:rsidRDefault="00FF2724" w:rsidP="00382A79">
            <w:pPr>
              <w:jc w:val="left"/>
              <w:rPr>
                <w:color w:val="000000"/>
                <w:sz w:val="18"/>
                <w:szCs w:val="18"/>
                <w:lang w:eastAsia="en-GB"/>
              </w:rPr>
            </w:pPr>
            <w:r w:rsidRPr="007B7B2E">
              <w:rPr>
                <w:color w:val="000000"/>
                <w:sz w:val="18"/>
                <w:szCs w:val="18"/>
                <w:lang w:eastAsia="en-GB"/>
              </w:rPr>
              <w:t>Regional activities and meetings*</w:t>
            </w:r>
          </w:p>
        </w:tc>
        <w:tc>
          <w:tcPr>
            <w:tcW w:w="1110" w:type="dxa"/>
          </w:tcPr>
          <w:p w:rsidR="00FF2724" w:rsidRPr="007B7B2E" w:rsidRDefault="00FF2724" w:rsidP="00382A79">
            <w:pPr>
              <w:jc w:val="right"/>
              <w:rPr>
                <w:color w:val="000000"/>
                <w:sz w:val="18"/>
                <w:szCs w:val="18"/>
                <w:lang w:eastAsia="en-GB"/>
              </w:rPr>
            </w:pPr>
            <w:r w:rsidRPr="007B7B2E">
              <w:rPr>
                <w:color w:val="000000"/>
                <w:sz w:val="18"/>
                <w:szCs w:val="18"/>
                <w:lang w:eastAsia="en-GB"/>
              </w:rPr>
              <w:t>1,262,000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1,147,232</w:t>
            </w:r>
          </w:p>
        </w:tc>
        <w:tc>
          <w:tcPr>
            <w:tcW w:w="1097" w:type="dxa"/>
          </w:tcPr>
          <w:p w:rsidR="00FF2724" w:rsidRPr="007B7B2E" w:rsidRDefault="00FF2724" w:rsidP="00382A79">
            <w:pPr>
              <w:jc w:val="right"/>
              <w:rPr>
                <w:color w:val="000000"/>
                <w:sz w:val="18"/>
                <w:szCs w:val="18"/>
                <w:lang w:eastAsia="en-GB"/>
              </w:rPr>
            </w:pPr>
            <w:r w:rsidRPr="007B7B2E">
              <w:rPr>
                <w:color w:val="000000"/>
                <w:sz w:val="18"/>
                <w:szCs w:val="18"/>
                <w:lang w:eastAsia="en-GB"/>
              </w:rPr>
              <w:t>114,768</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1,262,000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1,224,823</w:t>
            </w:r>
          </w:p>
        </w:tc>
        <w:tc>
          <w:tcPr>
            <w:tcW w:w="1108" w:type="dxa"/>
          </w:tcPr>
          <w:p w:rsidR="00FF2724" w:rsidRPr="007B7B2E" w:rsidRDefault="00FF2724" w:rsidP="00382A79">
            <w:pPr>
              <w:spacing w:line="259" w:lineRule="auto"/>
              <w:jc w:val="right"/>
              <w:rPr>
                <w:color w:val="000000"/>
                <w:sz w:val="18"/>
                <w:szCs w:val="18"/>
              </w:rPr>
            </w:pPr>
            <w:r w:rsidRPr="007B7B2E">
              <w:rPr>
                <w:rFonts w:eastAsia="Calibri"/>
                <w:color w:val="000000"/>
                <w:sz w:val="18"/>
                <w:szCs w:val="18"/>
              </w:rPr>
              <w:t>37,177</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1,262,000</w:t>
            </w:r>
          </w:p>
        </w:tc>
      </w:tr>
      <w:tr w:rsidR="00FF2724" w:rsidTr="002A469B">
        <w:tc>
          <w:tcPr>
            <w:tcW w:w="1606" w:type="dxa"/>
          </w:tcPr>
          <w:p w:rsidR="00FF2724" w:rsidRPr="007B7B2E" w:rsidRDefault="00FF2724" w:rsidP="00382A79">
            <w:pPr>
              <w:jc w:val="left"/>
              <w:rPr>
                <w:color w:val="000000"/>
                <w:sz w:val="18"/>
                <w:szCs w:val="18"/>
                <w:lang w:eastAsia="en-GB"/>
              </w:rPr>
            </w:pPr>
            <w:r w:rsidRPr="007B7B2E">
              <w:rPr>
                <w:color w:val="000000"/>
                <w:sz w:val="18"/>
                <w:szCs w:val="18"/>
                <w:lang w:eastAsia="en-GB"/>
              </w:rPr>
              <w:t>Global services**</w:t>
            </w:r>
          </w:p>
        </w:tc>
        <w:tc>
          <w:tcPr>
            <w:tcW w:w="1110" w:type="dxa"/>
          </w:tcPr>
          <w:p w:rsidR="00FF2724" w:rsidRPr="007B7B2E" w:rsidRDefault="00FF2724" w:rsidP="00382A79">
            <w:pPr>
              <w:jc w:val="right"/>
              <w:rPr>
                <w:color w:val="000000"/>
                <w:sz w:val="18"/>
                <w:szCs w:val="18"/>
                <w:lang w:eastAsia="en-GB"/>
              </w:rPr>
            </w:pPr>
            <w:r w:rsidRPr="007B7B2E">
              <w:rPr>
                <w:color w:val="000000"/>
                <w:sz w:val="18"/>
                <w:szCs w:val="18"/>
                <w:lang w:eastAsia="en-GB"/>
              </w:rPr>
              <w:t>505,000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379,476</w:t>
            </w:r>
          </w:p>
        </w:tc>
        <w:tc>
          <w:tcPr>
            <w:tcW w:w="1097" w:type="dxa"/>
          </w:tcPr>
          <w:p w:rsidR="00FF2724" w:rsidRPr="007B7B2E" w:rsidRDefault="00FF2724" w:rsidP="00382A79">
            <w:pPr>
              <w:jc w:val="right"/>
              <w:rPr>
                <w:color w:val="000000"/>
                <w:sz w:val="18"/>
                <w:szCs w:val="18"/>
                <w:lang w:eastAsia="en-GB"/>
              </w:rPr>
            </w:pPr>
            <w:r w:rsidRPr="007B7B2E">
              <w:rPr>
                <w:color w:val="000000"/>
                <w:sz w:val="18"/>
                <w:szCs w:val="18"/>
                <w:lang w:eastAsia="en-GB"/>
              </w:rPr>
              <w:t>125,524</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505,000</w:t>
            </w:r>
          </w:p>
        </w:tc>
        <w:tc>
          <w:tcPr>
            <w:tcW w:w="1177" w:type="dxa"/>
          </w:tcPr>
          <w:p w:rsidR="00FF2724" w:rsidRPr="007B7B2E" w:rsidRDefault="00FF2724" w:rsidP="00382A79">
            <w:pPr>
              <w:spacing w:line="259" w:lineRule="auto"/>
              <w:jc w:val="right"/>
              <w:rPr>
                <w:color w:val="000000"/>
                <w:sz w:val="18"/>
                <w:szCs w:val="18"/>
              </w:rPr>
            </w:pPr>
            <w:r w:rsidRPr="007B7B2E">
              <w:rPr>
                <w:rFonts w:eastAsia="Calibri"/>
                <w:color w:val="000000"/>
                <w:sz w:val="18"/>
                <w:szCs w:val="18"/>
              </w:rPr>
              <w:t>433,913</w:t>
            </w:r>
          </w:p>
        </w:tc>
        <w:tc>
          <w:tcPr>
            <w:tcW w:w="1108" w:type="dxa"/>
          </w:tcPr>
          <w:p w:rsidR="00FF2724" w:rsidRPr="007B7B2E" w:rsidRDefault="00FF2724" w:rsidP="00382A79">
            <w:pPr>
              <w:spacing w:line="259" w:lineRule="auto"/>
              <w:jc w:val="right"/>
              <w:rPr>
                <w:color w:val="000000"/>
                <w:sz w:val="18"/>
                <w:szCs w:val="18"/>
                <w:lang w:eastAsia="en-GB"/>
              </w:rPr>
            </w:pPr>
            <w:r w:rsidRPr="007B7B2E">
              <w:rPr>
                <w:rFonts w:eastAsia="Calibri"/>
                <w:color w:val="000000"/>
                <w:sz w:val="18"/>
                <w:szCs w:val="18"/>
              </w:rPr>
              <w:t>71,087</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505,000</w:t>
            </w:r>
          </w:p>
        </w:tc>
      </w:tr>
      <w:tr w:rsidR="00FF2724" w:rsidTr="002A469B">
        <w:tc>
          <w:tcPr>
            <w:tcW w:w="1606" w:type="dxa"/>
          </w:tcPr>
          <w:p w:rsidR="00FF2724" w:rsidRPr="007B7B2E" w:rsidRDefault="00FF2724" w:rsidP="00F87105">
            <w:pPr>
              <w:jc w:val="left"/>
              <w:rPr>
                <w:color w:val="000000"/>
                <w:sz w:val="18"/>
                <w:szCs w:val="18"/>
                <w:lang w:eastAsia="en-GB"/>
              </w:rPr>
            </w:pPr>
            <w:r w:rsidRPr="007B7B2E">
              <w:rPr>
                <w:color w:val="000000"/>
                <w:sz w:val="18"/>
                <w:szCs w:val="18"/>
                <w:lang w:eastAsia="en-GB"/>
              </w:rPr>
              <w:t xml:space="preserve">Space </w:t>
            </w:r>
            <w:r w:rsidR="00F87105">
              <w:rPr>
                <w:color w:val="000000"/>
                <w:sz w:val="18"/>
                <w:szCs w:val="18"/>
                <w:lang w:eastAsia="en-GB"/>
              </w:rPr>
              <w:t>and e</w:t>
            </w:r>
            <w:r w:rsidRPr="007B7B2E">
              <w:rPr>
                <w:color w:val="000000"/>
                <w:sz w:val="18"/>
                <w:szCs w:val="18"/>
                <w:lang w:eastAsia="en-GB"/>
              </w:rPr>
              <w:t>quipment (rent and common costs, computers, supplies</w:t>
            </w:r>
            <w:r w:rsidR="00F87105">
              <w:rPr>
                <w:color w:val="000000"/>
                <w:sz w:val="18"/>
                <w:szCs w:val="18"/>
                <w:lang w:eastAsia="en-GB"/>
              </w:rPr>
              <w:t>)</w:t>
            </w:r>
          </w:p>
        </w:tc>
        <w:tc>
          <w:tcPr>
            <w:tcW w:w="1110" w:type="dxa"/>
          </w:tcPr>
          <w:p w:rsidR="00FF2724" w:rsidRPr="007B7B2E" w:rsidRDefault="00FF2724" w:rsidP="00382A79">
            <w:pPr>
              <w:jc w:val="right"/>
              <w:rPr>
                <w:color w:val="000000"/>
                <w:sz w:val="18"/>
                <w:szCs w:val="18"/>
                <w:lang w:eastAsia="en-GB"/>
              </w:rPr>
            </w:pPr>
            <w:r w:rsidRPr="007B7B2E">
              <w:rPr>
                <w:color w:val="000000"/>
                <w:sz w:val="18"/>
                <w:szCs w:val="18"/>
                <w:lang w:eastAsia="en-GB"/>
              </w:rPr>
              <w:t>620,000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472,726</w:t>
            </w:r>
          </w:p>
        </w:tc>
        <w:tc>
          <w:tcPr>
            <w:tcW w:w="1097" w:type="dxa"/>
          </w:tcPr>
          <w:p w:rsidR="00FF2724" w:rsidRPr="007B7B2E" w:rsidRDefault="00FF2724" w:rsidP="00382A79">
            <w:pPr>
              <w:jc w:val="right"/>
              <w:rPr>
                <w:color w:val="000000"/>
                <w:sz w:val="18"/>
                <w:szCs w:val="18"/>
                <w:lang w:eastAsia="en-GB"/>
              </w:rPr>
            </w:pPr>
            <w:r w:rsidRPr="007B7B2E">
              <w:rPr>
                <w:color w:val="000000"/>
                <w:sz w:val="18"/>
                <w:szCs w:val="18"/>
                <w:lang w:eastAsia="en-GB"/>
              </w:rPr>
              <w:t>147,274</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590,000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498,605</w:t>
            </w:r>
          </w:p>
          <w:p w:rsidR="00FF2724" w:rsidRPr="007B7B2E" w:rsidRDefault="00FF2724" w:rsidP="00382A79">
            <w:pPr>
              <w:jc w:val="right"/>
              <w:rPr>
                <w:color w:val="000000"/>
                <w:sz w:val="18"/>
                <w:szCs w:val="18"/>
                <w:lang w:eastAsia="en-GB"/>
              </w:rPr>
            </w:pPr>
          </w:p>
        </w:tc>
        <w:tc>
          <w:tcPr>
            <w:tcW w:w="1108" w:type="dxa"/>
          </w:tcPr>
          <w:p w:rsidR="00FF2724" w:rsidRPr="007B7B2E" w:rsidRDefault="00FF2724" w:rsidP="00382A79">
            <w:pPr>
              <w:spacing w:line="259" w:lineRule="auto"/>
              <w:jc w:val="right"/>
              <w:rPr>
                <w:color w:val="000000"/>
                <w:sz w:val="18"/>
                <w:szCs w:val="18"/>
              </w:rPr>
            </w:pPr>
            <w:r w:rsidRPr="007B7B2E">
              <w:rPr>
                <w:rFonts w:eastAsia="Calibri"/>
                <w:color w:val="000000"/>
                <w:sz w:val="18"/>
                <w:szCs w:val="18"/>
              </w:rPr>
              <w:t>91,395</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590,000</w:t>
            </w:r>
          </w:p>
        </w:tc>
      </w:tr>
      <w:tr w:rsidR="00FF2724" w:rsidTr="002A469B">
        <w:tc>
          <w:tcPr>
            <w:tcW w:w="1606" w:type="dxa"/>
          </w:tcPr>
          <w:p w:rsidR="00FF2724" w:rsidRPr="007B7B2E" w:rsidRDefault="00FF2724" w:rsidP="00382A79">
            <w:pPr>
              <w:jc w:val="left"/>
              <w:rPr>
                <w:b/>
                <w:color w:val="000000"/>
                <w:sz w:val="18"/>
                <w:szCs w:val="18"/>
                <w:lang w:eastAsia="en-GB"/>
              </w:rPr>
            </w:pPr>
            <w:r w:rsidRPr="007B7B2E">
              <w:rPr>
                <w:b/>
                <w:color w:val="000000"/>
                <w:sz w:val="18"/>
                <w:szCs w:val="18"/>
                <w:lang w:eastAsia="en-GB"/>
              </w:rPr>
              <w:t>Sub-total CAP</w:t>
            </w:r>
          </w:p>
        </w:tc>
        <w:tc>
          <w:tcPr>
            <w:tcW w:w="1110"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9,863,000</w:t>
            </w:r>
          </w:p>
        </w:tc>
        <w:tc>
          <w:tcPr>
            <w:tcW w:w="1177"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7,890,191</w:t>
            </w:r>
          </w:p>
        </w:tc>
        <w:tc>
          <w:tcPr>
            <w:tcW w:w="1097"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1,972,809</w:t>
            </w:r>
          </w:p>
        </w:tc>
        <w:tc>
          <w:tcPr>
            <w:tcW w:w="1111"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9,974,000</w:t>
            </w:r>
          </w:p>
        </w:tc>
        <w:tc>
          <w:tcPr>
            <w:tcW w:w="1177"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8,883,486</w:t>
            </w:r>
          </w:p>
        </w:tc>
        <w:tc>
          <w:tcPr>
            <w:tcW w:w="1108" w:type="dxa"/>
          </w:tcPr>
          <w:p w:rsidR="00FF2724" w:rsidRPr="007B7B2E" w:rsidRDefault="00FF2724" w:rsidP="00382A79">
            <w:pPr>
              <w:spacing w:line="259" w:lineRule="auto"/>
              <w:jc w:val="right"/>
              <w:rPr>
                <w:b/>
                <w:color w:val="000000"/>
                <w:sz w:val="18"/>
                <w:szCs w:val="18"/>
              </w:rPr>
            </w:pPr>
            <w:r w:rsidRPr="007B7B2E">
              <w:rPr>
                <w:rFonts w:eastAsia="Calibri"/>
                <w:b/>
                <w:color w:val="000000"/>
                <w:sz w:val="18"/>
                <w:szCs w:val="18"/>
              </w:rPr>
              <w:t>1,090,514</w:t>
            </w:r>
          </w:p>
        </w:tc>
        <w:tc>
          <w:tcPr>
            <w:tcW w:w="1111"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10,113,000</w:t>
            </w:r>
          </w:p>
        </w:tc>
      </w:tr>
      <w:tr w:rsidR="00FF2724" w:rsidTr="002A469B">
        <w:tc>
          <w:tcPr>
            <w:tcW w:w="1606" w:type="dxa"/>
          </w:tcPr>
          <w:p w:rsidR="00FF2724" w:rsidRPr="007B7B2E" w:rsidRDefault="00F87105" w:rsidP="00382A79">
            <w:pPr>
              <w:jc w:val="left"/>
              <w:rPr>
                <w:color w:val="000000"/>
                <w:sz w:val="18"/>
                <w:szCs w:val="18"/>
                <w:lang w:eastAsia="en-GB"/>
              </w:rPr>
            </w:pPr>
            <w:r>
              <w:rPr>
                <w:color w:val="000000"/>
                <w:sz w:val="18"/>
                <w:szCs w:val="18"/>
                <w:lang w:eastAsia="en-GB"/>
              </w:rPr>
              <w:t>Programme support c</w:t>
            </w:r>
            <w:r w:rsidR="00FF2724" w:rsidRPr="007B7B2E">
              <w:rPr>
                <w:color w:val="000000"/>
                <w:sz w:val="18"/>
                <w:szCs w:val="18"/>
                <w:lang w:eastAsia="en-GB"/>
              </w:rPr>
              <w:t>osts</w:t>
            </w:r>
          </w:p>
        </w:tc>
        <w:tc>
          <w:tcPr>
            <w:tcW w:w="1110" w:type="dxa"/>
          </w:tcPr>
          <w:p w:rsidR="00FF2724" w:rsidRPr="007B7B2E" w:rsidRDefault="00FF2724" w:rsidP="00382A79">
            <w:pPr>
              <w:jc w:val="right"/>
              <w:rPr>
                <w:color w:val="000000"/>
                <w:sz w:val="18"/>
                <w:szCs w:val="18"/>
                <w:lang w:eastAsia="en-GB"/>
              </w:rPr>
            </w:pPr>
            <w:r w:rsidRPr="007B7B2E">
              <w:rPr>
                <w:color w:val="000000"/>
                <w:sz w:val="18"/>
                <w:szCs w:val="18"/>
                <w:lang w:eastAsia="en-GB"/>
              </w:rPr>
              <w:t>789,040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631,215</w:t>
            </w:r>
          </w:p>
        </w:tc>
        <w:tc>
          <w:tcPr>
            <w:tcW w:w="1097" w:type="dxa"/>
          </w:tcPr>
          <w:p w:rsidR="00FF2724" w:rsidRPr="007B7B2E" w:rsidRDefault="00FF2724" w:rsidP="00382A79">
            <w:pPr>
              <w:jc w:val="right"/>
              <w:rPr>
                <w:color w:val="000000"/>
                <w:sz w:val="18"/>
                <w:szCs w:val="18"/>
                <w:lang w:eastAsia="en-GB"/>
              </w:rPr>
            </w:pPr>
            <w:r w:rsidRPr="007B7B2E">
              <w:rPr>
                <w:color w:val="000000"/>
                <w:sz w:val="18"/>
                <w:szCs w:val="18"/>
                <w:lang w:eastAsia="en-GB"/>
              </w:rPr>
              <w:t>157,825</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797,920</w:t>
            </w:r>
          </w:p>
        </w:tc>
        <w:tc>
          <w:tcPr>
            <w:tcW w:w="1177" w:type="dxa"/>
          </w:tcPr>
          <w:p w:rsidR="00FF2724" w:rsidRPr="007B7B2E" w:rsidRDefault="00FF2724" w:rsidP="00382A79">
            <w:pPr>
              <w:jc w:val="right"/>
              <w:rPr>
                <w:color w:val="000000"/>
                <w:sz w:val="18"/>
                <w:szCs w:val="18"/>
                <w:lang w:eastAsia="en-GB"/>
              </w:rPr>
            </w:pPr>
            <w:r w:rsidRPr="007B7B2E">
              <w:rPr>
                <w:color w:val="000000"/>
                <w:sz w:val="18"/>
                <w:szCs w:val="18"/>
                <w:lang w:eastAsia="en-GB"/>
              </w:rPr>
              <w:t>710,679</w:t>
            </w:r>
          </w:p>
        </w:tc>
        <w:tc>
          <w:tcPr>
            <w:tcW w:w="1108" w:type="dxa"/>
          </w:tcPr>
          <w:p w:rsidR="00FF2724" w:rsidRPr="007B7B2E" w:rsidRDefault="00FF2724" w:rsidP="00382A79">
            <w:pPr>
              <w:jc w:val="right"/>
              <w:rPr>
                <w:color w:val="000000"/>
                <w:sz w:val="18"/>
                <w:szCs w:val="18"/>
                <w:lang w:eastAsia="en-GB"/>
              </w:rPr>
            </w:pPr>
            <w:r w:rsidRPr="007B7B2E">
              <w:rPr>
                <w:color w:val="000000"/>
                <w:sz w:val="18"/>
                <w:szCs w:val="18"/>
                <w:lang w:eastAsia="en-GB"/>
              </w:rPr>
              <w:t>87,241</w:t>
            </w:r>
          </w:p>
        </w:tc>
        <w:tc>
          <w:tcPr>
            <w:tcW w:w="1111" w:type="dxa"/>
          </w:tcPr>
          <w:p w:rsidR="00FF2724" w:rsidRPr="007B7B2E" w:rsidRDefault="00FF2724" w:rsidP="00382A79">
            <w:pPr>
              <w:jc w:val="right"/>
              <w:rPr>
                <w:color w:val="000000"/>
                <w:sz w:val="18"/>
                <w:szCs w:val="18"/>
                <w:lang w:eastAsia="en-GB"/>
              </w:rPr>
            </w:pPr>
            <w:r w:rsidRPr="007B7B2E">
              <w:rPr>
                <w:color w:val="000000"/>
                <w:sz w:val="18"/>
                <w:szCs w:val="18"/>
                <w:lang w:eastAsia="en-GB"/>
              </w:rPr>
              <w:t>809,040</w:t>
            </w:r>
          </w:p>
        </w:tc>
      </w:tr>
      <w:tr w:rsidR="00FF2724" w:rsidTr="002A469B">
        <w:tc>
          <w:tcPr>
            <w:tcW w:w="1606" w:type="dxa"/>
          </w:tcPr>
          <w:p w:rsidR="00FF2724" w:rsidRPr="007B7B2E" w:rsidRDefault="00F87105" w:rsidP="00382A79">
            <w:pPr>
              <w:jc w:val="left"/>
              <w:rPr>
                <w:b/>
                <w:bCs/>
                <w:color w:val="000000"/>
                <w:sz w:val="18"/>
                <w:szCs w:val="18"/>
                <w:lang w:eastAsia="en-GB"/>
              </w:rPr>
            </w:pPr>
            <w:r>
              <w:rPr>
                <w:b/>
                <w:bCs/>
                <w:color w:val="000000"/>
                <w:sz w:val="18"/>
                <w:szCs w:val="18"/>
                <w:lang w:eastAsia="en-GB"/>
              </w:rPr>
              <w:t>Grand t</w:t>
            </w:r>
            <w:r w:rsidR="00FF2724" w:rsidRPr="007B7B2E">
              <w:rPr>
                <w:b/>
                <w:bCs/>
                <w:color w:val="000000"/>
                <w:sz w:val="18"/>
                <w:szCs w:val="18"/>
                <w:lang w:eastAsia="en-GB"/>
              </w:rPr>
              <w:t>otal</w:t>
            </w:r>
          </w:p>
        </w:tc>
        <w:tc>
          <w:tcPr>
            <w:tcW w:w="1110"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10,652,040</w:t>
            </w:r>
          </w:p>
        </w:tc>
        <w:tc>
          <w:tcPr>
            <w:tcW w:w="1177"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8,521,406</w:t>
            </w:r>
          </w:p>
        </w:tc>
        <w:tc>
          <w:tcPr>
            <w:tcW w:w="1097"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2,130,634</w:t>
            </w:r>
          </w:p>
        </w:tc>
        <w:tc>
          <w:tcPr>
            <w:tcW w:w="1111"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10,771,920</w:t>
            </w:r>
          </w:p>
        </w:tc>
        <w:tc>
          <w:tcPr>
            <w:tcW w:w="1177"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9,594,165</w:t>
            </w:r>
          </w:p>
        </w:tc>
        <w:tc>
          <w:tcPr>
            <w:tcW w:w="1108" w:type="dxa"/>
          </w:tcPr>
          <w:p w:rsidR="00FF2724" w:rsidRPr="007B7B2E" w:rsidRDefault="00FF2724" w:rsidP="00382A79">
            <w:pPr>
              <w:jc w:val="right"/>
              <w:rPr>
                <w:b/>
                <w:color w:val="000000"/>
                <w:sz w:val="18"/>
                <w:szCs w:val="18"/>
                <w:lang w:eastAsia="en-GB"/>
              </w:rPr>
            </w:pPr>
            <w:r w:rsidRPr="007B7B2E">
              <w:rPr>
                <w:b/>
                <w:color w:val="000000"/>
                <w:sz w:val="18"/>
                <w:szCs w:val="18"/>
                <w:lang w:eastAsia="en-GB"/>
              </w:rPr>
              <w:t>1,177,755</w:t>
            </w:r>
          </w:p>
        </w:tc>
        <w:tc>
          <w:tcPr>
            <w:tcW w:w="1111" w:type="dxa"/>
          </w:tcPr>
          <w:p w:rsidR="00FF2724" w:rsidRPr="007B7B2E" w:rsidRDefault="00FF2724" w:rsidP="00382A79">
            <w:pPr>
              <w:jc w:val="right"/>
              <w:rPr>
                <w:b/>
                <w:bCs/>
                <w:color w:val="000000"/>
                <w:sz w:val="18"/>
                <w:szCs w:val="18"/>
                <w:lang w:eastAsia="en-GB"/>
              </w:rPr>
            </w:pPr>
            <w:r w:rsidRPr="007B7B2E">
              <w:rPr>
                <w:b/>
                <w:bCs/>
                <w:color w:val="000000"/>
                <w:sz w:val="18"/>
                <w:szCs w:val="18"/>
                <w:lang w:eastAsia="en-GB"/>
              </w:rPr>
              <w:t>10,922,040</w:t>
            </w:r>
          </w:p>
        </w:tc>
      </w:tr>
    </w:tbl>
    <w:p w:rsidR="00FF2724" w:rsidRPr="007B7B2E" w:rsidRDefault="00FF2724" w:rsidP="00FF2724">
      <w:pPr>
        <w:jc w:val="left"/>
        <w:rPr>
          <w:color w:val="000000"/>
          <w:sz w:val="18"/>
          <w:szCs w:val="18"/>
          <w:lang w:eastAsia="en-GB"/>
        </w:rPr>
      </w:pPr>
      <w:r w:rsidRPr="007B7B2E">
        <w:rPr>
          <w:color w:val="000000"/>
          <w:sz w:val="18"/>
          <w:szCs w:val="18"/>
          <w:lang w:eastAsia="en-GB"/>
        </w:rPr>
        <w:t>* Includes the expenditures on the advisory and consultative meetings budget line.</w:t>
      </w:r>
    </w:p>
    <w:p w:rsidR="00FF2724" w:rsidRPr="007B7B2E" w:rsidRDefault="00FF2724" w:rsidP="00FF2724">
      <w:pPr>
        <w:jc w:val="left"/>
        <w:rPr>
          <w:color w:val="000000"/>
          <w:sz w:val="18"/>
          <w:szCs w:val="18"/>
          <w:lang w:eastAsia="en-GB"/>
        </w:rPr>
      </w:pPr>
      <w:r w:rsidRPr="007B7B2E">
        <w:rPr>
          <w:color w:val="000000"/>
          <w:sz w:val="18"/>
          <w:szCs w:val="18"/>
          <w:lang w:eastAsia="en-GB"/>
        </w:rPr>
        <w:t xml:space="preserve">**Includes </w:t>
      </w:r>
      <w:r>
        <w:rPr>
          <w:color w:val="000000"/>
          <w:sz w:val="18"/>
          <w:szCs w:val="18"/>
          <w:lang w:eastAsia="en-GB"/>
        </w:rPr>
        <w:t>o</w:t>
      </w:r>
      <w:r w:rsidRPr="007B7B2E">
        <w:rPr>
          <w:color w:val="000000"/>
          <w:sz w:val="18"/>
          <w:szCs w:val="18"/>
          <w:lang w:eastAsia="en-GB"/>
        </w:rPr>
        <w:t xml:space="preserve">utreach and </w:t>
      </w:r>
      <w:r>
        <w:rPr>
          <w:color w:val="000000"/>
          <w:sz w:val="18"/>
          <w:szCs w:val="18"/>
          <w:lang w:eastAsia="en-GB"/>
        </w:rPr>
        <w:t>t</w:t>
      </w:r>
      <w:r w:rsidRPr="007B7B2E">
        <w:rPr>
          <w:color w:val="000000"/>
          <w:sz w:val="18"/>
          <w:szCs w:val="18"/>
          <w:lang w:eastAsia="en-GB"/>
        </w:rPr>
        <w:t xml:space="preserve">ranslation, and </w:t>
      </w:r>
      <w:r>
        <w:rPr>
          <w:color w:val="000000"/>
          <w:sz w:val="18"/>
          <w:szCs w:val="18"/>
          <w:lang w:eastAsia="en-GB"/>
        </w:rPr>
        <w:t>a</w:t>
      </w:r>
      <w:r w:rsidRPr="007B7B2E">
        <w:rPr>
          <w:color w:val="000000"/>
          <w:sz w:val="18"/>
          <w:szCs w:val="18"/>
          <w:lang w:eastAsia="en-GB"/>
        </w:rPr>
        <w:t xml:space="preserve">dvisory </w:t>
      </w:r>
      <w:r>
        <w:rPr>
          <w:color w:val="000000"/>
          <w:sz w:val="18"/>
          <w:szCs w:val="18"/>
          <w:lang w:eastAsia="en-GB"/>
        </w:rPr>
        <w:t>g</w:t>
      </w:r>
      <w:r w:rsidRPr="007B7B2E">
        <w:rPr>
          <w:color w:val="000000"/>
          <w:sz w:val="18"/>
          <w:szCs w:val="18"/>
          <w:lang w:eastAsia="en-GB"/>
        </w:rPr>
        <w:t xml:space="preserve">roup </w:t>
      </w:r>
      <w:r>
        <w:rPr>
          <w:color w:val="000000"/>
          <w:sz w:val="18"/>
          <w:szCs w:val="18"/>
          <w:lang w:eastAsia="en-GB"/>
        </w:rPr>
        <w:t>m</w:t>
      </w:r>
      <w:r w:rsidRPr="007B7B2E">
        <w:rPr>
          <w:color w:val="000000"/>
          <w:sz w:val="18"/>
          <w:szCs w:val="18"/>
          <w:lang w:eastAsia="en-GB"/>
        </w:rPr>
        <w:t>eetings.</w:t>
      </w:r>
    </w:p>
    <w:p w:rsidR="00FF2724" w:rsidRDefault="00FF2724" w:rsidP="00FF2724">
      <w:pPr>
        <w:jc w:val="left"/>
        <w:rPr>
          <w:lang w:val="en-US"/>
        </w:rPr>
      </w:pPr>
    </w:p>
    <w:p w:rsidR="00FF2724" w:rsidRPr="00D7224A" w:rsidRDefault="00FF2724" w:rsidP="00DF29AB">
      <w:pPr>
        <w:pStyle w:val="Heading1"/>
        <w:rPr>
          <w:lang w:val="en-US"/>
        </w:rPr>
      </w:pPr>
      <w:r w:rsidRPr="00D7224A">
        <w:rPr>
          <w:lang w:val="en-US"/>
        </w:rPr>
        <w:t xml:space="preserve">The balances </w:t>
      </w:r>
      <w:r w:rsidR="002A469B" w:rsidRPr="00D7224A">
        <w:rPr>
          <w:lang w:val="en-US"/>
        </w:rPr>
        <w:t xml:space="preserve">from the </w:t>
      </w:r>
      <w:r w:rsidRPr="00D7224A">
        <w:rPr>
          <w:lang w:val="en-US"/>
        </w:rPr>
        <w:t>2018</w:t>
      </w:r>
      <w:r w:rsidR="002A469B" w:rsidRPr="00D7224A">
        <w:rPr>
          <w:lang w:val="en-US"/>
        </w:rPr>
        <w:t xml:space="preserve"> CAP</w:t>
      </w:r>
      <w:r w:rsidRPr="00D7224A">
        <w:rPr>
          <w:lang w:val="en-US"/>
        </w:rPr>
        <w:t xml:space="preserve"> were returned to the Fund.</w:t>
      </w:r>
    </w:p>
    <w:p w:rsidR="00DA2A56" w:rsidRPr="00CB59F2" w:rsidRDefault="00DA2A56" w:rsidP="00DF29AB">
      <w:pPr>
        <w:keepNext/>
        <w:spacing w:after="240"/>
        <w:jc w:val="center"/>
        <w:outlineLvl w:val="0"/>
        <w:rPr>
          <w:b/>
        </w:rPr>
      </w:pPr>
      <w:r w:rsidRPr="00CB59F2">
        <w:rPr>
          <w:b/>
        </w:rPr>
        <w:t>SECRETARIAT’S COMMENTS AND RECOMMENDATION</w:t>
      </w:r>
    </w:p>
    <w:p w:rsidR="00DA2A56" w:rsidRPr="00CB59F2" w:rsidRDefault="00DA2A56" w:rsidP="00DF29AB">
      <w:pPr>
        <w:keepNext/>
        <w:spacing w:after="240"/>
        <w:jc w:val="left"/>
        <w:rPr>
          <w:b/>
        </w:rPr>
      </w:pPr>
      <w:r w:rsidRPr="00CB59F2">
        <w:rPr>
          <w:b/>
        </w:rPr>
        <w:t>COMMENTS</w:t>
      </w:r>
    </w:p>
    <w:p w:rsidR="005C1AB1" w:rsidRDefault="005C1AB1" w:rsidP="00DF29AB">
      <w:pPr>
        <w:pStyle w:val="Heading1"/>
      </w:pPr>
      <w:r w:rsidRPr="005C1AB1">
        <w:t>The Secretariat reviewed the CAP submission and the changes in the programme and staffing</w:t>
      </w:r>
      <w:r>
        <w:t xml:space="preserve"> in line with decisions 81/38(b)</w:t>
      </w:r>
      <w:r w:rsidR="00FF2724">
        <w:rPr>
          <w:rStyle w:val="FootnoteReference"/>
        </w:rPr>
        <w:footnoteReference w:id="10"/>
      </w:r>
      <w:r>
        <w:t xml:space="preserve"> and 82/</w:t>
      </w:r>
      <w:r w:rsidR="00BC3B70">
        <w:t>57</w:t>
      </w:r>
      <w:r w:rsidR="00FF2724">
        <w:t>(c)</w:t>
      </w:r>
      <w:r w:rsidR="00FF2724">
        <w:rPr>
          <w:rStyle w:val="FootnoteReference"/>
        </w:rPr>
        <w:footnoteReference w:id="11"/>
      </w:r>
      <w:r w:rsidR="00BC3B70" w:rsidRPr="005C1AB1">
        <w:t xml:space="preserve"> taking</w:t>
      </w:r>
      <w:r w:rsidRPr="005C1AB1">
        <w:t xml:space="preserve"> into account the overall structure of the CAP, its operations and regional </w:t>
      </w:r>
      <w:r w:rsidR="00BC3B70" w:rsidRPr="005C1AB1">
        <w:t>structure; and</w:t>
      </w:r>
      <w:r w:rsidRPr="005C1AB1">
        <w:t xml:space="preserve"> other relevant decisions</w:t>
      </w:r>
      <w:r>
        <w:t>.</w:t>
      </w:r>
    </w:p>
    <w:p w:rsidR="005C19BD" w:rsidRPr="00D7224A" w:rsidRDefault="005C1AB1" w:rsidP="00DF29AB">
      <w:pPr>
        <w:pStyle w:val="Heading1"/>
      </w:pPr>
      <w:r w:rsidRPr="005C1AB1">
        <w:lastRenderedPageBreak/>
        <w:t xml:space="preserve"> </w:t>
      </w:r>
      <w:r w:rsidRPr="00D7224A">
        <w:t>Clarifications were sought on the remaining activities for the global projects (i.e., RDL and NOO training)</w:t>
      </w:r>
      <w:r w:rsidR="00F463B5" w:rsidRPr="00D7224A">
        <w:t xml:space="preserve">, </w:t>
      </w:r>
      <w:r w:rsidR="00D7224A" w:rsidRPr="00D7224A">
        <w:t>for which</w:t>
      </w:r>
      <w:r w:rsidR="00F463B5" w:rsidRPr="00D7224A">
        <w:t xml:space="preserve"> </w:t>
      </w:r>
      <w:r w:rsidRPr="00D7224A">
        <w:t>final reports were expected at the 82</w:t>
      </w:r>
      <w:r w:rsidRPr="00D7224A">
        <w:rPr>
          <w:vertAlign w:val="superscript"/>
        </w:rPr>
        <w:t>nd</w:t>
      </w:r>
      <w:r w:rsidR="00F463B5" w:rsidRPr="00D7224A">
        <w:rPr>
          <w:vertAlign w:val="superscript"/>
        </w:rPr>
        <w:t> </w:t>
      </w:r>
      <w:r w:rsidRPr="00D7224A">
        <w:t>me</w:t>
      </w:r>
      <w:r w:rsidR="00F87105" w:rsidRPr="00D7224A">
        <w:t xml:space="preserve">eting. With regard to the </w:t>
      </w:r>
      <w:r w:rsidR="002A469B" w:rsidRPr="00D7224A">
        <w:t xml:space="preserve">RDL </w:t>
      </w:r>
      <w:r w:rsidR="00F87105" w:rsidRPr="00D7224A">
        <w:t>programme</w:t>
      </w:r>
      <w:r w:rsidR="00D7224A">
        <w:t>,</w:t>
      </w:r>
      <w:r w:rsidR="00F87105" w:rsidRPr="00D7224A">
        <w:t xml:space="preserve"> </w:t>
      </w:r>
      <w:r w:rsidRPr="00D7224A">
        <w:t xml:space="preserve">UNEP explained that </w:t>
      </w:r>
      <w:r w:rsidR="005C19BD" w:rsidRPr="00D7224A">
        <w:t xml:space="preserve">is now gaining ground with training being completed in </w:t>
      </w:r>
      <w:r w:rsidR="00F87105" w:rsidRPr="00D7224A">
        <w:t>six</w:t>
      </w:r>
      <w:r w:rsidR="005C19BD" w:rsidRPr="00D7224A">
        <w:t xml:space="preserve"> pilot countries</w:t>
      </w:r>
      <w:r w:rsidR="002A469B" w:rsidRPr="00D7224A">
        <w:t xml:space="preserve"> </w:t>
      </w:r>
      <w:r w:rsidR="007078E3" w:rsidRPr="00D7224A">
        <w:t>and other</w:t>
      </w:r>
      <w:r w:rsidR="005C19BD" w:rsidRPr="00D7224A">
        <w:t xml:space="preserve"> countries are interested in </w:t>
      </w:r>
      <w:r w:rsidR="002A469B" w:rsidRPr="00D7224A">
        <w:t>implementing the RDL</w:t>
      </w:r>
      <w:r w:rsidR="00246F2A">
        <w:t>. W</w:t>
      </w:r>
      <w:r w:rsidR="00F87105" w:rsidRPr="00D7224A">
        <w:t>ith regard to th</w:t>
      </w:r>
      <w:r w:rsidR="005C19BD" w:rsidRPr="00D7224A">
        <w:t xml:space="preserve">e NOO training, UNEP noted </w:t>
      </w:r>
      <w:r w:rsidR="00F87105" w:rsidRPr="00D7224A">
        <w:t>that</w:t>
      </w:r>
      <w:r w:rsidR="005C19BD" w:rsidRPr="00D7224A">
        <w:t xml:space="preserve"> such training is not only for new NO</w:t>
      </w:r>
      <w:r w:rsidR="00F87105" w:rsidRPr="00D7224A">
        <w:t>O</w:t>
      </w:r>
      <w:r w:rsidR="005C19BD" w:rsidRPr="00D7224A">
        <w:t xml:space="preserve">s but also </w:t>
      </w:r>
      <w:r w:rsidR="002A469B" w:rsidRPr="00D7224A">
        <w:t xml:space="preserve">for those </w:t>
      </w:r>
      <w:r w:rsidR="005C19BD" w:rsidRPr="00D7224A">
        <w:t xml:space="preserve">who have been </w:t>
      </w:r>
      <w:r w:rsidR="002A469B" w:rsidRPr="00D7224A">
        <w:t xml:space="preserve">with </w:t>
      </w:r>
      <w:r w:rsidR="005C19BD" w:rsidRPr="00D7224A">
        <w:t xml:space="preserve">the NOU for </w:t>
      </w:r>
      <w:r w:rsidR="00BC3B70" w:rsidRPr="00D7224A">
        <w:t>some time</w:t>
      </w:r>
      <w:r w:rsidR="005C19BD" w:rsidRPr="00D7224A">
        <w:t xml:space="preserve">. </w:t>
      </w:r>
      <w:r w:rsidR="002A469B" w:rsidRPr="00D7224A">
        <w:t>UNEP further indicated that the RDL provides a strong support to the servicing sector, and the</w:t>
      </w:r>
      <w:r w:rsidR="004D0695" w:rsidRPr="00D7224A">
        <w:t xml:space="preserve"> NOO</w:t>
      </w:r>
      <w:r w:rsidR="002A469B" w:rsidRPr="00D7224A">
        <w:t xml:space="preserve"> training is essential to strengthening capacity of the NOU</w:t>
      </w:r>
      <w:r w:rsidR="00D7224A">
        <w:t xml:space="preserve">; </w:t>
      </w:r>
      <w:r w:rsidR="002A469B" w:rsidRPr="00D7224A">
        <w:t>therefore</w:t>
      </w:r>
      <w:r w:rsidR="00246F2A">
        <w:t>,</w:t>
      </w:r>
      <w:r w:rsidR="002A469B" w:rsidRPr="00D7224A">
        <w:t xml:space="preserve"> the continued implementation</w:t>
      </w:r>
      <w:r w:rsidR="004D0695" w:rsidRPr="00D7224A">
        <w:t xml:space="preserve"> of these two activities</w:t>
      </w:r>
      <w:r w:rsidR="002A469B" w:rsidRPr="00D7224A">
        <w:t xml:space="preserve"> is important to many Article 5 countries.</w:t>
      </w:r>
    </w:p>
    <w:p w:rsidR="005C19BD" w:rsidRPr="00770EB2" w:rsidRDefault="005C19BD" w:rsidP="00DF29AB">
      <w:pPr>
        <w:pStyle w:val="Heading1"/>
        <w:rPr>
          <w:lang w:val="en-US"/>
        </w:rPr>
      </w:pPr>
      <w:r>
        <w:t xml:space="preserve">With regard to the </w:t>
      </w:r>
      <w:r w:rsidR="005C1AB1">
        <w:t xml:space="preserve">transfer of the post for </w:t>
      </w:r>
      <w:r w:rsidR="004D0695">
        <w:t xml:space="preserve">the </w:t>
      </w:r>
      <w:r w:rsidR="00F87105">
        <w:t xml:space="preserve">ROWA Montreal Protocol </w:t>
      </w:r>
      <w:r w:rsidR="005C1AB1">
        <w:t>Coordinat</w:t>
      </w:r>
      <w:r w:rsidR="00F87105">
        <w:t>or for International Partnerships</w:t>
      </w:r>
      <w:r>
        <w:t xml:space="preserve">, </w:t>
      </w:r>
      <w:r w:rsidR="000D76D0">
        <w:t xml:space="preserve">the </w:t>
      </w:r>
      <w:r w:rsidR="00770EB2" w:rsidRPr="00945064">
        <w:rPr>
          <w:lang w:val="en-US"/>
        </w:rPr>
        <w:t xml:space="preserve">change in duty station for the post was due to the fact that the associated responsibilities were more global in nature therefore it had to be located at the CAP headquarters rather than the regional office. </w:t>
      </w:r>
      <w:r>
        <w:t>UNEP noted that t</w:t>
      </w:r>
      <w:r w:rsidRPr="005C19BD">
        <w:t>his move will streamline the structure of the CAP team in West Asia with that of other regions, and will further optimize the provision of CAP services and project support in West Asia</w:t>
      </w:r>
      <w:r>
        <w:t xml:space="preserve">. </w:t>
      </w:r>
    </w:p>
    <w:p w:rsidR="005C1AB1" w:rsidRPr="005C1AB1" w:rsidRDefault="005C19BD" w:rsidP="00DF29AB">
      <w:pPr>
        <w:pStyle w:val="Heading1"/>
      </w:pPr>
      <w:r w:rsidRPr="005C19BD">
        <w:t xml:space="preserve">In reviewing the </w:t>
      </w:r>
      <w:r>
        <w:t>2020</w:t>
      </w:r>
      <w:r w:rsidRPr="005C19BD">
        <w:t xml:space="preserve"> CAP budget against the 201</w:t>
      </w:r>
      <w:r>
        <w:t>9</w:t>
      </w:r>
      <w:r w:rsidRPr="005C19BD">
        <w:t xml:space="preserve"> approved budget, the Secreta</w:t>
      </w:r>
      <w:r w:rsidR="0082063A">
        <w:t>riat noted changes only on line</w:t>
      </w:r>
      <w:r w:rsidRPr="005C19BD">
        <w:t xml:space="preserve"> 1999 </w:t>
      </w:r>
      <w:r w:rsidR="0082063A">
        <w:t>as shown in Table 2.</w:t>
      </w:r>
    </w:p>
    <w:p w:rsidR="00DA2A56" w:rsidRPr="00CB59F2" w:rsidRDefault="00DA2A56" w:rsidP="006054CB">
      <w:pPr>
        <w:pStyle w:val="Heading1"/>
        <w:keepNext/>
        <w:numPr>
          <w:ilvl w:val="0"/>
          <w:numId w:val="0"/>
        </w:numPr>
        <w:spacing w:after="0"/>
        <w:rPr>
          <w:b/>
        </w:rPr>
      </w:pPr>
      <w:r w:rsidRPr="00CB59F2">
        <w:rPr>
          <w:b/>
        </w:rPr>
        <w:t>Table</w:t>
      </w:r>
      <w:r w:rsidR="006054CB">
        <w:rPr>
          <w:b/>
        </w:rPr>
        <w:t xml:space="preserve"> </w:t>
      </w:r>
      <w:r w:rsidR="005C19BD">
        <w:rPr>
          <w:b/>
        </w:rPr>
        <w:t>2</w:t>
      </w:r>
      <w:r w:rsidRPr="00CB59F2">
        <w:rPr>
          <w:b/>
        </w:rPr>
        <w:t>. Comparison of the 20</w:t>
      </w:r>
      <w:r w:rsidR="0082053B" w:rsidRPr="00CB59F2">
        <w:rPr>
          <w:b/>
        </w:rPr>
        <w:t>19</w:t>
      </w:r>
      <w:r w:rsidRPr="00CB59F2">
        <w:rPr>
          <w:b/>
        </w:rPr>
        <w:t xml:space="preserve"> approved CAP budget and the 20</w:t>
      </w:r>
      <w:r w:rsidR="0082053B" w:rsidRPr="00CB59F2">
        <w:rPr>
          <w:b/>
        </w:rPr>
        <w:t>20</w:t>
      </w:r>
      <w:r w:rsidRPr="00CB59F2">
        <w:rPr>
          <w:b/>
        </w:rPr>
        <w:t xml:space="preserve"> proposed budget</w:t>
      </w:r>
      <w:r w:rsidR="00226828">
        <w:rPr>
          <w:b/>
        </w:rPr>
        <w:t xml:space="preserve"> (US$)</w:t>
      </w:r>
    </w:p>
    <w:tbl>
      <w:tblPr>
        <w:tblW w:w="5000" w:type="pct"/>
        <w:tblLayout w:type="fixed"/>
        <w:tblLook w:val="04A0" w:firstRow="1" w:lastRow="0" w:firstColumn="1" w:lastColumn="0" w:noHBand="0" w:noVBand="1"/>
      </w:tblPr>
      <w:tblGrid>
        <w:gridCol w:w="3822"/>
        <w:gridCol w:w="1369"/>
        <w:gridCol w:w="1513"/>
        <w:gridCol w:w="1513"/>
        <w:gridCol w:w="1133"/>
      </w:tblGrid>
      <w:tr w:rsidR="00DA2A56" w:rsidRPr="00CB59F2" w:rsidTr="00CB59F2">
        <w:trPr>
          <w:trHeight w:val="350"/>
          <w:tblHeader/>
        </w:trPr>
        <w:tc>
          <w:tcPr>
            <w:tcW w:w="2044" w:type="pct"/>
            <w:tcBorders>
              <w:top w:val="single" w:sz="4" w:space="0" w:color="auto"/>
              <w:left w:val="single" w:sz="4" w:space="0" w:color="auto"/>
              <w:bottom w:val="single" w:sz="4" w:space="0" w:color="auto"/>
              <w:right w:val="single" w:sz="4" w:space="0" w:color="auto"/>
            </w:tcBorders>
            <w:shd w:val="clear" w:color="auto" w:fill="auto"/>
            <w:noWrap/>
            <w:hideMark/>
          </w:tcPr>
          <w:p w:rsidR="00DA2A56" w:rsidRDefault="00DA2A56" w:rsidP="006054CB">
            <w:pPr>
              <w:keepNext/>
              <w:jc w:val="center"/>
              <w:rPr>
                <w:b/>
                <w:color w:val="000000"/>
                <w:sz w:val="20"/>
                <w:szCs w:val="20"/>
                <w:lang w:eastAsia="en-CA"/>
              </w:rPr>
            </w:pPr>
            <w:r w:rsidRPr="00CB59F2">
              <w:rPr>
                <w:b/>
                <w:color w:val="000000"/>
                <w:sz w:val="20"/>
                <w:szCs w:val="20"/>
                <w:lang w:eastAsia="en-CA"/>
              </w:rPr>
              <w:t>Component</w:t>
            </w:r>
          </w:p>
          <w:p w:rsidR="00D7224A" w:rsidRPr="00CB59F2" w:rsidRDefault="00D7224A" w:rsidP="006054CB">
            <w:pPr>
              <w:keepNext/>
              <w:jc w:val="center"/>
              <w:rPr>
                <w:b/>
                <w:color w:val="000000"/>
                <w:sz w:val="20"/>
                <w:szCs w:val="20"/>
                <w:lang w:eastAsia="en-CA"/>
              </w:rPr>
            </w:pPr>
            <w:r>
              <w:rPr>
                <w:b/>
                <w:color w:val="000000"/>
                <w:sz w:val="20"/>
                <w:szCs w:val="20"/>
                <w:lang w:eastAsia="en-CA"/>
              </w:rPr>
              <w:t>(BL)</w:t>
            </w:r>
          </w:p>
        </w:tc>
        <w:tc>
          <w:tcPr>
            <w:tcW w:w="732" w:type="pct"/>
            <w:tcBorders>
              <w:top w:val="single" w:sz="4" w:space="0" w:color="auto"/>
              <w:left w:val="nil"/>
              <w:bottom w:val="single" w:sz="4" w:space="0" w:color="auto"/>
              <w:right w:val="single" w:sz="4" w:space="0" w:color="auto"/>
            </w:tcBorders>
            <w:shd w:val="clear" w:color="auto" w:fill="auto"/>
            <w:hideMark/>
          </w:tcPr>
          <w:p w:rsidR="00DA2A56" w:rsidRPr="00CB59F2" w:rsidRDefault="00CB59F2" w:rsidP="00F87105">
            <w:pPr>
              <w:keepNext/>
              <w:jc w:val="center"/>
              <w:rPr>
                <w:b/>
                <w:color w:val="000000"/>
                <w:sz w:val="20"/>
                <w:szCs w:val="20"/>
                <w:lang w:eastAsia="en-CA"/>
              </w:rPr>
            </w:pPr>
            <w:r w:rsidRPr="00CB59F2">
              <w:rPr>
                <w:b/>
                <w:color w:val="000000"/>
                <w:sz w:val="20"/>
                <w:szCs w:val="20"/>
                <w:lang w:eastAsia="en-CA"/>
              </w:rPr>
              <w:t xml:space="preserve">2019 </w:t>
            </w:r>
            <w:r w:rsidR="00DA2A56" w:rsidRPr="00CB59F2">
              <w:rPr>
                <w:b/>
                <w:color w:val="000000"/>
                <w:sz w:val="20"/>
                <w:szCs w:val="20"/>
                <w:lang w:eastAsia="en-CA"/>
              </w:rPr>
              <w:t xml:space="preserve">approved </w:t>
            </w:r>
          </w:p>
        </w:tc>
        <w:tc>
          <w:tcPr>
            <w:tcW w:w="809" w:type="pct"/>
            <w:tcBorders>
              <w:top w:val="single" w:sz="4" w:space="0" w:color="auto"/>
              <w:left w:val="nil"/>
              <w:bottom w:val="single" w:sz="4" w:space="0" w:color="auto"/>
              <w:right w:val="single" w:sz="4" w:space="0" w:color="auto"/>
            </w:tcBorders>
            <w:shd w:val="clear" w:color="auto" w:fill="auto"/>
            <w:noWrap/>
            <w:hideMark/>
          </w:tcPr>
          <w:p w:rsidR="00DA2A56" w:rsidRPr="00CB59F2" w:rsidRDefault="00CB59F2" w:rsidP="00F87105">
            <w:pPr>
              <w:keepNext/>
              <w:jc w:val="center"/>
              <w:rPr>
                <w:b/>
                <w:color w:val="000000"/>
                <w:sz w:val="20"/>
                <w:szCs w:val="20"/>
                <w:lang w:eastAsia="en-CA"/>
              </w:rPr>
            </w:pPr>
            <w:r w:rsidRPr="00CB59F2">
              <w:rPr>
                <w:b/>
                <w:color w:val="000000"/>
                <w:sz w:val="20"/>
                <w:szCs w:val="20"/>
                <w:lang w:eastAsia="en-CA"/>
              </w:rPr>
              <w:t>2020</w:t>
            </w:r>
            <w:r w:rsidR="00DA2A56" w:rsidRPr="00CB59F2">
              <w:rPr>
                <w:b/>
                <w:color w:val="000000"/>
                <w:sz w:val="20"/>
                <w:szCs w:val="20"/>
                <w:lang w:eastAsia="en-CA"/>
              </w:rPr>
              <w:t xml:space="preserve"> proposal </w:t>
            </w:r>
          </w:p>
        </w:tc>
        <w:tc>
          <w:tcPr>
            <w:tcW w:w="809" w:type="pct"/>
            <w:tcBorders>
              <w:top w:val="single" w:sz="4" w:space="0" w:color="auto"/>
              <w:left w:val="nil"/>
              <w:bottom w:val="single" w:sz="4" w:space="0" w:color="auto"/>
              <w:right w:val="single" w:sz="4" w:space="0" w:color="auto"/>
            </w:tcBorders>
            <w:shd w:val="clear" w:color="auto" w:fill="auto"/>
            <w:noWrap/>
            <w:hideMark/>
          </w:tcPr>
          <w:p w:rsidR="00DA2A56" w:rsidRPr="00CB59F2" w:rsidRDefault="00DA2A56" w:rsidP="006054CB">
            <w:pPr>
              <w:keepNext/>
              <w:jc w:val="center"/>
              <w:rPr>
                <w:b/>
                <w:color w:val="000000"/>
                <w:sz w:val="20"/>
                <w:szCs w:val="20"/>
                <w:lang w:eastAsia="en-CA"/>
              </w:rPr>
            </w:pPr>
            <w:r w:rsidRPr="00CB59F2">
              <w:rPr>
                <w:b/>
                <w:color w:val="000000"/>
                <w:sz w:val="20"/>
                <w:szCs w:val="20"/>
                <w:lang w:eastAsia="en-CA"/>
              </w:rPr>
              <w:t xml:space="preserve">Difference </w:t>
            </w:r>
          </w:p>
          <w:p w:rsidR="00DA2A56" w:rsidRPr="00CB59F2" w:rsidRDefault="00DA2A56" w:rsidP="006054CB">
            <w:pPr>
              <w:keepNext/>
              <w:jc w:val="center"/>
              <w:rPr>
                <w:b/>
                <w:color w:val="000000"/>
                <w:sz w:val="20"/>
                <w:szCs w:val="20"/>
                <w:lang w:eastAsia="en-CA"/>
              </w:rPr>
            </w:pPr>
          </w:p>
        </w:tc>
        <w:tc>
          <w:tcPr>
            <w:tcW w:w="606" w:type="pct"/>
            <w:tcBorders>
              <w:top w:val="single" w:sz="4" w:space="0" w:color="auto"/>
              <w:left w:val="nil"/>
              <w:bottom w:val="single" w:sz="4" w:space="0" w:color="auto"/>
              <w:right w:val="single" w:sz="4" w:space="0" w:color="auto"/>
            </w:tcBorders>
            <w:shd w:val="clear" w:color="auto" w:fill="auto"/>
            <w:noWrap/>
            <w:hideMark/>
          </w:tcPr>
          <w:p w:rsidR="00DA2A56" w:rsidRPr="00CB59F2" w:rsidRDefault="00DA2A56" w:rsidP="00F87105">
            <w:pPr>
              <w:keepNext/>
              <w:jc w:val="center"/>
              <w:rPr>
                <w:b/>
                <w:color w:val="000000"/>
                <w:sz w:val="20"/>
                <w:szCs w:val="20"/>
                <w:lang w:eastAsia="en-CA"/>
              </w:rPr>
            </w:pPr>
            <w:r w:rsidRPr="00CB59F2">
              <w:rPr>
                <w:b/>
                <w:color w:val="000000"/>
                <w:sz w:val="20"/>
                <w:szCs w:val="20"/>
                <w:lang w:eastAsia="en-CA"/>
              </w:rPr>
              <w:t xml:space="preserve">Change </w:t>
            </w:r>
          </w:p>
        </w:tc>
      </w:tr>
      <w:tr w:rsidR="00DA2A56" w:rsidRPr="00CB59F2" w:rsidTr="00CB59F2">
        <w:trPr>
          <w:trHeight w:val="197"/>
        </w:trPr>
        <w:tc>
          <w:tcPr>
            <w:tcW w:w="2044" w:type="pct"/>
            <w:tcBorders>
              <w:top w:val="nil"/>
              <w:left w:val="single" w:sz="4" w:space="0" w:color="auto"/>
              <w:bottom w:val="single" w:sz="4" w:space="0" w:color="auto"/>
              <w:right w:val="single" w:sz="4" w:space="0" w:color="auto"/>
            </w:tcBorders>
            <w:shd w:val="clear" w:color="auto" w:fill="auto"/>
            <w:hideMark/>
          </w:tcPr>
          <w:p w:rsidR="00DA2A56" w:rsidRPr="00CB59F2" w:rsidRDefault="00DA2A56" w:rsidP="00BC2DD4">
            <w:pPr>
              <w:jc w:val="left"/>
              <w:rPr>
                <w:color w:val="000000"/>
                <w:sz w:val="20"/>
                <w:szCs w:val="20"/>
                <w:lang w:eastAsia="en-CA"/>
              </w:rPr>
            </w:pPr>
            <w:r w:rsidRPr="00CB59F2">
              <w:rPr>
                <w:color w:val="000000"/>
                <w:sz w:val="20"/>
                <w:szCs w:val="20"/>
                <w:lang w:eastAsia="en-CA"/>
              </w:rPr>
              <w:t>1999 (staff personnel)</w:t>
            </w:r>
          </w:p>
        </w:tc>
        <w:tc>
          <w:tcPr>
            <w:tcW w:w="732"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7,069,000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7,208,000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Pr>
                <w:color w:val="000000"/>
                <w:sz w:val="20"/>
                <w:szCs w:val="20"/>
                <w:lang w:eastAsia="en-CA"/>
              </w:rPr>
              <w:t>139,000</w:t>
            </w:r>
          </w:p>
        </w:tc>
        <w:tc>
          <w:tcPr>
            <w:tcW w:w="606"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Pr>
                <w:color w:val="000000"/>
                <w:sz w:val="20"/>
                <w:szCs w:val="20"/>
                <w:lang w:eastAsia="en-CA"/>
              </w:rPr>
              <w:t>2.0</w:t>
            </w:r>
          </w:p>
        </w:tc>
      </w:tr>
      <w:tr w:rsidR="00DA2A56" w:rsidRPr="00CB59F2" w:rsidTr="00CB59F2">
        <w:trPr>
          <w:trHeight w:val="197"/>
        </w:trPr>
        <w:tc>
          <w:tcPr>
            <w:tcW w:w="2044" w:type="pct"/>
            <w:tcBorders>
              <w:top w:val="nil"/>
              <w:left w:val="single" w:sz="4" w:space="0" w:color="auto"/>
              <w:bottom w:val="single" w:sz="4" w:space="0" w:color="auto"/>
              <w:right w:val="single" w:sz="4" w:space="0" w:color="auto"/>
            </w:tcBorders>
            <w:shd w:val="clear" w:color="auto" w:fill="auto"/>
          </w:tcPr>
          <w:p w:rsidR="00DA2A56" w:rsidRPr="00CB59F2" w:rsidRDefault="00DA2A56" w:rsidP="00BC2DD4">
            <w:pPr>
              <w:jc w:val="left"/>
              <w:rPr>
                <w:color w:val="000000"/>
                <w:sz w:val="20"/>
                <w:szCs w:val="20"/>
                <w:lang w:eastAsia="en-CA"/>
              </w:rPr>
            </w:pPr>
            <w:r w:rsidRPr="00CB59F2">
              <w:rPr>
                <w:color w:val="000000"/>
                <w:sz w:val="20"/>
                <w:szCs w:val="20"/>
                <w:lang w:eastAsia="en-CA"/>
              </w:rPr>
              <w:t>1600 (travel)</w:t>
            </w:r>
          </w:p>
        </w:tc>
        <w:tc>
          <w:tcPr>
            <w:tcW w:w="732"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548,000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bCs/>
                <w:sz w:val="20"/>
                <w:szCs w:val="20"/>
              </w:rPr>
            </w:pPr>
            <w:r w:rsidRPr="00CB59F2">
              <w:rPr>
                <w:bCs/>
                <w:sz w:val="20"/>
                <w:szCs w:val="20"/>
              </w:rPr>
              <w:t>548,000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c>
          <w:tcPr>
            <w:tcW w:w="606"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r>
      <w:tr w:rsidR="00DA2A56" w:rsidRPr="00CB59F2" w:rsidTr="00CB59F2">
        <w:trPr>
          <w:trHeight w:val="224"/>
        </w:trPr>
        <w:tc>
          <w:tcPr>
            <w:tcW w:w="2044" w:type="pct"/>
            <w:tcBorders>
              <w:top w:val="nil"/>
              <w:left w:val="single" w:sz="4" w:space="0" w:color="auto"/>
              <w:bottom w:val="single" w:sz="4" w:space="0" w:color="auto"/>
              <w:right w:val="single" w:sz="4" w:space="0" w:color="auto"/>
            </w:tcBorders>
            <w:shd w:val="clear" w:color="auto" w:fill="auto"/>
          </w:tcPr>
          <w:p w:rsidR="00DA2A56" w:rsidRPr="00CB59F2" w:rsidRDefault="00DA2A56" w:rsidP="00BC2DD4">
            <w:pPr>
              <w:jc w:val="left"/>
              <w:rPr>
                <w:color w:val="000000"/>
                <w:sz w:val="20"/>
                <w:szCs w:val="20"/>
                <w:lang w:eastAsia="en-CA"/>
              </w:rPr>
            </w:pPr>
            <w:r w:rsidRPr="00CB59F2">
              <w:rPr>
                <w:color w:val="000000"/>
                <w:sz w:val="20"/>
                <w:szCs w:val="20"/>
                <w:lang w:eastAsia="en-CA"/>
              </w:rPr>
              <w:t>2030 (regional activities)</w:t>
            </w:r>
          </w:p>
        </w:tc>
        <w:tc>
          <w:tcPr>
            <w:tcW w:w="732" w:type="pct"/>
            <w:tcBorders>
              <w:top w:val="nil"/>
              <w:left w:val="nil"/>
              <w:bottom w:val="single" w:sz="4" w:space="0" w:color="auto"/>
              <w:right w:val="single" w:sz="4" w:space="0" w:color="auto"/>
            </w:tcBorders>
            <w:shd w:val="clear" w:color="auto" w:fill="auto"/>
            <w:noWrap/>
          </w:tcPr>
          <w:p w:rsidR="00DA2A56" w:rsidRPr="00CB59F2" w:rsidRDefault="000D76D0" w:rsidP="00BC2DD4">
            <w:pPr>
              <w:jc w:val="right"/>
              <w:rPr>
                <w:color w:val="000000"/>
                <w:sz w:val="20"/>
                <w:szCs w:val="20"/>
                <w:lang w:eastAsia="en-CA"/>
              </w:rPr>
            </w:pPr>
            <w:r w:rsidRPr="000D76D0">
              <w:rPr>
                <w:color w:val="000000"/>
                <w:sz w:val="20"/>
                <w:szCs w:val="20"/>
                <w:lang w:eastAsia="en-CA"/>
              </w:rPr>
              <w:t>1,262,000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226828">
            <w:pPr>
              <w:jc w:val="right"/>
              <w:rPr>
                <w:color w:val="000000"/>
                <w:sz w:val="20"/>
                <w:szCs w:val="20"/>
                <w:lang w:eastAsia="en-CA"/>
              </w:rPr>
            </w:pPr>
            <w:r w:rsidRPr="00CB59F2">
              <w:rPr>
                <w:color w:val="000000"/>
                <w:sz w:val="20"/>
                <w:szCs w:val="20"/>
                <w:lang w:eastAsia="en-CA"/>
              </w:rPr>
              <w:t>1,</w:t>
            </w:r>
            <w:r w:rsidR="00226828">
              <w:rPr>
                <w:color w:val="000000"/>
                <w:sz w:val="20"/>
                <w:szCs w:val="20"/>
                <w:lang w:eastAsia="en-CA"/>
              </w:rPr>
              <w:t>262</w:t>
            </w:r>
            <w:r w:rsidRPr="00CB59F2">
              <w:rPr>
                <w:color w:val="000000"/>
                <w:sz w:val="20"/>
                <w:szCs w:val="20"/>
                <w:lang w:eastAsia="en-CA"/>
              </w:rPr>
              <w:t>,000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c>
          <w:tcPr>
            <w:tcW w:w="606"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r>
      <w:tr w:rsidR="00DA2A56" w:rsidRPr="00CB59F2" w:rsidTr="00CB59F2">
        <w:trPr>
          <w:trHeight w:val="224"/>
        </w:trPr>
        <w:tc>
          <w:tcPr>
            <w:tcW w:w="2044" w:type="pct"/>
            <w:tcBorders>
              <w:top w:val="nil"/>
              <w:left w:val="single" w:sz="4" w:space="0" w:color="auto"/>
              <w:bottom w:val="single" w:sz="4" w:space="0" w:color="auto"/>
              <w:right w:val="single" w:sz="4" w:space="0" w:color="auto"/>
            </w:tcBorders>
            <w:shd w:val="clear" w:color="auto" w:fill="auto"/>
          </w:tcPr>
          <w:p w:rsidR="00DA2A56" w:rsidRPr="00CB59F2" w:rsidRDefault="000D76D0" w:rsidP="00CB59F2">
            <w:pPr>
              <w:jc w:val="left"/>
              <w:rPr>
                <w:color w:val="000000"/>
                <w:sz w:val="20"/>
                <w:szCs w:val="20"/>
                <w:lang w:eastAsia="en-CA"/>
              </w:rPr>
            </w:pPr>
            <w:r>
              <w:rPr>
                <w:color w:val="000000"/>
                <w:sz w:val="20"/>
                <w:szCs w:val="20"/>
                <w:lang w:eastAsia="en-CA"/>
              </w:rPr>
              <w:t>3200 (</w:t>
            </w:r>
            <w:r w:rsidR="00226828">
              <w:rPr>
                <w:color w:val="000000"/>
                <w:sz w:val="20"/>
                <w:szCs w:val="20"/>
                <w:lang w:eastAsia="en-CA"/>
              </w:rPr>
              <w:t>G</w:t>
            </w:r>
            <w:r w:rsidR="00DA2A56" w:rsidRPr="00CB59F2">
              <w:rPr>
                <w:color w:val="000000"/>
                <w:sz w:val="20"/>
                <w:szCs w:val="20"/>
                <w:lang w:eastAsia="en-CA"/>
              </w:rPr>
              <w:t>lobal services</w:t>
            </w:r>
            <w:r w:rsidR="00CB59F2" w:rsidRPr="00CB59F2">
              <w:rPr>
                <w:color w:val="000000"/>
                <w:sz w:val="20"/>
                <w:szCs w:val="20"/>
                <w:lang w:eastAsia="en-CA"/>
              </w:rPr>
              <w:t>/meetings</w:t>
            </w:r>
            <w:r>
              <w:rPr>
                <w:color w:val="000000"/>
                <w:sz w:val="20"/>
                <w:szCs w:val="20"/>
                <w:lang w:eastAsia="en-CA"/>
              </w:rPr>
              <w:t>)</w:t>
            </w:r>
          </w:p>
        </w:tc>
        <w:tc>
          <w:tcPr>
            <w:tcW w:w="732" w:type="pct"/>
            <w:tcBorders>
              <w:top w:val="nil"/>
              <w:left w:val="nil"/>
              <w:bottom w:val="single" w:sz="4" w:space="0" w:color="auto"/>
              <w:right w:val="single" w:sz="4" w:space="0" w:color="auto"/>
            </w:tcBorders>
            <w:shd w:val="clear" w:color="auto" w:fill="auto"/>
            <w:noWrap/>
          </w:tcPr>
          <w:p w:rsidR="00DA2A56" w:rsidRPr="00CB59F2" w:rsidRDefault="000D76D0">
            <w:pPr>
              <w:jc w:val="right"/>
              <w:rPr>
                <w:color w:val="000000"/>
                <w:sz w:val="20"/>
                <w:szCs w:val="20"/>
                <w:lang w:eastAsia="en-CA"/>
              </w:rPr>
            </w:pPr>
            <w:r>
              <w:rPr>
                <w:color w:val="000000"/>
                <w:sz w:val="20"/>
                <w:szCs w:val="20"/>
                <w:lang w:eastAsia="en-CA"/>
              </w:rPr>
              <w:t>505,000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226828" w:rsidP="00BC2DD4">
            <w:pPr>
              <w:jc w:val="right"/>
              <w:rPr>
                <w:color w:val="000000"/>
                <w:sz w:val="20"/>
                <w:szCs w:val="20"/>
                <w:lang w:eastAsia="en-CA"/>
              </w:rPr>
            </w:pPr>
            <w:r>
              <w:rPr>
                <w:color w:val="000000"/>
                <w:sz w:val="20"/>
                <w:szCs w:val="20"/>
                <w:lang w:eastAsia="en-CA"/>
              </w:rPr>
              <w:t>505</w:t>
            </w:r>
            <w:r w:rsidR="00CB59F2" w:rsidRPr="00CB59F2">
              <w:rPr>
                <w:color w:val="000000"/>
                <w:sz w:val="20"/>
                <w:szCs w:val="20"/>
                <w:lang w:eastAsia="en-CA"/>
              </w:rPr>
              <w:t>,000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c>
          <w:tcPr>
            <w:tcW w:w="606"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r>
      <w:tr w:rsidR="00DA2A56" w:rsidRPr="00CB59F2" w:rsidTr="00CB59F2">
        <w:trPr>
          <w:trHeight w:val="224"/>
        </w:trPr>
        <w:tc>
          <w:tcPr>
            <w:tcW w:w="2044" w:type="pct"/>
            <w:tcBorders>
              <w:top w:val="nil"/>
              <w:left w:val="single" w:sz="4" w:space="0" w:color="auto"/>
              <w:bottom w:val="single" w:sz="4" w:space="0" w:color="auto"/>
              <w:right w:val="single" w:sz="4" w:space="0" w:color="auto"/>
            </w:tcBorders>
            <w:shd w:val="clear" w:color="auto" w:fill="auto"/>
            <w:hideMark/>
          </w:tcPr>
          <w:p w:rsidR="00DA2A56" w:rsidRPr="00CB59F2" w:rsidRDefault="00DA2A56" w:rsidP="00BC2DD4">
            <w:pPr>
              <w:jc w:val="left"/>
              <w:rPr>
                <w:color w:val="000000"/>
                <w:sz w:val="20"/>
                <w:szCs w:val="20"/>
                <w:lang w:eastAsia="en-CA"/>
              </w:rPr>
            </w:pPr>
            <w:r w:rsidRPr="00CB59F2">
              <w:rPr>
                <w:color w:val="000000"/>
                <w:sz w:val="20"/>
                <w:szCs w:val="20"/>
                <w:lang w:eastAsia="en-CA"/>
              </w:rPr>
              <w:t>5220 (office operations/communication)</w:t>
            </w:r>
          </w:p>
        </w:tc>
        <w:tc>
          <w:tcPr>
            <w:tcW w:w="732"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590,000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590,000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c>
          <w:tcPr>
            <w:tcW w:w="606"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color w:val="000000"/>
                <w:sz w:val="20"/>
                <w:szCs w:val="20"/>
                <w:lang w:eastAsia="en-CA"/>
              </w:rPr>
            </w:pPr>
            <w:r w:rsidRPr="00CB59F2">
              <w:rPr>
                <w:color w:val="000000"/>
                <w:sz w:val="20"/>
                <w:szCs w:val="20"/>
                <w:lang w:eastAsia="en-CA"/>
              </w:rPr>
              <w:t>0</w:t>
            </w:r>
          </w:p>
        </w:tc>
      </w:tr>
      <w:tr w:rsidR="00DA2A56" w:rsidRPr="00CB59F2" w:rsidTr="00CB59F2">
        <w:trPr>
          <w:trHeight w:val="116"/>
        </w:trPr>
        <w:tc>
          <w:tcPr>
            <w:tcW w:w="2044" w:type="pct"/>
            <w:tcBorders>
              <w:top w:val="nil"/>
              <w:left w:val="single" w:sz="4" w:space="0" w:color="auto"/>
              <w:bottom w:val="single" w:sz="4" w:space="0" w:color="auto"/>
              <w:right w:val="single" w:sz="4" w:space="0" w:color="auto"/>
            </w:tcBorders>
            <w:shd w:val="clear" w:color="auto" w:fill="auto"/>
            <w:hideMark/>
          </w:tcPr>
          <w:p w:rsidR="00DA2A56" w:rsidRPr="00CB59F2" w:rsidRDefault="00DA2A56" w:rsidP="00BC2DD4">
            <w:pPr>
              <w:jc w:val="left"/>
              <w:rPr>
                <w:b/>
                <w:color w:val="000000"/>
                <w:sz w:val="20"/>
                <w:szCs w:val="20"/>
                <w:lang w:eastAsia="en-CA"/>
              </w:rPr>
            </w:pPr>
            <w:r w:rsidRPr="00CB59F2">
              <w:rPr>
                <w:b/>
                <w:color w:val="000000"/>
                <w:sz w:val="20"/>
                <w:szCs w:val="20"/>
                <w:lang w:eastAsia="en-CA"/>
              </w:rPr>
              <w:t>Total</w:t>
            </w:r>
          </w:p>
        </w:tc>
        <w:tc>
          <w:tcPr>
            <w:tcW w:w="732"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b/>
                <w:color w:val="000000"/>
                <w:sz w:val="20"/>
                <w:szCs w:val="20"/>
                <w:lang w:eastAsia="en-CA"/>
              </w:rPr>
            </w:pPr>
            <w:r w:rsidRPr="00CB59F2">
              <w:rPr>
                <w:b/>
                <w:color w:val="000000"/>
                <w:sz w:val="20"/>
                <w:szCs w:val="20"/>
                <w:lang w:eastAsia="en-CA"/>
              </w:rPr>
              <w:t>9,974,000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b/>
                <w:color w:val="000000"/>
                <w:sz w:val="20"/>
                <w:szCs w:val="20"/>
                <w:lang w:eastAsia="en-CA"/>
              </w:rPr>
            </w:pPr>
            <w:r w:rsidRPr="00CB59F2">
              <w:rPr>
                <w:b/>
                <w:color w:val="000000"/>
                <w:sz w:val="20"/>
                <w:szCs w:val="20"/>
                <w:lang w:eastAsia="en-CA"/>
              </w:rPr>
              <w:t>10,113,000</w:t>
            </w:r>
          </w:p>
        </w:tc>
        <w:tc>
          <w:tcPr>
            <w:tcW w:w="809"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b/>
                <w:color w:val="000000"/>
                <w:sz w:val="20"/>
                <w:szCs w:val="20"/>
                <w:lang w:eastAsia="en-CA"/>
              </w:rPr>
            </w:pPr>
            <w:r>
              <w:rPr>
                <w:b/>
                <w:color w:val="000000"/>
                <w:sz w:val="20"/>
                <w:szCs w:val="20"/>
                <w:lang w:eastAsia="en-CA"/>
              </w:rPr>
              <w:t>139,000</w:t>
            </w:r>
          </w:p>
        </w:tc>
        <w:tc>
          <w:tcPr>
            <w:tcW w:w="606" w:type="pct"/>
            <w:tcBorders>
              <w:top w:val="nil"/>
              <w:left w:val="nil"/>
              <w:bottom w:val="single" w:sz="4" w:space="0" w:color="auto"/>
              <w:right w:val="single" w:sz="4" w:space="0" w:color="auto"/>
            </w:tcBorders>
            <w:shd w:val="clear" w:color="auto" w:fill="auto"/>
            <w:noWrap/>
          </w:tcPr>
          <w:p w:rsidR="00DA2A56" w:rsidRPr="00CB59F2" w:rsidRDefault="00CB59F2" w:rsidP="00BC2DD4">
            <w:pPr>
              <w:jc w:val="right"/>
              <w:rPr>
                <w:b/>
                <w:color w:val="000000"/>
                <w:sz w:val="20"/>
                <w:szCs w:val="20"/>
                <w:lang w:eastAsia="en-CA"/>
              </w:rPr>
            </w:pPr>
            <w:r>
              <w:rPr>
                <w:b/>
                <w:color w:val="000000"/>
                <w:sz w:val="20"/>
                <w:szCs w:val="20"/>
                <w:lang w:eastAsia="en-CA"/>
              </w:rPr>
              <w:t>1.39</w:t>
            </w:r>
          </w:p>
        </w:tc>
      </w:tr>
    </w:tbl>
    <w:p w:rsidR="00DA2A56" w:rsidRPr="00CB59F2" w:rsidRDefault="00DA2A56" w:rsidP="00DA2A56"/>
    <w:p w:rsidR="005C19BD" w:rsidRPr="000D76D0" w:rsidRDefault="005C19BD" w:rsidP="00DF29AB">
      <w:pPr>
        <w:pStyle w:val="Heading1"/>
      </w:pPr>
      <w:r w:rsidRPr="0087394D">
        <w:t xml:space="preserve">The overall budget was below the allowable level of increase and the changes proposed of the staff </w:t>
      </w:r>
      <w:r w:rsidRPr="000D76D0">
        <w:t xml:space="preserve">are in line with </w:t>
      </w:r>
      <w:r w:rsidRPr="00DF29AB">
        <w:t>increased responsibilities</w:t>
      </w:r>
      <w:r w:rsidRPr="000D76D0">
        <w:t xml:space="preserve"> of the posts.</w:t>
      </w:r>
    </w:p>
    <w:p w:rsidR="00DA2A56" w:rsidRPr="0082053B" w:rsidRDefault="00DA2A56" w:rsidP="00DF29AB">
      <w:pPr>
        <w:keepNext/>
        <w:keepLines/>
        <w:spacing w:after="240"/>
        <w:jc w:val="left"/>
        <w:outlineLvl w:val="0"/>
        <w:rPr>
          <w:b/>
        </w:rPr>
      </w:pPr>
      <w:r w:rsidRPr="0082053B">
        <w:rPr>
          <w:b/>
        </w:rPr>
        <w:t>RECOMMENDATION</w:t>
      </w:r>
    </w:p>
    <w:p w:rsidR="00DA2A56" w:rsidRPr="0082053B" w:rsidRDefault="00DA2A56" w:rsidP="00DF29AB">
      <w:pPr>
        <w:numPr>
          <w:ilvl w:val="0"/>
          <w:numId w:val="1"/>
        </w:numPr>
        <w:spacing w:after="240"/>
        <w:outlineLvl w:val="0"/>
      </w:pPr>
      <w:r w:rsidRPr="0082053B">
        <w:t>In the light of the information provided by UNEP and the comments above, the Executive Committee may wish:</w:t>
      </w:r>
    </w:p>
    <w:p w:rsidR="005C19BD" w:rsidRPr="0087394D" w:rsidRDefault="005C19BD" w:rsidP="00DF29AB">
      <w:pPr>
        <w:keepNext/>
        <w:numPr>
          <w:ilvl w:val="1"/>
          <w:numId w:val="1"/>
        </w:numPr>
        <w:spacing w:after="240"/>
        <w:ind w:left="1429"/>
        <w:outlineLvl w:val="1"/>
      </w:pPr>
      <w:r w:rsidRPr="0087394D">
        <w:t>To note the UNEP Compliance Assistance Programme (CAP) 20</w:t>
      </w:r>
      <w:r>
        <w:t>20</w:t>
      </w:r>
      <w:r w:rsidRPr="0087394D">
        <w:t xml:space="preserve"> workplan and budget proposal contained in document UNEP/OzL.Pro/ExCom/</w:t>
      </w:r>
      <w:r>
        <w:t>84</w:t>
      </w:r>
      <w:r w:rsidRPr="0087394D">
        <w:t>/</w:t>
      </w:r>
      <w:r w:rsidR="00CD4E3C">
        <w:t>37;</w:t>
      </w:r>
    </w:p>
    <w:p w:rsidR="005C19BD" w:rsidRDefault="005C19BD" w:rsidP="00DF29AB">
      <w:pPr>
        <w:pStyle w:val="Heading2"/>
      </w:pPr>
      <w:r w:rsidRPr="0082053B">
        <w:t>To approve the UNEP’s CAP activities and budget for 2020 in the amount of US</w:t>
      </w:r>
      <w:r w:rsidR="00CD4E3C">
        <w:t> </w:t>
      </w:r>
      <w:r w:rsidRPr="0082053B">
        <w:t xml:space="preserve">$10,113,000, </w:t>
      </w:r>
      <w:r w:rsidRPr="005C19BD">
        <w:rPr>
          <w:color w:val="000000"/>
        </w:rPr>
        <w:t>plus agency support costs of 8 per cent</w:t>
      </w:r>
      <w:r w:rsidR="000D76D0">
        <w:rPr>
          <w:color w:val="000000"/>
        </w:rPr>
        <w:t xml:space="preserve"> amounting</w:t>
      </w:r>
      <w:r w:rsidR="00226828">
        <w:t xml:space="preserve"> to US $809,040 </w:t>
      </w:r>
      <w:r w:rsidRPr="005C19BD">
        <w:rPr>
          <w:color w:val="000000"/>
        </w:rPr>
        <w:t>noting the adjustments proposed therein</w:t>
      </w:r>
      <w:r w:rsidR="00CD4E3C">
        <w:rPr>
          <w:color w:val="000000"/>
        </w:rPr>
        <w:t>;</w:t>
      </w:r>
    </w:p>
    <w:p w:rsidR="005C19BD" w:rsidRPr="0087394D" w:rsidRDefault="005C19BD" w:rsidP="00DF29AB">
      <w:pPr>
        <w:pStyle w:val="Heading2"/>
        <w:keepNext/>
        <w:widowControl/>
      </w:pPr>
      <w:r w:rsidRPr="0087394D">
        <w:t>To further request UNEP, in future submissions of the CAP budget, to continue:</w:t>
      </w:r>
    </w:p>
    <w:p w:rsidR="005C19BD" w:rsidRPr="0087394D" w:rsidRDefault="005C19BD" w:rsidP="00DF29AB">
      <w:pPr>
        <w:pStyle w:val="Heading3"/>
        <w:keepNext/>
        <w:widowControl/>
      </w:pPr>
      <w:r w:rsidRPr="0087394D">
        <w:t>Providing detailed information on the activities for which the global funds would be used;</w:t>
      </w:r>
    </w:p>
    <w:p w:rsidR="005C19BD" w:rsidRPr="0087394D" w:rsidRDefault="005C19BD" w:rsidP="00DF29AB">
      <w:pPr>
        <w:pStyle w:val="Heading3"/>
      </w:pPr>
      <w:r w:rsidRPr="0087394D">
        <w:t>Extending the prioritization of funding between CAP budget lines so as to accommodate changing priorities, and to provide details, pursuant to decisions 47/24 and 50/26, on the reallocations made;</w:t>
      </w:r>
    </w:p>
    <w:p w:rsidR="005C19BD" w:rsidRPr="0087394D" w:rsidRDefault="005C19BD" w:rsidP="00DF29AB">
      <w:pPr>
        <w:pStyle w:val="Heading3"/>
        <w:keepNext/>
        <w:widowControl/>
      </w:pPr>
      <w:r w:rsidRPr="0087394D">
        <w:lastRenderedPageBreak/>
        <w:t>Reporting on the current post levels of staff and informing the Executive Committee of any changes thereto, particularly with respect to any increased budget allocations; and</w:t>
      </w:r>
    </w:p>
    <w:p w:rsidR="005C19BD" w:rsidRDefault="005C19BD" w:rsidP="00DF29AB">
      <w:pPr>
        <w:pStyle w:val="Heading3"/>
      </w:pPr>
      <w:r w:rsidRPr="0087394D">
        <w:t>Providing a budget for the year in question, and a report on the costs incurred in the year prior to the last year, noting sub-paragraphs (c)(ii) and (c)(iii) above.</w:t>
      </w:r>
    </w:p>
    <w:p w:rsidR="00A2547B" w:rsidRDefault="00A2547B" w:rsidP="00DF29AB">
      <w:pPr>
        <w:tabs>
          <w:tab w:val="left" w:pos="8280"/>
        </w:tabs>
        <w:spacing w:after="240"/>
      </w:pPr>
    </w:p>
    <w:p w:rsidR="00A2547B" w:rsidRDefault="00A2547B" w:rsidP="00DF29AB">
      <w:pPr>
        <w:tabs>
          <w:tab w:val="left" w:pos="8280"/>
        </w:tabs>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rsidTr="00DF29AB">
        <w:tc>
          <w:tcPr>
            <w:tcW w:w="1871" w:type="dxa"/>
          </w:tcPr>
          <w:p w:rsidR="00052C5C" w:rsidRPr="00052C5C" w:rsidRDefault="00052C5C" w:rsidP="00052C5C">
            <w:pPr>
              <w:tabs>
                <w:tab w:val="left" w:pos="8280"/>
              </w:tabs>
            </w:pPr>
          </w:p>
        </w:tc>
        <w:tc>
          <w:tcPr>
            <w:tcW w:w="1872" w:type="dxa"/>
          </w:tcPr>
          <w:p w:rsidR="00052C5C" w:rsidRPr="00052C5C" w:rsidRDefault="00052C5C" w:rsidP="00052C5C">
            <w:pPr>
              <w:tabs>
                <w:tab w:val="left" w:pos="8280"/>
              </w:tabs>
            </w:pPr>
          </w:p>
        </w:tc>
        <w:tc>
          <w:tcPr>
            <w:tcW w:w="1872" w:type="dxa"/>
            <w:tcBorders>
              <w:bottom w:val="single" w:sz="4" w:space="0" w:color="auto"/>
            </w:tcBorders>
          </w:tcPr>
          <w:p w:rsidR="00052C5C" w:rsidRPr="00052C5C" w:rsidRDefault="00052C5C" w:rsidP="00052C5C">
            <w:pPr>
              <w:tabs>
                <w:tab w:val="left" w:pos="8280"/>
              </w:tabs>
            </w:pPr>
          </w:p>
        </w:tc>
        <w:tc>
          <w:tcPr>
            <w:tcW w:w="1872" w:type="dxa"/>
          </w:tcPr>
          <w:p w:rsidR="00052C5C" w:rsidRPr="00052C5C" w:rsidRDefault="00052C5C" w:rsidP="00052C5C">
            <w:pPr>
              <w:tabs>
                <w:tab w:val="left" w:pos="8280"/>
              </w:tabs>
            </w:pPr>
          </w:p>
        </w:tc>
        <w:tc>
          <w:tcPr>
            <w:tcW w:w="1873" w:type="dxa"/>
          </w:tcPr>
          <w:p w:rsidR="00052C5C" w:rsidRPr="00052C5C" w:rsidRDefault="00052C5C" w:rsidP="00052C5C">
            <w:pPr>
              <w:tabs>
                <w:tab w:val="left" w:pos="8280"/>
              </w:tabs>
            </w:pPr>
          </w:p>
        </w:tc>
      </w:tr>
    </w:tbl>
    <w:p w:rsidR="00052C5C" w:rsidRPr="00052C5C" w:rsidRDefault="00052C5C" w:rsidP="00052C5C">
      <w:pPr>
        <w:tabs>
          <w:tab w:val="left" w:pos="8280"/>
        </w:tabs>
        <w:rPr>
          <w:lang w:val="en-CA"/>
        </w:rPr>
      </w:pPr>
    </w:p>
    <w:p w:rsidR="00052C5C" w:rsidRPr="001C3C80" w:rsidRDefault="00052C5C" w:rsidP="001C3C80">
      <w:pPr>
        <w:tabs>
          <w:tab w:val="left" w:pos="8280"/>
        </w:tabs>
      </w:pPr>
    </w:p>
    <w:sectPr w:rsidR="00052C5C" w:rsidRPr="001C3C80"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48" w:rsidRDefault="00CD6848" w:rsidP="004A504B">
      <w:r>
        <w:separator/>
      </w:r>
    </w:p>
  </w:endnote>
  <w:endnote w:type="continuationSeparator" w:id="0">
    <w:p w:rsidR="00CD6848" w:rsidRDefault="00CD684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5C5542">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5C5542">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48" w:rsidRDefault="00CD6848" w:rsidP="004A504B">
      <w:r>
        <w:separator/>
      </w:r>
    </w:p>
  </w:footnote>
  <w:footnote w:type="continuationSeparator" w:id="0">
    <w:p w:rsidR="00CD6848" w:rsidRDefault="00CD6848" w:rsidP="004A504B">
      <w:r>
        <w:continuationSeparator/>
      </w:r>
    </w:p>
  </w:footnote>
  <w:footnote w:id="1">
    <w:p w:rsidR="00B77AAD" w:rsidRPr="00B77AAD" w:rsidRDefault="00B77AAD" w:rsidP="00B77AAD">
      <w:pPr>
        <w:pStyle w:val="FootnoteText"/>
      </w:pPr>
      <w:r>
        <w:rPr>
          <w:rStyle w:val="FootnoteReference"/>
        </w:rPr>
        <w:footnoteRef/>
      </w:r>
      <w:r>
        <w:t xml:space="preserve"> </w:t>
      </w:r>
      <w:r w:rsidRPr="00B77AAD">
        <w:t xml:space="preserve"> This submission is in line with decision 47/24, which limited the increase of UNEP’s CAP budget to 3 per cent per annum</w:t>
      </w:r>
      <w:r w:rsidR="001E4476">
        <w:t>.</w:t>
      </w:r>
      <w:r w:rsidRPr="00B77AAD">
        <w:t xml:space="preserve"> </w:t>
      </w:r>
    </w:p>
  </w:footnote>
  <w:footnote w:id="2">
    <w:p w:rsidR="00DA2A56" w:rsidRPr="00E4626C" w:rsidRDefault="00DA2A56" w:rsidP="00DA2A56">
      <w:pPr>
        <w:pStyle w:val="FootnoteText"/>
        <w:rPr>
          <w:lang w:val="en-CA"/>
        </w:rPr>
      </w:pPr>
      <w:r>
        <w:rPr>
          <w:rStyle w:val="FootnoteReference"/>
        </w:rPr>
        <w:footnoteRef/>
      </w:r>
      <w:r>
        <w:t xml:space="preserve"> </w:t>
      </w:r>
      <w:r>
        <w:rPr>
          <w:lang w:val="en-CA"/>
        </w:rPr>
        <w:t>Covering the period September 201</w:t>
      </w:r>
      <w:r w:rsidR="0017540B">
        <w:rPr>
          <w:lang w:val="en-CA"/>
        </w:rPr>
        <w:t>8</w:t>
      </w:r>
      <w:r>
        <w:rPr>
          <w:lang w:val="en-CA"/>
        </w:rPr>
        <w:t xml:space="preserve"> to August 201</w:t>
      </w:r>
      <w:r w:rsidR="0017540B">
        <w:rPr>
          <w:lang w:val="en-CA"/>
        </w:rPr>
        <w:t>9</w:t>
      </w:r>
      <w:r>
        <w:rPr>
          <w:lang w:val="en-CA"/>
        </w:rPr>
        <w:t>.</w:t>
      </w:r>
    </w:p>
  </w:footnote>
  <w:footnote w:id="3">
    <w:p w:rsidR="009C0F59" w:rsidRPr="009C0F59" w:rsidRDefault="009C0F59" w:rsidP="009C0F59">
      <w:pPr>
        <w:pStyle w:val="FootnoteText"/>
      </w:pPr>
      <w:r>
        <w:rPr>
          <w:rStyle w:val="FootnoteReference"/>
        </w:rPr>
        <w:footnoteRef/>
      </w:r>
      <w:r>
        <w:t xml:space="preserve"> </w:t>
      </w:r>
      <w:r w:rsidRPr="009C0F59">
        <w:t xml:space="preserve"> The revised 2018-2020 three-year rolling strategy was based on three overarching objectives: assisting countries to comply with their HCFC phase-out commitments; strengthening the refrigeration servicing sector for ozone- and climate-friendly alternatives; and, building capacity to initiate enabling activities for the HFC phase-down. It was supported by a transversal objective on leveraging the clearinghouse mechanism, and included, inter alia the clearinghouse mechanism, regional networking and capacity building.</w:t>
      </w:r>
    </w:p>
  </w:footnote>
  <w:footnote w:id="4">
    <w:p w:rsidR="00F379A0" w:rsidRPr="00DF29AB" w:rsidRDefault="00F379A0">
      <w:pPr>
        <w:pStyle w:val="FootnoteText"/>
        <w:rPr>
          <w:lang w:val="en-US"/>
        </w:rPr>
      </w:pPr>
      <w:r>
        <w:rPr>
          <w:rStyle w:val="FootnoteReference"/>
        </w:rPr>
        <w:footnoteRef/>
      </w:r>
      <w:r>
        <w:t xml:space="preserve"> T</w:t>
      </w:r>
      <w:r w:rsidRPr="00F379A0">
        <w:t>he American Society of Heating, Refrigerating and Air-Conditioning Engineers (ASHRAE), Refrigerants Naturally, International Institute of Refrigeration (IIR), Air conditioning, Heating and Refrigeration Institute (AHRI),</w:t>
      </w:r>
    </w:p>
  </w:footnote>
  <w:footnote w:id="5">
    <w:p w:rsidR="00E930CE" w:rsidRPr="00E930CE" w:rsidRDefault="00E930CE">
      <w:pPr>
        <w:pStyle w:val="FootnoteText"/>
        <w:rPr>
          <w:lang w:val="en-CA"/>
        </w:rPr>
      </w:pPr>
      <w:r>
        <w:rPr>
          <w:rStyle w:val="FootnoteReference"/>
        </w:rPr>
        <w:footnoteRef/>
      </w:r>
      <w:r>
        <w:t xml:space="preserve"> </w:t>
      </w:r>
      <w:r>
        <w:rPr>
          <w:lang w:val="en-CA"/>
        </w:rPr>
        <w:t>UNEP/OzL.Pro/ExCom/84/</w:t>
      </w:r>
      <w:r w:rsidR="003C5CBC">
        <w:rPr>
          <w:lang w:val="en-CA"/>
        </w:rPr>
        <w:t>4</w:t>
      </w:r>
    </w:p>
  </w:footnote>
  <w:footnote w:id="6">
    <w:p w:rsidR="007877E8" w:rsidRPr="00986429" w:rsidRDefault="007877E8" w:rsidP="007877E8">
      <w:pPr>
        <w:pStyle w:val="FootnoteText"/>
        <w:rPr>
          <w:lang w:val="en-US"/>
        </w:rPr>
      </w:pPr>
      <w:r w:rsidRPr="00A548DC">
        <w:rPr>
          <w:rStyle w:val="FootnoteReference"/>
        </w:rPr>
        <w:footnoteRef/>
      </w:r>
      <w:r w:rsidRPr="00A548DC">
        <w:t xml:space="preserve"> </w:t>
      </w:r>
      <w:r w:rsidRPr="00986429">
        <w:rPr>
          <w:lang w:val="en-US"/>
        </w:rPr>
        <w:t>Decision 8</w:t>
      </w:r>
      <w:r w:rsidR="00770EB2">
        <w:rPr>
          <w:lang w:val="en-US"/>
        </w:rPr>
        <w:t>2</w:t>
      </w:r>
      <w:r w:rsidRPr="00986429">
        <w:rPr>
          <w:lang w:val="en-US"/>
        </w:rPr>
        <w:t>/5</w:t>
      </w:r>
      <w:r w:rsidR="00770EB2">
        <w:rPr>
          <w:lang w:val="en-US"/>
        </w:rPr>
        <w:t>7</w:t>
      </w:r>
      <w:r w:rsidRPr="00986429">
        <w:rPr>
          <w:lang w:val="en-US"/>
        </w:rPr>
        <w:t>(c)(iii): UNEP was requested in future submissions of the CAP budget, to continue reporting on the current post levels of CAP staff and inform the Executive Committee of any changes thereto, particularly with respect to any increased budget allocations.</w:t>
      </w:r>
    </w:p>
  </w:footnote>
  <w:footnote w:id="7">
    <w:p w:rsidR="00940EDB" w:rsidRPr="00940EDB" w:rsidRDefault="00940EDB">
      <w:pPr>
        <w:pStyle w:val="FootnoteText"/>
        <w:rPr>
          <w:lang w:val="en-CA"/>
        </w:rPr>
      </w:pPr>
      <w:r>
        <w:rPr>
          <w:rStyle w:val="FootnoteReference"/>
        </w:rPr>
        <w:footnoteRef/>
      </w:r>
      <w:r>
        <w:t xml:space="preserve"> </w:t>
      </w:r>
      <w:r w:rsidR="001E2E8D">
        <w:rPr>
          <w:lang w:val="en-CA"/>
        </w:rPr>
        <w:t>Regional Office for West Asia</w:t>
      </w:r>
    </w:p>
  </w:footnote>
  <w:footnote w:id="8">
    <w:p w:rsidR="00770EB2" w:rsidRPr="00770EB2" w:rsidRDefault="00770EB2" w:rsidP="00770EB2">
      <w:pPr>
        <w:pStyle w:val="FootnoteText"/>
      </w:pPr>
      <w:r>
        <w:rPr>
          <w:rStyle w:val="FootnoteReference"/>
        </w:rPr>
        <w:footnoteRef/>
      </w:r>
      <w:r>
        <w:t xml:space="preserve"> Decision 82/57(c)(ii): </w:t>
      </w:r>
      <w:r w:rsidRPr="00770EB2">
        <w:t>Extending the prioritization of funding between CAP budget lines so as to accommodate changing priorities and providing details, pursuant to decisions 47/24 and 50/26, on the reallocations made;</w:t>
      </w:r>
    </w:p>
  </w:footnote>
  <w:footnote w:id="9">
    <w:p w:rsidR="005821BB" w:rsidRPr="00945064" w:rsidRDefault="005821BB" w:rsidP="005821BB">
      <w:pPr>
        <w:pStyle w:val="FootnoteText"/>
        <w:rPr>
          <w:lang w:val="en-US"/>
        </w:rPr>
      </w:pPr>
      <w:r>
        <w:rPr>
          <w:rStyle w:val="FootnoteReference"/>
        </w:rPr>
        <w:footnoteRef/>
      </w:r>
      <w:r>
        <w:t xml:space="preserve"> </w:t>
      </w:r>
      <w:r>
        <w:rPr>
          <w:lang w:val="en-US"/>
        </w:rPr>
        <w:t xml:space="preserve">Decision 82/57(c)(iv): </w:t>
      </w:r>
      <w:r>
        <w:t>UNEP was requested</w:t>
      </w:r>
      <w:r w:rsidRPr="00945064">
        <w:t xml:space="preserve"> in future submissions of the CAP budget, to continue</w:t>
      </w:r>
      <w:r w:rsidRPr="00945064">
        <w:rPr>
          <w:sz w:val="22"/>
          <w:szCs w:val="22"/>
        </w:rPr>
        <w:t xml:space="preserve"> </w:t>
      </w:r>
      <w:r w:rsidRPr="00945064">
        <w:t>providing a budget for the year in question and a report on the costs incurred in the year prior to the last year, noting sub</w:t>
      </w:r>
      <w:r>
        <w:t xml:space="preserve">-paragraphs (c)(ii) and (c)(iii). </w:t>
      </w:r>
    </w:p>
  </w:footnote>
  <w:footnote w:id="10">
    <w:p w:rsidR="00FF2724" w:rsidRPr="00FF2724" w:rsidRDefault="00FF2724" w:rsidP="00FF2724">
      <w:pPr>
        <w:pStyle w:val="FootnoteText"/>
      </w:pPr>
      <w:r>
        <w:rPr>
          <w:rStyle w:val="FootnoteReference"/>
        </w:rPr>
        <w:footnoteRef/>
      </w:r>
      <w:r>
        <w:t xml:space="preserve"> </w:t>
      </w:r>
      <w:r w:rsidR="002A469B">
        <w:t>UNEP was requested, when</w:t>
      </w:r>
      <w:r w:rsidRPr="00FF2724">
        <w:t xml:space="preserve"> submitting the CAP budget and work plan for 2019 at the 82nd meeting, to describe, for consideration by the Executive Committee, the operationalization of the proposed changes in the overall CAP structure, in line with relevant previous decisions on the CAP and its funding.</w:t>
      </w:r>
    </w:p>
  </w:footnote>
  <w:footnote w:id="11">
    <w:p w:rsidR="00FF2724" w:rsidRPr="00FF2724" w:rsidRDefault="00FF2724" w:rsidP="00FF2724">
      <w:pPr>
        <w:pStyle w:val="FootnoteText"/>
        <w:rPr>
          <w:lang w:val="en-CA"/>
        </w:rPr>
      </w:pPr>
      <w:r>
        <w:rPr>
          <w:rStyle w:val="FootnoteReference"/>
        </w:rPr>
        <w:footnoteRef/>
      </w:r>
      <w:r>
        <w:t xml:space="preserve"> </w:t>
      </w:r>
      <w:r>
        <w:rPr>
          <w:lang w:val="en-CA"/>
        </w:rPr>
        <w:t xml:space="preserve">Decision 82/57(c)(i): </w:t>
      </w:r>
      <w:r w:rsidRPr="00FF2724">
        <w:rPr>
          <w:lang w:val="en-CA"/>
        </w:rPr>
        <w:t>Providing detailed information on the activities for which the global funds would be used;</w:t>
      </w:r>
      <w:r>
        <w:rPr>
          <w:lang w:val="en-CA"/>
        </w:rPr>
        <w:t xml:space="preserve"> </w:t>
      </w:r>
      <w:r w:rsidR="00D7224A">
        <w:rPr>
          <w:lang w:val="en-CA"/>
        </w:rPr>
        <w:t>d</w:t>
      </w:r>
      <w:r>
        <w:rPr>
          <w:lang w:val="en-CA"/>
        </w:rPr>
        <w:t>ecision 82/57</w:t>
      </w:r>
      <w:r w:rsidR="002A469B">
        <w:rPr>
          <w:lang w:val="en-CA"/>
        </w:rPr>
        <w:t>(c)</w:t>
      </w:r>
      <w:r>
        <w:rPr>
          <w:lang w:val="en-CA"/>
        </w:rPr>
        <w:t>(ii), (iii) and (iv):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4D0695">
    <w:fldSimple w:instr=" DOCPROPERTY &quot;Document number&quot;  \* MERGEFORMAT ">
      <w:r>
        <w:t>UNEP/OzL.Pro/ExCom/84/37</w:t>
      </w:r>
    </w:fldSimple>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4D0695">
    <w:pPr>
      <w:jc w:val="right"/>
    </w:pPr>
    <w:fldSimple w:instr=" DOCPROPERTY &quot;Document number&quot;  \* MERGEFORMAT ">
      <w:r>
        <w:t>UNEP/OzL.Pro/ExCom/84/37</w:t>
      </w:r>
    </w:fldSimple>
  </w:p>
  <w:p w:rsidR="007C227C" w:rsidRPr="0033525D" w:rsidRDefault="007C227C"/>
  <w:p w:rsidR="007C227C" w:rsidRPr="0033525D" w:rsidRDefault="007C2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A2A56"/>
    <w:rsid w:val="00000FED"/>
    <w:rsid w:val="0000434E"/>
    <w:rsid w:val="0001571A"/>
    <w:rsid w:val="00017C3F"/>
    <w:rsid w:val="000211A9"/>
    <w:rsid w:val="00025112"/>
    <w:rsid w:val="000252D1"/>
    <w:rsid w:val="0002626D"/>
    <w:rsid w:val="00031260"/>
    <w:rsid w:val="0003681A"/>
    <w:rsid w:val="00052C5C"/>
    <w:rsid w:val="00061EC2"/>
    <w:rsid w:val="00080ED0"/>
    <w:rsid w:val="00085B8F"/>
    <w:rsid w:val="00090481"/>
    <w:rsid w:val="00092009"/>
    <w:rsid w:val="000A6C26"/>
    <w:rsid w:val="000D52A4"/>
    <w:rsid w:val="000D76D0"/>
    <w:rsid w:val="000E07BC"/>
    <w:rsid w:val="000E59CB"/>
    <w:rsid w:val="000F1CD4"/>
    <w:rsid w:val="000F398B"/>
    <w:rsid w:val="000F4103"/>
    <w:rsid w:val="000F70A7"/>
    <w:rsid w:val="00113CCA"/>
    <w:rsid w:val="00122F25"/>
    <w:rsid w:val="00135980"/>
    <w:rsid w:val="00151F0D"/>
    <w:rsid w:val="00164719"/>
    <w:rsid w:val="00165EF6"/>
    <w:rsid w:val="00166FC4"/>
    <w:rsid w:val="001677AC"/>
    <w:rsid w:val="0017540B"/>
    <w:rsid w:val="001804EA"/>
    <w:rsid w:val="00190A61"/>
    <w:rsid w:val="001A3342"/>
    <w:rsid w:val="001A3E3D"/>
    <w:rsid w:val="001A7049"/>
    <w:rsid w:val="001B1D88"/>
    <w:rsid w:val="001B1E40"/>
    <w:rsid w:val="001B419F"/>
    <w:rsid w:val="001B6487"/>
    <w:rsid w:val="001C3C80"/>
    <w:rsid w:val="001C764E"/>
    <w:rsid w:val="001E1052"/>
    <w:rsid w:val="001E21B1"/>
    <w:rsid w:val="001E2E8D"/>
    <w:rsid w:val="001E2F93"/>
    <w:rsid w:val="001E4056"/>
    <w:rsid w:val="001E4476"/>
    <w:rsid w:val="001E61E5"/>
    <w:rsid w:val="001F2159"/>
    <w:rsid w:val="00213B82"/>
    <w:rsid w:val="00214863"/>
    <w:rsid w:val="002156B4"/>
    <w:rsid w:val="002226FE"/>
    <w:rsid w:val="00226828"/>
    <w:rsid w:val="0024343E"/>
    <w:rsid w:val="00246F2A"/>
    <w:rsid w:val="00250A5F"/>
    <w:rsid w:val="00253222"/>
    <w:rsid w:val="00262847"/>
    <w:rsid w:val="00264ACF"/>
    <w:rsid w:val="00281BB2"/>
    <w:rsid w:val="00284440"/>
    <w:rsid w:val="002A469B"/>
    <w:rsid w:val="002B08D9"/>
    <w:rsid w:val="002B72E9"/>
    <w:rsid w:val="002C1CBB"/>
    <w:rsid w:val="002C7998"/>
    <w:rsid w:val="002E7089"/>
    <w:rsid w:val="002F1C55"/>
    <w:rsid w:val="002F1E53"/>
    <w:rsid w:val="002F263D"/>
    <w:rsid w:val="002F2CAA"/>
    <w:rsid w:val="0030052C"/>
    <w:rsid w:val="0031094F"/>
    <w:rsid w:val="003306E1"/>
    <w:rsid w:val="003320E4"/>
    <w:rsid w:val="0033525D"/>
    <w:rsid w:val="003414F3"/>
    <w:rsid w:val="00346674"/>
    <w:rsid w:val="003512CB"/>
    <w:rsid w:val="0035613E"/>
    <w:rsid w:val="00363EE9"/>
    <w:rsid w:val="0036427C"/>
    <w:rsid w:val="00366505"/>
    <w:rsid w:val="00376128"/>
    <w:rsid w:val="0037742E"/>
    <w:rsid w:val="00377D56"/>
    <w:rsid w:val="0038245A"/>
    <w:rsid w:val="003840E6"/>
    <w:rsid w:val="00385613"/>
    <w:rsid w:val="00385CFC"/>
    <w:rsid w:val="003919B9"/>
    <w:rsid w:val="0039337A"/>
    <w:rsid w:val="003A3189"/>
    <w:rsid w:val="003A3CA7"/>
    <w:rsid w:val="003A6D95"/>
    <w:rsid w:val="003B33BD"/>
    <w:rsid w:val="003B569D"/>
    <w:rsid w:val="003B5BC6"/>
    <w:rsid w:val="003C0C29"/>
    <w:rsid w:val="003C3C0E"/>
    <w:rsid w:val="003C5CBC"/>
    <w:rsid w:val="003D4FAC"/>
    <w:rsid w:val="003D5FB9"/>
    <w:rsid w:val="003E7292"/>
    <w:rsid w:val="003E7906"/>
    <w:rsid w:val="003F3C50"/>
    <w:rsid w:val="003F5FBE"/>
    <w:rsid w:val="0040570A"/>
    <w:rsid w:val="00406A6A"/>
    <w:rsid w:val="00406B22"/>
    <w:rsid w:val="004174B4"/>
    <w:rsid w:val="004328A7"/>
    <w:rsid w:val="00434C74"/>
    <w:rsid w:val="00456EB4"/>
    <w:rsid w:val="004718F3"/>
    <w:rsid w:val="004731B8"/>
    <w:rsid w:val="00475040"/>
    <w:rsid w:val="00493D40"/>
    <w:rsid w:val="004967B6"/>
    <w:rsid w:val="004A504B"/>
    <w:rsid w:val="004A6911"/>
    <w:rsid w:val="004B54E0"/>
    <w:rsid w:val="004B7384"/>
    <w:rsid w:val="004C4269"/>
    <w:rsid w:val="004D0695"/>
    <w:rsid w:val="004D6236"/>
    <w:rsid w:val="004D7F90"/>
    <w:rsid w:val="004E4DBB"/>
    <w:rsid w:val="004E4E41"/>
    <w:rsid w:val="004E7F9C"/>
    <w:rsid w:val="004F18A7"/>
    <w:rsid w:val="004F3493"/>
    <w:rsid w:val="004F5143"/>
    <w:rsid w:val="00512B09"/>
    <w:rsid w:val="00515B2F"/>
    <w:rsid w:val="00533796"/>
    <w:rsid w:val="00555672"/>
    <w:rsid w:val="0055569B"/>
    <w:rsid w:val="00555D75"/>
    <w:rsid w:val="00560DF0"/>
    <w:rsid w:val="0056759C"/>
    <w:rsid w:val="005821BB"/>
    <w:rsid w:val="0058691E"/>
    <w:rsid w:val="005918D6"/>
    <w:rsid w:val="0059513E"/>
    <w:rsid w:val="005A4390"/>
    <w:rsid w:val="005B48FF"/>
    <w:rsid w:val="005C19BD"/>
    <w:rsid w:val="005C1AB1"/>
    <w:rsid w:val="005C1BB4"/>
    <w:rsid w:val="005C450B"/>
    <w:rsid w:val="005C5542"/>
    <w:rsid w:val="005D701E"/>
    <w:rsid w:val="00604C15"/>
    <w:rsid w:val="006054CB"/>
    <w:rsid w:val="00614BE0"/>
    <w:rsid w:val="006158D5"/>
    <w:rsid w:val="0062552A"/>
    <w:rsid w:val="00625D83"/>
    <w:rsid w:val="006623E7"/>
    <w:rsid w:val="00662B80"/>
    <w:rsid w:val="00670F6C"/>
    <w:rsid w:val="00675795"/>
    <w:rsid w:val="006852C7"/>
    <w:rsid w:val="006852CE"/>
    <w:rsid w:val="006A423F"/>
    <w:rsid w:val="006B4C93"/>
    <w:rsid w:val="006C1727"/>
    <w:rsid w:val="006C32FD"/>
    <w:rsid w:val="006C39CE"/>
    <w:rsid w:val="006D0FCC"/>
    <w:rsid w:val="006D1D2D"/>
    <w:rsid w:val="006D54FC"/>
    <w:rsid w:val="006E1FC3"/>
    <w:rsid w:val="0070616B"/>
    <w:rsid w:val="00706FDA"/>
    <w:rsid w:val="007078E3"/>
    <w:rsid w:val="00711F9A"/>
    <w:rsid w:val="00713810"/>
    <w:rsid w:val="007303A5"/>
    <w:rsid w:val="00730B3E"/>
    <w:rsid w:val="0073420B"/>
    <w:rsid w:val="00736B55"/>
    <w:rsid w:val="0074760E"/>
    <w:rsid w:val="00754ABA"/>
    <w:rsid w:val="0075579E"/>
    <w:rsid w:val="007567A3"/>
    <w:rsid w:val="00770EB2"/>
    <w:rsid w:val="007877E8"/>
    <w:rsid w:val="007A1546"/>
    <w:rsid w:val="007A228C"/>
    <w:rsid w:val="007A368E"/>
    <w:rsid w:val="007A5868"/>
    <w:rsid w:val="007A7AD3"/>
    <w:rsid w:val="007B04CE"/>
    <w:rsid w:val="007B6871"/>
    <w:rsid w:val="007B7A2F"/>
    <w:rsid w:val="007B7B2E"/>
    <w:rsid w:val="007C227C"/>
    <w:rsid w:val="007C3D33"/>
    <w:rsid w:val="007D294A"/>
    <w:rsid w:val="007D47D2"/>
    <w:rsid w:val="007D6EC0"/>
    <w:rsid w:val="007D7E1D"/>
    <w:rsid w:val="007F5C6B"/>
    <w:rsid w:val="0082053B"/>
    <w:rsid w:val="0082063A"/>
    <w:rsid w:val="00831979"/>
    <w:rsid w:val="00843E9A"/>
    <w:rsid w:val="00851352"/>
    <w:rsid w:val="00863230"/>
    <w:rsid w:val="008717D8"/>
    <w:rsid w:val="0087215C"/>
    <w:rsid w:val="00880E35"/>
    <w:rsid w:val="008875FE"/>
    <w:rsid w:val="00887F8E"/>
    <w:rsid w:val="00896234"/>
    <w:rsid w:val="00897E43"/>
    <w:rsid w:val="008C5738"/>
    <w:rsid w:val="008C7EAD"/>
    <w:rsid w:val="008D0CFE"/>
    <w:rsid w:val="008D3375"/>
    <w:rsid w:val="008D54C2"/>
    <w:rsid w:val="008D6152"/>
    <w:rsid w:val="008F0F81"/>
    <w:rsid w:val="008F27BF"/>
    <w:rsid w:val="009142EC"/>
    <w:rsid w:val="009154C3"/>
    <w:rsid w:val="00923540"/>
    <w:rsid w:val="00926767"/>
    <w:rsid w:val="00932741"/>
    <w:rsid w:val="009361D5"/>
    <w:rsid w:val="00940EDB"/>
    <w:rsid w:val="009428A4"/>
    <w:rsid w:val="00945064"/>
    <w:rsid w:val="009550CA"/>
    <w:rsid w:val="009659F4"/>
    <w:rsid w:val="009709B0"/>
    <w:rsid w:val="00970D60"/>
    <w:rsid w:val="009960E5"/>
    <w:rsid w:val="009A7ADC"/>
    <w:rsid w:val="009C0F59"/>
    <w:rsid w:val="009C19B7"/>
    <w:rsid w:val="009C3F0B"/>
    <w:rsid w:val="009D7C51"/>
    <w:rsid w:val="009E196C"/>
    <w:rsid w:val="009F36BF"/>
    <w:rsid w:val="00A111B6"/>
    <w:rsid w:val="00A15E9A"/>
    <w:rsid w:val="00A244AC"/>
    <w:rsid w:val="00A2547B"/>
    <w:rsid w:val="00A26D27"/>
    <w:rsid w:val="00A376EE"/>
    <w:rsid w:val="00A42A99"/>
    <w:rsid w:val="00A5151A"/>
    <w:rsid w:val="00A56465"/>
    <w:rsid w:val="00A57E0A"/>
    <w:rsid w:val="00A823F6"/>
    <w:rsid w:val="00A93BBA"/>
    <w:rsid w:val="00AA0A89"/>
    <w:rsid w:val="00AA3C3C"/>
    <w:rsid w:val="00AA6429"/>
    <w:rsid w:val="00AC01AA"/>
    <w:rsid w:val="00AC4F72"/>
    <w:rsid w:val="00AE0E2D"/>
    <w:rsid w:val="00AE77AA"/>
    <w:rsid w:val="00AF741A"/>
    <w:rsid w:val="00B01ADB"/>
    <w:rsid w:val="00B04161"/>
    <w:rsid w:val="00B056F9"/>
    <w:rsid w:val="00B11E3D"/>
    <w:rsid w:val="00B17E82"/>
    <w:rsid w:val="00B34531"/>
    <w:rsid w:val="00B44193"/>
    <w:rsid w:val="00B4575A"/>
    <w:rsid w:val="00B575BA"/>
    <w:rsid w:val="00B76429"/>
    <w:rsid w:val="00B77AAD"/>
    <w:rsid w:val="00B956D4"/>
    <w:rsid w:val="00B97446"/>
    <w:rsid w:val="00BA7432"/>
    <w:rsid w:val="00BC1AA0"/>
    <w:rsid w:val="00BC2495"/>
    <w:rsid w:val="00BC337B"/>
    <w:rsid w:val="00BC3B70"/>
    <w:rsid w:val="00BC7EB9"/>
    <w:rsid w:val="00BD2643"/>
    <w:rsid w:val="00BD56B1"/>
    <w:rsid w:val="00BD6558"/>
    <w:rsid w:val="00BF3022"/>
    <w:rsid w:val="00BF3214"/>
    <w:rsid w:val="00BF5573"/>
    <w:rsid w:val="00C104A8"/>
    <w:rsid w:val="00C15867"/>
    <w:rsid w:val="00C2296D"/>
    <w:rsid w:val="00C23155"/>
    <w:rsid w:val="00C40C41"/>
    <w:rsid w:val="00C45885"/>
    <w:rsid w:val="00C50F22"/>
    <w:rsid w:val="00C55303"/>
    <w:rsid w:val="00C57971"/>
    <w:rsid w:val="00C60DED"/>
    <w:rsid w:val="00C65BD7"/>
    <w:rsid w:val="00C76BA4"/>
    <w:rsid w:val="00C83A48"/>
    <w:rsid w:val="00C85865"/>
    <w:rsid w:val="00C85E85"/>
    <w:rsid w:val="00CA2EAE"/>
    <w:rsid w:val="00CA4AC1"/>
    <w:rsid w:val="00CB0316"/>
    <w:rsid w:val="00CB0B11"/>
    <w:rsid w:val="00CB5354"/>
    <w:rsid w:val="00CB59F2"/>
    <w:rsid w:val="00CC299E"/>
    <w:rsid w:val="00CC6236"/>
    <w:rsid w:val="00CC6A14"/>
    <w:rsid w:val="00CC70A3"/>
    <w:rsid w:val="00CD4442"/>
    <w:rsid w:val="00CD4E3C"/>
    <w:rsid w:val="00CD53C3"/>
    <w:rsid w:val="00CD574E"/>
    <w:rsid w:val="00CD6848"/>
    <w:rsid w:val="00CE4C22"/>
    <w:rsid w:val="00CF41EC"/>
    <w:rsid w:val="00CF5D04"/>
    <w:rsid w:val="00D04DE4"/>
    <w:rsid w:val="00D0546C"/>
    <w:rsid w:val="00D063F1"/>
    <w:rsid w:val="00D13CD0"/>
    <w:rsid w:val="00D14F22"/>
    <w:rsid w:val="00D22563"/>
    <w:rsid w:val="00D4741C"/>
    <w:rsid w:val="00D51B89"/>
    <w:rsid w:val="00D531DF"/>
    <w:rsid w:val="00D57918"/>
    <w:rsid w:val="00D62899"/>
    <w:rsid w:val="00D66982"/>
    <w:rsid w:val="00D7224A"/>
    <w:rsid w:val="00D73DC6"/>
    <w:rsid w:val="00D74C1A"/>
    <w:rsid w:val="00D754C1"/>
    <w:rsid w:val="00D77393"/>
    <w:rsid w:val="00D77A35"/>
    <w:rsid w:val="00D81B3E"/>
    <w:rsid w:val="00D90C70"/>
    <w:rsid w:val="00D90E49"/>
    <w:rsid w:val="00D95996"/>
    <w:rsid w:val="00D96ADE"/>
    <w:rsid w:val="00DA0CE2"/>
    <w:rsid w:val="00DA2A56"/>
    <w:rsid w:val="00DC6A10"/>
    <w:rsid w:val="00DE657E"/>
    <w:rsid w:val="00DF29AB"/>
    <w:rsid w:val="00DF4704"/>
    <w:rsid w:val="00E024AA"/>
    <w:rsid w:val="00E250F1"/>
    <w:rsid w:val="00E3550D"/>
    <w:rsid w:val="00E41335"/>
    <w:rsid w:val="00E42B03"/>
    <w:rsid w:val="00E56D5F"/>
    <w:rsid w:val="00E614E0"/>
    <w:rsid w:val="00E73F7F"/>
    <w:rsid w:val="00E85409"/>
    <w:rsid w:val="00E930CE"/>
    <w:rsid w:val="00EA429F"/>
    <w:rsid w:val="00EA4F9E"/>
    <w:rsid w:val="00EA63CA"/>
    <w:rsid w:val="00EA6D3B"/>
    <w:rsid w:val="00EB00AD"/>
    <w:rsid w:val="00EB136C"/>
    <w:rsid w:val="00EB3374"/>
    <w:rsid w:val="00EB480E"/>
    <w:rsid w:val="00EB5EC6"/>
    <w:rsid w:val="00EB7FC9"/>
    <w:rsid w:val="00ED27E8"/>
    <w:rsid w:val="00ED7137"/>
    <w:rsid w:val="00EE66BA"/>
    <w:rsid w:val="00F07A58"/>
    <w:rsid w:val="00F21088"/>
    <w:rsid w:val="00F268BE"/>
    <w:rsid w:val="00F26E2B"/>
    <w:rsid w:val="00F327E7"/>
    <w:rsid w:val="00F35746"/>
    <w:rsid w:val="00F379A0"/>
    <w:rsid w:val="00F447C7"/>
    <w:rsid w:val="00F463B5"/>
    <w:rsid w:val="00F5211B"/>
    <w:rsid w:val="00F554A9"/>
    <w:rsid w:val="00F716FD"/>
    <w:rsid w:val="00F80355"/>
    <w:rsid w:val="00F87105"/>
    <w:rsid w:val="00F87C43"/>
    <w:rsid w:val="00FB0C81"/>
    <w:rsid w:val="00FC2200"/>
    <w:rsid w:val="00FC2540"/>
    <w:rsid w:val="00FE0881"/>
    <w:rsid w:val="00FF0204"/>
    <w:rsid w:val="00FF1520"/>
    <w:rsid w:val="00FF272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0AE69-BA66-4499-80CE-5449B886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uiPriority w:val="9"/>
    <w:qFormat/>
    <w:rsid w:val="0033525D"/>
    <w:pPr>
      <w:widowControl w:val="0"/>
      <w:numPr>
        <w:ilvl w:val="2"/>
        <w:numId w:val="1"/>
      </w:numPr>
      <w:spacing w:after="240"/>
      <w:outlineLvl w:val="2"/>
    </w:pPr>
  </w:style>
  <w:style w:type="paragraph" w:styleId="Heading4">
    <w:name w:val="heading 4"/>
    <w:aliases w:val="Heading 11,para 4"/>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
    <w:basedOn w:val="Normal"/>
    <w:link w:val="FootnoteTextChar"/>
    <w:uiPriority w:val="99"/>
    <w:unhideWhenUsed/>
    <w:qFormat/>
    <w:rsid w:val="00DA2A56"/>
    <w:rPr>
      <w:sz w:val="20"/>
      <w:szCs w:val="20"/>
    </w:rPr>
  </w:style>
  <w:style w:type="character" w:customStyle="1" w:styleId="FootnoteTextChar">
    <w:name w:val="Footnote Text Char"/>
    <w:aliases w:val=" Char1 Char, Char1 Char Char Char,Fußnotentextf Char,Char1 Char,Char1 Char Char Char"/>
    <w:basedOn w:val="DefaultParagraphFont"/>
    <w:link w:val="FootnoteText"/>
    <w:uiPriority w:val="99"/>
    <w:rsid w:val="00DA2A56"/>
    <w:rPr>
      <w:lang w:val="en-GB"/>
    </w:rPr>
  </w:style>
  <w:style w:type="character" w:styleId="FootnoteReference">
    <w:name w:val="footnote reference"/>
    <w:aliases w:val="16 Point,Superscript 6 Point,Footnote text,Footnote Text1,Footnote Text2"/>
    <w:basedOn w:val="DefaultParagraphFont"/>
    <w:uiPriority w:val="99"/>
    <w:unhideWhenUsed/>
    <w:rsid w:val="00DA2A56"/>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5C19BD"/>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5C19B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UNEP/OzL.Pro/ExCom/84/37</Document_x0020_Number>
    <DocumentType xmlns="64e33b30-101d-41de-b951-961aab25ea29">Pre-session</DocumentType>
  </documentManagement>
</p:properties>
</file>

<file path=customXml/itemProps1.xml><?xml version="1.0" encoding="utf-8"?>
<ds:datastoreItem xmlns:ds="http://schemas.openxmlformats.org/officeDocument/2006/customXml" ds:itemID="{98C59E1E-1F18-4F02-9A63-8A44C933F26B}"/>
</file>

<file path=customXml/itemProps2.xml><?xml version="1.0" encoding="utf-8"?>
<ds:datastoreItem xmlns:ds="http://schemas.openxmlformats.org/officeDocument/2006/customXml" ds:itemID="{BE5E860A-96BE-444A-AA26-C0A46655BDBE}"/>
</file>

<file path=customXml/itemProps3.xml><?xml version="1.0" encoding="utf-8"?>
<ds:datastoreItem xmlns:ds="http://schemas.openxmlformats.org/officeDocument/2006/customXml" ds:itemID="{E532396C-18E7-40E7-B73E-A371AE40D394}"/>
</file>

<file path=customXml/itemProps4.xml><?xml version="1.0" encoding="utf-8"?>
<ds:datastoreItem xmlns:ds="http://schemas.openxmlformats.org/officeDocument/2006/customXml" ds:itemID="{6CD9E681-4AF9-47CD-B26F-3A5AAFF5D767}"/>
</file>

<file path=docProps/app.xml><?xml version="1.0" encoding="utf-8"?>
<Properties xmlns="http://schemas.openxmlformats.org/officeDocument/2006/extended-properties" xmlns:vt="http://schemas.openxmlformats.org/officeDocument/2006/docPropsVTypes">
  <Template>Eec84G</Template>
  <TotalTime>0</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UNEP's Compliance Assistance Programme (CAP) CAP Budget for 2020</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UNEP's Compliance Assistance Programme (CAP) Budget for 2020</dc:title>
  <dc:creator>NGuerin@unmfs.org</dc:creator>
  <cp:lastModifiedBy>Cecilia Mercado</cp:lastModifiedBy>
  <cp:revision>2</cp:revision>
  <cp:lastPrinted>2019-11-21T01:43:00Z</cp:lastPrinted>
  <dcterms:created xsi:type="dcterms:W3CDTF">2019-11-21T02:40:00Z</dcterms:created>
  <dcterms:modified xsi:type="dcterms:W3CDTF">2019-11-21T02:40:00Z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UNEP/OzL.Pro/ExCom/84/37</vt:lpwstr>
  </property>
  <property fmtid="{D5CDD505-2E9C-101B-9397-08002B2CF9AE}" pid="3" name="Revision date">
    <vt:lpwstr>20/11/2019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