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Pr="00F144AF" w:rsidRDefault="00264ACF" w:rsidP="00264ACF">
      <w:pPr>
        <w:rPr>
          <w:lang w:val="en-CA"/>
        </w:rPr>
      </w:pPr>
      <w:r w:rsidRPr="00F144AF">
        <w:rPr>
          <w:noProof/>
          <w:lang w:val="en-CA" w:eastAsia="zh-CN"/>
        </w:rPr>
        <w:drawing>
          <wp:anchor distT="0" distB="0" distL="114300" distR="114300" simplePos="0" relativeHeight="251658240" behindDoc="1" locked="0" layoutInCell="1" allowOverlap="1" wp14:anchorId="7F03D24F" wp14:editId="50A828EB">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F144AF">
        <w:rPr>
          <w:lang w:val="en-CA"/>
        </w:rPr>
        <w:t xml:space="preserve"> </w:t>
      </w:r>
    </w:p>
    <w:p w:rsidR="00D0546C" w:rsidRPr="00F144AF" w:rsidRDefault="00D0546C" w:rsidP="00D0546C">
      <w:pPr>
        <w:tabs>
          <w:tab w:val="left" w:pos="1410"/>
        </w:tabs>
        <w:rPr>
          <w:lang w:val="en-CA"/>
        </w:rPr>
      </w:pPr>
    </w:p>
    <w:p w:rsidR="00D0546C" w:rsidRPr="00F144AF" w:rsidRDefault="00D0546C" w:rsidP="003919B9">
      <w:pPr>
        <w:ind w:left="5040"/>
        <w:rPr>
          <w:lang w:val="en-CA"/>
        </w:rPr>
      </w:pPr>
    </w:p>
    <w:p w:rsidR="003919B9" w:rsidRPr="00F144AF" w:rsidRDefault="005A4390" w:rsidP="003919B9">
      <w:pPr>
        <w:ind w:left="5040"/>
        <w:rPr>
          <w:lang w:val="en-CA"/>
        </w:rPr>
      </w:pPr>
      <w:r w:rsidRPr="00F144AF">
        <w:rPr>
          <w:lang w:val="en-CA"/>
        </w:rPr>
        <w:t xml:space="preserve"> </w:t>
      </w:r>
      <w:r w:rsidRPr="00F144AF">
        <w:rPr>
          <w:lang w:val="en-CA"/>
        </w:rPr>
        <w:br/>
        <w:t xml:space="preserve">   </w:t>
      </w:r>
      <w:r w:rsidR="00D0546C" w:rsidRPr="00F144AF">
        <w:rPr>
          <w:lang w:val="en-CA"/>
        </w:rPr>
        <w:br/>
      </w:r>
      <w:r w:rsidR="00D0546C" w:rsidRPr="00F144AF">
        <w:rPr>
          <w:lang w:val="en-CA"/>
        </w:rPr>
        <w:br/>
      </w:r>
      <w:r w:rsidR="00D0546C" w:rsidRPr="00F144AF">
        <w:rPr>
          <w:lang w:val="en-CA"/>
        </w:rPr>
        <w:br/>
      </w:r>
      <w:r w:rsidR="00264ACF" w:rsidRPr="00F144AF">
        <w:rPr>
          <w:lang w:val="en-CA"/>
        </w:rPr>
        <w:t xml:space="preserve">   </w:t>
      </w:r>
      <w:r w:rsidR="002C4DB6" w:rsidRPr="00F144AF">
        <w:rPr>
          <w:lang w:val="en-CA"/>
        </w:rPr>
        <w:fldChar w:fldCharType="begin"/>
      </w:r>
      <w:r w:rsidR="002C4DB6" w:rsidRPr="00F144AF">
        <w:rPr>
          <w:lang w:val="en-CA"/>
        </w:rPr>
        <w:instrText xml:space="preserve"> DOCPROPERTY "Document number"  \* MERGEFORMAT </w:instrText>
      </w:r>
      <w:r w:rsidR="002C4DB6" w:rsidRPr="00F144AF">
        <w:rPr>
          <w:lang w:val="en-CA"/>
        </w:rPr>
        <w:fldChar w:fldCharType="separate"/>
      </w:r>
      <w:r w:rsidR="001955B4" w:rsidRPr="00F144AF">
        <w:rPr>
          <w:lang w:val="en-CA"/>
        </w:rPr>
        <w:t>UNEP/</w:t>
      </w:r>
      <w:proofErr w:type="spellStart"/>
      <w:r w:rsidR="001955B4" w:rsidRPr="00F144AF">
        <w:rPr>
          <w:lang w:val="en-CA"/>
        </w:rPr>
        <w:t>OzL.Pro</w:t>
      </w:r>
      <w:proofErr w:type="spellEnd"/>
      <w:r w:rsidR="001955B4" w:rsidRPr="00F144AF">
        <w:rPr>
          <w:lang w:val="en-CA"/>
        </w:rPr>
        <w:t>/</w:t>
      </w:r>
      <w:proofErr w:type="spellStart"/>
      <w:r w:rsidR="001955B4" w:rsidRPr="00F144AF">
        <w:rPr>
          <w:lang w:val="en-CA"/>
        </w:rPr>
        <w:t>ExCom</w:t>
      </w:r>
      <w:proofErr w:type="spellEnd"/>
      <w:r w:rsidR="001955B4" w:rsidRPr="00F144AF">
        <w:rPr>
          <w:lang w:val="en-CA"/>
        </w:rPr>
        <w:t>/84/44</w:t>
      </w:r>
      <w:r w:rsidR="002C4DB6" w:rsidRPr="00F144AF">
        <w:rPr>
          <w:lang w:val="en-CA"/>
        </w:rPr>
        <w:fldChar w:fldCharType="end"/>
      </w:r>
      <w:r w:rsidR="003919B9" w:rsidRPr="00F144AF">
        <w:rPr>
          <w:lang w:val="en-CA"/>
        </w:rPr>
        <w:br/>
        <w:t xml:space="preserve">   </w:t>
      </w:r>
      <w:r w:rsidR="003919B9" w:rsidRPr="00F144AF">
        <w:rPr>
          <w:lang w:val="en-CA"/>
        </w:rPr>
        <w:fldChar w:fldCharType="begin"/>
      </w:r>
      <w:r w:rsidR="003919B9" w:rsidRPr="00F144AF">
        <w:rPr>
          <w:lang w:val="en-CA"/>
        </w:rPr>
        <w:instrText xml:space="preserve"> DOCPROPERTY "Revision date" \@ "d MMMM YYYY"  \* MERGEFORMAT </w:instrText>
      </w:r>
      <w:r w:rsidR="003919B9" w:rsidRPr="00F144AF">
        <w:rPr>
          <w:lang w:val="en-CA"/>
        </w:rPr>
        <w:fldChar w:fldCharType="separate"/>
      </w:r>
      <w:r w:rsidR="001955B4" w:rsidRPr="00F144AF">
        <w:rPr>
          <w:lang w:val="en-CA"/>
        </w:rPr>
        <w:t>15 November 2019</w:t>
      </w:r>
      <w:r w:rsidR="003919B9" w:rsidRPr="00F144AF">
        <w:rPr>
          <w:lang w:val="en-CA"/>
        </w:rPr>
        <w:fldChar w:fldCharType="end"/>
      </w:r>
    </w:p>
    <w:p w:rsidR="003919B9" w:rsidRPr="00F144AF" w:rsidRDefault="003919B9" w:rsidP="003919B9">
      <w:pPr>
        <w:rPr>
          <w:lang w:val="en-CA"/>
        </w:rPr>
      </w:pPr>
    </w:p>
    <w:p w:rsidR="00EE66BA" w:rsidRPr="00F144AF" w:rsidRDefault="00EE66BA" w:rsidP="001C3C80">
      <w:pPr>
        <w:tabs>
          <w:tab w:val="left" w:pos="8280"/>
        </w:tabs>
        <w:rPr>
          <w:lang w:val="en-CA"/>
        </w:rPr>
      </w:pPr>
    </w:p>
    <w:p w:rsidR="003919B9" w:rsidRPr="00F144AF" w:rsidRDefault="003919B9" w:rsidP="001C3C80">
      <w:pPr>
        <w:tabs>
          <w:tab w:val="left" w:pos="8280"/>
        </w:tabs>
        <w:rPr>
          <w:lang w:val="en-CA"/>
        </w:rPr>
      </w:pPr>
    </w:p>
    <w:p w:rsidR="003919B9" w:rsidRPr="00F144AF" w:rsidRDefault="00D66982" w:rsidP="00D66982">
      <w:pPr>
        <w:tabs>
          <w:tab w:val="left" w:pos="3940"/>
        </w:tabs>
        <w:rPr>
          <w:lang w:val="en-CA"/>
        </w:rPr>
      </w:pPr>
      <w:r w:rsidRPr="00F144AF">
        <w:rPr>
          <w:lang w:val="en-CA"/>
        </w:rPr>
        <w:tab/>
      </w:r>
    </w:p>
    <w:p w:rsidR="003919B9" w:rsidRPr="00F144AF" w:rsidRDefault="003919B9" w:rsidP="001C3C80">
      <w:pPr>
        <w:tabs>
          <w:tab w:val="left" w:pos="8280"/>
        </w:tabs>
        <w:rPr>
          <w:lang w:val="en-CA"/>
        </w:rPr>
      </w:pPr>
    </w:p>
    <w:p w:rsidR="003919B9" w:rsidRPr="00F144AF" w:rsidRDefault="003919B9" w:rsidP="001C3C80">
      <w:pPr>
        <w:tabs>
          <w:tab w:val="left" w:pos="8280"/>
        </w:tabs>
        <w:rPr>
          <w:lang w:val="en-CA"/>
        </w:rPr>
      </w:pPr>
    </w:p>
    <w:p w:rsidR="003919B9" w:rsidRPr="00F144AF" w:rsidRDefault="003919B9" w:rsidP="001C3C80">
      <w:pPr>
        <w:tabs>
          <w:tab w:val="left" w:pos="8280"/>
        </w:tabs>
        <w:rPr>
          <w:lang w:val="en-CA"/>
        </w:rPr>
      </w:pPr>
    </w:p>
    <w:p w:rsidR="003919B9" w:rsidRPr="00F144AF" w:rsidRDefault="003919B9" w:rsidP="001C3C80">
      <w:pPr>
        <w:tabs>
          <w:tab w:val="left" w:pos="8280"/>
        </w:tabs>
        <w:rPr>
          <w:lang w:val="en-CA"/>
        </w:rPr>
      </w:pPr>
    </w:p>
    <w:p w:rsidR="003919B9" w:rsidRPr="00F144AF" w:rsidRDefault="003919B9" w:rsidP="001C3C80">
      <w:pPr>
        <w:tabs>
          <w:tab w:val="left" w:pos="8280"/>
        </w:tabs>
        <w:rPr>
          <w:lang w:val="en-CA"/>
        </w:rPr>
      </w:pPr>
    </w:p>
    <w:p w:rsidR="003919B9" w:rsidRPr="00F144AF" w:rsidRDefault="003919B9" w:rsidP="001C3C80">
      <w:pPr>
        <w:tabs>
          <w:tab w:val="left" w:pos="8280"/>
        </w:tabs>
        <w:rPr>
          <w:lang w:val="en-CA"/>
        </w:rPr>
      </w:pPr>
    </w:p>
    <w:p w:rsidR="000E59CB" w:rsidRPr="00F144AF" w:rsidRDefault="000E59CB" w:rsidP="001C3C80">
      <w:pPr>
        <w:tabs>
          <w:tab w:val="left" w:pos="8280"/>
        </w:tabs>
        <w:rPr>
          <w:lang w:val="en-CA"/>
        </w:rPr>
      </w:pPr>
    </w:p>
    <w:p w:rsidR="004731B8" w:rsidRPr="00F144AF" w:rsidRDefault="004731B8" w:rsidP="001C3C80">
      <w:pPr>
        <w:tabs>
          <w:tab w:val="left" w:pos="8280"/>
        </w:tabs>
        <w:rPr>
          <w:lang w:val="en-CA"/>
        </w:rPr>
      </w:pPr>
    </w:p>
    <w:p w:rsidR="00255CDE" w:rsidRPr="00F144AF" w:rsidRDefault="00255CDE" w:rsidP="00B65047">
      <w:pPr>
        <w:rPr>
          <w:lang w:val="en-CA"/>
        </w:rPr>
      </w:pPr>
    </w:p>
    <w:p w:rsidR="00255CDE" w:rsidRPr="00F144AF" w:rsidRDefault="004612F6" w:rsidP="00B65047">
      <w:pPr>
        <w:jc w:val="center"/>
        <w:rPr>
          <w:b/>
          <w:lang w:val="en-CA"/>
        </w:rPr>
      </w:pPr>
      <w:r w:rsidRPr="00F144AF">
        <w:rPr>
          <w:b/>
          <w:lang w:val="en-CA"/>
        </w:rPr>
        <w:t>PROJECT PROPOSAL: CONGO (THE)</w:t>
      </w:r>
    </w:p>
    <w:p w:rsidR="00255CDE" w:rsidRPr="00F144AF" w:rsidRDefault="00255CDE" w:rsidP="00B65047">
      <w:pPr>
        <w:rPr>
          <w:lang w:val="en-CA"/>
        </w:rPr>
      </w:pPr>
    </w:p>
    <w:p w:rsidR="008F7FE6" w:rsidRPr="00F144AF" w:rsidRDefault="008F7FE6" w:rsidP="00B65047">
      <w:pPr>
        <w:rPr>
          <w:lang w:val="en-CA"/>
        </w:rPr>
      </w:pPr>
    </w:p>
    <w:p w:rsidR="00255CDE" w:rsidRPr="00F144AF" w:rsidRDefault="00255CDE" w:rsidP="00B65047">
      <w:pPr>
        <w:ind w:firstLine="720"/>
        <w:rPr>
          <w:lang w:val="en-CA"/>
        </w:rPr>
      </w:pPr>
      <w:r w:rsidRPr="00F144AF">
        <w:rPr>
          <w:lang w:val="en-CA"/>
        </w:rPr>
        <w:t xml:space="preserve">This document consists of the comments and recommendation of the Secretariat on the following project proposal: </w:t>
      </w:r>
    </w:p>
    <w:p w:rsidR="00255CDE" w:rsidRPr="00F144AF" w:rsidRDefault="00255CDE" w:rsidP="00B65047">
      <w:pPr>
        <w:rPr>
          <w:lang w:val="en-CA"/>
        </w:rPr>
      </w:pPr>
    </w:p>
    <w:p w:rsidR="00255CDE" w:rsidRPr="00F144AF" w:rsidRDefault="00255CDE" w:rsidP="00B65047">
      <w:pPr>
        <w:rPr>
          <w:u w:val="single"/>
          <w:lang w:val="en-CA"/>
        </w:rPr>
      </w:pPr>
      <w:r w:rsidRPr="00F144AF">
        <w:rPr>
          <w:u w:val="single"/>
          <w:lang w:val="en-CA"/>
        </w:rPr>
        <w:t>Phase-out</w:t>
      </w:r>
    </w:p>
    <w:p w:rsidR="00255CDE" w:rsidRPr="00F144AF" w:rsidRDefault="00255CDE" w:rsidP="00B6504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55CDE" w:rsidRPr="00F144AF" w:rsidTr="00156E93">
        <w:tc>
          <w:tcPr>
            <w:tcW w:w="6941" w:type="dxa"/>
          </w:tcPr>
          <w:p w:rsidR="00255CDE" w:rsidRPr="00F144AF" w:rsidRDefault="00255CDE" w:rsidP="00B65047">
            <w:pPr>
              <w:pStyle w:val="ListParagraph"/>
              <w:numPr>
                <w:ilvl w:val="0"/>
                <w:numId w:val="21"/>
              </w:numPr>
              <w:ind w:hanging="830"/>
              <w:rPr>
                <w:lang w:val="en-CA"/>
              </w:rPr>
            </w:pPr>
            <w:r w:rsidRPr="00F144AF">
              <w:rPr>
                <w:lang w:val="en-CA"/>
              </w:rPr>
              <w:t xml:space="preserve">HCFC phase-out management plan (stage I, </w:t>
            </w:r>
            <w:r w:rsidR="004612F6" w:rsidRPr="00F144AF">
              <w:rPr>
                <w:lang w:val="en-CA"/>
              </w:rPr>
              <w:t xml:space="preserve">fourth </w:t>
            </w:r>
            <w:r w:rsidRPr="00F144AF">
              <w:rPr>
                <w:lang w:val="en-CA"/>
              </w:rPr>
              <w:t>tranche)</w:t>
            </w:r>
          </w:p>
        </w:tc>
        <w:tc>
          <w:tcPr>
            <w:tcW w:w="2409" w:type="dxa"/>
          </w:tcPr>
          <w:p w:rsidR="00255CDE" w:rsidRPr="00F144AF" w:rsidRDefault="004612F6" w:rsidP="00B65047">
            <w:pPr>
              <w:jc w:val="right"/>
              <w:rPr>
                <w:lang w:val="en-CA"/>
              </w:rPr>
            </w:pPr>
            <w:r w:rsidRPr="00F144AF">
              <w:rPr>
                <w:lang w:val="en-CA"/>
              </w:rPr>
              <w:t>UNEP</w:t>
            </w:r>
            <w:r w:rsidR="00E62903" w:rsidRPr="00F144AF">
              <w:rPr>
                <w:lang w:val="en-CA"/>
              </w:rPr>
              <w:t xml:space="preserve"> and UNIDO</w:t>
            </w:r>
          </w:p>
        </w:tc>
      </w:tr>
    </w:tbl>
    <w:p w:rsidR="00255CDE" w:rsidRPr="00F144AF" w:rsidRDefault="00255CDE" w:rsidP="00B65047">
      <w:pPr>
        <w:rPr>
          <w:lang w:val="en-CA"/>
        </w:rPr>
      </w:pPr>
    </w:p>
    <w:p w:rsidR="00255CDE" w:rsidRPr="00F144AF" w:rsidRDefault="00255CDE" w:rsidP="00B65047">
      <w:pPr>
        <w:rPr>
          <w:lang w:val="en-CA"/>
        </w:rPr>
      </w:pPr>
    </w:p>
    <w:p w:rsidR="00255CDE" w:rsidRPr="00F144AF" w:rsidRDefault="00255CDE" w:rsidP="00B65047">
      <w:pPr>
        <w:rPr>
          <w:lang w:val="en-CA"/>
        </w:rPr>
      </w:pPr>
    </w:p>
    <w:p w:rsidR="00255CDE" w:rsidRPr="00F144AF" w:rsidRDefault="00255CDE" w:rsidP="00B65047">
      <w:pPr>
        <w:rPr>
          <w:lang w:val="en-CA"/>
        </w:rPr>
      </w:pPr>
      <w:r w:rsidRPr="00F144AF">
        <w:rPr>
          <w:lang w:val="en-CA"/>
        </w:rPr>
        <w:br w:type="page"/>
      </w:r>
    </w:p>
    <w:p w:rsidR="00255CDE" w:rsidRPr="00F144AF" w:rsidRDefault="00255CDE" w:rsidP="00B65047">
      <w:pPr>
        <w:jc w:val="center"/>
        <w:rPr>
          <w:b/>
          <w:lang w:val="en-CA"/>
        </w:rPr>
      </w:pPr>
      <w:r w:rsidRPr="00F144AF">
        <w:rPr>
          <w:b/>
          <w:lang w:val="en-CA"/>
        </w:rPr>
        <w:lastRenderedPageBreak/>
        <w:t>PROJECT EVALUATION SHEET – MULTI-YEAR PROJECTS</w:t>
      </w:r>
    </w:p>
    <w:p w:rsidR="00255CDE" w:rsidRPr="00F144AF" w:rsidRDefault="00255CDE" w:rsidP="00B65047">
      <w:pPr>
        <w:jc w:val="center"/>
        <w:rPr>
          <w:lang w:val="en-CA"/>
        </w:rPr>
      </w:pPr>
    </w:p>
    <w:p w:rsidR="00DF55E4" w:rsidRPr="00F144AF" w:rsidRDefault="00DF55E4" w:rsidP="00B65047">
      <w:pPr>
        <w:spacing w:after="80"/>
        <w:jc w:val="center"/>
        <w:rPr>
          <w:b/>
          <w:lang w:val="en-CA"/>
        </w:rPr>
      </w:pPr>
      <w:r w:rsidRPr="00F144AF">
        <w:rPr>
          <w:b/>
          <w:lang w:val="en-CA"/>
        </w:rPr>
        <w:t>Congo (the)</w:t>
      </w:r>
    </w:p>
    <w:p w:rsidR="002F59B4" w:rsidRPr="00F144AF" w:rsidRDefault="002F59B4" w:rsidP="00B65047">
      <w:pPr>
        <w:spacing w:after="8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F144AF" w:rsidRPr="00F144AF" w:rsidTr="00DF55E4">
        <w:trPr>
          <w:trHeight w:val="240"/>
        </w:trPr>
        <w:tc>
          <w:tcPr>
            <w:tcW w:w="2337" w:type="dxa"/>
            <w:shd w:val="clear" w:color="auto" w:fill="auto"/>
          </w:tcPr>
          <w:p w:rsidR="00DF55E4" w:rsidRPr="00F144AF" w:rsidRDefault="00DF55E4" w:rsidP="00B65047">
            <w:pPr>
              <w:spacing w:after="80"/>
              <w:jc w:val="left"/>
              <w:rPr>
                <w:b/>
                <w:sz w:val="18"/>
                <w:lang w:val="en-CA"/>
              </w:rPr>
            </w:pPr>
            <w:r w:rsidRPr="00F144AF">
              <w:rPr>
                <w:b/>
                <w:sz w:val="18"/>
                <w:lang w:val="en-CA"/>
              </w:rPr>
              <w:t>(I) PROJECT TITLE</w:t>
            </w:r>
          </w:p>
        </w:tc>
        <w:tc>
          <w:tcPr>
            <w:tcW w:w="2337" w:type="dxa"/>
            <w:shd w:val="clear" w:color="auto" w:fill="auto"/>
          </w:tcPr>
          <w:p w:rsidR="00DF55E4" w:rsidRPr="00F144AF" w:rsidRDefault="00DF55E4" w:rsidP="00B65047">
            <w:pPr>
              <w:spacing w:after="80"/>
              <w:jc w:val="center"/>
              <w:rPr>
                <w:b/>
                <w:sz w:val="18"/>
                <w:lang w:val="en-CA"/>
              </w:rPr>
            </w:pPr>
            <w:r w:rsidRPr="00F144AF">
              <w:rPr>
                <w:b/>
                <w:sz w:val="18"/>
                <w:lang w:val="en-CA"/>
              </w:rPr>
              <w:t>AGENCY</w:t>
            </w:r>
          </w:p>
        </w:tc>
        <w:tc>
          <w:tcPr>
            <w:tcW w:w="2338" w:type="dxa"/>
            <w:shd w:val="clear" w:color="auto" w:fill="auto"/>
          </w:tcPr>
          <w:p w:rsidR="00DF55E4" w:rsidRPr="00F144AF" w:rsidRDefault="00DF55E4" w:rsidP="00B65047">
            <w:pPr>
              <w:spacing w:after="80"/>
              <w:jc w:val="center"/>
              <w:rPr>
                <w:b/>
                <w:sz w:val="18"/>
                <w:lang w:val="en-CA"/>
              </w:rPr>
            </w:pPr>
            <w:r w:rsidRPr="00F144AF">
              <w:rPr>
                <w:b/>
                <w:sz w:val="18"/>
                <w:lang w:val="en-CA"/>
              </w:rPr>
              <w:t>MEETING APPROVED</w:t>
            </w:r>
          </w:p>
        </w:tc>
        <w:tc>
          <w:tcPr>
            <w:tcW w:w="2338" w:type="dxa"/>
            <w:shd w:val="clear" w:color="auto" w:fill="auto"/>
          </w:tcPr>
          <w:p w:rsidR="00DF55E4" w:rsidRPr="00F144AF" w:rsidRDefault="00DF55E4" w:rsidP="00B65047">
            <w:pPr>
              <w:spacing w:after="80"/>
              <w:jc w:val="center"/>
              <w:rPr>
                <w:b/>
                <w:sz w:val="18"/>
                <w:lang w:val="en-CA"/>
              </w:rPr>
            </w:pPr>
            <w:r w:rsidRPr="00F144AF">
              <w:rPr>
                <w:b/>
                <w:sz w:val="18"/>
                <w:lang w:val="en-CA"/>
              </w:rPr>
              <w:t>CONTROL MEASURE</w:t>
            </w:r>
          </w:p>
        </w:tc>
      </w:tr>
      <w:tr w:rsidR="00DF55E4" w:rsidRPr="00F144AF" w:rsidTr="00DF55E4">
        <w:trPr>
          <w:trHeight w:val="240"/>
        </w:trPr>
        <w:tc>
          <w:tcPr>
            <w:tcW w:w="2337" w:type="dxa"/>
            <w:shd w:val="clear" w:color="auto" w:fill="auto"/>
          </w:tcPr>
          <w:p w:rsidR="00DF55E4" w:rsidRPr="00F144AF" w:rsidRDefault="00DF55E4" w:rsidP="00B65047">
            <w:pPr>
              <w:spacing w:after="80"/>
              <w:jc w:val="center"/>
              <w:rPr>
                <w:sz w:val="18"/>
                <w:lang w:val="en-CA"/>
              </w:rPr>
            </w:pPr>
            <w:r w:rsidRPr="00F144AF">
              <w:rPr>
                <w:sz w:val="18"/>
                <w:lang w:val="en-CA"/>
              </w:rPr>
              <w:t>HCFC phase out plan (Stage I)</w:t>
            </w:r>
          </w:p>
        </w:tc>
        <w:tc>
          <w:tcPr>
            <w:tcW w:w="2337" w:type="dxa"/>
            <w:shd w:val="clear" w:color="auto" w:fill="auto"/>
          </w:tcPr>
          <w:p w:rsidR="00DF55E4" w:rsidRPr="00F144AF" w:rsidRDefault="00DF55E4" w:rsidP="00B65047">
            <w:pPr>
              <w:spacing w:after="80"/>
              <w:jc w:val="center"/>
              <w:rPr>
                <w:sz w:val="18"/>
                <w:lang w:val="en-CA"/>
              </w:rPr>
            </w:pPr>
            <w:r w:rsidRPr="00F144AF">
              <w:rPr>
                <w:sz w:val="18"/>
                <w:lang w:val="en-CA"/>
              </w:rPr>
              <w:t>UNEP (lead), UNIDO</w:t>
            </w:r>
          </w:p>
        </w:tc>
        <w:tc>
          <w:tcPr>
            <w:tcW w:w="2338" w:type="dxa"/>
            <w:shd w:val="clear" w:color="auto" w:fill="auto"/>
          </w:tcPr>
          <w:p w:rsidR="00DF55E4" w:rsidRPr="00F144AF" w:rsidRDefault="00DF55E4" w:rsidP="00B65047">
            <w:pPr>
              <w:spacing w:after="80"/>
              <w:jc w:val="center"/>
              <w:rPr>
                <w:sz w:val="18"/>
                <w:lang w:val="en-CA"/>
              </w:rPr>
            </w:pPr>
            <w:r w:rsidRPr="00F144AF">
              <w:rPr>
                <w:sz w:val="18"/>
                <w:lang w:val="en-CA"/>
              </w:rPr>
              <w:t>63</w:t>
            </w:r>
            <w:r w:rsidRPr="00F144AF">
              <w:rPr>
                <w:sz w:val="18"/>
                <w:vertAlign w:val="superscript"/>
                <w:lang w:val="en-CA"/>
              </w:rPr>
              <w:t>rd</w:t>
            </w:r>
          </w:p>
        </w:tc>
        <w:tc>
          <w:tcPr>
            <w:tcW w:w="2338" w:type="dxa"/>
            <w:shd w:val="clear" w:color="auto" w:fill="auto"/>
          </w:tcPr>
          <w:p w:rsidR="00DF55E4" w:rsidRPr="00F144AF" w:rsidRDefault="00AE25DA" w:rsidP="00B65047">
            <w:pPr>
              <w:spacing w:after="80"/>
              <w:jc w:val="center"/>
              <w:rPr>
                <w:sz w:val="18"/>
                <w:lang w:val="en-CA"/>
              </w:rPr>
            </w:pPr>
            <w:r w:rsidRPr="00F144AF">
              <w:rPr>
                <w:sz w:val="18"/>
                <w:lang w:val="en-CA"/>
              </w:rPr>
              <w:t>35%</w:t>
            </w:r>
            <w:r w:rsidR="00DF55E4" w:rsidRPr="00F144AF">
              <w:rPr>
                <w:sz w:val="18"/>
                <w:lang w:val="en-CA"/>
              </w:rPr>
              <w:t xml:space="preserve"> by 2020</w:t>
            </w:r>
          </w:p>
        </w:tc>
      </w:tr>
    </w:tbl>
    <w:p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DF55E4" w:rsidRPr="00F144AF" w:rsidTr="00DF55E4">
        <w:trPr>
          <w:trHeight w:val="240"/>
        </w:trPr>
        <w:tc>
          <w:tcPr>
            <w:tcW w:w="5200" w:type="dxa"/>
            <w:shd w:val="clear" w:color="auto" w:fill="auto"/>
          </w:tcPr>
          <w:p w:rsidR="00DF55E4" w:rsidRPr="00F144AF" w:rsidRDefault="00DF55E4" w:rsidP="00B65047">
            <w:pPr>
              <w:spacing w:after="60"/>
              <w:jc w:val="left"/>
              <w:rPr>
                <w:b/>
                <w:sz w:val="18"/>
                <w:lang w:val="en-CA"/>
              </w:rPr>
            </w:pPr>
            <w:r w:rsidRPr="00F144AF">
              <w:rPr>
                <w:b/>
                <w:sz w:val="18"/>
                <w:lang w:val="en-CA"/>
              </w:rPr>
              <w:t>(II) LATEST ARTICLE 7 DATA (Annex C Group l)</w:t>
            </w:r>
          </w:p>
        </w:tc>
        <w:tc>
          <w:tcPr>
            <w:tcW w:w="2400" w:type="dxa"/>
            <w:shd w:val="clear" w:color="auto" w:fill="auto"/>
          </w:tcPr>
          <w:p w:rsidR="00DF55E4" w:rsidRPr="00F144AF" w:rsidRDefault="00DF55E4" w:rsidP="00B65047">
            <w:pPr>
              <w:spacing w:after="60"/>
              <w:jc w:val="center"/>
              <w:rPr>
                <w:sz w:val="18"/>
                <w:lang w:val="en-CA"/>
              </w:rPr>
            </w:pPr>
            <w:r w:rsidRPr="00F144AF">
              <w:rPr>
                <w:sz w:val="18"/>
                <w:lang w:val="en-CA"/>
              </w:rPr>
              <w:t>Year: 201</w:t>
            </w:r>
            <w:r w:rsidR="002F5121" w:rsidRPr="00F144AF">
              <w:rPr>
                <w:sz w:val="18"/>
                <w:lang w:val="en-CA"/>
              </w:rPr>
              <w:t>8</w:t>
            </w:r>
          </w:p>
        </w:tc>
        <w:tc>
          <w:tcPr>
            <w:tcW w:w="2400" w:type="dxa"/>
            <w:shd w:val="clear" w:color="auto" w:fill="auto"/>
          </w:tcPr>
          <w:p w:rsidR="00DF55E4" w:rsidRPr="00F144AF" w:rsidRDefault="002F5121" w:rsidP="00B65047">
            <w:pPr>
              <w:spacing w:after="60"/>
              <w:jc w:val="right"/>
              <w:rPr>
                <w:sz w:val="18"/>
                <w:lang w:val="en-CA"/>
              </w:rPr>
            </w:pPr>
            <w:r w:rsidRPr="00F144AF">
              <w:rPr>
                <w:sz w:val="18"/>
                <w:lang w:val="en-CA"/>
              </w:rPr>
              <w:t>7.</w:t>
            </w:r>
            <w:r w:rsidR="00B974E8" w:rsidRPr="00F144AF">
              <w:rPr>
                <w:sz w:val="18"/>
                <w:lang w:val="en-CA"/>
              </w:rPr>
              <w:t>1</w:t>
            </w:r>
            <w:r w:rsidRPr="00F144AF">
              <w:rPr>
                <w:sz w:val="18"/>
                <w:lang w:val="en-CA"/>
              </w:rPr>
              <w:t>3</w:t>
            </w:r>
            <w:r w:rsidR="00DF55E4" w:rsidRPr="00F144AF">
              <w:rPr>
                <w:sz w:val="18"/>
                <w:lang w:val="en-CA"/>
              </w:rPr>
              <w:t xml:space="preserve"> (ODP tonnes)</w:t>
            </w:r>
          </w:p>
        </w:tc>
      </w:tr>
    </w:tbl>
    <w:p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F144AF" w:rsidRPr="00F144AF" w:rsidTr="00156E93">
        <w:trPr>
          <w:trHeight w:val="240"/>
        </w:trPr>
        <w:tc>
          <w:tcPr>
            <w:tcW w:w="0" w:type="auto"/>
            <w:gridSpan w:val="8"/>
            <w:shd w:val="clear" w:color="auto" w:fill="auto"/>
          </w:tcPr>
          <w:p w:rsidR="00DF55E4" w:rsidRPr="00F144AF" w:rsidRDefault="00DF55E4" w:rsidP="00B65047">
            <w:pPr>
              <w:spacing w:after="60"/>
              <w:jc w:val="left"/>
              <w:rPr>
                <w:b/>
                <w:sz w:val="18"/>
                <w:lang w:val="en-CA"/>
              </w:rPr>
            </w:pPr>
            <w:r w:rsidRPr="00F144AF">
              <w:rPr>
                <w:b/>
                <w:sz w:val="18"/>
                <w:lang w:val="en-CA"/>
              </w:rPr>
              <w:t>(III) LATEST COUNTRY PROGRAMME SECTORAL DATA (ODP tonnes)</w:t>
            </w:r>
          </w:p>
        </w:tc>
        <w:tc>
          <w:tcPr>
            <w:tcW w:w="0" w:type="auto"/>
            <w:gridSpan w:val="2"/>
            <w:shd w:val="clear" w:color="auto" w:fill="auto"/>
          </w:tcPr>
          <w:p w:rsidR="00DF55E4" w:rsidRPr="00F144AF" w:rsidRDefault="00DF55E4" w:rsidP="00B65047">
            <w:pPr>
              <w:spacing w:after="60"/>
              <w:jc w:val="right"/>
              <w:rPr>
                <w:b/>
                <w:sz w:val="18"/>
                <w:lang w:val="en-CA"/>
              </w:rPr>
            </w:pPr>
            <w:r w:rsidRPr="00F144AF">
              <w:rPr>
                <w:b/>
                <w:sz w:val="18"/>
                <w:lang w:val="en-CA"/>
              </w:rPr>
              <w:t>Year: 201</w:t>
            </w:r>
            <w:r w:rsidR="00532BD7" w:rsidRPr="00F144AF">
              <w:rPr>
                <w:b/>
                <w:sz w:val="18"/>
                <w:lang w:val="en-CA"/>
              </w:rPr>
              <w:t>8</w:t>
            </w:r>
          </w:p>
        </w:tc>
      </w:tr>
      <w:tr w:rsidR="00F144AF" w:rsidRPr="00F144AF" w:rsidTr="00156E93">
        <w:trPr>
          <w:trHeight w:val="240"/>
        </w:trPr>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Chemical</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Aerosol</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Foam</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Fire fighting</w:t>
            </w:r>
          </w:p>
        </w:tc>
        <w:tc>
          <w:tcPr>
            <w:tcW w:w="0" w:type="auto"/>
            <w:gridSpan w:val="2"/>
            <w:shd w:val="clear" w:color="auto" w:fill="auto"/>
          </w:tcPr>
          <w:p w:rsidR="00DF55E4" w:rsidRPr="00F144AF" w:rsidRDefault="00DF55E4" w:rsidP="00B65047">
            <w:pPr>
              <w:spacing w:after="60"/>
              <w:jc w:val="center"/>
              <w:rPr>
                <w:sz w:val="18"/>
                <w:lang w:val="en-CA"/>
              </w:rPr>
            </w:pPr>
            <w:r w:rsidRPr="00F144AF">
              <w:rPr>
                <w:sz w:val="18"/>
                <w:lang w:val="en-CA"/>
              </w:rPr>
              <w:t>Refrigeration</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Solvent</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Process agent</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Lab use</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Total sector consumption</w:t>
            </w:r>
          </w:p>
        </w:tc>
      </w:tr>
      <w:tr w:rsidR="00F144AF" w:rsidRPr="00F144AF" w:rsidTr="00156E93">
        <w:trPr>
          <w:trHeight w:val="240"/>
        </w:trPr>
        <w:tc>
          <w:tcPr>
            <w:tcW w:w="0" w:type="auto"/>
            <w:gridSpan w:val="4"/>
            <w:shd w:val="clear" w:color="auto" w:fill="auto"/>
          </w:tcPr>
          <w:p w:rsidR="00DF55E4" w:rsidRPr="00F144AF" w:rsidRDefault="00DF55E4" w:rsidP="00B65047">
            <w:pPr>
              <w:spacing w:after="60"/>
              <w:jc w:val="center"/>
              <w:rPr>
                <w:sz w:val="18"/>
                <w:lang w:val="en-CA"/>
              </w:rPr>
            </w:pPr>
            <w:r w:rsidRPr="00F144AF">
              <w:rPr>
                <w:sz w:val="18"/>
                <w:lang w:val="en-CA"/>
              </w:rPr>
              <w:t xml:space="preserve"> </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Manufacturing</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Servicing</w:t>
            </w:r>
          </w:p>
        </w:tc>
        <w:tc>
          <w:tcPr>
            <w:tcW w:w="0" w:type="auto"/>
            <w:gridSpan w:val="4"/>
            <w:shd w:val="clear" w:color="auto" w:fill="auto"/>
          </w:tcPr>
          <w:p w:rsidR="00DF55E4" w:rsidRPr="00F144AF" w:rsidRDefault="00DF55E4" w:rsidP="00B65047">
            <w:pPr>
              <w:spacing w:after="60"/>
              <w:jc w:val="center"/>
              <w:rPr>
                <w:sz w:val="18"/>
                <w:lang w:val="en-CA"/>
              </w:rPr>
            </w:pPr>
          </w:p>
        </w:tc>
      </w:tr>
      <w:tr w:rsidR="00DF55E4" w:rsidRPr="00F144AF" w:rsidTr="00DF55E4">
        <w:trPr>
          <w:trHeight w:val="240"/>
        </w:trPr>
        <w:tc>
          <w:tcPr>
            <w:tcW w:w="1200" w:type="dxa"/>
            <w:shd w:val="clear" w:color="auto" w:fill="auto"/>
          </w:tcPr>
          <w:p w:rsidR="00DF55E4" w:rsidRPr="00F144AF" w:rsidRDefault="00DF55E4" w:rsidP="00B65047">
            <w:pPr>
              <w:spacing w:after="60"/>
              <w:jc w:val="left"/>
              <w:rPr>
                <w:sz w:val="18"/>
                <w:lang w:val="en-CA"/>
              </w:rPr>
            </w:pPr>
            <w:r w:rsidRPr="00F144AF">
              <w:rPr>
                <w:sz w:val="18"/>
                <w:lang w:val="en-CA"/>
              </w:rPr>
              <w:t>HCFC-22</w:t>
            </w: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r w:rsidRPr="00F144AF">
              <w:rPr>
                <w:sz w:val="18"/>
                <w:lang w:val="en-CA"/>
              </w:rPr>
              <w:t>7.</w:t>
            </w:r>
            <w:r w:rsidR="00532BD7" w:rsidRPr="00F144AF">
              <w:rPr>
                <w:sz w:val="18"/>
                <w:lang w:val="en-CA"/>
              </w:rPr>
              <w:t>13</w:t>
            </w: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p>
        </w:tc>
        <w:tc>
          <w:tcPr>
            <w:tcW w:w="0" w:type="auto"/>
            <w:shd w:val="clear" w:color="auto" w:fill="auto"/>
          </w:tcPr>
          <w:p w:rsidR="00DF55E4" w:rsidRPr="00F144AF" w:rsidRDefault="00DF55E4" w:rsidP="00B65047">
            <w:pPr>
              <w:spacing w:after="60"/>
              <w:jc w:val="right"/>
              <w:rPr>
                <w:sz w:val="18"/>
                <w:lang w:val="en-CA"/>
              </w:rPr>
            </w:pPr>
            <w:r w:rsidRPr="00F144AF">
              <w:rPr>
                <w:sz w:val="18"/>
                <w:lang w:val="en-CA"/>
              </w:rPr>
              <w:t>7.</w:t>
            </w:r>
            <w:r w:rsidR="00532BD7" w:rsidRPr="00F144AF">
              <w:rPr>
                <w:sz w:val="18"/>
                <w:lang w:val="en-CA"/>
              </w:rPr>
              <w:t>13</w:t>
            </w:r>
          </w:p>
        </w:tc>
      </w:tr>
    </w:tbl>
    <w:p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F144AF" w:rsidRPr="00F144AF" w:rsidTr="00DF55E4">
        <w:trPr>
          <w:trHeight w:val="240"/>
        </w:trPr>
        <w:tc>
          <w:tcPr>
            <w:tcW w:w="0" w:type="auto"/>
            <w:gridSpan w:val="4"/>
            <w:shd w:val="clear" w:color="auto" w:fill="auto"/>
          </w:tcPr>
          <w:p w:rsidR="00DF55E4" w:rsidRPr="00F144AF" w:rsidRDefault="00DF55E4" w:rsidP="00B65047">
            <w:pPr>
              <w:spacing w:after="60"/>
              <w:jc w:val="left"/>
              <w:rPr>
                <w:b/>
                <w:sz w:val="18"/>
                <w:lang w:val="en-CA"/>
              </w:rPr>
            </w:pPr>
            <w:r w:rsidRPr="00F144AF">
              <w:rPr>
                <w:b/>
                <w:sz w:val="18"/>
                <w:lang w:val="en-CA"/>
              </w:rPr>
              <w:t>(IV) CONSUMPTION DATA (ODP tonnes)</w:t>
            </w:r>
          </w:p>
        </w:tc>
      </w:tr>
      <w:tr w:rsidR="00F144AF" w:rsidRPr="00F144AF" w:rsidTr="00DF55E4">
        <w:trPr>
          <w:trHeight w:val="240"/>
        </w:trPr>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2009 - 2010 baseline:</w:t>
            </w:r>
          </w:p>
        </w:tc>
        <w:tc>
          <w:tcPr>
            <w:tcW w:w="0" w:type="auto"/>
            <w:shd w:val="clear" w:color="auto" w:fill="auto"/>
          </w:tcPr>
          <w:p w:rsidR="00DF55E4" w:rsidRPr="00F144AF" w:rsidRDefault="00DF55E4" w:rsidP="00B65047">
            <w:pPr>
              <w:spacing w:after="60"/>
              <w:jc w:val="right"/>
              <w:rPr>
                <w:sz w:val="18"/>
                <w:lang w:val="en-CA"/>
              </w:rPr>
            </w:pPr>
            <w:r w:rsidRPr="00F144AF">
              <w:rPr>
                <w:sz w:val="18"/>
                <w:lang w:val="en-CA"/>
              </w:rPr>
              <w:t>10.1</w:t>
            </w:r>
            <w:r w:rsidR="00AE25DA" w:rsidRPr="00F144AF">
              <w:rPr>
                <w:sz w:val="18"/>
                <w:lang w:val="en-CA"/>
              </w:rPr>
              <w:t>4</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Starting point for sustained aggregate reductions:</w:t>
            </w:r>
          </w:p>
        </w:tc>
        <w:tc>
          <w:tcPr>
            <w:tcW w:w="0" w:type="auto"/>
            <w:shd w:val="clear" w:color="auto" w:fill="auto"/>
          </w:tcPr>
          <w:p w:rsidR="00DF55E4" w:rsidRPr="00F144AF" w:rsidRDefault="00DF55E4" w:rsidP="00B65047">
            <w:pPr>
              <w:spacing w:after="60"/>
              <w:jc w:val="right"/>
              <w:rPr>
                <w:sz w:val="18"/>
                <w:lang w:val="en-CA"/>
              </w:rPr>
            </w:pPr>
            <w:r w:rsidRPr="00F144AF">
              <w:rPr>
                <w:sz w:val="18"/>
                <w:lang w:val="en-CA"/>
              </w:rPr>
              <w:t>10.1</w:t>
            </w:r>
            <w:r w:rsidR="00AE25DA" w:rsidRPr="00F144AF">
              <w:rPr>
                <w:sz w:val="18"/>
                <w:lang w:val="en-CA"/>
              </w:rPr>
              <w:t>4</w:t>
            </w:r>
          </w:p>
        </w:tc>
      </w:tr>
      <w:tr w:rsidR="00F144AF" w:rsidRPr="00F144AF" w:rsidTr="00156E93">
        <w:trPr>
          <w:trHeight w:val="240"/>
        </w:trPr>
        <w:tc>
          <w:tcPr>
            <w:tcW w:w="0" w:type="auto"/>
            <w:gridSpan w:val="4"/>
            <w:shd w:val="clear" w:color="auto" w:fill="auto"/>
          </w:tcPr>
          <w:p w:rsidR="00DF55E4" w:rsidRPr="00F144AF" w:rsidRDefault="00DF55E4" w:rsidP="00B65047">
            <w:pPr>
              <w:spacing w:after="60"/>
              <w:jc w:val="center"/>
              <w:rPr>
                <w:b/>
                <w:sz w:val="18"/>
                <w:lang w:val="en-CA"/>
              </w:rPr>
            </w:pPr>
            <w:r w:rsidRPr="00F144AF">
              <w:rPr>
                <w:b/>
                <w:sz w:val="18"/>
                <w:lang w:val="en-CA"/>
              </w:rPr>
              <w:t>CONSUMPTION ELIGIBLE FOR FUNDING (ODP tonnes)</w:t>
            </w:r>
          </w:p>
        </w:tc>
      </w:tr>
      <w:tr w:rsidR="00DF55E4" w:rsidRPr="00F144AF" w:rsidTr="00DF55E4">
        <w:trPr>
          <w:trHeight w:val="240"/>
        </w:trPr>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Already approved:</w:t>
            </w:r>
          </w:p>
        </w:tc>
        <w:tc>
          <w:tcPr>
            <w:tcW w:w="0" w:type="auto"/>
            <w:shd w:val="clear" w:color="auto" w:fill="auto"/>
          </w:tcPr>
          <w:p w:rsidR="00DF55E4" w:rsidRPr="00F144AF" w:rsidRDefault="00AE25DA" w:rsidP="00B65047">
            <w:pPr>
              <w:spacing w:after="60"/>
              <w:jc w:val="right"/>
              <w:rPr>
                <w:sz w:val="18"/>
                <w:lang w:val="en-CA"/>
              </w:rPr>
            </w:pPr>
            <w:r w:rsidRPr="00F144AF">
              <w:rPr>
                <w:sz w:val="18"/>
                <w:lang w:val="en-CA"/>
              </w:rPr>
              <w:t>3.55</w:t>
            </w:r>
          </w:p>
        </w:tc>
        <w:tc>
          <w:tcPr>
            <w:tcW w:w="0" w:type="auto"/>
            <w:shd w:val="clear" w:color="auto" w:fill="auto"/>
          </w:tcPr>
          <w:p w:rsidR="00DF55E4" w:rsidRPr="00F144AF" w:rsidRDefault="00DF55E4" w:rsidP="00B65047">
            <w:pPr>
              <w:spacing w:after="60"/>
              <w:jc w:val="center"/>
              <w:rPr>
                <w:sz w:val="18"/>
                <w:lang w:val="en-CA"/>
              </w:rPr>
            </w:pPr>
            <w:r w:rsidRPr="00F144AF">
              <w:rPr>
                <w:sz w:val="18"/>
                <w:lang w:val="en-CA"/>
              </w:rPr>
              <w:t>Remaining:</w:t>
            </w:r>
          </w:p>
        </w:tc>
        <w:tc>
          <w:tcPr>
            <w:tcW w:w="0" w:type="auto"/>
            <w:shd w:val="clear" w:color="auto" w:fill="auto"/>
          </w:tcPr>
          <w:p w:rsidR="00DF55E4" w:rsidRPr="00F144AF" w:rsidRDefault="00AE25DA" w:rsidP="00B65047">
            <w:pPr>
              <w:spacing w:after="60"/>
              <w:jc w:val="right"/>
              <w:rPr>
                <w:sz w:val="18"/>
                <w:lang w:val="en-CA"/>
              </w:rPr>
            </w:pPr>
            <w:r w:rsidRPr="00F144AF">
              <w:rPr>
                <w:sz w:val="18"/>
                <w:lang w:val="en-CA"/>
              </w:rPr>
              <w:t>6.59</w:t>
            </w:r>
          </w:p>
        </w:tc>
      </w:tr>
    </w:tbl>
    <w:p w:rsidR="00DF55E4" w:rsidRPr="00F144AF" w:rsidRDefault="00DF55E4" w:rsidP="00B65047">
      <w:pPr>
        <w:spacing w:after="60"/>
        <w:jc w:val="center"/>
        <w:rPr>
          <w:lang w:val="en-CA"/>
        </w:rPr>
      </w:pPr>
    </w:p>
    <w:tbl>
      <w:tblPr>
        <w:tblStyle w:val="TableGrid"/>
        <w:tblW w:w="1002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23"/>
        <w:gridCol w:w="4282"/>
        <w:gridCol w:w="1673"/>
        <w:gridCol w:w="1673"/>
        <w:gridCol w:w="1673"/>
      </w:tblGrid>
      <w:tr w:rsidR="00F144AF" w:rsidRPr="00F144AF" w:rsidTr="00AE25DA">
        <w:trPr>
          <w:trHeight w:val="219"/>
        </w:trPr>
        <w:tc>
          <w:tcPr>
            <w:tcW w:w="5005" w:type="dxa"/>
            <w:gridSpan w:val="2"/>
            <w:shd w:val="clear" w:color="auto" w:fill="auto"/>
          </w:tcPr>
          <w:p w:rsidR="00AE25DA" w:rsidRPr="00F144AF" w:rsidRDefault="00AE25DA" w:rsidP="00B65047">
            <w:pPr>
              <w:spacing w:after="60"/>
              <w:jc w:val="left"/>
              <w:rPr>
                <w:b/>
                <w:sz w:val="18"/>
                <w:lang w:val="en-CA"/>
              </w:rPr>
            </w:pPr>
            <w:r w:rsidRPr="00F144AF">
              <w:rPr>
                <w:b/>
                <w:sz w:val="18"/>
                <w:lang w:val="en-CA"/>
              </w:rPr>
              <w:t>(V) BUSINESS PLAN</w:t>
            </w:r>
          </w:p>
        </w:tc>
        <w:tc>
          <w:tcPr>
            <w:tcW w:w="1673" w:type="dxa"/>
            <w:shd w:val="clear" w:color="auto" w:fill="auto"/>
          </w:tcPr>
          <w:p w:rsidR="00AE25DA" w:rsidRPr="00F144AF" w:rsidRDefault="00AE25DA" w:rsidP="00B65047">
            <w:pPr>
              <w:spacing w:after="60"/>
              <w:jc w:val="center"/>
              <w:rPr>
                <w:b/>
                <w:sz w:val="18"/>
                <w:lang w:val="en-CA"/>
              </w:rPr>
            </w:pPr>
            <w:r w:rsidRPr="00F144AF">
              <w:rPr>
                <w:b/>
                <w:sz w:val="18"/>
                <w:lang w:val="en-CA"/>
              </w:rPr>
              <w:t>2019</w:t>
            </w:r>
          </w:p>
        </w:tc>
        <w:tc>
          <w:tcPr>
            <w:tcW w:w="1673" w:type="dxa"/>
            <w:shd w:val="clear" w:color="auto" w:fill="auto"/>
          </w:tcPr>
          <w:p w:rsidR="00AE25DA" w:rsidRPr="00F144AF" w:rsidRDefault="00AE25DA" w:rsidP="00B65047">
            <w:pPr>
              <w:spacing w:after="60"/>
              <w:jc w:val="center"/>
              <w:rPr>
                <w:b/>
                <w:sz w:val="18"/>
                <w:lang w:val="en-CA"/>
              </w:rPr>
            </w:pPr>
            <w:r w:rsidRPr="00F144AF">
              <w:rPr>
                <w:b/>
                <w:sz w:val="18"/>
                <w:lang w:val="en-CA"/>
              </w:rPr>
              <w:t>2020</w:t>
            </w:r>
          </w:p>
        </w:tc>
        <w:tc>
          <w:tcPr>
            <w:tcW w:w="1673" w:type="dxa"/>
            <w:shd w:val="clear" w:color="auto" w:fill="auto"/>
          </w:tcPr>
          <w:p w:rsidR="00AE25DA" w:rsidRPr="00F144AF" w:rsidRDefault="00AE25DA" w:rsidP="00B65047">
            <w:pPr>
              <w:spacing w:after="60"/>
              <w:jc w:val="center"/>
              <w:rPr>
                <w:b/>
                <w:sz w:val="18"/>
                <w:lang w:val="en-CA"/>
              </w:rPr>
            </w:pPr>
            <w:r w:rsidRPr="00F144AF">
              <w:rPr>
                <w:b/>
                <w:sz w:val="18"/>
                <w:lang w:val="en-CA"/>
              </w:rPr>
              <w:t>Total</w:t>
            </w:r>
          </w:p>
        </w:tc>
      </w:tr>
      <w:tr w:rsidR="00F144AF" w:rsidRPr="00F144AF" w:rsidTr="00AE25DA">
        <w:trPr>
          <w:trHeight w:val="219"/>
        </w:trPr>
        <w:tc>
          <w:tcPr>
            <w:tcW w:w="0" w:type="auto"/>
            <w:vMerge w:val="restart"/>
            <w:shd w:val="clear" w:color="auto" w:fill="auto"/>
          </w:tcPr>
          <w:p w:rsidR="00AE25DA" w:rsidRPr="00F144AF" w:rsidRDefault="00AE25DA" w:rsidP="00B65047">
            <w:pPr>
              <w:spacing w:after="60"/>
              <w:jc w:val="center"/>
              <w:rPr>
                <w:sz w:val="18"/>
                <w:lang w:val="en-CA"/>
              </w:rPr>
            </w:pPr>
            <w:r w:rsidRPr="00F144AF">
              <w:rPr>
                <w:sz w:val="18"/>
                <w:lang w:val="en-CA"/>
              </w:rPr>
              <w:t>UNEP</w:t>
            </w:r>
          </w:p>
        </w:tc>
        <w:tc>
          <w:tcPr>
            <w:tcW w:w="4066" w:type="dxa"/>
            <w:shd w:val="clear" w:color="auto" w:fill="auto"/>
          </w:tcPr>
          <w:p w:rsidR="00AE25DA" w:rsidRPr="00F144AF" w:rsidRDefault="00AE25DA" w:rsidP="00B65047">
            <w:pPr>
              <w:spacing w:after="60"/>
              <w:jc w:val="left"/>
              <w:rPr>
                <w:sz w:val="18"/>
                <w:lang w:val="en-CA"/>
              </w:rPr>
            </w:pPr>
            <w:r w:rsidRPr="00F144AF">
              <w:rPr>
                <w:sz w:val="18"/>
                <w:lang w:val="en-CA"/>
              </w:rPr>
              <w:t>ODS phase-out (ODP tonnes)</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0.25</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0.36</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0.61</w:t>
            </w:r>
          </w:p>
        </w:tc>
      </w:tr>
      <w:tr w:rsidR="00AE25DA" w:rsidRPr="00F144AF" w:rsidTr="00AE25DA">
        <w:trPr>
          <w:trHeight w:val="219"/>
        </w:trPr>
        <w:tc>
          <w:tcPr>
            <w:tcW w:w="0" w:type="auto"/>
            <w:vMerge/>
            <w:shd w:val="clear" w:color="auto" w:fill="auto"/>
          </w:tcPr>
          <w:p w:rsidR="00AE25DA" w:rsidRPr="00F144AF" w:rsidRDefault="00AE25DA" w:rsidP="00B65047">
            <w:pPr>
              <w:spacing w:after="60"/>
              <w:jc w:val="center"/>
              <w:rPr>
                <w:sz w:val="18"/>
                <w:lang w:val="en-CA"/>
              </w:rPr>
            </w:pPr>
          </w:p>
        </w:tc>
        <w:tc>
          <w:tcPr>
            <w:tcW w:w="4066" w:type="dxa"/>
            <w:shd w:val="clear" w:color="auto" w:fill="auto"/>
          </w:tcPr>
          <w:p w:rsidR="00AE25DA" w:rsidRPr="00F144AF" w:rsidRDefault="00AE25DA" w:rsidP="00B65047">
            <w:pPr>
              <w:spacing w:after="60"/>
              <w:jc w:val="left"/>
              <w:rPr>
                <w:sz w:val="18"/>
                <w:lang w:val="en-CA"/>
              </w:rPr>
            </w:pPr>
            <w:r w:rsidRPr="00F144AF">
              <w:rPr>
                <w:sz w:val="18"/>
                <w:lang w:val="en-CA"/>
              </w:rPr>
              <w:t>Funding (US $)</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28,250</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39,550</w:t>
            </w:r>
          </w:p>
        </w:tc>
        <w:tc>
          <w:tcPr>
            <w:tcW w:w="1673" w:type="dxa"/>
            <w:shd w:val="clear" w:color="auto" w:fill="auto"/>
          </w:tcPr>
          <w:p w:rsidR="00AE25DA" w:rsidRPr="00F144AF" w:rsidRDefault="00AE25DA" w:rsidP="00B65047">
            <w:pPr>
              <w:spacing w:after="60"/>
              <w:jc w:val="right"/>
              <w:rPr>
                <w:sz w:val="18"/>
                <w:lang w:val="en-CA"/>
              </w:rPr>
            </w:pPr>
            <w:r w:rsidRPr="00F144AF">
              <w:rPr>
                <w:sz w:val="18"/>
                <w:lang w:val="en-CA"/>
              </w:rPr>
              <w:t>67,800</w:t>
            </w:r>
          </w:p>
        </w:tc>
      </w:tr>
    </w:tbl>
    <w:p w:rsidR="00DF55E4" w:rsidRPr="00F144AF" w:rsidRDefault="00DF55E4" w:rsidP="00B65047">
      <w:pPr>
        <w:spacing w:after="60"/>
        <w:jc w:val="center"/>
        <w:rPr>
          <w:lang w:val="en-CA"/>
        </w:rPr>
      </w:pPr>
    </w:p>
    <w:tbl>
      <w:tblPr>
        <w:tblStyle w:val="TableGrid"/>
        <w:tblW w:w="100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85"/>
        <w:gridCol w:w="796"/>
        <w:gridCol w:w="1144"/>
        <w:gridCol w:w="801"/>
        <w:gridCol w:w="711"/>
        <w:gridCol w:w="621"/>
        <w:gridCol w:w="866"/>
        <w:gridCol w:w="801"/>
        <w:gridCol w:w="576"/>
        <w:gridCol w:w="711"/>
        <w:gridCol w:w="711"/>
        <w:gridCol w:w="711"/>
        <w:gridCol w:w="801"/>
      </w:tblGrid>
      <w:tr w:rsidR="00F144AF" w:rsidRPr="00F144AF" w:rsidTr="00CE2A27">
        <w:trPr>
          <w:trHeight w:val="258"/>
        </w:trPr>
        <w:tc>
          <w:tcPr>
            <w:tcW w:w="2725" w:type="dxa"/>
            <w:gridSpan w:val="3"/>
            <w:shd w:val="clear" w:color="auto" w:fill="auto"/>
          </w:tcPr>
          <w:p w:rsidR="002F59B4" w:rsidRPr="00F144AF" w:rsidRDefault="002F59B4" w:rsidP="00B65047">
            <w:pPr>
              <w:spacing w:after="60"/>
              <w:jc w:val="left"/>
              <w:rPr>
                <w:b/>
                <w:sz w:val="18"/>
                <w:lang w:val="en-CA"/>
              </w:rPr>
            </w:pPr>
            <w:r w:rsidRPr="00F144AF">
              <w:rPr>
                <w:b/>
                <w:sz w:val="18"/>
                <w:lang w:val="en-CA"/>
              </w:rPr>
              <w:t>(VI) PROJECT DATA</w:t>
            </w:r>
          </w:p>
        </w:tc>
        <w:tc>
          <w:tcPr>
            <w:tcW w:w="801" w:type="dxa"/>
          </w:tcPr>
          <w:p w:rsidR="002F59B4" w:rsidRPr="00F144AF" w:rsidRDefault="002F59B4" w:rsidP="00B65047">
            <w:pPr>
              <w:spacing w:after="60"/>
              <w:jc w:val="center"/>
              <w:rPr>
                <w:b/>
                <w:sz w:val="18"/>
                <w:lang w:val="en-CA"/>
              </w:rPr>
            </w:pPr>
            <w:r w:rsidRPr="00F144AF">
              <w:rPr>
                <w:b/>
                <w:sz w:val="18"/>
                <w:lang w:val="en-CA"/>
              </w:rPr>
              <w:t>2011</w:t>
            </w:r>
          </w:p>
        </w:tc>
        <w:tc>
          <w:tcPr>
            <w:tcW w:w="711" w:type="dxa"/>
            <w:shd w:val="clear" w:color="auto" w:fill="auto"/>
          </w:tcPr>
          <w:p w:rsidR="002F59B4" w:rsidRPr="00F144AF" w:rsidRDefault="002F59B4" w:rsidP="00B65047">
            <w:pPr>
              <w:spacing w:after="60"/>
              <w:jc w:val="center"/>
              <w:rPr>
                <w:b/>
                <w:sz w:val="18"/>
                <w:lang w:val="en-CA"/>
              </w:rPr>
            </w:pPr>
            <w:r w:rsidRPr="00F144AF">
              <w:rPr>
                <w:b/>
                <w:sz w:val="18"/>
                <w:lang w:val="en-CA"/>
              </w:rPr>
              <w:t>2013</w:t>
            </w:r>
          </w:p>
        </w:tc>
        <w:tc>
          <w:tcPr>
            <w:tcW w:w="621" w:type="dxa"/>
            <w:shd w:val="clear" w:color="auto" w:fill="auto"/>
          </w:tcPr>
          <w:p w:rsidR="002F59B4" w:rsidRPr="00F144AF" w:rsidRDefault="002F59B4" w:rsidP="00B65047">
            <w:pPr>
              <w:spacing w:after="60"/>
              <w:jc w:val="center"/>
              <w:rPr>
                <w:b/>
                <w:sz w:val="18"/>
                <w:lang w:val="en-CA"/>
              </w:rPr>
            </w:pPr>
            <w:r w:rsidRPr="00F144AF">
              <w:rPr>
                <w:b/>
                <w:sz w:val="18"/>
                <w:lang w:val="en-CA"/>
              </w:rPr>
              <w:t>2014</w:t>
            </w:r>
          </w:p>
        </w:tc>
        <w:tc>
          <w:tcPr>
            <w:tcW w:w="866" w:type="dxa"/>
            <w:shd w:val="clear" w:color="auto" w:fill="auto"/>
          </w:tcPr>
          <w:p w:rsidR="002F59B4" w:rsidRPr="00F144AF" w:rsidRDefault="002F59B4" w:rsidP="00B65047">
            <w:pPr>
              <w:spacing w:after="60"/>
              <w:jc w:val="center"/>
              <w:rPr>
                <w:b/>
                <w:sz w:val="18"/>
                <w:lang w:val="en-CA"/>
              </w:rPr>
            </w:pPr>
            <w:r w:rsidRPr="00F144AF">
              <w:rPr>
                <w:b/>
                <w:sz w:val="18"/>
                <w:lang w:val="en-CA"/>
              </w:rPr>
              <w:t>2015</w:t>
            </w:r>
          </w:p>
        </w:tc>
        <w:tc>
          <w:tcPr>
            <w:tcW w:w="0" w:type="auto"/>
            <w:shd w:val="clear" w:color="auto" w:fill="auto"/>
          </w:tcPr>
          <w:p w:rsidR="002F59B4" w:rsidRPr="00F144AF" w:rsidRDefault="002F59B4" w:rsidP="00B65047">
            <w:pPr>
              <w:spacing w:after="60"/>
              <w:jc w:val="center"/>
              <w:rPr>
                <w:b/>
                <w:sz w:val="18"/>
                <w:lang w:val="en-CA"/>
              </w:rPr>
            </w:pPr>
            <w:r w:rsidRPr="00F144AF">
              <w:rPr>
                <w:b/>
                <w:sz w:val="18"/>
                <w:lang w:val="en-CA"/>
              </w:rPr>
              <w:t>2016</w:t>
            </w:r>
          </w:p>
        </w:tc>
        <w:tc>
          <w:tcPr>
            <w:tcW w:w="0" w:type="auto"/>
            <w:shd w:val="clear" w:color="auto" w:fill="auto"/>
          </w:tcPr>
          <w:p w:rsidR="002F59B4" w:rsidRPr="00F144AF" w:rsidRDefault="002F59B4" w:rsidP="00B65047">
            <w:pPr>
              <w:spacing w:after="60"/>
              <w:jc w:val="center"/>
              <w:rPr>
                <w:b/>
                <w:sz w:val="18"/>
                <w:lang w:val="en-CA"/>
              </w:rPr>
            </w:pPr>
            <w:r w:rsidRPr="00F144AF">
              <w:rPr>
                <w:b/>
                <w:sz w:val="18"/>
                <w:lang w:val="en-CA"/>
              </w:rPr>
              <w:t>2017</w:t>
            </w:r>
          </w:p>
        </w:tc>
        <w:tc>
          <w:tcPr>
            <w:tcW w:w="0" w:type="auto"/>
            <w:shd w:val="clear" w:color="auto" w:fill="auto"/>
          </w:tcPr>
          <w:p w:rsidR="002F59B4" w:rsidRPr="00F144AF" w:rsidRDefault="002F59B4" w:rsidP="00B65047">
            <w:pPr>
              <w:spacing w:after="60"/>
              <w:jc w:val="center"/>
              <w:rPr>
                <w:b/>
                <w:sz w:val="18"/>
                <w:lang w:val="en-CA"/>
              </w:rPr>
            </w:pPr>
            <w:r w:rsidRPr="00F144AF">
              <w:rPr>
                <w:b/>
                <w:sz w:val="18"/>
                <w:lang w:val="en-CA"/>
              </w:rPr>
              <w:t>2018</w:t>
            </w:r>
          </w:p>
        </w:tc>
        <w:tc>
          <w:tcPr>
            <w:tcW w:w="711" w:type="dxa"/>
            <w:shd w:val="clear" w:color="auto" w:fill="auto"/>
          </w:tcPr>
          <w:p w:rsidR="002F59B4" w:rsidRPr="00F144AF" w:rsidRDefault="002F59B4" w:rsidP="00B65047">
            <w:pPr>
              <w:spacing w:after="60"/>
              <w:jc w:val="center"/>
              <w:rPr>
                <w:b/>
                <w:sz w:val="18"/>
                <w:lang w:val="en-CA"/>
              </w:rPr>
            </w:pPr>
            <w:r w:rsidRPr="00F144AF">
              <w:rPr>
                <w:b/>
                <w:sz w:val="18"/>
                <w:lang w:val="en-CA"/>
              </w:rPr>
              <w:t>2019</w:t>
            </w:r>
            <w:r w:rsidR="00E54486" w:rsidRPr="00F144AF">
              <w:rPr>
                <w:b/>
                <w:sz w:val="18"/>
                <w:lang w:val="en-CA"/>
              </w:rPr>
              <w:t>*</w:t>
            </w:r>
          </w:p>
        </w:tc>
        <w:tc>
          <w:tcPr>
            <w:tcW w:w="711" w:type="dxa"/>
            <w:shd w:val="clear" w:color="auto" w:fill="auto"/>
          </w:tcPr>
          <w:p w:rsidR="002F59B4" w:rsidRPr="00F144AF" w:rsidRDefault="002F59B4" w:rsidP="00B65047">
            <w:pPr>
              <w:spacing w:after="60"/>
              <w:jc w:val="center"/>
              <w:rPr>
                <w:b/>
                <w:sz w:val="18"/>
                <w:lang w:val="en-CA"/>
              </w:rPr>
            </w:pPr>
            <w:r w:rsidRPr="00F144AF">
              <w:rPr>
                <w:b/>
                <w:sz w:val="18"/>
                <w:lang w:val="en-CA"/>
              </w:rPr>
              <w:t>2020</w:t>
            </w:r>
          </w:p>
        </w:tc>
        <w:tc>
          <w:tcPr>
            <w:tcW w:w="0" w:type="auto"/>
            <w:shd w:val="clear" w:color="auto" w:fill="auto"/>
          </w:tcPr>
          <w:p w:rsidR="002F59B4" w:rsidRPr="00F144AF" w:rsidRDefault="002F59B4" w:rsidP="00B65047">
            <w:pPr>
              <w:spacing w:after="60"/>
              <w:jc w:val="center"/>
              <w:rPr>
                <w:b/>
                <w:sz w:val="18"/>
                <w:lang w:val="en-CA"/>
              </w:rPr>
            </w:pPr>
            <w:r w:rsidRPr="00F144AF">
              <w:rPr>
                <w:b/>
                <w:sz w:val="18"/>
                <w:lang w:val="en-CA"/>
              </w:rPr>
              <w:t>Total</w:t>
            </w:r>
          </w:p>
        </w:tc>
      </w:tr>
      <w:tr w:rsidR="00F144AF" w:rsidRPr="00F144AF" w:rsidTr="00CE2A27">
        <w:trPr>
          <w:trHeight w:val="258"/>
        </w:trPr>
        <w:tc>
          <w:tcPr>
            <w:tcW w:w="2725" w:type="dxa"/>
            <w:gridSpan w:val="3"/>
            <w:shd w:val="clear" w:color="auto" w:fill="auto"/>
          </w:tcPr>
          <w:p w:rsidR="002F59B4" w:rsidRPr="00F144AF" w:rsidRDefault="002F59B4" w:rsidP="00B65047">
            <w:pPr>
              <w:spacing w:after="60"/>
              <w:jc w:val="left"/>
              <w:rPr>
                <w:sz w:val="18"/>
                <w:lang w:val="en-CA"/>
              </w:rPr>
            </w:pPr>
            <w:r w:rsidRPr="00F144AF">
              <w:rPr>
                <w:sz w:val="18"/>
                <w:lang w:val="en-CA"/>
              </w:rPr>
              <w:t>Montreal Protocol consumption limits</w:t>
            </w:r>
          </w:p>
        </w:tc>
        <w:tc>
          <w:tcPr>
            <w:tcW w:w="801" w:type="dxa"/>
          </w:tcPr>
          <w:p w:rsidR="002F59B4" w:rsidRPr="00F144AF" w:rsidRDefault="002F59B4" w:rsidP="00B65047">
            <w:pPr>
              <w:spacing w:after="60"/>
              <w:jc w:val="right"/>
              <w:rPr>
                <w:sz w:val="18"/>
                <w:lang w:val="en-CA"/>
              </w:rPr>
            </w:pPr>
            <w:r w:rsidRPr="00F144AF">
              <w:rPr>
                <w:sz w:val="18"/>
                <w:lang w:val="en-CA"/>
              </w:rPr>
              <w:t>n/a</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10.1</w:t>
            </w:r>
            <w:r w:rsidR="00397D0B" w:rsidRPr="00F144AF">
              <w:rPr>
                <w:sz w:val="18"/>
                <w:lang w:val="en-CA"/>
              </w:rPr>
              <w:t>4</w:t>
            </w:r>
          </w:p>
        </w:tc>
        <w:tc>
          <w:tcPr>
            <w:tcW w:w="621" w:type="dxa"/>
            <w:shd w:val="clear" w:color="auto" w:fill="auto"/>
          </w:tcPr>
          <w:p w:rsidR="002F59B4" w:rsidRPr="00F144AF" w:rsidRDefault="002F59B4" w:rsidP="00B65047">
            <w:pPr>
              <w:spacing w:after="60"/>
              <w:jc w:val="right"/>
              <w:rPr>
                <w:sz w:val="18"/>
                <w:lang w:val="en-CA"/>
              </w:rPr>
            </w:pPr>
            <w:r w:rsidRPr="00F144AF">
              <w:rPr>
                <w:sz w:val="18"/>
                <w:lang w:val="en-CA"/>
              </w:rPr>
              <w:t>10.1</w:t>
            </w:r>
            <w:r w:rsidR="00397D0B" w:rsidRPr="00F144AF">
              <w:rPr>
                <w:sz w:val="18"/>
                <w:lang w:val="en-CA"/>
              </w:rPr>
              <w:t>4</w:t>
            </w:r>
          </w:p>
        </w:tc>
        <w:tc>
          <w:tcPr>
            <w:tcW w:w="866" w:type="dxa"/>
            <w:shd w:val="clear" w:color="auto" w:fill="auto"/>
          </w:tcPr>
          <w:p w:rsidR="002F59B4" w:rsidRPr="00F144AF" w:rsidRDefault="002F59B4" w:rsidP="00B65047">
            <w:pPr>
              <w:spacing w:after="60"/>
              <w:jc w:val="right"/>
              <w:rPr>
                <w:sz w:val="18"/>
                <w:lang w:val="en-CA"/>
              </w:rPr>
            </w:pPr>
            <w:r w:rsidRPr="00F144AF">
              <w:rPr>
                <w:sz w:val="18"/>
                <w:lang w:val="en-CA"/>
              </w:rPr>
              <w:t>9.1</w:t>
            </w:r>
            <w:r w:rsidR="00397D0B" w:rsidRPr="00F144AF">
              <w:rPr>
                <w:sz w:val="18"/>
                <w:lang w:val="en-CA"/>
              </w:rPr>
              <w:t>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w:t>
            </w:r>
            <w:r w:rsidR="00397D0B" w:rsidRPr="00F144AF">
              <w:rPr>
                <w:sz w:val="18"/>
                <w:lang w:val="en-CA"/>
              </w:rPr>
              <w:t>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w:t>
            </w:r>
            <w:r w:rsidR="00397D0B" w:rsidRPr="00F144AF">
              <w:rPr>
                <w:sz w:val="18"/>
                <w:lang w:val="en-CA"/>
              </w:rPr>
              <w:t>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w:t>
            </w:r>
            <w:r w:rsidR="00397D0B" w:rsidRPr="00F144AF">
              <w:rPr>
                <w:sz w:val="18"/>
                <w:lang w:val="en-CA"/>
              </w:rPr>
              <w:t>3</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9.1</w:t>
            </w:r>
            <w:r w:rsidR="00397D0B" w:rsidRPr="00F144AF">
              <w:rPr>
                <w:sz w:val="18"/>
                <w:lang w:val="en-CA"/>
              </w:rPr>
              <w:t>3</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6.</w:t>
            </w:r>
            <w:r w:rsidR="00397D0B" w:rsidRPr="00F144AF">
              <w:rPr>
                <w:sz w:val="18"/>
                <w:lang w:val="en-CA"/>
              </w:rPr>
              <w:t>59</w:t>
            </w:r>
          </w:p>
        </w:tc>
        <w:tc>
          <w:tcPr>
            <w:tcW w:w="0" w:type="auto"/>
            <w:shd w:val="clear" w:color="auto" w:fill="auto"/>
          </w:tcPr>
          <w:p w:rsidR="002F59B4" w:rsidRPr="00F144AF" w:rsidRDefault="002F59B4" w:rsidP="00B65047">
            <w:pPr>
              <w:spacing w:after="60"/>
              <w:jc w:val="center"/>
              <w:rPr>
                <w:sz w:val="18"/>
                <w:lang w:val="en-CA"/>
              </w:rPr>
            </w:pPr>
            <w:r w:rsidRPr="00F144AF">
              <w:rPr>
                <w:sz w:val="18"/>
                <w:lang w:val="en-CA"/>
              </w:rPr>
              <w:t>n/a</w:t>
            </w:r>
          </w:p>
        </w:tc>
      </w:tr>
      <w:tr w:rsidR="00F144AF" w:rsidRPr="00F144AF" w:rsidTr="00CE2A27">
        <w:trPr>
          <w:trHeight w:val="463"/>
        </w:trPr>
        <w:tc>
          <w:tcPr>
            <w:tcW w:w="2725" w:type="dxa"/>
            <w:gridSpan w:val="3"/>
            <w:shd w:val="clear" w:color="auto" w:fill="auto"/>
          </w:tcPr>
          <w:p w:rsidR="002F59B4" w:rsidRPr="00F144AF" w:rsidRDefault="002F59B4" w:rsidP="00B65047">
            <w:pPr>
              <w:spacing w:after="60"/>
              <w:jc w:val="left"/>
              <w:rPr>
                <w:sz w:val="18"/>
                <w:lang w:val="en-CA"/>
              </w:rPr>
            </w:pPr>
            <w:r w:rsidRPr="00F144AF">
              <w:rPr>
                <w:sz w:val="18"/>
                <w:lang w:val="en-CA"/>
              </w:rPr>
              <w:t>Maximum allowable consumption (ODP tonnes)</w:t>
            </w:r>
          </w:p>
        </w:tc>
        <w:tc>
          <w:tcPr>
            <w:tcW w:w="801" w:type="dxa"/>
          </w:tcPr>
          <w:p w:rsidR="002F59B4" w:rsidRPr="00F144AF" w:rsidRDefault="002F59B4" w:rsidP="00B65047">
            <w:pPr>
              <w:spacing w:after="60"/>
              <w:jc w:val="right"/>
              <w:rPr>
                <w:sz w:val="18"/>
                <w:lang w:val="en-CA"/>
              </w:rPr>
            </w:pPr>
            <w:r w:rsidRPr="00F144AF">
              <w:rPr>
                <w:sz w:val="18"/>
                <w:lang w:val="en-CA"/>
              </w:rPr>
              <w:t>n/a</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10.14</w:t>
            </w:r>
          </w:p>
        </w:tc>
        <w:tc>
          <w:tcPr>
            <w:tcW w:w="621" w:type="dxa"/>
            <w:shd w:val="clear" w:color="auto" w:fill="auto"/>
          </w:tcPr>
          <w:p w:rsidR="002F59B4" w:rsidRPr="00F144AF" w:rsidRDefault="002F59B4" w:rsidP="00B65047">
            <w:pPr>
              <w:spacing w:after="60"/>
              <w:jc w:val="right"/>
              <w:rPr>
                <w:sz w:val="18"/>
                <w:lang w:val="en-CA"/>
              </w:rPr>
            </w:pPr>
            <w:r w:rsidRPr="00F144AF">
              <w:rPr>
                <w:sz w:val="18"/>
                <w:lang w:val="en-CA"/>
              </w:rPr>
              <w:t>10.14</w:t>
            </w:r>
          </w:p>
        </w:tc>
        <w:tc>
          <w:tcPr>
            <w:tcW w:w="866" w:type="dxa"/>
            <w:shd w:val="clear" w:color="auto" w:fill="auto"/>
          </w:tcPr>
          <w:p w:rsidR="002F59B4" w:rsidRPr="00F144AF" w:rsidRDefault="002F59B4" w:rsidP="00B65047">
            <w:pPr>
              <w:spacing w:after="60"/>
              <w:jc w:val="right"/>
              <w:rPr>
                <w:sz w:val="18"/>
                <w:lang w:val="en-CA"/>
              </w:rPr>
            </w:pPr>
            <w:r w:rsidRPr="00F144AF">
              <w:rPr>
                <w:sz w:val="18"/>
                <w:lang w:val="en-CA"/>
              </w:rPr>
              <w:t>9.13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9.13</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9.13</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9.13</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6.59</w:t>
            </w:r>
          </w:p>
        </w:tc>
        <w:tc>
          <w:tcPr>
            <w:tcW w:w="0" w:type="auto"/>
            <w:shd w:val="clear" w:color="auto" w:fill="auto"/>
          </w:tcPr>
          <w:p w:rsidR="002F59B4" w:rsidRPr="00F144AF" w:rsidRDefault="002F59B4" w:rsidP="00B65047">
            <w:pPr>
              <w:spacing w:after="60"/>
              <w:jc w:val="center"/>
              <w:rPr>
                <w:sz w:val="18"/>
                <w:lang w:val="en-CA"/>
              </w:rPr>
            </w:pPr>
            <w:r w:rsidRPr="00F144AF">
              <w:rPr>
                <w:sz w:val="18"/>
                <w:lang w:val="en-CA"/>
              </w:rPr>
              <w:t>n/a</w:t>
            </w:r>
          </w:p>
        </w:tc>
      </w:tr>
      <w:tr w:rsidR="00F144AF" w:rsidRPr="00F144AF" w:rsidTr="00CE2A27">
        <w:trPr>
          <w:trHeight w:val="258"/>
        </w:trPr>
        <w:tc>
          <w:tcPr>
            <w:tcW w:w="785" w:type="dxa"/>
            <w:vMerge w:val="restart"/>
            <w:shd w:val="clear" w:color="auto" w:fill="auto"/>
          </w:tcPr>
          <w:p w:rsidR="002F59B4" w:rsidRPr="00F144AF" w:rsidRDefault="002F59B4" w:rsidP="00B65047">
            <w:pPr>
              <w:spacing w:after="60"/>
              <w:jc w:val="left"/>
              <w:rPr>
                <w:sz w:val="18"/>
                <w:lang w:val="en-CA"/>
              </w:rPr>
            </w:pPr>
            <w:r w:rsidRPr="00F144AF">
              <w:rPr>
                <w:sz w:val="18"/>
                <w:lang w:val="en-CA"/>
              </w:rPr>
              <w:t>Agreed funding (US$)</w:t>
            </w:r>
          </w:p>
        </w:tc>
        <w:tc>
          <w:tcPr>
            <w:tcW w:w="796" w:type="dxa"/>
            <w:vMerge w:val="restart"/>
            <w:shd w:val="clear" w:color="auto" w:fill="auto"/>
          </w:tcPr>
          <w:p w:rsidR="002F59B4" w:rsidRPr="00F144AF" w:rsidRDefault="002F59B4" w:rsidP="00B65047">
            <w:pPr>
              <w:spacing w:after="60"/>
              <w:jc w:val="center"/>
              <w:rPr>
                <w:sz w:val="18"/>
                <w:lang w:val="en-CA"/>
              </w:rPr>
            </w:pPr>
            <w:r w:rsidRPr="00F144AF">
              <w:rPr>
                <w:sz w:val="18"/>
                <w:lang w:val="en-CA"/>
              </w:rPr>
              <w:t>UNEP</w:t>
            </w: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Project costs</w:t>
            </w:r>
          </w:p>
        </w:tc>
        <w:tc>
          <w:tcPr>
            <w:tcW w:w="801" w:type="dxa"/>
          </w:tcPr>
          <w:p w:rsidR="002F59B4" w:rsidRPr="00F144AF" w:rsidRDefault="002F59B4" w:rsidP="00B65047">
            <w:pPr>
              <w:spacing w:after="60"/>
              <w:jc w:val="right"/>
              <w:rPr>
                <w:sz w:val="18"/>
                <w:lang w:val="en-CA"/>
              </w:rPr>
            </w:pPr>
            <w:r w:rsidRPr="00F144AF">
              <w:rPr>
                <w:sz w:val="18"/>
                <w:lang w:val="en-CA"/>
              </w:rPr>
              <w:t>45,000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30,000</w:t>
            </w:r>
          </w:p>
        </w:tc>
        <w:tc>
          <w:tcPr>
            <w:tcW w:w="62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40,000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25,000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35,000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175</w:t>
            </w:r>
            <w:r w:rsidR="002F59B4" w:rsidRPr="00F144AF">
              <w:rPr>
                <w:sz w:val="18"/>
                <w:lang w:val="en-CA"/>
              </w:rPr>
              <w:t>,000</w:t>
            </w:r>
          </w:p>
        </w:tc>
      </w:tr>
      <w:tr w:rsidR="00F144AF" w:rsidRPr="00F144AF" w:rsidTr="00CE2A27">
        <w:trPr>
          <w:trHeight w:val="272"/>
        </w:trPr>
        <w:tc>
          <w:tcPr>
            <w:tcW w:w="785" w:type="dxa"/>
            <w:vMerge/>
            <w:shd w:val="clear" w:color="auto" w:fill="auto"/>
          </w:tcPr>
          <w:p w:rsidR="002F59B4" w:rsidRPr="00F144AF" w:rsidRDefault="002F59B4" w:rsidP="00B65047">
            <w:pPr>
              <w:spacing w:after="60"/>
              <w:jc w:val="center"/>
              <w:rPr>
                <w:sz w:val="18"/>
                <w:lang w:val="en-CA"/>
              </w:rPr>
            </w:pPr>
          </w:p>
        </w:tc>
        <w:tc>
          <w:tcPr>
            <w:tcW w:w="796" w:type="dxa"/>
            <w:vMerge/>
            <w:shd w:val="clear" w:color="auto" w:fill="auto"/>
          </w:tcPr>
          <w:p w:rsidR="002F59B4" w:rsidRPr="00F144AF" w:rsidRDefault="002F59B4" w:rsidP="00B65047">
            <w:pPr>
              <w:spacing w:after="60"/>
              <w:jc w:val="center"/>
              <w:rPr>
                <w:sz w:val="18"/>
                <w:lang w:val="en-CA"/>
              </w:rPr>
            </w:pP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Support costs</w:t>
            </w:r>
          </w:p>
        </w:tc>
        <w:tc>
          <w:tcPr>
            <w:tcW w:w="801" w:type="dxa"/>
          </w:tcPr>
          <w:p w:rsidR="002F59B4" w:rsidRPr="00F144AF" w:rsidRDefault="002F59B4" w:rsidP="00B65047">
            <w:pPr>
              <w:spacing w:after="60"/>
              <w:jc w:val="right"/>
              <w:rPr>
                <w:sz w:val="18"/>
                <w:lang w:val="en-CA"/>
              </w:rPr>
            </w:pPr>
            <w:r w:rsidRPr="00F144AF">
              <w:rPr>
                <w:sz w:val="18"/>
                <w:lang w:val="en-CA"/>
              </w:rPr>
              <w:t>5,850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3,900</w:t>
            </w:r>
          </w:p>
        </w:tc>
        <w:tc>
          <w:tcPr>
            <w:tcW w:w="62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5,200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3,250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4,550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22</w:t>
            </w:r>
            <w:r w:rsidR="002F59B4" w:rsidRPr="00F144AF">
              <w:rPr>
                <w:sz w:val="18"/>
                <w:lang w:val="en-CA"/>
              </w:rPr>
              <w:t>,</w:t>
            </w:r>
            <w:r w:rsidRPr="00F144AF">
              <w:rPr>
                <w:sz w:val="18"/>
                <w:lang w:val="en-CA"/>
              </w:rPr>
              <w:t>750</w:t>
            </w:r>
          </w:p>
        </w:tc>
      </w:tr>
      <w:tr w:rsidR="00F144AF" w:rsidRPr="00F144AF" w:rsidTr="00CE2A27">
        <w:trPr>
          <w:trHeight w:val="265"/>
        </w:trPr>
        <w:tc>
          <w:tcPr>
            <w:tcW w:w="785" w:type="dxa"/>
            <w:vMerge/>
            <w:shd w:val="clear" w:color="auto" w:fill="auto"/>
          </w:tcPr>
          <w:p w:rsidR="002F59B4" w:rsidRPr="00F144AF" w:rsidRDefault="002F59B4" w:rsidP="00B65047">
            <w:pPr>
              <w:spacing w:after="60"/>
              <w:jc w:val="center"/>
              <w:rPr>
                <w:sz w:val="18"/>
                <w:lang w:val="en-CA"/>
              </w:rPr>
            </w:pPr>
          </w:p>
        </w:tc>
        <w:tc>
          <w:tcPr>
            <w:tcW w:w="796" w:type="dxa"/>
            <w:vMerge w:val="restart"/>
            <w:shd w:val="clear" w:color="auto" w:fill="auto"/>
          </w:tcPr>
          <w:p w:rsidR="002F59B4" w:rsidRPr="00F144AF" w:rsidRDefault="002F59B4" w:rsidP="00B65047">
            <w:pPr>
              <w:spacing w:after="60"/>
              <w:jc w:val="center"/>
              <w:rPr>
                <w:sz w:val="18"/>
                <w:lang w:val="en-CA"/>
              </w:rPr>
            </w:pPr>
            <w:r w:rsidRPr="00F144AF">
              <w:rPr>
                <w:sz w:val="18"/>
                <w:lang w:val="en-CA"/>
              </w:rPr>
              <w:t>UNIDO</w:t>
            </w: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Project costs</w:t>
            </w:r>
          </w:p>
        </w:tc>
        <w:tc>
          <w:tcPr>
            <w:tcW w:w="801" w:type="dxa"/>
          </w:tcPr>
          <w:p w:rsidR="002F59B4" w:rsidRPr="00F144AF" w:rsidRDefault="002F59B4" w:rsidP="00B65047">
            <w:pPr>
              <w:spacing w:after="60"/>
              <w:jc w:val="right"/>
              <w:rPr>
                <w:sz w:val="18"/>
                <w:lang w:val="en-CA"/>
              </w:rPr>
            </w:pPr>
            <w:r w:rsidRPr="00F144AF">
              <w:rPr>
                <w:sz w:val="18"/>
                <w:lang w:val="en-CA"/>
              </w:rPr>
              <w:t>100,000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62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75,000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1</w:t>
            </w:r>
            <w:r w:rsidR="002F59B4" w:rsidRPr="00F144AF">
              <w:rPr>
                <w:sz w:val="18"/>
                <w:lang w:val="en-CA"/>
              </w:rPr>
              <w:t>75,000</w:t>
            </w:r>
          </w:p>
        </w:tc>
      </w:tr>
      <w:tr w:rsidR="00F144AF" w:rsidRPr="00F144AF" w:rsidTr="00CE2A27">
        <w:trPr>
          <w:trHeight w:val="265"/>
        </w:trPr>
        <w:tc>
          <w:tcPr>
            <w:tcW w:w="785" w:type="dxa"/>
            <w:vMerge/>
            <w:shd w:val="clear" w:color="auto" w:fill="auto"/>
          </w:tcPr>
          <w:p w:rsidR="002F59B4" w:rsidRPr="00F144AF" w:rsidRDefault="002F59B4" w:rsidP="00B65047">
            <w:pPr>
              <w:spacing w:after="60"/>
              <w:jc w:val="center"/>
              <w:rPr>
                <w:sz w:val="18"/>
                <w:lang w:val="en-CA"/>
              </w:rPr>
            </w:pPr>
          </w:p>
        </w:tc>
        <w:tc>
          <w:tcPr>
            <w:tcW w:w="796" w:type="dxa"/>
            <w:vMerge/>
            <w:shd w:val="clear" w:color="auto" w:fill="auto"/>
          </w:tcPr>
          <w:p w:rsidR="002F59B4" w:rsidRPr="00F144AF" w:rsidRDefault="002F59B4" w:rsidP="00B65047">
            <w:pPr>
              <w:spacing w:after="60"/>
              <w:jc w:val="center"/>
              <w:rPr>
                <w:sz w:val="18"/>
                <w:lang w:val="en-CA"/>
              </w:rPr>
            </w:pP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Support costs</w:t>
            </w:r>
          </w:p>
        </w:tc>
        <w:tc>
          <w:tcPr>
            <w:tcW w:w="801" w:type="dxa"/>
          </w:tcPr>
          <w:p w:rsidR="002F59B4" w:rsidRPr="00F144AF" w:rsidRDefault="002F59B4" w:rsidP="00B65047">
            <w:pPr>
              <w:spacing w:after="60"/>
              <w:jc w:val="right"/>
              <w:rPr>
                <w:sz w:val="18"/>
                <w:lang w:val="en-CA"/>
              </w:rPr>
            </w:pPr>
            <w:r w:rsidRPr="00F144AF">
              <w:rPr>
                <w:sz w:val="18"/>
                <w:lang w:val="en-CA"/>
              </w:rPr>
              <w:t>9,000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62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6,750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6F1B97" w:rsidP="00B65047">
            <w:pPr>
              <w:spacing w:after="60"/>
              <w:jc w:val="right"/>
              <w:rPr>
                <w:sz w:val="18"/>
                <w:lang w:val="en-CA"/>
              </w:rPr>
            </w:pPr>
            <w:r w:rsidRPr="00F144AF">
              <w:rPr>
                <w:sz w:val="18"/>
                <w:lang w:val="en-CA"/>
              </w:rPr>
              <w:t>15</w:t>
            </w:r>
            <w:r w:rsidR="002F59B4" w:rsidRPr="00F144AF">
              <w:rPr>
                <w:sz w:val="18"/>
                <w:lang w:val="en-CA"/>
              </w:rPr>
              <w:t>,750</w:t>
            </w:r>
          </w:p>
        </w:tc>
      </w:tr>
      <w:tr w:rsidR="00F144AF" w:rsidRPr="00F144AF" w:rsidTr="00CE2A27">
        <w:trPr>
          <w:trHeight w:val="258"/>
        </w:trPr>
        <w:tc>
          <w:tcPr>
            <w:tcW w:w="1581" w:type="dxa"/>
            <w:gridSpan w:val="2"/>
            <w:vMerge w:val="restart"/>
            <w:shd w:val="clear" w:color="auto" w:fill="auto"/>
          </w:tcPr>
          <w:p w:rsidR="002F59B4" w:rsidRPr="00F144AF" w:rsidRDefault="002F59B4" w:rsidP="00B65047">
            <w:pPr>
              <w:spacing w:after="60"/>
              <w:jc w:val="left"/>
              <w:rPr>
                <w:sz w:val="18"/>
                <w:lang w:val="en-CA"/>
              </w:rPr>
            </w:pPr>
            <w:r w:rsidRPr="00F144AF">
              <w:rPr>
                <w:sz w:val="18"/>
                <w:lang w:val="en-CA"/>
              </w:rPr>
              <w:t xml:space="preserve">Funds approved by </w:t>
            </w:r>
            <w:proofErr w:type="spellStart"/>
            <w:r w:rsidRPr="00F144AF">
              <w:rPr>
                <w:sz w:val="18"/>
                <w:lang w:val="en-CA"/>
              </w:rPr>
              <w:t>ExCom</w:t>
            </w:r>
            <w:proofErr w:type="spellEnd"/>
            <w:r w:rsidRPr="00F144AF">
              <w:rPr>
                <w:sz w:val="18"/>
                <w:lang w:val="en-CA"/>
              </w:rPr>
              <w:t xml:space="preserve"> (US$)</w:t>
            </w: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Project costs</w:t>
            </w:r>
          </w:p>
        </w:tc>
        <w:tc>
          <w:tcPr>
            <w:tcW w:w="801" w:type="dxa"/>
          </w:tcPr>
          <w:p w:rsidR="002F59B4" w:rsidRPr="00F144AF" w:rsidRDefault="002F59B4" w:rsidP="00B65047">
            <w:pPr>
              <w:spacing w:after="60"/>
              <w:jc w:val="right"/>
              <w:rPr>
                <w:sz w:val="18"/>
                <w:lang w:val="en-CA"/>
              </w:rPr>
            </w:pPr>
            <w:r w:rsidRPr="00F144AF">
              <w:rPr>
                <w:sz w:val="18"/>
                <w:lang w:val="en-CA"/>
              </w:rPr>
              <w:t>145,000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30,000</w:t>
            </w:r>
          </w:p>
        </w:tc>
        <w:tc>
          <w:tcPr>
            <w:tcW w:w="621"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115,000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E54486"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4428C9" w:rsidP="00B65047">
            <w:pPr>
              <w:spacing w:after="60"/>
              <w:jc w:val="right"/>
              <w:rPr>
                <w:sz w:val="18"/>
                <w:lang w:val="en-CA"/>
              </w:rPr>
            </w:pPr>
            <w:r w:rsidRPr="00F144AF">
              <w:rPr>
                <w:sz w:val="18"/>
                <w:lang w:val="en-CA"/>
              </w:rPr>
              <w:t>290</w:t>
            </w:r>
            <w:r w:rsidR="002F59B4" w:rsidRPr="00F144AF">
              <w:rPr>
                <w:sz w:val="18"/>
                <w:lang w:val="en-CA"/>
              </w:rPr>
              <w:t>,000</w:t>
            </w:r>
          </w:p>
        </w:tc>
      </w:tr>
      <w:tr w:rsidR="00F144AF" w:rsidRPr="00F144AF" w:rsidTr="00CE2A27">
        <w:trPr>
          <w:trHeight w:val="265"/>
        </w:trPr>
        <w:tc>
          <w:tcPr>
            <w:tcW w:w="1581" w:type="dxa"/>
            <w:gridSpan w:val="2"/>
            <w:vMerge/>
            <w:shd w:val="clear" w:color="auto" w:fill="auto"/>
          </w:tcPr>
          <w:p w:rsidR="002F59B4" w:rsidRPr="00F144AF" w:rsidRDefault="002F59B4" w:rsidP="00B65047">
            <w:pPr>
              <w:spacing w:after="60"/>
              <w:jc w:val="center"/>
              <w:rPr>
                <w:sz w:val="18"/>
                <w:lang w:val="en-CA"/>
              </w:rPr>
            </w:pPr>
          </w:p>
        </w:tc>
        <w:tc>
          <w:tcPr>
            <w:tcW w:w="1144" w:type="dxa"/>
            <w:shd w:val="clear" w:color="auto" w:fill="auto"/>
          </w:tcPr>
          <w:p w:rsidR="002F59B4" w:rsidRPr="00F144AF" w:rsidRDefault="002F59B4" w:rsidP="00B65047">
            <w:pPr>
              <w:spacing w:after="60"/>
              <w:jc w:val="left"/>
              <w:rPr>
                <w:sz w:val="18"/>
                <w:lang w:val="en-CA"/>
              </w:rPr>
            </w:pPr>
            <w:r w:rsidRPr="00F144AF">
              <w:rPr>
                <w:sz w:val="18"/>
                <w:lang w:val="en-CA"/>
              </w:rPr>
              <w:t>Support costs</w:t>
            </w:r>
          </w:p>
        </w:tc>
        <w:tc>
          <w:tcPr>
            <w:tcW w:w="801" w:type="dxa"/>
          </w:tcPr>
          <w:p w:rsidR="002F59B4" w:rsidRPr="00F144AF" w:rsidRDefault="002F59B4" w:rsidP="00B65047">
            <w:pPr>
              <w:spacing w:after="60"/>
              <w:jc w:val="right"/>
              <w:rPr>
                <w:sz w:val="18"/>
                <w:lang w:val="en-CA"/>
              </w:rPr>
            </w:pPr>
            <w:r w:rsidRPr="00F144AF">
              <w:rPr>
                <w:sz w:val="18"/>
                <w:lang w:val="en-CA"/>
              </w:rPr>
              <w:t>14,850</w:t>
            </w:r>
          </w:p>
        </w:tc>
        <w:tc>
          <w:tcPr>
            <w:tcW w:w="711" w:type="dxa"/>
            <w:shd w:val="clear" w:color="auto" w:fill="auto"/>
          </w:tcPr>
          <w:p w:rsidR="002F59B4" w:rsidRPr="00F144AF" w:rsidRDefault="002F59B4" w:rsidP="00B65047">
            <w:pPr>
              <w:spacing w:after="60"/>
              <w:jc w:val="right"/>
              <w:rPr>
                <w:sz w:val="18"/>
                <w:lang w:val="en-CA"/>
              </w:rPr>
            </w:pPr>
            <w:r w:rsidRPr="00F144AF">
              <w:rPr>
                <w:sz w:val="18"/>
                <w:lang w:val="en-CA"/>
              </w:rPr>
              <w:t>3,900</w:t>
            </w:r>
          </w:p>
        </w:tc>
        <w:tc>
          <w:tcPr>
            <w:tcW w:w="621"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866" w:type="dxa"/>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11,950</w:t>
            </w:r>
          </w:p>
        </w:tc>
        <w:tc>
          <w:tcPr>
            <w:tcW w:w="0" w:type="auto"/>
            <w:shd w:val="clear" w:color="auto" w:fill="auto"/>
          </w:tcPr>
          <w:p w:rsidR="002F59B4" w:rsidRPr="00F144AF" w:rsidRDefault="002F59B4"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E54486"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711" w:type="dxa"/>
            <w:shd w:val="clear" w:color="auto" w:fill="auto"/>
          </w:tcPr>
          <w:p w:rsidR="002F59B4" w:rsidRPr="00F144AF" w:rsidRDefault="006F1B97" w:rsidP="00B65047">
            <w:pPr>
              <w:spacing w:after="60"/>
              <w:jc w:val="right"/>
              <w:rPr>
                <w:sz w:val="18"/>
                <w:lang w:val="en-CA"/>
              </w:rPr>
            </w:pPr>
            <w:r w:rsidRPr="00F144AF">
              <w:rPr>
                <w:sz w:val="18"/>
                <w:lang w:val="en-CA"/>
              </w:rPr>
              <w:t>0</w:t>
            </w:r>
          </w:p>
        </w:tc>
        <w:tc>
          <w:tcPr>
            <w:tcW w:w="0" w:type="auto"/>
            <w:shd w:val="clear" w:color="auto" w:fill="auto"/>
          </w:tcPr>
          <w:p w:rsidR="002F59B4" w:rsidRPr="00F144AF" w:rsidRDefault="004428C9" w:rsidP="00B65047">
            <w:pPr>
              <w:spacing w:after="60"/>
              <w:jc w:val="right"/>
              <w:rPr>
                <w:sz w:val="18"/>
                <w:lang w:val="en-CA"/>
              </w:rPr>
            </w:pPr>
            <w:r w:rsidRPr="00F144AF">
              <w:rPr>
                <w:sz w:val="18"/>
                <w:lang w:val="en-CA"/>
              </w:rPr>
              <w:t>30</w:t>
            </w:r>
            <w:r w:rsidR="002F59B4" w:rsidRPr="00F144AF">
              <w:rPr>
                <w:sz w:val="18"/>
                <w:lang w:val="en-CA"/>
              </w:rPr>
              <w:t>,</w:t>
            </w:r>
            <w:r w:rsidRPr="00F144AF">
              <w:rPr>
                <w:sz w:val="18"/>
                <w:lang w:val="en-CA"/>
              </w:rPr>
              <w:t>7</w:t>
            </w:r>
            <w:r w:rsidR="002F59B4" w:rsidRPr="00F144AF">
              <w:rPr>
                <w:sz w:val="18"/>
                <w:lang w:val="en-CA"/>
              </w:rPr>
              <w:t>00</w:t>
            </w:r>
          </w:p>
        </w:tc>
      </w:tr>
      <w:tr w:rsidR="00F144AF" w:rsidRPr="00F144AF" w:rsidTr="00CE2A27">
        <w:trPr>
          <w:trHeight w:val="265"/>
        </w:trPr>
        <w:tc>
          <w:tcPr>
            <w:tcW w:w="1581" w:type="dxa"/>
            <w:gridSpan w:val="2"/>
            <w:vMerge w:val="restart"/>
            <w:shd w:val="clear" w:color="auto" w:fill="auto"/>
          </w:tcPr>
          <w:p w:rsidR="00A77A29" w:rsidRPr="00F144AF" w:rsidRDefault="00A77A29" w:rsidP="00B65047">
            <w:pPr>
              <w:spacing w:after="60"/>
              <w:jc w:val="left"/>
              <w:rPr>
                <w:sz w:val="18"/>
                <w:lang w:val="en-CA"/>
              </w:rPr>
            </w:pPr>
            <w:r w:rsidRPr="00F144AF">
              <w:rPr>
                <w:sz w:val="18"/>
                <w:lang w:val="en-CA"/>
              </w:rPr>
              <w:t>Total funds requested for approval at this meeting (US$)</w:t>
            </w:r>
          </w:p>
        </w:tc>
        <w:tc>
          <w:tcPr>
            <w:tcW w:w="1144" w:type="dxa"/>
            <w:shd w:val="clear" w:color="auto" w:fill="auto"/>
          </w:tcPr>
          <w:p w:rsidR="00A77A29" w:rsidRPr="00F144AF" w:rsidRDefault="00A77A29" w:rsidP="00B65047">
            <w:pPr>
              <w:spacing w:after="60"/>
              <w:jc w:val="left"/>
              <w:rPr>
                <w:sz w:val="18"/>
                <w:lang w:val="en-CA"/>
              </w:rPr>
            </w:pPr>
            <w:r w:rsidRPr="00F144AF">
              <w:rPr>
                <w:sz w:val="18"/>
                <w:lang w:val="en-CA"/>
              </w:rPr>
              <w:t>Project costs</w:t>
            </w:r>
          </w:p>
        </w:tc>
        <w:tc>
          <w:tcPr>
            <w:tcW w:w="801" w:type="dxa"/>
          </w:tcPr>
          <w:p w:rsidR="00A77A29" w:rsidRPr="00F144AF" w:rsidRDefault="00A77A29" w:rsidP="00B65047">
            <w:pPr>
              <w:spacing w:after="60"/>
              <w:jc w:val="right"/>
              <w:rPr>
                <w:sz w:val="18"/>
                <w:lang w:val="en-CA"/>
              </w:rPr>
            </w:pPr>
            <w:r w:rsidRPr="00F144AF">
              <w:rPr>
                <w:sz w:val="18"/>
                <w:lang w:val="en-CA"/>
              </w:rPr>
              <w:t>0</w:t>
            </w:r>
          </w:p>
        </w:tc>
        <w:tc>
          <w:tcPr>
            <w:tcW w:w="71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62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866"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711" w:type="dxa"/>
            <w:shd w:val="clear" w:color="auto" w:fill="auto"/>
          </w:tcPr>
          <w:p w:rsidR="00A77A29" w:rsidRPr="00F144AF" w:rsidRDefault="00A77A29" w:rsidP="00B65047">
            <w:pPr>
              <w:spacing w:after="60"/>
              <w:jc w:val="right"/>
              <w:rPr>
                <w:b/>
                <w:sz w:val="18"/>
                <w:lang w:val="en-CA"/>
              </w:rPr>
            </w:pPr>
            <w:r w:rsidRPr="00F144AF">
              <w:rPr>
                <w:b/>
                <w:sz w:val="18"/>
                <w:lang w:val="en-CA"/>
              </w:rPr>
              <w:t>25,000</w:t>
            </w:r>
          </w:p>
        </w:tc>
        <w:tc>
          <w:tcPr>
            <w:tcW w:w="71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25,000</w:t>
            </w:r>
          </w:p>
        </w:tc>
      </w:tr>
      <w:tr w:rsidR="00F144AF" w:rsidRPr="00F144AF" w:rsidTr="00CE2A27">
        <w:trPr>
          <w:trHeight w:val="401"/>
        </w:trPr>
        <w:tc>
          <w:tcPr>
            <w:tcW w:w="1581" w:type="dxa"/>
            <w:gridSpan w:val="2"/>
            <w:vMerge/>
            <w:shd w:val="clear" w:color="auto" w:fill="auto"/>
          </w:tcPr>
          <w:p w:rsidR="00A77A29" w:rsidRPr="00F144AF" w:rsidRDefault="00A77A29" w:rsidP="00B65047">
            <w:pPr>
              <w:spacing w:after="60"/>
              <w:jc w:val="center"/>
              <w:rPr>
                <w:sz w:val="18"/>
                <w:lang w:val="en-CA"/>
              </w:rPr>
            </w:pPr>
          </w:p>
        </w:tc>
        <w:tc>
          <w:tcPr>
            <w:tcW w:w="1144" w:type="dxa"/>
            <w:shd w:val="clear" w:color="auto" w:fill="auto"/>
          </w:tcPr>
          <w:p w:rsidR="00A77A29" w:rsidRPr="00F144AF" w:rsidRDefault="00A77A29" w:rsidP="00B65047">
            <w:pPr>
              <w:spacing w:after="60"/>
              <w:jc w:val="left"/>
              <w:rPr>
                <w:sz w:val="18"/>
                <w:lang w:val="en-CA"/>
              </w:rPr>
            </w:pPr>
            <w:r w:rsidRPr="00F144AF">
              <w:rPr>
                <w:sz w:val="18"/>
                <w:lang w:val="en-CA"/>
              </w:rPr>
              <w:t>Support costs</w:t>
            </w:r>
          </w:p>
        </w:tc>
        <w:tc>
          <w:tcPr>
            <w:tcW w:w="801" w:type="dxa"/>
          </w:tcPr>
          <w:p w:rsidR="00A77A29" w:rsidRPr="00F144AF" w:rsidRDefault="00A77A29" w:rsidP="00B65047">
            <w:pPr>
              <w:spacing w:after="60"/>
              <w:jc w:val="right"/>
              <w:rPr>
                <w:sz w:val="18"/>
                <w:lang w:val="en-CA"/>
              </w:rPr>
            </w:pPr>
            <w:r w:rsidRPr="00F144AF">
              <w:rPr>
                <w:sz w:val="18"/>
                <w:lang w:val="en-CA"/>
              </w:rPr>
              <w:t>0</w:t>
            </w:r>
          </w:p>
        </w:tc>
        <w:tc>
          <w:tcPr>
            <w:tcW w:w="71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62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866"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711" w:type="dxa"/>
            <w:shd w:val="clear" w:color="auto" w:fill="auto"/>
          </w:tcPr>
          <w:p w:rsidR="00A77A29" w:rsidRPr="00F144AF" w:rsidRDefault="00A77A29" w:rsidP="00B65047">
            <w:pPr>
              <w:spacing w:after="60"/>
              <w:jc w:val="right"/>
              <w:rPr>
                <w:b/>
                <w:sz w:val="18"/>
                <w:lang w:val="en-CA"/>
              </w:rPr>
            </w:pPr>
            <w:r w:rsidRPr="00F144AF">
              <w:rPr>
                <w:b/>
                <w:sz w:val="18"/>
                <w:lang w:val="en-CA"/>
              </w:rPr>
              <w:t>3,250</w:t>
            </w:r>
          </w:p>
        </w:tc>
        <w:tc>
          <w:tcPr>
            <w:tcW w:w="711" w:type="dxa"/>
            <w:shd w:val="clear" w:color="auto" w:fill="auto"/>
          </w:tcPr>
          <w:p w:rsidR="00A77A29" w:rsidRPr="00F144AF" w:rsidRDefault="00A77A29" w:rsidP="00B65047">
            <w:pPr>
              <w:spacing w:after="60"/>
              <w:jc w:val="right"/>
              <w:rPr>
                <w:sz w:val="18"/>
                <w:lang w:val="en-CA"/>
              </w:rPr>
            </w:pPr>
            <w:r w:rsidRPr="00F144AF">
              <w:rPr>
                <w:sz w:val="18"/>
                <w:lang w:val="en-CA"/>
              </w:rPr>
              <w:t>0</w:t>
            </w:r>
          </w:p>
        </w:tc>
        <w:tc>
          <w:tcPr>
            <w:tcW w:w="0" w:type="auto"/>
            <w:shd w:val="clear" w:color="auto" w:fill="auto"/>
          </w:tcPr>
          <w:p w:rsidR="00A77A29" w:rsidRPr="00F144AF" w:rsidRDefault="00A77A29" w:rsidP="00B65047">
            <w:pPr>
              <w:spacing w:after="60"/>
              <w:jc w:val="right"/>
              <w:rPr>
                <w:sz w:val="18"/>
                <w:lang w:val="en-CA"/>
              </w:rPr>
            </w:pPr>
            <w:r w:rsidRPr="00F144AF">
              <w:rPr>
                <w:sz w:val="18"/>
                <w:lang w:val="en-CA"/>
              </w:rPr>
              <w:t>3,250</w:t>
            </w:r>
          </w:p>
        </w:tc>
      </w:tr>
    </w:tbl>
    <w:p w:rsidR="00DF55E4" w:rsidRPr="00F144AF" w:rsidRDefault="00E54486" w:rsidP="00B65047">
      <w:pPr>
        <w:spacing w:after="60"/>
        <w:jc w:val="left"/>
        <w:rPr>
          <w:sz w:val="18"/>
          <w:szCs w:val="18"/>
          <w:lang w:val="en-CA"/>
        </w:rPr>
      </w:pPr>
      <w:r w:rsidRPr="00F144AF">
        <w:rPr>
          <w:sz w:val="18"/>
          <w:szCs w:val="18"/>
          <w:lang w:val="en-CA"/>
        </w:rPr>
        <w:t>* The fourth tranche should have been submitted in 2018.</w:t>
      </w:r>
    </w:p>
    <w:p w:rsidR="00E54486" w:rsidRPr="00F144AF" w:rsidRDefault="00E54486" w:rsidP="00B65047">
      <w:pPr>
        <w:spacing w:after="60"/>
        <w:jc w:val="left"/>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144AF" w:rsidRPr="00F144AF" w:rsidTr="00DF55E4">
        <w:trPr>
          <w:trHeight w:val="240"/>
        </w:trPr>
        <w:tc>
          <w:tcPr>
            <w:tcW w:w="3000" w:type="dxa"/>
            <w:shd w:val="clear" w:color="auto" w:fill="auto"/>
          </w:tcPr>
          <w:p w:rsidR="00DF55E4" w:rsidRPr="00F144AF" w:rsidRDefault="00DF55E4" w:rsidP="00B65047">
            <w:pPr>
              <w:spacing w:after="60"/>
              <w:jc w:val="left"/>
              <w:rPr>
                <w:b/>
                <w:sz w:val="18"/>
                <w:lang w:val="en-CA"/>
              </w:rPr>
            </w:pPr>
            <w:r w:rsidRPr="00F144AF">
              <w:rPr>
                <w:b/>
                <w:sz w:val="18"/>
                <w:lang w:val="en-CA"/>
              </w:rPr>
              <w:t>Secretariat's recommendation:</w:t>
            </w:r>
          </w:p>
        </w:tc>
        <w:tc>
          <w:tcPr>
            <w:tcW w:w="7000" w:type="dxa"/>
            <w:shd w:val="clear" w:color="auto" w:fill="auto"/>
          </w:tcPr>
          <w:p w:rsidR="00DF55E4" w:rsidRPr="00F144AF" w:rsidRDefault="000A6DF9" w:rsidP="00B65047">
            <w:pPr>
              <w:spacing w:after="60"/>
              <w:jc w:val="center"/>
              <w:rPr>
                <w:sz w:val="18"/>
                <w:lang w:val="en-CA"/>
              </w:rPr>
            </w:pPr>
            <w:r w:rsidRPr="00F144AF">
              <w:rPr>
                <w:sz w:val="18"/>
                <w:lang w:val="en-CA"/>
              </w:rPr>
              <w:t>Blanket approval</w:t>
            </w:r>
          </w:p>
        </w:tc>
      </w:tr>
    </w:tbl>
    <w:p w:rsidR="00255CDE" w:rsidRPr="00F144AF" w:rsidRDefault="00255CDE" w:rsidP="00B65047">
      <w:pPr>
        <w:rPr>
          <w:lang w:val="en-CA"/>
        </w:rPr>
      </w:pPr>
      <w:r w:rsidRPr="00F144AF">
        <w:rPr>
          <w:lang w:val="en-CA"/>
        </w:rPr>
        <w:br w:type="page"/>
      </w:r>
    </w:p>
    <w:p w:rsidR="00255CDE" w:rsidRPr="00F144AF" w:rsidRDefault="00255CDE" w:rsidP="00B65047">
      <w:pPr>
        <w:jc w:val="center"/>
        <w:rPr>
          <w:b/>
          <w:lang w:val="en-CA"/>
        </w:rPr>
      </w:pPr>
      <w:r w:rsidRPr="00F144AF">
        <w:rPr>
          <w:b/>
          <w:lang w:val="en-CA"/>
        </w:rPr>
        <w:lastRenderedPageBreak/>
        <w:t>PROJECT DESCRIPTION</w:t>
      </w:r>
    </w:p>
    <w:p w:rsidR="00255CDE" w:rsidRPr="00F144AF" w:rsidRDefault="00255CDE" w:rsidP="00B65047">
      <w:pPr>
        <w:rPr>
          <w:lang w:val="en-CA"/>
        </w:rPr>
      </w:pPr>
    </w:p>
    <w:p w:rsidR="00255CDE" w:rsidRPr="00F144AF" w:rsidRDefault="00255CDE" w:rsidP="00B65047">
      <w:pPr>
        <w:pStyle w:val="Heading1"/>
        <w:rPr>
          <w:lang w:val="en-CA"/>
        </w:rPr>
      </w:pPr>
      <w:r w:rsidRPr="00F144AF">
        <w:rPr>
          <w:lang w:val="en-CA"/>
        </w:rPr>
        <w:t xml:space="preserve">On behalf of the Government of </w:t>
      </w:r>
      <w:r w:rsidR="00763B26" w:rsidRPr="00F144AF">
        <w:rPr>
          <w:lang w:val="en-CA"/>
        </w:rPr>
        <w:t>the Congo</w:t>
      </w:r>
      <w:r w:rsidRPr="00F144AF">
        <w:rPr>
          <w:lang w:val="en-CA"/>
        </w:rPr>
        <w:t xml:space="preserve">, </w:t>
      </w:r>
      <w:r w:rsidR="00763B26" w:rsidRPr="00F144AF">
        <w:rPr>
          <w:lang w:val="en-CA"/>
        </w:rPr>
        <w:t>UNEP</w:t>
      </w:r>
      <w:r w:rsidRPr="00F144AF">
        <w:rPr>
          <w:lang w:val="en-CA"/>
        </w:rPr>
        <w:t xml:space="preserve"> as the lead implementing agency, has submitted a request for funding for the</w:t>
      </w:r>
      <w:r w:rsidR="00763B26" w:rsidRPr="00F144AF">
        <w:rPr>
          <w:lang w:val="en-CA"/>
        </w:rPr>
        <w:t xml:space="preserve"> fourth</w:t>
      </w:r>
      <w:r w:rsidRPr="00F144AF">
        <w:rPr>
          <w:lang w:val="en-CA"/>
        </w:rPr>
        <w:t xml:space="preserve"> tranche of stage I</w:t>
      </w:r>
      <w:r w:rsidR="00763B26" w:rsidRPr="00F144AF">
        <w:rPr>
          <w:lang w:val="en-CA"/>
        </w:rPr>
        <w:t xml:space="preserve"> </w:t>
      </w:r>
      <w:r w:rsidRPr="00F144AF">
        <w:rPr>
          <w:lang w:val="en-CA"/>
        </w:rPr>
        <w:t>of the HCFC phase-out management plan (HPMP), at the amount of US $</w:t>
      </w:r>
      <w:r w:rsidR="00763B26" w:rsidRPr="00F144AF">
        <w:rPr>
          <w:lang w:val="en-CA"/>
        </w:rPr>
        <w:t>25,000</w:t>
      </w:r>
      <w:r w:rsidRPr="00F144AF">
        <w:rPr>
          <w:lang w:val="en-CA"/>
        </w:rPr>
        <w:t>, plus agency support costs of US $</w:t>
      </w:r>
      <w:r w:rsidR="00763B26" w:rsidRPr="00F144AF">
        <w:rPr>
          <w:lang w:val="en-CA"/>
        </w:rPr>
        <w:t>3,250</w:t>
      </w:r>
      <w:r w:rsidRPr="00F144AF">
        <w:rPr>
          <w:lang w:val="en-CA"/>
        </w:rPr>
        <w:t xml:space="preserve"> for </w:t>
      </w:r>
      <w:r w:rsidR="00763B26" w:rsidRPr="00F144AF">
        <w:rPr>
          <w:lang w:val="en-CA"/>
        </w:rPr>
        <w:t>UNEP</w:t>
      </w:r>
      <w:r w:rsidRPr="00F144AF">
        <w:rPr>
          <w:lang w:val="en-CA"/>
        </w:rPr>
        <w:t xml:space="preserve"> only.</w:t>
      </w:r>
      <w:r w:rsidRPr="00F144AF">
        <w:rPr>
          <w:rStyle w:val="FootnoteReference"/>
          <w:lang w:val="en-CA"/>
        </w:rPr>
        <w:footnoteReference w:id="1"/>
      </w:r>
      <w:r w:rsidRPr="00F144AF">
        <w:rPr>
          <w:lang w:val="en-CA"/>
        </w:rPr>
        <w:t xml:space="preserve"> The submission includes a progress report on the implementation of the </w:t>
      </w:r>
      <w:r w:rsidR="00763B26" w:rsidRPr="00F144AF">
        <w:rPr>
          <w:lang w:val="en-CA"/>
        </w:rPr>
        <w:t>third</w:t>
      </w:r>
      <w:r w:rsidRPr="00F144AF">
        <w:rPr>
          <w:lang w:val="en-CA"/>
        </w:rPr>
        <w:t xml:space="preserve"> tranche and the tranche implementation plan for 2019 to 20</w:t>
      </w:r>
      <w:r w:rsidR="00A00F4F" w:rsidRPr="00F144AF">
        <w:rPr>
          <w:lang w:val="en-CA"/>
        </w:rPr>
        <w:t>21</w:t>
      </w:r>
      <w:r w:rsidRPr="00F144AF">
        <w:rPr>
          <w:lang w:val="en-CA"/>
        </w:rPr>
        <w:t>.</w:t>
      </w:r>
    </w:p>
    <w:p w:rsidR="00255CDE" w:rsidRPr="00F144AF" w:rsidRDefault="00255CDE" w:rsidP="00B65047">
      <w:pPr>
        <w:rPr>
          <w:u w:val="single"/>
          <w:lang w:val="en-CA"/>
        </w:rPr>
      </w:pPr>
      <w:r w:rsidRPr="00F144AF">
        <w:rPr>
          <w:u w:val="single"/>
          <w:lang w:val="en-CA"/>
        </w:rPr>
        <w:t>Report on HCFC consumption</w:t>
      </w:r>
    </w:p>
    <w:p w:rsidR="00255CDE" w:rsidRPr="00F144AF" w:rsidRDefault="00255CDE" w:rsidP="00B65047">
      <w:pPr>
        <w:rPr>
          <w:lang w:val="en-CA"/>
        </w:rPr>
      </w:pPr>
    </w:p>
    <w:p w:rsidR="00255CDE" w:rsidRPr="00F144AF" w:rsidRDefault="00255CDE" w:rsidP="00B65047">
      <w:pPr>
        <w:pStyle w:val="Heading1"/>
        <w:rPr>
          <w:lang w:val="en-CA"/>
        </w:rPr>
      </w:pPr>
      <w:r w:rsidRPr="00F144AF">
        <w:rPr>
          <w:lang w:val="en-CA"/>
        </w:rPr>
        <w:t xml:space="preserve">The Government of </w:t>
      </w:r>
      <w:r w:rsidR="00640E5A" w:rsidRPr="00F144AF">
        <w:rPr>
          <w:lang w:val="en-CA"/>
        </w:rPr>
        <w:t>the Congo</w:t>
      </w:r>
      <w:r w:rsidRPr="00F144AF">
        <w:rPr>
          <w:lang w:val="en-CA"/>
        </w:rPr>
        <w:t xml:space="preserve"> reported a consumption of </w:t>
      </w:r>
      <w:r w:rsidR="007113FA" w:rsidRPr="00F144AF">
        <w:rPr>
          <w:lang w:val="en-CA"/>
        </w:rPr>
        <w:t>7.</w:t>
      </w:r>
      <w:r w:rsidR="00B974E8" w:rsidRPr="00F144AF">
        <w:rPr>
          <w:lang w:val="en-CA"/>
        </w:rPr>
        <w:t>1</w:t>
      </w:r>
      <w:r w:rsidR="007113FA" w:rsidRPr="00F144AF">
        <w:rPr>
          <w:lang w:val="en-CA"/>
        </w:rPr>
        <w:t>3</w:t>
      </w:r>
      <w:r w:rsidRPr="00F144AF">
        <w:rPr>
          <w:lang w:val="en-CA"/>
        </w:rPr>
        <w:t xml:space="preserve"> ODP tonnes of HCFC in 2018, which is </w:t>
      </w:r>
      <w:r w:rsidR="007113FA" w:rsidRPr="00F144AF">
        <w:rPr>
          <w:lang w:val="en-CA"/>
        </w:rPr>
        <w:t>29</w:t>
      </w:r>
      <w:r w:rsidR="00B974E8" w:rsidRPr="00F144AF">
        <w:rPr>
          <w:lang w:val="en-CA"/>
        </w:rPr>
        <w:t>.7</w:t>
      </w:r>
      <w:r w:rsidRPr="00F144AF">
        <w:rPr>
          <w:lang w:val="en-CA"/>
        </w:rPr>
        <w:t xml:space="preserve"> per cent below the HCFC baseline for compliance. The 2014-2018 HCFC consumption is shown in Table 1.  </w:t>
      </w:r>
    </w:p>
    <w:p w:rsidR="00255CDE" w:rsidRPr="00F144AF" w:rsidRDefault="00255CDE" w:rsidP="00B65047">
      <w:pPr>
        <w:rPr>
          <w:b/>
          <w:lang w:val="en-CA"/>
        </w:rPr>
      </w:pPr>
      <w:r w:rsidRPr="00F144AF">
        <w:rPr>
          <w:b/>
          <w:lang w:val="en-CA"/>
        </w:rPr>
        <w:t xml:space="preserve">Table 1. HCFC consumption in </w:t>
      </w:r>
      <w:r w:rsidR="00D22A5B" w:rsidRPr="00F144AF">
        <w:rPr>
          <w:b/>
          <w:lang w:val="en-CA"/>
        </w:rPr>
        <w:t>the Congo</w:t>
      </w:r>
      <w:r w:rsidRPr="00F144AF">
        <w:rPr>
          <w:b/>
          <w:lang w:val="en-CA"/>
        </w:rPr>
        <w:t xml:space="preserve"> (2014-2018 Article 7 data)</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039"/>
        <w:gridCol w:w="1041"/>
        <w:gridCol w:w="1041"/>
        <w:gridCol w:w="1039"/>
        <w:gridCol w:w="1041"/>
        <w:gridCol w:w="1041"/>
      </w:tblGrid>
      <w:tr w:rsidR="00F144AF" w:rsidRPr="00F144AF" w:rsidTr="000C486D">
        <w:trPr>
          <w:trHeight w:val="248"/>
          <w:tblHeader/>
        </w:trPr>
        <w:tc>
          <w:tcPr>
            <w:tcW w:w="1642" w:type="pct"/>
            <w:shd w:val="clear" w:color="auto" w:fill="auto"/>
            <w:noWrap/>
            <w:tcMar>
              <w:left w:w="43" w:type="dxa"/>
              <w:right w:w="43" w:type="dxa"/>
            </w:tcMar>
            <w:vAlign w:val="center"/>
            <w:hideMark/>
          </w:tcPr>
          <w:p w:rsidR="00255CDE" w:rsidRPr="00F144AF" w:rsidRDefault="00255CDE" w:rsidP="00B65047">
            <w:pPr>
              <w:widowControl w:val="0"/>
              <w:jc w:val="left"/>
              <w:rPr>
                <w:b/>
                <w:bCs/>
                <w:sz w:val="20"/>
                <w:szCs w:val="20"/>
                <w:lang w:val="en-CA"/>
              </w:rPr>
            </w:pPr>
            <w:r w:rsidRPr="00F144AF">
              <w:rPr>
                <w:b/>
                <w:bCs/>
                <w:sz w:val="20"/>
                <w:szCs w:val="20"/>
                <w:lang w:val="en-CA"/>
              </w:rPr>
              <w:t>HCFC-22</w:t>
            </w:r>
          </w:p>
        </w:tc>
        <w:tc>
          <w:tcPr>
            <w:tcW w:w="559" w:type="pct"/>
            <w:shd w:val="clear" w:color="auto" w:fill="auto"/>
            <w:noWrap/>
            <w:vAlign w:val="center"/>
            <w:hideMark/>
          </w:tcPr>
          <w:p w:rsidR="00255CDE" w:rsidRPr="00F144AF" w:rsidRDefault="00255CDE" w:rsidP="00B65047">
            <w:pPr>
              <w:widowControl w:val="0"/>
              <w:jc w:val="center"/>
              <w:rPr>
                <w:b/>
                <w:bCs/>
                <w:sz w:val="20"/>
                <w:szCs w:val="20"/>
                <w:lang w:val="en-CA"/>
              </w:rPr>
            </w:pPr>
            <w:r w:rsidRPr="00F144AF">
              <w:rPr>
                <w:b/>
                <w:bCs/>
                <w:sz w:val="20"/>
                <w:szCs w:val="20"/>
                <w:lang w:val="en-CA"/>
              </w:rPr>
              <w:t>2014</w:t>
            </w:r>
          </w:p>
        </w:tc>
        <w:tc>
          <w:tcPr>
            <w:tcW w:w="560" w:type="pct"/>
            <w:shd w:val="clear" w:color="auto" w:fill="auto"/>
            <w:noWrap/>
            <w:vAlign w:val="center"/>
            <w:hideMark/>
          </w:tcPr>
          <w:p w:rsidR="00255CDE" w:rsidRPr="00F144AF" w:rsidRDefault="00255CDE" w:rsidP="00B65047">
            <w:pPr>
              <w:widowControl w:val="0"/>
              <w:jc w:val="center"/>
              <w:rPr>
                <w:b/>
                <w:bCs/>
                <w:sz w:val="20"/>
                <w:szCs w:val="20"/>
                <w:lang w:val="en-CA"/>
              </w:rPr>
            </w:pPr>
            <w:r w:rsidRPr="00F144AF">
              <w:rPr>
                <w:b/>
                <w:bCs/>
                <w:sz w:val="20"/>
                <w:szCs w:val="20"/>
                <w:lang w:val="en-CA"/>
              </w:rPr>
              <w:t>2015</w:t>
            </w:r>
          </w:p>
        </w:tc>
        <w:tc>
          <w:tcPr>
            <w:tcW w:w="560" w:type="pct"/>
          </w:tcPr>
          <w:p w:rsidR="00255CDE" w:rsidRPr="00F144AF" w:rsidRDefault="00255CDE" w:rsidP="00B65047">
            <w:pPr>
              <w:widowControl w:val="0"/>
              <w:jc w:val="center"/>
              <w:rPr>
                <w:b/>
                <w:bCs/>
                <w:sz w:val="20"/>
                <w:szCs w:val="20"/>
                <w:lang w:val="en-CA"/>
              </w:rPr>
            </w:pPr>
            <w:r w:rsidRPr="00F144AF">
              <w:rPr>
                <w:b/>
                <w:bCs/>
                <w:sz w:val="20"/>
                <w:szCs w:val="20"/>
                <w:lang w:val="en-CA"/>
              </w:rPr>
              <w:t>2016</w:t>
            </w:r>
          </w:p>
        </w:tc>
        <w:tc>
          <w:tcPr>
            <w:tcW w:w="559" w:type="pct"/>
          </w:tcPr>
          <w:p w:rsidR="00255CDE" w:rsidRPr="00F144AF" w:rsidRDefault="00255CDE" w:rsidP="00B65047">
            <w:pPr>
              <w:widowControl w:val="0"/>
              <w:jc w:val="center"/>
              <w:rPr>
                <w:b/>
                <w:bCs/>
                <w:sz w:val="20"/>
                <w:szCs w:val="20"/>
                <w:lang w:val="en-CA"/>
              </w:rPr>
            </w:pPr>
            <w:r w:rsidRPr="00F144AF">
              <w:rPr>
                <w:b/>
                <w:bCs/>
                <w:sz w:val="20"/>
                <w:szCs w:val="20"/>
                <w:lang w:val="en-CA"/>
              </w:rPr>
              <w:t>2017</w:t>
            </w:r>
          </w:p>
        </w:tc>
        <w:tc>
          <w:tcPr>
            <w:tcW w:w="560" w:type="pct"/>
          </w:tcPr>
          <w:p w:rsidR="00255CDE" w:rsidRPr="00F144AF" w:rsidRDefault="00255CDE" w:rsidP="00B65047">
            <w:pPr>
              <w:widowControl w:val="0"/>
              <w:jc w:val="center"/>
              <w:rPr>
                <w:b/>
                <w:bCs/>
                <w:sz w:val="20"/>
                <w:szCs w:val="20"/>
                <w:lang w:val="en-CA"/>
              </w:rPr>
            </w:pPr>
            <w:r w:rsidRPr="00F144AF">
              <w:rPr>
                <w:b/>
                <w:bCs/>
                <w:sz w:val="20"/>
                <w:szCs w:val="20"/>
                <w:lang w:val="en-CA"/>
              </w:rPr>
              <w:t>2018</w:t>
            </w:r>
          </w:p>
        </w:tc>
        <w:tc>
          <w:tcPr>
            <w:tcW w:w="560" w:type="pct"/>
            <w:shd w:val="clear" w:color="auto" w:fill="auto"/>
            <w:noWrap/>
            <w:vAlign w:val="center"/>
            <w:hideMark/>
          </w:tcPr>
          <w:p w:rsidR="00255CDE" w:rsidRPr="00F144AF" w:rsidRDefault="00255CDE" w:rsidP="00B65047">
            <w:pPr>
              <w:widowControl w:val="0"/>
              <w:jc w:val="center"/>
              <w:rPr>
                <w:b/>
                <w:bCs/>
                <w:sz w:val="20"/>
                <w:szCs w:val="20"/>
                <w:lang w:val="en-CA"/>
              </w:rPr>
            </w:pPr>
            <w:r w:rsidRPr="00F144AF">
              <w:rPr>
                <w:b/>
                <w:bCs/>
                <w:sz w:val="20"/>
                <w:szCs w:val="20"/>
                <w:lang w:val="en-CA"/>
              </w:rPr>
              <w:t>Baseline</w:t>
            </w:r>
          </w:p>
        </w:tc>
      </w:tr>
      <w:tr w:rsidR="00F144AF" w:rsidRPr="00F144AF" w:rsidTr="000C486D">
        <w:trPr>
          <w:trHeight w:val="240"/>
        </w:trPr>
        <w:tc>
          <w:tcPr>
            <w:tcW w:w="1642" w:type="pct"/>
            <w:shd w:val="clear" w:color="auto" w:fill="auto"/>
            <w:noWrap/>
            <w:tcMar>
              <w:left w:w="43" w:type="dxa"/>
              <w:right w:w="43" w:type="dxa"/>
            </w:tcMar>
            <w:vAlign w:val="center"/>
            <w:hideMark/>
          </w:tcPr>
          <w:p w:rsidR="00255CDE" w:rsidRPr="00F144AF" w:rsidRDefault="00255CDE" w:rsidP="00B65047">
            <w:pPr>
              <w:widowControl w:val="0"/>
              <w:jc w:val="left"/>
              <w:rPr>
                <w:bCs/>
                <w:sz w:val="20"/>
                <w:szCs w:val="20"/>
                <w:lang w:val="en-CA"/>
              </w:rPr>
            </w:pPr>
            <w:r w:rsidRPr="00F144AF">
              <w:rPr>
                <w:bCs/>
                <w:sz w:val="20"/>
                <w:szCs w:val="20"/>
                <w:lang w:val="en-CA"/>
              </w:rPr>
              <w:t>Metric tonnes</w:t>
            </w:r>
          </w:p>
        </w:tc>
        <w:tc>
          <w:tcPr>
            <w:tcW w:w="559" w:type="pct"/>
            <w:shd w:val="clear" w:color="auto" w:fill="auto"/>
            <w:noWrap/>
            <w:vAlign w:val="bottom"/>
          </w:tcPr>
          <w:p w:rsidR="00255CDE" w:rsidRPr="00F144AF" w:rsidRDefault="007403A6" w:rsidP="00B65047">
            <w:pPr>
              <w:jc w:val="right"/>
              <w:rPr>
                <w:sz w:val="20"/>
                <w:szCs w:val="20"/>
                <w:lang w:val="en-CA"/>
              </w:rPr>
            </w:pPr>
            <w:r w:rsidRPr="00F144AF">
              <w:rPr>
                <w:sz w:val="20"/>
                <w:szCs w:val="20"/>
                <w:lang w:val="en-CA"/>
              </w:rPr>
              <w:t>158.55</w:t>
            </w:r>
          </w:p>
        </w:tc>
        <w:tc>
          <w:tcPr>
            <w:tcW w:w="560" w:type="pct"/>
            <w:shd w:val="clear" w:color="auto" w:fill="auto"/>
            <w:noWrap/>
          </w:tcPr>
          <w:p w:rsidR="00255CDE" w:rsidRPr="00F144AF" w:rsidRDefault="007403A6" w:rsidP="00B65047">
            <w:pPr>
              <w:jc w:val="right"/>
              <w:rPr>
                <w:sz w:val="20"/>
                <w:szCs w:val="20"/>
                <w:lang w:val="en-CA"/>
              </w:rPr>
            </w:pPr>
            <w:r w:rsidRPr="00F144AF">
              <w:rPr>
                <w:sz w:val="20"/>
                <w:szCs w:val="20"/>
                <w:lang w:val="en-CA"/>
              </w:rPr>
              <w:t>148.18</w:t>
            </w:r>
          </w:p>
        </w:tc>
        <w:tc>
          <w:tcPr>
            <w:tcW w:w="560" w:type="pct"/>
          </w:tcPr>
          <w:p w:rsidR="00255CDE" w:rsidRPr="00F144AF" w:rsidRDefault="007403A6" w:rsidP="00B65047">
            <w:pPr>
              <w:widowControl w:val="0"/>
              <w:jc w:val="right"/>
              <w:rPr>
                <w:bCs/>
                <w:sz w:val="20"/>
                <w:szCs w:val="20"/>
                <w:lang w:val="en-CA"/>
              </w:rPr>
            </w:pPr>
            <w:r w:rsidRPr="00F144AF">
              <w:rPr>
                <w:bCs/>
                <w:sz w:val="20"/>
                <w:szCs w:val="20"/>
                <w:lang w:val="en-CA"/>
              </w:rPr>
              <w:t>144.18</w:t>
            </w:r>
          </w:p>
        </w:tc>
        <w:tc>
          <w:tcPr>
            <w:tcW w:w="559" w:type="pct"/>
          </w:tcPr>
          <w:p w:rsidR="00255CDE" w:rsidRPr="00F144AF" w:rsidRDefault="007403A6" w:rsidP="00B65047">
            <w:pPr>
              <w:widowControl w:val="0"/>
              <w:jc w:val="right"/>
              <w:rPr>
                <w:bCs/>
                <w:sz w:val="20"/>
                <w:szCs w:val="20"/>
                <w:lang w:val="en-CA"/>
              </w:rPr>
            </w:pPr>
            <w:r w:rsidRPr="00F144AF">
              <w:rPr>
                <w:bCs/>
                <w:sz w:val="20"/>
                <w:szCs w:val="20"/>
                <w:lang w:val="en-CA"/>
              </w:rPr>
              <w:t>139.27</w:t>
            </w:r>
          </w:p>
        </w:tc>
        <w:tc>
          <w:tcPr>
            <w:tcW w:w="560" w:type="pct"/>
          </w:tcPr>
          <w:p w:rsidR="00255CDE" w:rsidRPr="00F144AF" w:rsidRDefault="00B974E8" w:rsidP="00B65047">
            <w:pPr>
              <w:widowControl w:val="0"/>
              <w:jc w:val="right"/>
              <w:rPr>
                <w:rFonts w:eastAsiaTheme="minorHAnsi"/>
                <w:sz w:val="20"/>
                <w:szCs w:val="20"/>
                <w:lang w:val="en-CA"/>
              </w:rPr>
            </w:pPr>
            <w:r w:rsidRPr="00F144AF">
              <w:rPr>
                <w:rFonts w:eastAsiaTheme="minorHAnsi"/>
                <w:sz w:val="20"/>
                <w:szCs w:val="20"/>
                <w:lang w:val="en-CA"/>
              </w:rPr>
              <w:t>129.6</w:t>
            </w:r>
            <w:r w:rsidR="001955B4" w:rsidRPr="00F144AF">
              <w:rPr>
                <w:rFonts w:eastAsiaTheme="minorHAnsi"/>
                <w:sz w:val="20"/>
                <w:szCs w:val="20"/>
                <w:lang w:val="en-CA"/>
              </w:rPr>
              <w:t>0</w:t>
            </w:r>
          </w:p>
        </w:tc>
        <w:tc>
          <w:tcPr>
            <w:tcW w:w="560" w:type="pct"/>
            <w:shd w:val="clear" w:color="auto" w:fill="auto"/>
            <w:noWrap/>
            <w:vAlign w:val="center"/>
          </w:tcPr>
          <w:p w:rsidR="00255CDE" w:rsidRPr="00F144AF" w:rsidRDefault="00D22A5B" w:rsidP="00B65047">
            <w:pPr>
              <w:widowControl w:val="0"/>
              <w:jc w:val="right"/>
              <w:rPr>
                <w:bCs/>
                <w:sz w:val="20"/>
                <w:szCs w:val="20"/>
                <w:lang w:val="en-CA"/>
              </w:rPr>
            </w:pPr>
            <w:r w:rsidRPr="00F144AF">
              <w:rPr>
                <w:bCs/>
                <w:sz w:val="20"/>
                <w:szCs w:val="20"/>
                <w:lang w:val="en-CA"/>
              </w:rPr>
              <w:t>184.4</w:t>
            </w:r>
          </w:p>
        </w:tc>
      </w:tr>
      <w:tr w:rsidR="00255CDE" w:rsidRPr="00F144AF" w:rsidTr="000C486D">
        <w:trPr>
          <w:trHeight w:val="248"/>
        </w:trPr>
        <w:tc>
          <w:tcPr>
            <w:tcW w:w="1642" w:type="pct"/>
            <w:shd w:val="clear" w:color="auto" w:fill="auto"/>
            <w:noWrap/>
            <w:tcMar>
              <w:left w:w="43" w:type="dxa"/>
              <w:right w:w="43" w:type="dxa"/>
            </w:tcMar>
            <w:vAlign w:val="center"/>
            <w:hideMark/>
          </w:tcPr>
          <w:p w:rsidR="00255CDE" w:rsidRPr="00F144AF" w:rsidRDefault="00255CDE" w:rsidP="00B65047">
            <w:pPr>
              <w:widowControl w:val="0"/>
              <w:jc w:val="left"/>
              <w:rPr>
                <w:sz w:val="20"/>
                <w:szCs w:val="20"/>
                <w:lang w:val="en-CA"/>
              </w:rPr>
            </w:pPr>
            <w:r w:rsidRPr="00F144AF">
              <w:rPr>
                <w:bCs/>
                <w:sz w:val="20"/>
                <w:szCs w:val="20"/>
                <w:lang w:val="en-CA"/>
              </w:rPr>
              <w:t>ODP tonnes</w:t>
            </w:r>
          </w:p>
        </w:tc>
        <w:tc>
          <w:tcPr>
            <w:tcW w:w="559" w:type="pct"/>
            <w:shd w:val="clear" w:color="auto" w:fill="auto"/>
            <w:noWrap/>
          </w:tcPr>
          <w:p w:rsidR="00255CDE" w:rsidRPr="00F144AF" w:rsidRDefault="00273022" w:rsidP="00B65047">
            <w:pPr>
              <w:jc w:val="right"/>
              <w:rPr>
                <w:rFonts w:eastAsiaTheme="minorHAnsi"/>
                <w:sz w:val="20"/>
                <w:szCs w:val="20"/>
                <w:lang w:val="en-CA"/>
              </w:rPr>
            </w:pPr>
            <w:r w:rsidRPr="00F144AF">
              <w:rPr>
                <w:rFonts w:eastAsiaTheme="minorHAnsi"/>
                <w:sz w:val="20"/>
                <w:szCs w:val="20"/>
                <w:lang w:val="en-CA"/>
              </w:rPr>
              <w:t>8.72</w:t>
            </w:r>
          </w:p>
        </w:tc>
        <w:tc>
          <w:tcPr>
            <w:tcW w:w="560" w:type="pct"/>
            <w:shd w:val="clear" w:color="auto" w:fill="auto"/>
            <w:noWrap/>
          </w:tcPr>
          <w:p w:rsidR="00255CDE" w:rsidRPr="00F144AF" w:rsidRDefault="00273022" w:rsidP="00B65047">
            <w:pPr>
              <w:jc w:val="right"/>
              <w:rPr>
                <w:sz w:val="20"/>
                <w:szCs w:val="20"/>
                <w:lang w:val="en-CA"/>
              </w:rPr>
            </w:pPr>
            <w:r w:rsidRPr="00F144AF">
              <w:rPr>
                <w:sz w:val="20"/>
                <w:szCs w:val="20"/>
                <w:lang w:val="en-CA"/>
              </w:rPr>
              <w:t>8.15</w:t>
            </w:r>
          </w:p>
        </w:tc>
        <w:tc>
          <w:tcPr>
            <w:tcW w:w="560" w:type="pct"/>
          </w:tcPr>
          <w:p w:rsidR="00255CDE" w:rsidRPr="00F144AF" w:rsidRDefault="00273022" w:rsidP="00B65047">
            <w:pPr>
              <w:jc w:val="right"/>
              <w:rPr>
                <w:sz w:val="20"/>
                <w:szCs w:val="20"/>
                <w:lang w:val="en-CA"/>
              </w:rPr>
            </w:pPr>
            <w:r w:rsidRPr="00F144AF">
              <w:rPr>
                <w:sz w:val="20"/>
                <w:szCs w:val="20"/>
                <w:lang w:val="en-CA"/>
              </w:rPr>
              <w:t>7.93</w:t>
            </w:r>
          </w:p>
        </w:tc>
        <w:tc>
          <w:tcPr>
            <w:tcW w:w="559" w:type="pct"/>
          </w:tcPr>
          <w:p w:rsidR="00255CDE" w:rsidRPr="00F144AF" w:rsidRDefault="00273022" w:rsidP="00B65047">
            <w:pPr>
              <w:jc w:val="right"/>
              <w:rPr>
                <w:sz w:val="20"/>
                <w:szCs w:val="20"/>
                <w:lang w:val="en-CA"/>
              </w:rPr>
            </w:pPr>
            <w:r w:rsidRPr="00F144AF">
              <w:rPr>
                <w:sz w:val="20"/>
                <w:szCs w:val="20"/>
                <w:lang w:val="en-CA"/>
              </w:rPr>
              <w:t>7.66</w:t>
            </w:r>
          </w:p>
        </w:tc>
        <w:tc>
          <w:tcPr>
            <w:tcW w:w="560" w:type="pct"/>
          </w:tcPr>
          <w:p w:rsidR="00255CDE" w:rsidRPr="00F144AF" w:rsidRDefault="007403A6" w:rsidP="00B65047">
            <w:pPr>
              <w:jc w:val="right"/>
              <w:rPr>
                <w:rFonts w:eastAsiaTheme="minorHAnsi"/>
                <w:sz w:val="20"/>
                <w:szCs w:val="20"/>
                <w:lang w:val="en-CA"/>
              </w:rPr>
            </w:pPr>
            <w:r w:rsidRPr="00F144AF">
              <w:rPr>
                <w:rFonts w:eastAsiaTheme="minorHAnsi"/>
                <w:sz w:val="20"/>
                <w:szCs w:val="20"/>
                <w:lang w:val="en-CA"/>
              </w:rPr>
              <w:t>7.</w:t>
            </w:r>
            <w:r w:rsidR="00B974E8" w:rsidRPr="00F144AF">
              <w:rPr>
                <w:rFonts w:eastAsiaTheme="minorHAnsi"/>
                <w:sz w:val="20"/>
                <w:szCs w:val="20"/>
                <w:lang w:val="en-CA"/>
              </w:rPr>
              <w:t>1</w:t>
            </w:r>
            <w:r w:rsidRPr="00F144AF">
              <w:rPr>
                <w:rFonts w:eastAsiaTheme="minorHAnsi"/>
                <w:sz w:val="20"/>
                <w:szCs w:val="20"/>
                <w:lang w:val="en-CA"/>
              </w:rPr>
              <w:t>3</w:t>
            </w:r>
          </w:p>
        </w:tc>
        <w:tc>
          <w:tcPr>
            <w:tcW w:w="560" w:type="pct"/>
            <w:shd w:val="clear" w:color="auto" w:fill="auto"/>
            <w:noWrap/>
          </w:tcPr>
          <w:p w:rsidR="00255CDE" w:rsidRPr="00F144AF" w:rsidRDefault="00D22A5B" w:rsidP="00B65047">
            <w:pPr>
              <w:jc w:val="right"/>
              <w:rPr>
                <w:rFonts w:eastAsiaTheme="minorHAnsi"/>
                <w:sz w:val="20"/>
                <w:szCs w:val="20"/>
                <w:lang w:val="en-CA"/>
              </w:rPr>
            </w:pPr>
            <w:r w:rsidRPr="00F144AF">
              <w:rPr>
                <w:rFonts w:eastAsiaTheme="minorHAnsi"/>
                <w:sz w:val="20"/>
                <w:szCs w:val="20"/>
                <w:lang w:val="en-CA"/>
              </w:rPr>
              <w:t>10.14</w:t>
            </w:r>
          </w:p>
        </w:tc>
      </w:tr>
    </w:tbl>
    <w:p w:rsidR="00255CDE" w:rsidRPr="00F144AF" w:rsidRDefault="00255CDE" w:rsidP="00B65047">
      <w:pPr>
        <w:rPr>
          <w:lang w:val="en-CA"/>
        </w:rPr>
      </w:pPr>
    </w:p>
    <w:p w:rsidR="00255CDE" w:rsidRPr="00F144AF" w:rsidRDefault="00397D0B" w:rsidP="00B65047">
      <w:pPr>
        <w:pStyle w:val="Heading1"/>
        <w:rPr>
          <w:lang w:val="en-CA"/>
        </w:rPr>
      </w:pPr>
      <w:r w:rsidRPr="00F144AF">
        <w:rPr>
          <w:lang w:val="en-CA"/>
        </w:rPr>
        <w:t xml:space="preserve">Consumption of HCFCs in </w:t>
      </w:r>
      <w:r w:rsidR="00EE7BB7" w:rsidRPr="00F144AF">
        <w:rPr>
          <w:lang w:val="en-CA"/>
        </w:rPr>
        <w:t xml:space="preserve">the </w:t>
      </w:r>
      <w:r w:rsidRPr="00F144AF">
        <w:rPr>
          <w:lang w:val="en-CA"/>
        </w:rPr>
        <w:t xml:space="preserve">Congo is only in </w:t>
      </w:r>
      <w:r w:rsidR="000C486D" w:rsidRPr="00F144AF">
        <w:rPr>
          <w:lang w:val="en-CA"/>
        </w:rPr>
        <w:t xml:space="preserve">the </w:t>
      </w:r>
      <w:r w:rsidRPr="00F144AF">
        <w:rPr>
          <w:lang w:val="en-CA"/>
        </w:rPr>
        <w:t>servicing</w:t>
      </w:r>
      <w:r w:rsidR="000C486D" w:rsidRPr="00F144AF">
        <w:rPr>
          <w:lang w:val="en-CA"/>
        </w:rPr>
        <w:t xml:space="preserve"> sector</w:t>
      </w:r>
      <w:r w:rsidR="008E5D4A" w:rsidRPr="00F144AF">
        <w:rPr>
          <w:lang w:val="en-CA"/>
        </w:rPr>
        <w:t>,</w:t>
      </w:r>
      <w:r w:rsidR="00B32AE4" w:rsidRPr="00F144AF">
        <w:rPr>
          <w:lang w:val="en-CA"/>
        </w:rPr>
        <w:t xml:space="preserve"> primarily in air-conditioning equipment</w:t>
      </w:r>
      <w:r w:rsidRPr="00F144AF">
        <w:rPr>
          <w:lang w:val="en-CA"/>
        </w:rPr>
        <w:t xml:space="preserve">; this is decreasing primarily due to controls on HCFC supply in the country and training on good practices that results in lesser use of HCFC during servicing </w:t>
      </w:r>
      <w:r w:rsidR="000C486D" w:rsidRPr="00F144AF">
        <w:rPr>
          <w:lang w:val="en-CA"/>
        </w:rPr>
        <w:t xml:space="preserve">of </w:t>
      </w:r>
      <w:r w:rsidRPr="00F144AF">
        <w:rPr>
          <w:lang w:val="en-CA"/>
        </w:rPr>
        <w:t>equipment. HCFC-free air-conditioning using R-410A and R-407C are in use in the market.</w:t>
      </w:r>
      <w:r w:rsidR="00255CDE" w:rsidRPr="00F144AF">
        <w:rPr>
          <w:lang w:val="en-CA"/>
        </w:rPr>
        <w:t xml:space="preserve"> </w:t>
      </w:r>
    </w:p>
    <w:p w:rsidR="00255CDE" w:rsidRPr="00F144AF" w:rsidRDefault="00255CDE" w:rsidP="00B65047">
      <w:pPr>
        <w:rPr>
          <w:i/>
          <w:lang w:val="en-CA"/>
        </w:rPr>
      </w:pPr>
      <w:r w:rsidRPr="00F144AF">
        <w:rPr>
          <w:i/>
          <w:lang w:val="en-CA"/>
        </w:rPr>
        <w:t>Country programme (CP) implementation report</w:t>
      </w:r>
    </w:p>
    <w:p w:rsidR="00255CDE" w:rsidRPr="00F144AF" w:rsidRDefault="00255CDE" w:rsidP="00B65047">
      <w:pPr>
        <w:rPr>
          <w:lang w:val="en-CA"/>
        </w:rPr>
      </w:pPr>
    </w:p>
    <w:p w:rsidR="00255CDE" w:rsidRPr="00F144AF" w:rsidRDefault="00255CDE" w:rsidP="00B65047">
      <w:pPr>
        <w:pStyle w:val="Heading1"/>
        <w:rPr>
          <w:lang w:val="en-CA"/>
        </w:rPr>
      </w:pPr>
      <w:r w:rsidRPr="00F144AF">
        <w:rPr>
          <w:lang w:val="en-CA"/>
        </w:rPr>
        <w:t xml:space="preserve">The Government of </w:t>
      </w:r>
      <w:r w:rsidR="00FF61EB" w:rsidRPr="00F144AF">
        <w:rPr>
          <w:lang w:val="en-CA"/>
        </w:rPr>
        <w:t>the Congo</w:t>
      </w:r>
      <w:r w:rsidRPr="00F144AF">
        <w:rPr>
          <w:lang w:val="en-CA"/>
        </w:rPr>
        <w:t xml:space="preserve"> reported HCFC sector consumption data under the 2018 CP implementation report which is consistent with the data reported under Article 7 of the Montreal Protocol. </w:t>
      </w:r>
    </w:p>
    <w:p w:rsidR="00255CDE" w:rsidRPr="00F144AF" w:rsidRDefault="00255CDE" w:rsidP="00B65047">
      <w:pPr>
        <w:rPr>
          <w:u w:val="single"/>
          <w:lang w:val="en-CA"/>
        </w:rPr>
      </w:pPr>
      <w:r w:rsidRPr="00F144AF">
        <w:rPr>
          <w:u w:val="single"/>
          <w:lang w:val="en-CA"/>
        </w:rPr>
        <w:t xml:space="preserve">Progress report on the implementation of the </w:t>
      </w:r>
      <w:r w:rsidR="006B6024" w:rsidRPr="00F144AF">
        <w:rPr>
          <w:u w:val="single"/>
          <w:lang w:val="en-CA"/>
        </w:rPr>
        <w:t>third</w:t>
      </w:r>
      <w:r w:rsidRPr="00F144AF">
        <w:rPr>
          <w:u w:val="single"/>
          <w:lang w:val="en-CA"/>
        </w:rPr>
        <w:t xml:space="preserve"> tranche of the HPMP</w:t>
      </w:r>
    </w:p>
    <w:p w:rsidR="00255CDE" w:rsidRPr="00F144AF" w:rsidRDefault="00255CDE" w:rsidP="00B65047">
      <w:pPr>
        <w:rPr>
          <w:lang w:val="en-CA"/>
        </w:rPr>
      </w:pPr>
    </w:p>
    <w:p w:rsidR="00255CDE" w:rsidRPr="00F144AF" w:rsidRDefault="00255CDE" w:rsidP="00B65047">
      <w:pPr>
        <w:rPr>
          <w:i/>
          <w:lang w:val="en-CA"/>
        </w:rPr>
      </w:pPr>
      <w:r w:rsidRPr="00F144AF">
        <w:rPr>
          <w:i/>
          <w:lang w:val="en-CA"/>
        </w:rPr>
        <w:t>Legal framework</w:t>
      </w:r>
    </w:p>
    <w:p w:rsidR="00255CDE" w:rsidRPr="00F144AF" w:rsidRDefault="00255CDE" w:rsidP="00B65047">
      <w:pPr>
        <w:rPr>
          <w:lang w:val="en-CA"/>
        </w:rPr>
      </w:pPr>
    </w:p>
    <w:p w:rsidR="006B6024" w:rsidRPr="00F144AF" w:rsidRDefault="006B6024" w:rsidP="00B65047">
      <w:pPr>
        <w:pStyle w:val="Heading1"/>
        <w:rPr>
          <w:lang w:val="en-CA"/>
        </w:rPr>
      </w:pPr>
      <w:r w:rsidRPr="00F144AF">
        <w:rPr>
          <w:lang w:val="en-CA"/>
        </w:rPr>
        <w:t xml:space="preserve">The HCFC import/export licensing of ODS in the Congo is covered under the Regulation Framework Decree of 13 May 2002, which controls the import, export and re-export of ODS and equipment containing ODS (including HCFC). This is further strengthened with a sub-regional regulation established by the </w:t>
      </w:r>
      <w:proofErr w:type="spellStart"/>
      <w:r w:rsidRPr="00F144AF">
        <w:rPr>
          <w:lang w:val="en-CA"/>
        </w:rPr>
        <w:t>Communauté</w:t>
      </w:r>
      <w:proofErr w:type="spellEnd"/>
      <w:r w:rsidRPr="00F144AF">
        <w:rPr>
          <w:lang w:val="en-CA"/>
        </w:rPr>
        <w:t xml:space="preserve"> </w:t>
      </w:r>
      <w:proofErr w:type="spellStart"/>
      <w:r w:rsidRPr="00F144AF">
        <w:rPr>
          <w:lang w:val="en-CA"/>
        </w:rPr>
        <w:t>Economique</w:t>
      </w:r>
      <w:proofErr w:type="spellEnd"/>
      <w:r w:rsidRPr="00F144AF">
        <w:rPr>
          <w:lang w:val="en-CA"/>
        </w:rPr>
        <w:t xml:space="preserve"> et </w:t>
      </w:r>
      <w:proofErr w:type="spellStart"/>
      <w:r w:rsidRPr="00F144AF">
        <w:rPr>
          <w:lang w:val="en-CA"/>
        </w:rPr>
        <w:t>Monétaire</w:t>
      </w:r>
      <w:proofErr w:type="spellEnd"/>
      <w:r w:rsidRPr="00F144AF">
        <w:rPr>
          <w:lang w:val="en-CA"/>
        </w:rPr>
        <w:t xml:space="preserve"> de </w:t>
      </w:r>
      <w:proofErr w:type="spellStart"/>
      <w:r w:rsidRPr="00F144AF">
        <w:rPr>
          <w:lang w:val="en-CA"/>
        </w:rPr>
        <w:t>l’Afrique</w:t>
      </w:r>
      <w:proofErr w:type="spellEnd"/>
      <w:r w:rsidRPr="00F144AF">
        <w:rPr>
          <w:lang w:val="en-CA"/>
        </w:rPr>
        <w:t xml:space="preserve"> Centrale (CEMAC) in November 2004, which aims at harmonization of the regulations relating to the imp</w:t>
      </w:r>
      <w:r w:rsidR="00F15F6C" w:rsidRPr="00F144AF">
        <w:rPr>
          <w:lang w:val="en-CA"/>
        </w:rPr>
        <w:t>ortation, marketing, use and re</w:t>
      </w:r>
      <w:r w:rsidR="00F15F6C" w:rsidRPr="00F144AF">
        <w:rPr>
          <w:lang w:val="en-CA"/>
        </w:rPr>
        <w:noBreakHyphen/>
      </w:r>
      <w:r w:rsidRPr="00F144AF">
        <w:rPr>
          <w:lang w:val="en-CA"/>
        </w:rPr>
        <w:t>exportation of ODS and their containers. The CEMAC regulations also control HCFC and HCFC-based equipment.</w:t>
      </w:r>
      <w:r w:rsidR="00862189" w:rsidRPr="00F144AF">
        <w:rPr>
          <w:lang w:val="en-CA"/>
        </w:rPr>
        <w:t xml:space="preserve"> The Government also proposes to implement regulations on certification of technicians in 2020</w:t>
      </w:r>
      <w:r w:rsidR="007F17D1" w:rsidRPr="00F144AF">
        <w:rPr>
          <w:lang w:val="en-CA"/>
        </w:rPr>
        <w:t>.</w:t>
      </w:r>
    </w:p>
    <w:p w:rsidR="00255CDE" w:rsidRPr="00F144AF" w:rsidRDefault="00255CDE" w:rsidP="00B65047">
      <w:pPr>
        <w:rPr>
          <w:i/>
          <w:lang w:val="en-CA"/>
        </w:rPr>
      </w:pPr>
      <w:r w:rsidRPr="00F144AF">
        <w:rPr>
          <w:i/>
          <w:lang w:val="en-CA"/>
        </w:rPr>
        <w:t>Refrigeration servicing sector</w:t>
      </w:r>
    </w:p>
    <w:p w:rsidR="00255CDE" w:rsidRPr="00F144AF" w:rsidRDefault="00255CDE" w:rsidP="00B65047">
      <w:pPr>
        <w:rPr>
          <w:lang w:val="en-CA"/>
        </w:rPr>
      </w:pPr>
    </w:p>
    <w:p w:rsidR="00156E93" w:rsidRPr="00F144AF" w:rsidRDefault="00156E93" w:rsidP="00B65047">
      <w:pPr>
        <w:pStyle w:val="Heading1"/>
        <w:rPr>
          <w:lang w:val="en-CA"/>
        </w:rPr>
      </w:pPr>
      <w:r w:rsidRPr="00F144AF">
        <w:rPr>
          <w:lang w:val="en-CA"/>
        </w:rPr>
        <w:t xml:space="preserve">The following activities </w:t>
      </w:r>
      <w:r w:rsidR="00172A5D" w:rsidRPr="00F144AF">
        <w:rPr>
          <w:lang w:val="en-CA"/>
        </w:rPr>
        <w:t>have been conducted</w:t>
      </w:r>
      <w:r w:rsidRPr="00F144AF">
        <w:rPr>
          <w:lang w:val="en-CA"/>
        </w:rPr>
        <w:t>:</w:t>
      </w:r>
    </w:p>
    <w:p w:rsidR="00156E93" w:rsidRPr="00F144AF" w:rsidRDefault="00156E93" w:rsidP="00B65047">
      <w:pPr>
        <w:pStyle w:val="Heading2"/>
        <w:rPr>
          <w:lang w:val="en-CA"/>
        </w:rPr>
      </w:pPr>
      <w:r w:rsidRPr="00F144AF">
        <w:rPr>
          <w:lang w:val="en-CA"/>
        </w:rPr>
        <w:t xml:space="preserve">Three workshops for 69 customs and trade officers on the identification and control of HCFCs and HCFC-based equipment; one more training workshop for 25 participants is scheduled in November 2019; </w:t>
      </w:r>
    </w:p>
    <w:p w:rsidR="00C43D3D" w:rsidRPr="00F144AF" w:rsidRDefault="00C43D3D" w:rsidP="00D97D6F">
      <w:pPr>
        <w:pStyle w:val="Heading2"/>
        <w:keepNext/>
        <w:keepLines/>
        <w:rPr>
          <w:lang w:val="en-CA"/>
        </w:rPr>
      </w:pPr>
      <w:r w:rsidRPr="00F144AF">
        <w:rPr>
          <w:lang w:val="en-CA"/>
        </w:rPr>
        <w:lastRenderedPageBreak/>
        <w:t>Purchase and distribution of 13 refrigerant identifiers to customs, national ozone unit (NOU) office and administrative departments related to customs and border controls</w:t>
      </w:r>
      <w:r w:rsidR="00B761F2" w:rsidRPr="00F144AF">
        <w:rPr>
          <w:lang w:val="en-CA"/>
        </w:rPr>
        <w:t xml:space="preserve"> </w:t>
      </w:r>
      <w:r w:rsidR="000901BF">
        <w:rPr>
          <w:lang w:val="en-CA"/>
        </w:rPr>
        <w:t xml:space="preserve">to strengthen the </w:t>
      </w:r>
      <w:r w:rsidR="00B761F2" w:rsidRPr="00F144AF">
        <w:rPr>
          <w:lang w:val="en-CA"/>
        </w:rPr>
        <w:t xml:space="preserve">monitoring </w:t>
      </w:r>
      <w:r w:rsidR="000901BF">
        <w:rPr>
          <w:lang w:val="en-CA"/>
        </w:rPr>
        <w:t xml:space="preserve">of </w:t>
      </w:r>
      <w:r w:rsidR="00B761F2" w:rsidRPr="00F144AF">
        <w:rPr>
          <w:lang w:val="en-CA"/>
        </w:rPr>
        <w:t>trade of HCFCs</w:t>
      </w:r>
      <w:r w:rsidRPr="00F144AF">
        <w:rPr>
          <w:lang w:val="en-CA"/>
        </w:rPr>
        <w:t>;</w:t>
      </w:r>
    </w:p>
    <w:p w:rsidR="00156E93" w:rsidRPr="00F144AF" w:rsidRDefault="00156E93" w:rsidP="00B65047">
      <w:pPr>
        <w:pStyle w:val="Heading2"/>
        <w:rPr>
          <w:lang w:val="en-CA"/>
        </w:rPr>
      </w:pPr>
      <w:r w:rsidRPr="00F144AF">
        <w:rPr>
          <w:lang w:val="en-CA"/>
        </w:rPr>
        <w:t xml:space="preserve">Three workshops for 49 refrigeration technicians on good servicing practices for </w:t>
      </w:r>
      <w:r w:rsidR="000C486D" w:rsidRPr="00F144AF">
        <w:rPr>
          <w:lang w:val="en-CA"/>
        </w:rPr>
        <w:t>refrigeration and air-conditioning (</w:t>
      </w:r>
      <w:r w:rsidRPr="00F144AF">
        <w:rPr>
          <w:lang w:val="en-CA"/>
        </w:rPr>
        <w:t>RAC</w:t>
      </w:r>
      <w:r w:rsidR="000C486D" w:rsidRPr="00F144AF">
        <w:rPr>
          <w:lang w:val="en-CA"/>
        </w:rPr>
        <w:t>)</w:t>
      </w:r>
      <w:r w:rsidRPr="00F144AF">
        <w:rPr>
          <w:lang w:val="en-CA"/>
        </w:rPr>
        <w:t xml:space="preserve"> equipment and safe handling of hydrocarbon</w:t>
      </w:r>
      <w:r w:rsidR="000C486D" w:rsidRPr="00F144AF">
        <w:rPr>
          <w:lang w:val="en-CA"/>
        </w:rPr>
        <w:noBreakHyphen/>
      </w:r>
      <w:r w:rsidRPr="00F144AF">
        <w:rPr>
          <w:lang w:val="en-CA"/>
        </w:rPr>
        <w:t>refrigerants</w:t>
      </w:r>
      <w:r w:rsidR="00D04114" w:rsidRPr="00F144AF">
        <w:rPr>
          <w:lang w:val="en-CA"/>
        </w:rPr>
        <w:t>.  The Government is planning to organise three more training workshops for 90 participants by December 2019</w:t>
      </w:r>
      <w:r w:rsidRPr="00F144AF">
        <w:rPr>
          <w:lang w:val="en-CA"/>
        </w:rPr>
        <w:t>;</w:t>
      </w:r>
      <w:r w:rsidR="00490930" w:rsidRPr="00F144AF">
        <w:rPr>
          <w:lang w:val="en-CA"/>
        </w:rPr>
        <w:t xml:space="preserve"> and</w:t>
      </w:r>
    </w:p>
    <w:p w:rsidR="00156E93" w:rsidRPr="00F144AF" w:rsidRDefault="00C43D3D" w:rsidP="00B65047">
      <w:pPr>
        <w:pStyle w:val="Heading2"/>
        <w:rPr>
          <w:lang w:val="en-CA"/>
        </w:rPr>
      </w:pPr>
      <w:r w:rsidRPr="00F144AF">
        <w:rPr>
          <w:lang w:val="en-CA"/>
        </w:rPr>
        <w:t>P</w:t>
      </w:r>
      <w:r w:rsidR="005251C4" w:rsidRPr="00F144AF">
        <w:rPr>
          <w:lang w:val="en-CA"/>
        </w:rPr>
        <w:t>urchase and distribution of 30 </w:t>
      </w:r>
      <w:r w:rsidR="00156E93" w:rsidRPr="00F144AF">
        <w:rPr>
          <w:lang w:val="en-CA"/>
        </w:rPr>
        <w:t>R-290 air-conditioning units to</w:t>
      </w:r>
      <w:r w:rsidR="00F4720E" w:rsidRPr="00F144AF">
        <w:rPr>
          <w:lang w:val="en-CA"/>
        </w:rPr>
        <w:t xml:space="preserve"> </w:t>
      </w:r>
      <w:r w:rsidR="00D21C2C" w:rsidRPr="00F144AF">
        <w:rPr>
          <w:lang w:val="en-CA"/>
        </w:rPr>
        <w:t xml:space="preserve">the </w:t>
      </w:r>
      <w:r w:rsidR="00F4720E" w:rsidRPr="00F144AF">
        <w:rPr>
          <w:lang w:val="en-CA"/>
        </w:rPr>
        <w:t xml:space="preserve">NOU, </w:t>
      </w:r>
      <w:r w:rsidR="00D21C2C" w:rsidRPr="00F144AF">
        <w:rPr>
          <w:lang w:val="en-CA"/>
        </w:rPr>
        <w:t xml:space="preserve">the </w:t>
      </w:r>
      <w:r w:rsidR="00F4720E" w:rsidRPr="00F144AF">
        <w:rPr>
          <w:lang w:val="en-CA"/>
        </w:rPr>
        <w:t xml:space="preserve">Ministry of Tourism and Environment and to </w:t>
      </w:r>
      <w:r w:rsidR="001133A9" w:rsidRPr="00F144AF">
        <w:rPr>
          <w:lang w:val="en-CA"/>
        </w:rPr>
        <w:t>different Government</w:t>
      </w:r>
      <w:r w:rsidR="00F4720E" w:rsidRPr="00F144AF">
        <w:rPr>
          <w:lang w:val="en-CA"/>
        </w:rPr>
        <w:t xml:space="preserve"> </w:t>
      </w:r>
      <w:r w:rsidR="005251C4" w:rsidRPr="00F144AF">
        <w:rPr>
          <w:lang w:val="en-CA"/>
        </w:rPr>
        <w:t>departments</w:t>
      </w:r>
      <w:r w:rsidR="00F4720E" w:rsidRPr="00F144AF">
        <w:rPr>
          <w:lang w:val="en-CA"/>
        </w:rPr>
        <w:t xml:space="preserve"> in 12 other cities </w:t>
      </w:r>
      <w:r w:rsidR="001133A9" w:rsidRPr="00F144AF">
        <w:rPr>
          <w:lang w:val="en-CA"/>
        </w:rPr>
        <w:t>for publicising</w:t>
      </w:r>
      <w:r w:rsidR="00B761F2" w:rsidRPr="00F144AF">
        <w:rPr>
          <w:lang w:val="en-CA"/>
        </w:rPr>
        <w:t xml:space="preserve"> and show-casing</w:t>
      </w:r>
      <w:r w:rsidR="001133A9" w:rsidRPr="00F144AF">
        <w:rPr>
          <w:lang w:val="en-CA"/>
        </w:rPr>
        <w:t xml:space="preserve"> low-</w:t>
      </w:r>
      <w:r w:rsidR="00523D56" w:rsidRPr="00F144AF">
        <w:rPr>
          <w:lang w:val="en-CA"/>
        </w:rPr>
        <w:t>global-warming potential (</w:t>
      </w:r>
      <w:r w:rsidR="001133A9" w:rsidRPr="00F144AF">
        <w:rPr>
          <w:lang w:val="en-CA"/>
        </w:rPr>
        <w:t>GWP</w:t>
      </w:r>
      <w:r w:rsidR="00523D56" w:rsidRPr="00F144AF">
        <w:rPr>
          <w:lang w:val="en-CA"/>
        </w:rPr>
        <w:t>)</w:t>
      </w:r>
      <w:r w:rsidR="001133A9" w:rsidRPr="00F144AF">
        <w:rPr>
          <w:lang w:val="en-CA"/>
        </w:rPr>
        <w:t xml:space="preserve"> product tec</w:t>
      </w:r>
      <w:r w:rsidR="00AA3286" w:rsidRPr="00F144AF">
        <w:rPr>
          <w:lang w:val="en-CA"/>
        </w:rPr>
        <w:t>hnology and product performance.</w:t>
      </w:r>
    </w:p>
    <w:p w:rsidR="007A0B5A" w:rsidRPr="00F144AF" w:rsidRDefault="007A0B5A" w:rsidP="00B65047">
      <w:pPr>
        <w:rPr>
          <w:lang w:val="en-CA"/>
        </w:rPr>
      </w:pPr>
      <w:r w:rsidRPr="00F144AF">
        <w:rPr>
          <w:lang w:val="en-CA"/>
        </w:rPr>
        <w:t>Project implementation and monitoring unit (PMU)</w:t>
      </w:r>
    </w:p>
    <w:p w:rsidR="007A0B5A" w:rsidRPr="00F144AF" w:rsidRDefault="007A0B5A" w:rsidP="00B65047">
      <w:pPr>
        <w:rPr>
          <w:lang w:val="en-CA"/>
        </w:rPr>
      </w:pPr>
    </w:p>
    <w:p w:rsidR="007A0B5A" w:rsidRPr="00F144AF" w:rsidRDefault="007A0B5A" w:rsidP="00B65047">
      <w:pPr>
        <w:pStyle w:val="Heading1"/>
        <w:rPr>
          <w:lang w:val="en-CA"/>
        </w:rPr>
      </w:pPr>
      <w:r w:rsidRPr="00F144AF">
        <w:rPr>
          <w:lang w:val="en-CA"/>
        </w:rPr>
        <w:t>The NOU has been overseeing the implementation of the HPMP and collecting relevant data with the assistance of two consultants. The PMU expenditures amount to US $5,000 for staff and consultant expenses, US $4,000 for travel and US $1,000 for communication expenses; this is equal to the funding allocated for the PMU.</w:t>
      </w:r>
    </w:p>
    <w:p w:rsidR="00255CDE" w:rsidRPr="00F144AF" w:rsidRDefault="00255CDE" w:rsidP="00B65047">
      <w:pPr>
        <w:keepNext/>
        <w:rPr>
          <w:u w:val="single"/>
          <w:lang w:val="en-CA"/>
        </w:rPr>
      </w:pPr>
      <w:r w:rsidRPr="00F144AF">
        <w:rPr>
          <w:u w:val="single"/>
          <w:lang w:val="en-CA"/>
        </w:rPr>
        <w:t>Level of fund disbursement</w:t>
      </w:r>
    </w:p>
    <w:p w:rsidR="00255CDE" w:rsidRPr="00F144AF" w:rsidRDefault="00255CDE" w:rsidP="00B65047">
      <w:pPr>
        <w:keepNext/>
        <w:rPr>
          <w:lang w:val="en-CA"/>
        </w:rPr>
      </w:pPr>
    </w:p>
    <w:p w:rsidR="00255CDE" w:rsidRPr="00F144AF" w:rsidRDefault="00255CDE" w:rsidP="00B65047">
      <w:pPr>
        <w:pStyle w:val="Heading1"/>
        <w:keepNext/>
        <w:rPr>
          <w:b/>
          <w:lang w:val="en-CA"/>
        </w:rPr>
      </w:pPr>
      <w:r w:rsidRPr="00F144AF">
        <w:rPr>
          <w:lang w:val="en-CA"/>
        </w:rPr>
        <w:t xml:space="preserve">As of </w:t>
      </w:r>
      <w:r w:rsidR="00E67B54" w:rsidRPr="00F144AF">
        <w:rPr>
          <w:lang w:val="en-CA"/>
        </w:rPr>
        <w:t>October</w:t>
      </w:r>
      <w:r w:rsidRPr="00F144AF">
        <w:rPr>
          <w:lang w:val="en-CA"/>
        </w:rPr>
        <w:t xml:space="preserve"> 2019, of the US $</w:t>
      </w:r>
      <w:r w:rsidR="00E67B54" w:rsidRPr="00F144AF">
        <w:rPr>
          <w:lang w:val="en-CA"/>
        </w:rPr>
        <w:t>288,626</w:t>
      </w:r>
      <w:r w:rsidRPr="00F144AF">
        <w:rPr>
          <w:lang w:val="en-CA"/>
        </w:rPr>
        <w:t xml:space="preserve"> approved so far, US $</w:t>
      </w:r>
      <w:r w:rsidR="00E67B54" w:rsidRPr="00F144AF">
        <w:rPr>
          <w:lang w:val="en-CA"/>
        </w:rPr>
        <w:t>261,953</w:t>
      </w:r>
      <w:r w:rsidRPr="00F144AF">
        <w:rPr>
          <w:lang w:val="en-CA"/>
        </w:rPr>
        <w:t xml:space="preserve"> had been disbursed (US $</w:t>
      </w:r>
      <w:r w:rsidR="00E67B54" w:rsidRPr="00F144AF">
        <w:rPr>
          <w:lang w:val="en-CA"/>
        </w:rPr>
        <w:t>95,000</w:t>
      </w:r>
      <w:r w:rsidRPr="00F144AF">
        <w:rPr>
          <w:lang w:val="en-CA"/>
        </w:rPr>
        <w:t xml:space="preserve"> for </w:t>
      </w:r>
      <w:r w:rsidR="002374A8" w:rsidRPr="00F144AF">
        <w:rPr>
          <w:lang w:val="en-CA"/>
        </w:rPr>
        <w:t>UNEP</w:t>
      </w:r>
      <w:r w:rsidRPr="00F144AF">
        <w:rPr>
          <w:lang w:val="en-CA"/>
        </w:rPr>
        <w:t xml:space="preserve"> and US $</w:t>
      </w:r>
      <w:r w:rsidR="00E67B54" w:rsidRPr="00F144AF">
        <w:rPr>
          <w:lang w:val="en-CA"/>
        </w:rPr>
        <w:t>166,953</w:t>
      </w:r>
      <w:r w:rsidRPr="00F144AF">
        <w:rPr>
          <w:lang w:val="en-CA"/>
        </w:rPr>
        <w:t xml:space="preserve"> for</w:t>
      </w:r>
      <w:r w:rsidR="002374A8" w:rsidRPr="00F144AF">
        <w:rPr>
          <w:lang w:val="en-CA"/>
        </w:rPr>
        <w:t xml:space="preserve"> </w:t>
      </w:r>
      <w:r w:rsidR="003D7069" w:rsidRPr="00F144AF">
        <w:rPr>
          <w:lang w:val="en-CA"/>
        </w:rPr>
        <w:t>UNIDO</w:t>
      </w:r>
      <w:r w:rsidRPr="00F144AF">
        <w:rPr>
          <w:lang w:val="en-CA"/>
        </w:rPr>
        <w:t>) as shown in Table 2. The balance of US $</w:t>
      </w:r>
      <w:r w:rsidR="002B102E" w:rsidRPr="00F144AF">
        <w:rPr>
          <w:lang w:val="en-CA"/>
        </w:rPr>
        <w:t>26,673</w:t>
      </w:r>
      <w:r w:rsidRPr="00F144AF">
        <w:rPr>
          <w:lang w:val="en-CA"/>
        </w:rPr>
        <w:t xml:space="preserve"> </w:t>
      </w:r>
      <w:r w:rsidR="00D04114" w:rsidRPr="00F144AF">
        <w:rPr>
          <w:lang w:val="en-CA"/>
        </w:rPr>
        <w:t>is expected to</w:t>
      </w:r>
      <w:r w:rsidRPr="00F144AF">
        <w:rPr>
          <w:lang w:val="en-CA"/>
        </w:rPr>
        <w:t xml:space="preserve"> be disbursed</w:t>
      </w:r>
      <w:r w:rsidR="00B32AE4" w:rsidRPr="00F144AF">
        <w:rPr>
          <w:lang w:val="en-CA"/>
        </w:rPr>
        <w:t xml:space="preserve"> </w:t>
      </w:r>
      <w:r w:rsidR="001133A9" w:rsidRPr="00F144AF">
        <w:rPr>
          <w:lang w:val="en-CA"/>
        </w:rPr>
        <w:t xml:space="preserve">by </w:t>
      </w:r>
      <w:r w:rsidR="00B32AE4" w:rsidRPr="00F144AF">
        <w:rPr>
          <w:lang w:val="en-CA"/>
        </w:rPr>
        <w:t xml:space="preserve">30 June </w:t>
      </w:r>
      <w:r w:rsidR="001133A9" w:rsidRPr="00F144AF">
        <w:rPr>
          <w:lang w:val="en-CA"/>
        </w:rPr>
        <w:t>2020</w:t>
      </w:r>
      <w:r w:rsidRPr="00F144AF">
        <w:rPr>
          <w:b/>
          <w:lang w:val="en-CA"/>
        </w:rPr>
        <w:t>.</w:t>
      </w:r>
    </w:p>
    <w:p w:rsidR="00255CDE" w:rsidRPr="00F144AF" w:rsidRDefault="00255CDE" w:rsidP="00B65047">
      <w:pPr>
        <w:rPr>
          <w:b/>
          <w:lang w:val="en-CA"/>
        </w:rPr>
      </w:pPr>
      <w:r w:rsidRPr="00F144AF">
        <w:rPr>
          <w:b/>
          <w:lang w:val="en-CA"/>
        </w:rPr>
        <w:t xml:space="preserve">Table 2. Financial report of stage I of the HPMP for </w:t>
      </w:r>
      <w:r w:rsidR="008D0CB9" w:rsidRPr="00F144AF">
        <w:rPr>
          <w:b/>
          <w:lang w:val="en-CA"/>
        </w:rPr>
        <w:t>the Congo</w:t>
      </w:r>
      <w:r w:rsidRPr="00F144AF">
        <w:rPr>
          <w:b/>
          <w:lang w:val="en-CA"/>
        </w:rPr>
        <w:t xml:space="preserve"> (US $)</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F144AF" w:rsidRPr="00F144AF" w:rsidTr="00B6015E">
        <w:trPr>
          <w:trHeight w:val="404"/>
          <w:tblHeader/>
        </w:trPr>
        <w:tc>
          <w:tcPr>
            <w:tcW w:w="2671" w:type="dxa"/>
            <w:gridSpan w:val="2"/>
            <w:shd w:val="clear" w:color="auto" w:fill="auto"/>
            <w:noWrap/>
            <w:vAlign w:val="center"/>
            <w:hideMark/>
          </w:tcPr>
          <w:p w:rsidR="00255CDE" w:rsidRPr="00F144AF" w:rsidRDefault="00255CDE" w:rsidP="00B65047">
            <w:pPr>
              <w:rPr>
                <w:b/>
                <w:bCs/>
                <w:sz w:val="20"/>
                <w:szCs w:val="20"/>
                <w:lang w:val="en-CA" w:eastAsia="en-CA"/>
              </w:rPr>
            </w:pPr>
            <w:r w:rsidRPr="00F144AF">
              <w:rPr>
                <w:b/>
                <w:bCs/>
                <w:sz w:val="20"/>
                <w:szCs w:val="20"/>
                <w:lang w:val="en-CA" w:eastAsia="en-CA"/>
              </w:rPr>
              <w:t>Tranche</w:t>
            </w:r>
          </w:p>
        </w:tc>
        <w:tc>
          <w:tcPr>
            <w:tcW w:w="1417" w:type="dxa"/>
            <w:shd w:val="clear" w:color="auto" w:fill="auto"/>
            <w:noWrap/>
            <w:vAlign w:val="center"/>
            <w:hideMark/>
          </w:tcPr>
          <w:p w:rsidR="00255CDE" w:rsidRPr="00F144AF" w:rsidRDefault="003D7069" w:rsidP="00B65047">
            <w:pPr>
              <w:jc w:val="center"/>
              <w:rPr>
                <w:b/>
                <w:sz w:val="20"/>
                <w:szCs w:val="20"/>
                <w:lang w:val="en-CA" w:eastAsia="en-CA"/>
              </w:rPr>
            </w:pPr>
            <w:r w:rsidRPr="00F144AF">
              <w:rPr>
                <w:b/>
                <w:sz w:val="20"/>
                <w:szCs w:val="20"/>
                <w:lang w:val="en-CA" w:eastAsia="en-CA"/>
              </w:rPr>
              <w:t>UNEP</w:t>
            </w:r>
          </w:p>
        </w:tc>
        <w:tc>
          <w:tcPr>
            <w:tcW w:w="1417" w:type="dxa"/>
            <w:vAlign w:val="center"/>
          </w:tcPr>
          <w:p w:rsidR="00255CDE" w:rsidRPr="00F144AF" w:rsidRDefault="003D7069" w:rsidP="00B65047">
            <w:pPr>
              <w:jc w:val="center"/>
              <w:rPr>
                <w:b/>
                <w:sz w:val="20"/>
                <w:szCs w:val="20"/>
                <w:lang w:val="en-CA" w:eastAsia="en-CA"/>
              </w:rPr>
            </w:pPr>
            <w:r w:rsidRPr="00F144AF">
              <w:rPr>
                <w:b/>
                <w:sz w:val="20"/>
                <w:szCs w:val="20"/>
                <w:lang w:val="en-CA" w:eastAsia="en-CA"/>
              </w:rPr>
              <w:t>UNIDO</w:t>
            </w:r>
          </w:p>
        </w:tc>
        <w:tc>
          <w:tcPr>
            <w:tcW w:w="1418" w:type="dxa"/>
            <w:shd w:val="clear" w:color="auto" w:fill="auto"/>
            <w:noWrap/>
            <w:vAlign w:val="center"/>
            <w:hideMark/>
          </w:tcPr>
          <w:p w:rsidR="00255CDE" w:rsidRPr="00F144AF" w:rsidRDefault="00255CDE" w:rsidP="00B65047">
            <w:pPr>
              <w:jc w:val="center"/>
              <w:rPr>
                <w:b/>
                <w:sz w:val="20"/>
                <w:szCs w:val="20"/>
                <w:lang w:val="en-CA" w:eastAsia="en-CA"/>
              </w:rPr>
            </w:pPr>
            <w:r w:rsidRPr="00F144AF">
              <w:rPr>
                <w:b/>
                <w:sz w:val="20"/>
                <w:szCs w:val="20"/>
                <w:lang w:val="en-CA" w:eastAsia="en-CA"/>
              </w:rPr>
              <w:t>Total</w:t>
            </w:r>
          </w:p>
        </w:tc>
        <w:tc>
          <w:tcPr>
            <w:tcW w:w="2410" w:type="dxa"/>
            <w:shd w:val="clear" w:color="auto" w:fill="auto"/>
            <w:noWrap/>
            <w:vAlign w:val="center"/>
            <w:hideMark/>
          </w:tcPr>
          <w:p w:rsidR="00255CDE" w:rsidRPr="00F144AF" w:rsidRDefault="00255CDE" w:rsidP="00B65047">
            <w:pPr>
              <w:jc w:val="center"/>
              <w:rPr>
                <w:b/>
                <w:sz w:val="20"/>
                <w:szCs w:val="20"/>
                <w:lang w:val="en-CA" w:eastAsia="en-CA"/>
              </w:rPr>
            </w:pPr>
            <w:r w:rsidRPr="00F144AF">
              <w:rPr>
                <w:b/>
                <w:sz w:val="20"/>
                <w:szCs w:val="20"/>
                <w:lang w:val="en-CA" w:eastAsia="en-CA"/>
              </w:rPr>
              <w:t>Disbursement rate (%)</w:t>
            </w:r>
          </w:p>
        </w:tc>
      </w:tr>
      <w:tr w:rsidR="00F144AF" w:rsidRPr="00F144AF" w:rsidTr="00B6015E">
        <w:trPr>
          <w:trHeight w:val="179"/>
        </w:trPr>
        <w:tc>
          <w:tcPr>
            <w:tcW w:w="1537" w:type="dxa"/>
            <w:vMerge w:val="restart"/>
            <w:shd w:val="clear" w:color="auto" w:fill="auto"/>
            <w:noWrap/>
            <w:vAlign w:val="center"/>
            <w:hideMark/>
          </w:tcPr>
          <w:p w:rsidR="00DF6A03" w:rsidRPr="00F144AF" w:rsidRDefault="00DF6A03" w:rsidP="00B65047">
            <w:pPr>
              <w:jc w:val="left"/>
              <w:rPr>
                <w:bCs/>
                <w:sz w:val="20"/>
                <w:szCs w:val="20"/>
                <w:lang w:val="en-CA" w:eastAsia="en-CA"/>
              </w:rPr>
            </w:pPr>
            <w:r w:rsidRPr="00F144AF">
              <w:rPr>
                <w:bCs/>
                <w:sz w:val="20"/>
                <w:szCs w:val="20"/>
                <w:lang w:val="en-CA" w:eastAsia="en-CA"/>
              </w:rPr>
              <w:t>First tranche</w:t>
            </w:r>
          </w:p>
        </w:tc>
        <w:tc>
          <w:tcPr>
            <w:tcW w:w="1134" w:type="dxa"/>
            <w:shd w:val="clear" w:color="auto" w:fill="auto"/>
            <w:noWrap/>
            <w:vAlign w:val="center"/>
            <w:hideMark/>
          </w:tcPr>
          <w:p w:rsidR="00DF6A03" w:rsidRPr="00F144AF" w:rsidRDefault="00DF6A03" w:rsidP="00B65047">
            <w:pPr>
              <w:rPr>
                <w:bCs/>
                <w:sz w:val="20"/>
                <w:szCs w:val="20"/>
                <w:lang w:val="en-CA" w:eastAsia="en-CA"/>
              </w:rPr>
            </w:pPr>
            <w:r w:rsidRPr="00F144AF">
              <w:rPr>
                <w:bCs/>
                <w:sz w:val="20"/>
                <w:szCs w:val="20"/>
                <w:lang w:val="en-CA" w:eastAsia="en-CA"/>
              </w:rPr>
              <w:t xml:space="preserve">Approved </w:t>
            </w:r>
          </w:p>
        </w:tc>
        <w:tc>
          <w:tcPr>
            <w:tcW w:w="1417" w:type="dxa"/>
            <w:shd w:val="clear" w:color="auto" w:fill="auto"/>
            <w:noWrap/>
            <w:vAlign w:val="center"/>
          </w:tcPr>
          <w:p w:rsidR="00DF6A03" w:rsidRPr="00F144AF" w:rsidRDefault="00DF6A03" w:rsidP="00B65047">
            <w:pPr>
              <w:jc w:val="right"/>
              <w:rPr>
                <w:sz w:val="20"/>
                <w:szCs w:val="20"/>
                <w:lang w:val="en-CA" w:eastAsia="en-CA"/>
              </w:rPr>
            </w:pPr>
            <w:r w:rsidRPr="00F144AF">
              <w:rPr>
                <w:sz w:val="20"/>
                <w:szCs w:val="20"/>
                <w:lang w:val="en-CA" w:eastAsia="en-CA"/>
              </w:rPr>
              <w:t>45,000</w:t>
            </w:r>
          </w:p>
        </w:tc>
        <w:tc>
          <w:tcPr>
            <w:tcW w:w="1417" w:type="dxa"/>
            <w:vAlign w:val="center"/>
          </w:tcPr>
          <w:p w:rsidR="00DF6A03" w:rsidRPr="00F144AF" w:rsidRDefault="00DF6A03" w:rsidP="00B65047">
            <w:pPr>
              <w:jc w:val="right"/>
              <w:rPr>
                <w:sz w:val="20"/>
                <w:szCs w:val="20"/>
                <w:lang w:val="en-CA" w:eastAsia="en-CA"/>
              </w:rPr>
            </w:pPr>
            <w:r w:rsidRPr="00F144AF">
              <w:rPr>
                <w:sz w:val="20"/>
                <w:szCs w:val="20"/>
                <w:lang w:val="en-CA" w:eastAsia="en-CA"/>
              </w:rPr>
              <w:t>98,626*</w:t>
            </w:r>
          </w:p>
        </w:tc>
        <w:tc>
          <w:tcPr>
            <w:tcW w:w="1418" w:type="dxa"/>
            <w:shd w:val="clear" w:color="auto" w:fill="auto"/>
            <w:noWrap/>
            <w:vAlign w:val="center"/>
          </w:tcPr>
          <w:p w:rsidR="00DF6A03" w:rsidRPr="00F144AF" w:rsidRDefault="00DF6A03" w:rsidP="00B65047">
            <w:pPr>
              <w:jc w:val="right"/>
              <w:rPr>
                <w:sz w:val="20"/>
                <w:szCs w:val="20"/>
                <w:lang w:val="en-CA" w:eastAsia="en-CA"/>
              </w:rPr>
            </w:pPr>
            <w:r w:rsidRPr="00F144AF">
              <w:rPr>
                <w:sz w:val="20"/>
                <w:szCs w:val="20"/>
                <w:lang w:val="en-CA" w:eastAsia="en-CA"/>
              </w:rPr>
              <w:t>143,626</w:t>
            </w:r>
          </w:p>
        </w:tc>
        <w:tc>
          <w:tcPr>
            <w:tcW w:w="2410" w:type="dxa"/>
            <w:vMerge w:val="restart"/>
            <w:shd w:val="clear" w:color="auto" w:fill="auto"/>
            <w:noWrap/>
            <w:vAlign w:val="center"/>
          </w:tcPr>
          <w:p w:rsidR="00DF6A03" w:rsidRPr="00F144AF" w:rsidRDefault="00DF6A03" w:rsidP="00B65047">
            <w:pPr>
              <w:jc w:val="center"/>
              <w:rPr>
                <w:b/>
                <w:sz w:val="20"/>
                <w:szCs w:val="20"/>
                <w:lang w:val="en-CA" w:eastAsia="en-CA"/>
              </w:rPr>
            </w:pPr>
            <w:r w:rsidRPr="00F144AF">
              <w:rPr>
                <w:b/>
                <w:sz w:val="20"/>
                <w:szCs w:val="20"/>
                <w:lang w:val="en-CA" w:eastAsia="en-CA"/>
              </w:rPr>
              <w:t>100</w:t>
            </w:r>
          </w:p>
        </w:tc>
      </w:tr>
      <w:tr w:rsidR="00F144AF" w:rsidRPr="00F144AF" w:rsidTr="00B6015E">
        <w:trPr>
          <w:trHeight w:val="215"/>
        </w:trPr>
        <w:tc>
          <w:tcPr>
            <w:tcW w:w="1537" w:type="dxa"/>
            <w:vMerge/>
            <w:vAlign w:val="center"/>
            <w:hideMark/>
          </w:tcPr>
          <w:p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Disbursed </w:t>
            </w:r>
          </w:p>
        </w:tc>
        <w:tc>
          <w:tcPr>
            <w:tcW w:w="1417" w:type="dxa"/>
            <w:shd w:val="clear" w:color="auto" w:fill="auto"/>
            <w:noWrap/>
            <w:vAlign w:val="center"/>
          </w:tcPr>
          <w:p w:rsidR="00255CDE" w:rsidRPr="00F144AF" w:rsidRDefault="00DF6A03" w:rsidP="00B65047">
            <w:pPr>
              <w:jc w:val="right"/>
              <w:rPr>
                <w:sz w:val="20"/>
                <w:szCs w:val="20"/>
                <w:lang w:val="en-CA" w:eastAsia="en-CA"/>
              </w:rPr>
            </w:pPr>
            <w:r w:rsidRPr="00F144AF">
              <w:rPr>
                <w:sz w:val="20"/>
                <w:szCs w:val="20"/>
                <w:lang w:val="en-CA" w:eastAsia="en-CA"/>
              </w:rPr>
              <w:t>45,000</w:t>
            </w:r>
          </w:p>
        </w:tc>
        <w:tc>
          <w:tcPr>
            <w:tcW w:w="1417" w:type="dxa"/>
            <w:vAlign w:val="center"/>
          </w:tcPr>
          <w:p w:rsidR="00255CDE" w:rsidRPr="00F144AF" w:rsidRDefault="00DF6A03" w:rsidP="00B65047">
            <w:pPr>
              <w:jc w:val="right"/>
              <w:rPr>
                <w:sz w:val="20"/>
                <w:szCs w:val="20"/>
                <w:lang w:val="en-CA" w:eastAsia="en-CA"/>
              </w:rPr>
            </w:pPr>
            <w:r w:rsidRPr="00F144AF">
              <w:rPr>
                <w:sz w:val="20"/>
                <w:szCs w:val="20"/>
                <w:lang w:val="en-CA" w:eastAsia="en-CA"/>
              </w:rPr>
              <w:t>98,626</w:t>
            </w:r>
          </w:p>
        </w:tc>
        <w:tc>
          <w:tcPr>
            <w:tcW w:w="1418" w:type="dxa"/>
            <w:shd w:val="clear" w:color="auto" w:fill="auto"/>
            <w:noWrap/>
            <w:vAlign w:val="center"/>
          </w:tcPr>
          <w:p w:rsidR="00255CDE" w:rsidRPr="00F144AF" w:rsidRDefault="00DF6A03" w:rsidP="00B65047">
            <w:pPr>
              <w:jc w:val="right"/>
              <w:rPr>
                <w:sz w:val="20"/>
                <w:szCs w:val="20"/>
                <w:lang w:val="en-CA" w:eastAsia="en-CA"/>
              </w:rPr>
            </w:pPr>
            <w:r w:rsidRPr="00F144AF">
              <w:rPr>
                <w:sz w:val="20"/>
                <w:szCs w:val="20"/>
                <w:lang w:val="en-CA" w:eastAsia="en-CA"/>
              </w:rPr>
              <w:t>143,626</w:t>
            </w:r>
          </w:p>
        </w:tc>
        <w:tc>
          <w:tcPr>
            <w:tcW w:w="2410" w:type="dxa"/>
            <w:vMerge/>
            <w:vAlign w:val="center"/>
          </w:tcPr>
          <w:p w:rsidR="00255CDE" w:rsidRPr="00F144AF" w:rsidRDefault="00255CDE" w:rsidP="00B65047">
            <w:pPr>
              <w:jc w:val="center"/>
              <w:rPr>
                <w:sz w:val="20"/>
                <w:szCs w:val="20"/>
                <w:lang w:val="en-CA" w:eastAsia="en-CA"/>
              </w:rPr>
            </w:pPr>
          </w:p>
        </w:tc>
      </w:tr>
      <w:tr w:rsidR="00F144AF" w:rsidRPr="00F144AF" w:rsidTr="00B6015E">
        <w:trPr>
          <w:trHeight w:val="152"/>
        </w:trPr>
        <w:tc>
          <w:tcPr>
            <w:tcW w:w="1537" w:type="dxa"/>
            <w:vMerge w:val="restart"/>
            <w:shd w:val="clear" w:color="auto" w:fill="auto"/>
            <w:noWrap/>
            <w:vAlign w:val="center"/>
            <w:hideMark/>
          </w:tcPr>
          <w:p w:rsidR="00255CDE" w:rsidRPr="00F144AF" w:rsidRDefault="00255CDE" w:rsidP="00B65047">
            <w:pPr>
              <w:jc w:val="left"/>
              <w:rPr>
                <w:bCs/>
                <w:sz w:val="20"/>
                <w:szCs w:val="20"/>
                <w:lang w:val="en-CA" w:eastAsia="en-CA"/>
              </w:rPr>
            </w:pPr>
            <w:r w:rsidRPr="00F144AF">
              <w:rPr>
                <w:bCs/>
                <w:sz w:val="20"/>
                <w:szCs w:val="20"/>
                <w:lang w:val="en-CA" w:eastAsia="en-CA"/>
              </w:rPr>
              <w:t>Second tranche</w:t>
            </w:r>
          </w:p>
        </w:tc>
        <w:tc>
          <w:tcPr>
            <w:tcW w:w="1134" w:type="dxa"/>
            <w:shd w:val="clear" w:color="auto" w:fill="auto"/>
            <w:noWrap/>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Approved </w:t>
            </w:r>
          </w:p>
        </w:tc>
        <w:tc>
          <w:tcPr>
            <w:tcW w:w="1417" w:type="dxa"/>
            <w:shd w:val="clear" w:color="auto" w:fill="auto"/>
            <w:noWrap/>
            <w:vAlign w:val="center"/>
          </w:tcPr>
          <w:p w:rsidR="00255CDE" w:rsidRPr="00F144AF" w:rsidRDefault="003D7069" w:rsidP="00B65047">
            <w:pPr>
              <w:jc w:val="right"/>
              <w:rPr>
                <w:sz w:val="20"/>
                <w:szCs w:val="20"/>
                <w:lang w:val="en-CA" w:eastAsia="en-CA"/>
              </w:rPr>
            </w:pPr>
            <w:r w:rsidRPr="00F144AF">
              <w:rPr>
                <w:sz w:val="20"/>
                <w:szCs w:val="20"/>
                <w:lang w:val="en-CA" w:eastAsia="en-CA"/>
              </w:rPr>
              <w:t>30,000</w:t>
            </w:r>
          </w:p>
        </w:tc>
        <w:tc>
          <w:tcPr>
            <w:tcW w:w="1417" w:type="dxa"/>
            <w:vAlign w:val="center"/>
          </w:tcPr>
          <w:p w:rsidR="00255CDE" w:rsidRPr="00F144AF" w:rsidRDefault="003D7069" w:rsidP="00B65047">
            <w:pPr>
              <w:jc w:val="right"/>
              <w:rPr>
                <w:sz w:val="20"/>
                <w:szCs w:val="20"/>
                <w:lang w:val="en-CA" w:eastAsia="en-CA"/>
              </w:rPr>
            </w:pPr>
            <w:r w:rsidRPr="00F144AF">
              <w:rPr>
                <w:sz w:val="20"/>
                <w:szCs w:val="20"/>
                <w:lang w:val="en-CA" w:eastAsia="en-CA"/>
              </w:rPr>
              <w:t>0</w:t>
            </w:r>
          </w:p>
        </w:tc>
        <w:tc>
          <w:tcPr>
            <w:tcW w:w="1418" w:type="dxa"/>
            <w:shd w:val="clear" w:color="auto" w:fill="auto"/>
            <w:noWrap/>
            <w:vAlign w:val="center"/>
          </w:tcPr>
          <w:p w:rsidR="00255CDE" w:rsidRPr="00F144AF" w:rsidRDefault="003D7069" w:rsidP="00B65047">
            <w:pPr>
              <w:jc w:val="right"/>
              <w:rPr>
                <w:sz w:val="20"/>
                <w:szCs w:val="20"/>
                <w:lang w:val="en-CA" w:eastAsia="en-CA"/>
              </w:rPr>
            </w:pPr>
            <w:r w:rsidRPr="00F144AF">
              <w:rPr>
                <w:sz w:val="20"/>
                <w:szCs w:val="20"/>
                <w:lang w:val="en-CA" w:eastAsia="en-CA"/>
              </w:rPr>
              <w:t>30,000</w:t>
            </w:r>
          </w:p>
        </w:tc>
        <w:tc>
          <w:tcPr>
            <w:tcW w:w="2410" w:type="dxa"/>
            <w:vMerge w:val="restart"/>
            <w:shd w:val="clear" w:color="auto" w:fill="auto"/>
            <w:noWrap/>
            <w:vAlign w:val="center"/>
          </w:tcPr>
          <w:p w:rsidR="00255CDE" w:rsidRPr="00F144AF" w:rsidRDefault="00DF6A03" w:rsidP="00B65047">
            <w:pPr>
              <w:jc w:val="center"/>
              <w:rPr>
                <w:sz w:val="20"/>
                <w:szCs w:val="20"/>
                <w:lang w:val="en-CA" w:eastAsia="en-CA"/>
              </w:rPr>
            </w:pPr>
            <w:r w:rsidRPr="00F144AF">
              <w:rPr>
                <w:b/>
                <w:sz w:val="20"/>
                <w:szCs w:val="20"/>
                <w:lang w:val="en-CA" w:eastAsia="en-CA"/>
              </w:rPr>
              <w:t>100</w:t>
            </w:r>
          </w:p>
        </w:tc>
      </w:tr>
      <w:tr w:rsidR="00F144AF" w:rsidRPr="00F144AF" w:rsidTr="00B6015E">
        <w:trPr>
          <w:trHeight w:val="179"/>
        </w:trPr>
        <w:tc>
          <w:tcPr>
            <w:tcW w:w="1537" w:type="dxa"/>
            <w:vMerge/>
            <w:vAlign w:val="center"/>
            <w:hideMark/>
          </w:tcPr>
          <w:p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Disbursed </w:t>
            </w:r>
          </w:p>
        </w:tc>
        <w:tc>
          <w:tcPr>
            <w:tcW w:w="1417" w:type="dxa"/>
            <w:shd w:val="clear" w:color="auto" w:fill="auto"/>
            <w:noWrap/>
            <w:vAlign w:val="center"/>
          </w:tcPr>
          <w:p w:rsidR="00255CDE" w:rsidRPr="00F144AF" w:rsidRDefault="00DF6A03" w:rsidP="00B65047">
            <w:pPr>
              <w:jc w:val="right"/>
              <w:rPr>
                <w:sz w:val="20"/>
                <w:szCs w:val="20"/>
                <w:lang w:val="en-CA" w:eastAsia="en-CA"/>
              </w:rPr>
            </w:pPr>
            <w:r w:rsidRPr="00F144AF">
              <w:rPr>
                <w:sz w:val="20"/>
                <w:szCs w:val="20"/>
                <w:lang w:val="en-CA" w:eastAsia="en-CA"/>
              </w:rPr>
              <w:t>30,000</w:t>
            </w:r>
          </w:p>
        </w:tc>
        <w:tc>
          <w:tcPr>
            <w:tcW w:w="1417" w:type="dxa"/>
            <w:vAlign w:val="center"/>
          </w:tcPr>
          <w:p w:rsidR="00255CDE" w:rsidRPr="00F144AF" w:rsidRDefault="00DF6A03" w:rsidP="00B65047">
            <w:pPr>
              <w:jc w:val="right"/>
              <w:rPr>
                <w:sz w:val="20"/>
                <w:szCs w:val="20"/>
                <w:lang w:val="en-CA" w:eastAsia="en-CA"/>
              </w:rPr>
            </w:pPr>
            <w:r w:rsidRPr="00F144AF">
              <w:rPr>
                <w:sz w:val="20"/>
                <w:szCs w:val="20"/>
                <w:lang w:val="en-CA" w:eastAsia="en-CA"/>
              </w:rPr>
              <w:t>0</w:t>
            </w:r>
          </w:p>
        </w:tc>
        <w:tc>
          <w:tcPr>
            <w:tcW w:w="1418" w:type="dxa"/>
            <w:shd w:val="clear" w:color="auto" w:fill="auto"/>
            <w:noWrap/>
            <w:vAlign w:val="center"/>
          </w:tcPr>
          <w:p w:rsidR="00255CDE" w:rsidRPr="00F144AF" w:rsidRDefault="00DF6A03" w:rsidP="00B65047">
            <w:pPr>
              <w:jc w:val="right"/>
              <w:rPr>
                <w:sz w:val="20"/>
                <w:szCs w:val="20"/>
                <w:lang w:val="en-CA" w:eastAsia="en-CA"/>
              </w:rPr>
            </w:pPr>
            <w:r w:rsidRPr="00F144AF">
              <w:rPr>
                <w:sz w:val="20"/>
                <w:szCs w:val="20"/>
                <w:lang w:val="en-CA" w:eastAsia="en-CA"/>
              </w:rPr>
              <w:t>30,000</w:t>
            </w:r>
          </w:p>
        </w:tc>
        <w:tc>
          <w:tcPr>
            <w:tcW w:w="2410" w:type="dxa"/>
            <w:vMerge/>
            <w:vAlign w:val="center"/>
          </w:tcPr>
          <w:p w:rsidR="00255CDE" w:rsidRPr="00F144AF" w:rsidRDefault="00255CDE" w:rsidP="00B65047">
            <w:pPr>
              <w:jc w:val="center"/>
              <w:rPr>
                <w:sz w:val="20"/>
                <w:szCs w:val="20"/>
                <w:lang w:val="en-CA" w:eastAsia="en-CA"/>
              </w:rPr>
            </w:pPr>
          </w:p>
        </w:tc>
      </w:tr>
      <w:tr w:rsidR="00F144AF" w:rsidRPr="00F144AF" w:rsidTr="00B6015E">
        <w:trPr>
          <w:trHeight w:val="125"/>
        </w:trPr>
        <w:tc>
          <w:tcPr>
            <w:tcW w:w="1537" w:type="dxa"/>
            <w:vMerge w:val="restart"/>
            <w:shd w:val="clear" w:color="auto" w:fill="auto"/>
            <w:noWrap/>
            <w:vAlign w:val="center"/>
            <w:hideMark/>
          </w:tcPr>
          <w:p w:rsidR="00255CDE" w:rsidRPr="00F144AF" w:rsidRDefault="00255CDE" w:rsidP="00B65047">
            <w:pPr>
              <w:jc w:val="left"/>
              <w:rPr>
                <w:bCs/>
                <w:sz w:val="20"/>
                <w:szCs w:val="20"/>
                <w:lang w:val="en-CA" w:eastAsia="en-CA"/>
              </w:rPr>
            </w:pPr>
            <w:r w:rsidRPr="00F144AF">
              <w:rPr>
                <w:bCs/>
                <w:sz w:val="20"/>
                <w:szCs w:val="20"/>
                <w:lang w:val="en-CA" w:eastAsia="en-CA"/>
              </w:rPr>
              <w:t>Third tranche</w:t>
            </w:r>
          </w:p>
        </w:tc>
        <w:tc>
          <w:tcPr>
            <w:tcW w:w="1134" w:type="dxa"/>
            <w:shd w:val="clear" w:color="auto" w:fill="auto"/>
            <w:noWrap/>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Approved </w:t>
            </w:r>
          </w:p>
        </w:tc>
        <w:tc>
          <w:tcPr>
            <w:tcW w:w="1417" w:type="dxa"/>
            <w:shd w:val="clear" w:color="auto" w:fill="auto"/>
            <w:noWrap/>
            <w:vAlign w:val="center"/>
          </w:tcPr>
          <w:p w:rsidR="00255CDE" w:rsidRPr="00F144AF" w:rsidRDefault="003D7069" w:rsidP="00B65047">
            <w:pPr>
              <w:jc w:val="right"/>
              <w:rPr>
                <w:sz w:val="20"/>
                <w:szCs w:val="20"/>
                <w:lang w:val="en-CA" w:eastAsia="en-CA"/>
              </w:rPr>
            </w:pPr>
            <w:r w:rsidRPr="00F144AF">
              <w:rPr>
                <w:sz w:val="20"/>
                <w:szCs w:val="20"/>
                <w:lang w:val="en-CA" w:eastAsia="en-CA"/>
              </w:rPr>
              <w:t>40,000</w:t>
            </w:r>
          </w:p>
        </w:tc>
        <w:tc>
          <w:tcPr>
            <w:tcW w:w="1417" w:type="dxa"/>
            <w:vAlign w:val="center"/>
          </w:tcPr>
          <w:p w:rsidR="00255CDE" w:rsidRPr="00F144AF" w:rsidRDefault="003D7069" w:rsidP="00B65047">
            <w:pPr>
              <w:jc w:val="right"/>
              <w:rPr>
                <w:sz w:val="20"/>
                <w:szCs w:val="20"/>
                <w:lang w:val="en-CA" w:eastAsia="en-CA"/>
              </w:rPr>
            </w:pPr>
            <w:r w:rsidRPr="00F144AF">
              <w:rPr>
                <w:sz w:val="20"/>
                <w:szCs w:val="20"/>
                <w:lang w:val="en-CA" w:eastAsia="en-CA"/>
              </w:rPr>
              <w:t>75,000</w:t>
            </w:r>
          </w:p>
        </w:tc>
        <w:tc>
          <w:tcPr>
            <w:tcW w:w="1418" w:type="dxa"/>
            <w:shd w:val="clear" w:color="auto" w:fill="auto"/>
            <w:noWrap/>
            <w:vAlign w:val="center"/>
          </w:tcPr>
          <w:p w:rsidR="00255CDE" w:rsidRPr="00F144AF" w:rsidRDefault="003D7069" w:rsidP="00B65047">
            <w:pPr>
              <w:jc w:val="right"/>
              <w:rPr>
                <w:sz w:val="20"/>
                <w:szCs w:val="20"/>
                <w:lang w:val="en-CA" w:eastAsia="en-CA"/>
              </w:rPr>
            </w:pPr>
            <w:r w:rsidRPr="00F144AF">
              <w:rPr>
                <w:sz w:val="20"/>
                <w:szCs w:val="20"/>
                <w:lang w:val="en-CA" w:eastAsia="en-CA"/>
              </w:rPr>
              <w:t>115,000</w:t>
            </w:r>
          </w:p>
        </w:tc>
        <w:tc>
          <w:tcPr>
            <w:tcW w:w="2410" w:type="dxa"/>
            <w:vMerge w:val="restart"/>
            <w:shd w:val="clear" w:color="auto" w:fill="auto"/>
            <w:noWrap/>
            <w:vAlign w:val="center"/>
          </w:tcPr>
          <w:p w:rsidR="00255CDE" w:rsidRPr="00F144AF" w:rsidRDefault="00B92247" w:rsidP="00B65047">
            <w:pPr>
              <w:jc w:val="center"/>
              <w:rPr>
                <w:b/>
                <w:sz w:val="20"/>
                <w:szCs w:val="20"/>
                <w:lang w:val="en-CA" w:eastAsia="en-CA"/>
              </w:rPr>
            </w:pPr>
            <w:r w:rsidRPr="00F144AF">
              <w:rPr>
                <w:b/>
                <w:sz w:val="20"/>
                <w:szCs w:val="20"/>
                <w:lang w:val="en-CA" w:eastAsia="en-CA"/>
              </w:rPr>
              <w:t>77</w:t>
            </w:r>
          </w:p>
        </w:tc>
      </w:tr>
      <w:tr w:rsidR="00F144AF" w:rsidRPr="00F144AF" w:rsidTr="00B6015E">
        <w:trPr>
          <w:trHeight w:val="58"/>
        </w:trPr>
        <w:tc>
          <w:tcPr>
            <w:tcW w:w="1537" w:type="dxa"/>
            <w:vMerge/>
            <w:vAlign w:val="center"/>
            <w:hideMark/>
          </w:tcPr>
          <w:p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Disbursed </w:t>
            </w:r>
          </w:p>
        </w:tc>
        <w:tc>
          <w:tcPr>
            <w:tcW w:w="1417" w:type="dxa"/>
            <w:shd w:val="clear" w:color="auto" w:fill="auto"/>
            <w:noWrap/>
            <w:vAlign w:val="center"/>
          </w:tcPr>
          <w:p w:rsidR="00255CDE" w:rsidRPr="00F144AF" w:rsidRDefault="00B92247" w:rsidP="00B65047">
            <w:pPr>
              <w:jc w:val="right"/>
              <w:rPr>
                <w:sz w:val="20"/>
                <w:szCs w:val="20"/>
                <w:lang w:val="en-CA" w:eastAsia="en-CA"/>
              </w:rPr>
            </w:pPr>
            <w:r w:rsidRPr="00F144AF">
              <w:rPr>
                <w:sz w:val="20"/>
                <w:szCs w:val="20"/>
                <w:lang w:val="en-CA" w:eastAsia="en-CA"/>
              </w:rPr>
              <w:t>20,000</w:t>
            </w:r>
          </w:p>
        </w:tc>
        <w:tc>
          <w:tcPr>
            <w:tcW w:w="1417" w:type="dxa"/>
            <w:vAlign w:val="center"/>
          </w:tcPr>
          <w:p w:rsidR="00255CDE" w:rsidRPr="00F144AF" w:rsidRDefault="00B92247" w:rsidP="00B65047">
            <w:pPr>
              <w:jc w:val="right"/>
              <w:rPr>
                <w:sz w:val="20"/>
                <w:szCs w:val="20"/>
                <w:lang w:val="en-CA" w:eastAsia="en-CA"/>
              </w:rPr>
            </w:pPr>
            <w:r w:rsidRPr="00F144AF">
              <w:rPr>
                <w:sz w:val="20"/>
                <w:szCs w:val="20"/>
                <w:lang w:val="en-CA" w:eastAsia="en-CA"/>
              </w:rPr>
              <w:t>68,327</w:t>
            </w:r>
          </w:p>
        </w:tc>
        <w:tc>
          <w:tcPr>
            <w:tcW w:w="1418" w:type="dxa"/>
            <w:shd w:val="clear" w:color="auto" w:fill="auto"/>
            <w:noWrap/>
            <w:vAlign w:val="center"/>
          </w:tcPr>
          <w:p w:rsidR="00255CDE" w:rsidRPr="00F144AF" w:rsidRDefault="00B92247" w:rsidP="00B65047">
            <w:pPr>
              <w:jc w:val="right"/>
              <w:rPr>
                <w:sz w:val="20"/>
                <w:szCs w:val="20"/>
                <w:lang w:val="en-CA" w:eastAsia="en-CA"/>
              </w:rPr>
            </w:pPr>
            <w:r w:rsidRPr="00F144AF">
              <w:rPr>
                <w:sz w:val="20"/>
                <w:szCs w:val="20"/>
                <w:lang w:val="en-CA" w:eastAsia="en-CA"/>
              </w:rPr>
              <w:t>88,327</w:t>
            </w:r>
          </w:p>
        </w:tc>
        <w:tc>
          <w:tcPr>
            <w:tcW w:w="2410" w:type="dxa"/>
            <w:vMerge/>
            <w:vAlign w:val="center"/>
          </w:tcPr>
          <w:p w:rsidR="00255CDE" w:rsidRPr="00F144AF" w:rsidRDefault="00255CDE" w:rsidP="00B65047">
            <w:pPr>
              <w:jc w:val="center"/>
              <w:rPr>
                <w:sz w:val="20"/>
                <w:szCs w:val="20"/>
                <w:lang w:val="en-CA" w:eastAsia="en-CA"/>
              </w:rPr>
            </w:pPr>
          </w:p>
        </w:tc>
      </w:tr>
      <w:tr w:rsidR="00F144AF" w:rsidRPr="00F144AF" w:rsidTr="00B6015E">
        <w:trPr>
          <w:trHeight w:val="58"/>
        </w:trPr>
        <w:tc>
          <w:tcPr>
            <w:tcW w:w="1537" w:type="dxa"/>
            <w:vMerge w:val="restart"/>
            <w:shd w:val="clear" w:color="auto" w:fill="auto"/>
            <w:vAlign w:val="center"/>
            <w:hideMark/>
          </w:tcPr>
          <w:p w:rsidR="00255CDE" w:rsidRPr="00F144AF" w:rsidRDefault="00255CDE" w:rsidP="00B65047">
            <w:pPr>
              <w:jc w:val="left"/>
              <w:rPr>
                <w:bCs/>
                <w:sz w:val="20"/>
                <w:szCs w:val="20"/>
                <w:lang w:val="en-CA" w:eastAsia="en-CA"/>
              </w:rPr>
            </w:pPr>
            <w:r w:rsidRPr="00F144AF">
              <w:rPr>
                <w:bCs/>
                <w:sz w:val="20"/>
                <w:szCs w:val="20"/>
                <w:lang w:val="en-CA" w:eastAsia="en-CA"/>
              </w:rPr>
              <w:t>Total</w:t>
            </w:r>
          </w:p>
        </w:tc>
        <w:tc>
          <w:tcPr>
            <w:tcW w:w="1134" w:type="dxa"/>
            <w:shd w:val="clear" w:color="auto" w:fill="auto"/>
            <w:vAlign w:val="center"/>
            <w:hideMark/>
          </w:tcPr>
          <w:p w:rsidR="00255CDE" w:rsidRPr="00F144AF" w:rsidRDefault="00255CDE" w:rsidP="00B65047">
            <w:pPr>
              <w:rPr>
                <w:bCs/>
                <w:sz w:val="20"/>
                <w:szCs w:val="20"/>
                <w:lang w:val="en-CA" w:eastAsia="en-CA"/>
              </w:rPr>
            </w:pPr>
            <w:r w:rsidRPr="00F144AF">
              <w:rPr>
                <w:bCs/>
                <w:sz w:val="20"/>
                <w:szCs w:val="20"/>
                <w:lang w:val="en-CA" w:eastAsia="en-CA"/>
              </w:rPr>
              <w:t xml:space="preserve">Approved </w:t>
            </w:r>
          </w:p>
        </w:tc>
        <w:tc>
          <w:tcPr>
            <w:tcW w:w="1417" w:type="dxa"/>
            <w:shd w:val="clear" w:color="auto" w:fill="auto"/>
            <w:vAlign w:val="center"/>
          </w:tcPr>
          <w:p w:rsidR="00255CDE" w:rsidRPr="00F144AF" w:rsidRDefault="003D7069" w:rsidP="00B65047">
            <w:pPr>
              <w:jc w:val="right"/>
              <w:rPr>
                <w:sz w:val="20"/>
                <w:szCs w:val="20"/>
                <w:lang w:val="en-CA" w:eastAsia="en-CA"/>
              </w:rPr>
            </w:pPr>
            <w:r w:rsidRPr="00F144AF">
              <w:rPr>
                <w:sz w:val="20"/>
                <w:szCs w:val="20"/>
                <w:lang w:val="en-CA" w:eastAsia="en-CA"/>
              </w:rPr>
              <w:t>115,000</w:t>
            </w:r>
          </w:p>
        </w:tc>
        <w:tc>
          <w:tcPr>
            <w:tcW w:w="1417" w:type="dxa"/>
            <w:vAlign w:val="center"/>
          </w:tcPr>
          <w:p w:rsidR="00255CDE" w:rsidRPr="00F144AF" w:rsidRDefault="00DC0506" w:rsidP="00B65047">
            <w:pPr>
              <w:jc w:val="right"/>
              <w:rPr>
                <w:sz w:val="20"/>
                <w:szCs w:val="20"/>
                <w:lang w:val="en-CA" w:eastAsia="en-CA"/>
              </w:rPr>
            </w:pPr>
            <w:r w:rsidRPr="00F144AF">
              <w:rPr>
                <w:sz w:val="20"/>
                <w:szCs w:val="20"/>
                <w:lang w:val="en-CA" w:eastAsia="en-CA"/>
              </w:rPr>
              <w:t>173,626</w:t>
            </w:r>
          </w:p>
        </w:tc>
        <w:tc>
          <w:tcPr>
            <w:tcW w:w="1418" w:type="dxa"/>
            <w:shd w:val="clear" w:color="auto" w:fill="auto"/>
            <w:vAlign w:val="center"/>
          </w:tcPr>
          <w:p w:rsidR="00255CDE" w:rsidRPr="00F144AF" w:rsidRDefault="00DC0506" w:rsidP="00B65047">
            <w:pPr>
              <w:jc w:val="right"/>
              <w:rPr>
                <w:sz w:val="20"/>
                <w:szCs w:val="20"/>
                <w:lang w:val="en-CA" w:eastAsia="en-CA"/>
              </w:rPr>
            </w:pPr>
            <w:r w:rsidRPr="00F144AF">
              <w:rPr>
                <w:sz w:val="20"/>
                <w:szCs w:val="20"/>
                <w:lang w:val="en-CA" w:eastAsia="en-CA"/>
              </w:rPr>
              <w:t>288,626</w:t>
            </w:r>
          </w:p>
        </w:tc>
        <w:tc>
          <w:tcPr>
            <w:tcW w:w="2410" w:type="dxa"/>
            <w:vMerge w:val="restart"/>
            <w:shd w:val="clear" w:color="auto" w:fill="auto"/>
            <w:vAlign w:val="center"/>
          </w:tcPr>
          <w:p w:rsidR="00255CDE" w:rsidRPr="00F144AF" w:rsidRDefault="00DC0506" w:rsidP="00B65047">
            <w:pPr>
              <w:jc w:val="center"/>
              <w:rPr>
                <w:b/>
                <w:sz w:val="20"/>
                <w:szCs w:val="20"/>
                <w:lang w:val="en-CA" w:eastAsia="en-CA"/>
              </w:rPr>
            </w:pPr>
            <w:r w:rsidRPr="00F144AF">
              <w:rPr>
                <w:b/>
                <w:sz w:val="20"/>
                <w:szCs w:val="20"/>
                <w:lang w:val="en-CA" w:eastAsia="en-CA"/>
              </w:rPr>
              <w:t>91</w:t>
            </w:r>
          </w:p>
        </w:tc>
      </w:tr>
      <w:tr w:rsidR="00F144AF" w:rsidRPr="00F144AF" w:rsidTr="00B6015E">
        <w:trPr>
          <w:trHeight w:val="179"/>
        </w:trPr>
        <w:tc>
          <w:tcPr>
            <w:tcW w:w="1537" w:type="dxa"/>
            <w:vMerge/>
            <w:shd w:val="clear" w:color="auto" w:fill="auto"/>
            <w:vAlign w:val="center"/>
          </w:tcPr>
          <w:p w:rsidR="00255CDE" w:rsidRPr="00F144AF" w:rsidRDefault="00255CDE" w:rsidP="00B65047">
            <w:pPr>
              <w:jc w:val="left"/>
              <w:rPr>
                <w:b/>
                <w:bCs/>
                <w:sz w:val="20"/>
                <w:szCs w:val="20"/>
                <w:lang w:val="en-CA" w:eastAsia="en-CA"/>
              </w:rPr>
            </w:pPr>
          </w:p>
        </w:tc>
        <w:tc>
          <w:tcPr>
            <w:tcW w:w="1134" w:type="dxa"/>
            <w:shd w:val="clear" w:color="auto" w:fill="auto"/>
            <w:vAlign w:val="center"/>
          </w:tcPr>
          <w:p w:rsidR="00255CDE" w:rsidRPr="00F144AF" w:rsidRDefault="00255CDE" w:rsidP="00B65047">
            <w:pPr>
              <w:rPr>
                <w:bCs/>
                <w:sz w:val="20"/>
                <w:szCs w:val="20"/>
                <w:lang w:val="en-CA" w:eastAsia="en-CA"/>
              </w:rPr>
            </w:pPr>
            <w:r w:rsidRPr="00F144AF">
              <w:rPr>
                <w:bCs/>
                <w:sz w:val="20"/>
                <w:szCs w:val="20"/>
                <w:lang w:val="en-CA" w:eastAsia="en-CA"/>
              </w:rPr>
              <w:t xml:space="preserve">Disbursed </w:t>
            </w:r>
          </w:p>
        </w:tc>
        <w:tc>
          <w:tcPr>
            <w:tcW w:w="1417" w:type="dxa"/>
            <w:shd w:val="clear" w:color="auto" w:fill="auto"/>
            <w:vAlign w:val="center"/>
          </w:tcPr>
          <w:p w:rsidR="00255CDE" w:rsidRPr="00F144AF" w:rsidRDefault="00DC0506" w:rsidP="00B65047">
            <w:pPr>
              <w:jc w:val="right"/>
              <w:rPr>
                <w:sz w:val="20"/>
                <w:szCs w:val="20"/>
                <w:lang w:val="en-CA" w:eastAsia="en-CA"/>
              </w:rPr>
            </w:pPr>
            <w:r w:rsidRPr="00F144AF">
              <w:rPr>
                <w:sz w:val="20"/>
                <w:szCs w:val="20"/>
                <w:lang w:val="en-CA" w:eastAsia="en-CA"/>
              </w:rPr>
              <w:t>95,000</w:t>
            </w:r>
          </w:p>
        </w:tc>
        <w:tc>
          <w:tcPr>
            <w:tcW w:w="1417" w:type="dxa"/>
            <w:vAlign w:val="center"/>
          </w:tcPr>
          <w:p w:rsidR="00255CDE" w:rsidRPr="00F144AF" w:rsidRDefault="00DC0506" w:rsidP="00B65047">
            <w:pPr>
              <w:jc w:val="right"/>
              <w:rPr>
                <w:sz w:val="20"/>
                <w:szCs w:val="20"/>
                <w:lang w:val="en-CA" w:eastAsia="en-CA"/>
              </w:rPr>
            </w:pPr>
            <w:r w:rsidRPr="00F144AF">
              <w:rPr>
                <w:sz w:val="20"/>
                <w:szCs w:val="20"/>
                <w:lang w:val="en-CA" w:eastAsia="en-CA"/>
              </w:rPr>
              <w:t>166,953</w:t>
            </w:r>
          </w:p>
        </w:tc>
        <w:tc>
          <w:tcPr>
            <w:tcW w:w="1418" w:type="dxa"/>
            <w:shd w:val="clear" w:color="auto" w:fill="auto"/>
            <w:vAlign w:val="center"/>
          </w:tcPr>
          <w:p w:rsidR="00255CDE" w:rsidRPr="00F144AF" w:rsidRDefault="00DC0506" w:rsidP="00B65047">
            <w:pPr>
              <w:jc w:val="right"/>
              <w:rPr>
                <w:sz w:val="20"/>
                <w:szCs w:val="20"/>
                <w:lang w:val="en-CA" w:eastAsia="en-CA"/>
              </w:rPr>
            </w:pPr>
            <w:r w:rsidRPr="00F144AF">
              <w:rPr>
                <w:sz w:val="20"/>
                <w:szCs w:val="20"/>
                <w:lang w:val="en-CA" w:eastAsia="en-CA"/>
              </w:rPr>
              <w:t>261,953</w:t>
            </w:r>
          </w:p>
        </w:tc>
        <w:tc>
          <w:tcPr>
            <w:tcW w:w="2410" w:type="dxa"/>
            <w:vMerge/>
            <w:shd w:val="clear" w:color="auto" w:fill="auto"/>
            <w:vAlign w:val="center"/>
          </w:tcPr>
          <w:p w:rsidR="00255CDE" w:rsidRPr="00F144AF" w:rsidRDefault="00255CDE" w:rsidP="00B65047">
            <w:pPr>
              <w:jc w:val="center"/>
              <w:rPr>
                <w:sz w:val="20"/>
                <w:szCs w:val="20"/>
                <w:lang w:val="en-CA" w:eastAsia="en-CA"/>
              </w:rPr>
            </w:pPr>
          </w:p>
        </w:tc>
      </w:tr>
    </w:tbl>
    <w:p w:rsidR="00255CDE" w:rsidRPr="00AF60D1" w:rsidRDefault="00DF6A03" w:rsidP="00B65047">
      <w:pPr>
        <w:rPr>
          <w:sz w:val="19"/>
          <w:szCs w:val="19"/>
          <w:lang w:val="en-CA"/>
        </w:rPr>
      </w:pPr>
      <w:r w:rsidRPr="00AF60D1">
        <w:rPr>
          <w:sz w:val="19"/>
          <w:szCs w:val="19"/>
          <w:lang w:val="en-CA"/>
        </w:rPr>
        <w:t>*A</w:t>
      </w:r>
      <w:r w:rsidR="00FB1D7A" w:rsidRPr="00AF60D1">
        <w:rPr>
          <w:sz w:val="19"/>
          <w:szCs w:val="19"/>
          <w:lang w:val="en-CA"/>
        </w:rPr>
        <w:t>fter a</w:t>
      </w:r>
      <w:r w:rsidRPr="00AF60D1">
        <w:rPr>
          <w:sz w:val="19"/>
          <w:szCs w:val="19"/>
          <w:lang w:val="en-CA"/>
        </w:rPr>
        <w:t>djustment</w:t>
      </w:r>
      <w:r w:rsidR="0049303C" w:rsidRPr="00AF60D1">
        <w:rPr>
          <w:sz w:val="19"/>
          <w:szCs w:val="19"/>
          <w:lang w:val="en-CA"/>
        </w:rPr>
        <w:t xml:space="preserve"> of balances returned to the 79</w:t>
      </w:r>
      <w:r w:rsidR="0049303C" w:rsidRPr="00AF60D1">
        <w:rPr>
          <w:sz w:val="19"/>
          <w:szCs w:val="19"/>
          <w:vertAlign w:val="superscript"/>
          <w:lang w:val="en-CA"/>
        </w:rPr>
        <w:t>th</w:t>
      </w:r>
      <w:r w:rsidR="0049303C" w:rsidRPr="00AF60D1">
        <w:rPr>
          <w:sz w:val="19"/>
          <w:szCs w:val="19"/>
          <w:lang w:val="en-CA"/>
        </w:rPr>
        <w:t xml:space="preserve"> meeting.</w:t>
      </w:r>
    </w:p>
    <w:p w:rsidR="00DF6A03" w:rsidRPr="00F144AF" w:rsidRDefault="00DF6A03" w:rsidP="00B65047">
      <w:pPr>
        <w:rPr>
          <w:lang w:val="en-CA"/>
        </w:rPr>
      </w:pPr>
    </w:p>
    <w:p w:rsidR="00255CDE" w:rsidRPr="00F144AF" w:rsidRDefault="00255CDE" w:rsidP="00B65047">
      <w:pPr>
        <w:rPr>
          <w:u w:val="single"/>
          <w:lang w:val="en-CA"/>
        </w:rPr>
      </w:pPr>
      <w:r w:rsidRPr="00F144AF">
        <w:rPr>
          <w:u w:val="single"/>
          <w:lang w:val="en-CA"/>
        </w:rPr>
        <w:t xml:space="preserve">Implementation plan for the </w:t>
      </w:r>
      <w:r w:rsidR="00E57905" w:rsidRPr="00F144AF">
        <w:rPr>
          <w:u w:val="single"/>
          <w:lang w:val="en-CA"/>
        </w:rPr>
        <w:t>fourth</w:t>
      </w:r>
      <w:r w:rsidRPr="00F144AF">
        <w:rPr>
          <w:u w:val="single"/>
          <w:lang w:val="en-CA"/>
        </w:rPr>
        <w:t xml:space="preserve"> tranche of the HPMP</w:t>
      </w:r>
    </w:p>
    <w:p w:rsidR="00255CDE" w:rsidRPr="00F144AF" w:rsidRDefault="00255CDE" w:rsidP="00B65047">
      <w:pPr>
        <w:rPr>
          <w:lang w:val="en-CA"/>
        </w:rPr>
      </w:pPr>
    </w:p>
    <w:p w:rsidR="00255CDE" w:rsidRPr="00F144AF" w:rsidRDefault="00255CDE" w:rsidP="00B65047">
      <w:pPr>
        <w:pStyle w:val="Heading1"/>
        <w:rPr>
          <w:lang w:val="en-CA"/>
        </w:rPr>
      </w:pPr>
      <w:r w:rsidRPr="00F144AF">
        <w:rPr>
          <w:lang w:val="en-CA"/>
        </w:rPr>
        <w:t xml:space="preserve">The following activities will be implemented between </w:t>
      </w:r>
      <w:r w:rsidR="0073251E" w:rsidRPr="00F144AF">
        <w:rPr>
          <w:lang w:val="en-CA"/>
        </w:rPr>
        <w:t>January 2020</w:t>
      </w:r>
      <w:r w:rsidRPr="00F144AF">
        <w:rPr>
          <w:lang w:val="en-CA"/>
        </w:rPr>
        <w:t xml:space="preserve"> and </w:t>
      </w:r>
      <w:r w:rsidR="0073251E" w:rsidRPr="00F144AF">
        <w:rPr>
          <w:lang w:val="en-CA"/>
        </w:rPr>
        <w:t>March 2021</w:t>
      </w:r>
      <w:r w:rsidR="00FB330D" w:rsidRPr="00F144AF">
        <w:rPr>
          <w:lang w:val="en-CA"/>
        </w:rPr>
        <w:t>:</w:t>
      </w:r>
    </w:p>
    <w:p w:rsidR="00255CDE" w:rsidRPr="00F144AF" w:rsidRDefault="00FB330D" w:rsidP="00B65047">
      <w:pPr>
        <w:pStyle w:val="Heading2"/>
        <w:rPr>
          <w:lang w:val="en-CA"/>
        </w:rPr>
      </w:pPr>
      <w:r w:rsidRPr="00F144AF">
        <w:rPr>
          <w:lang w:val="en-CA"/>
        </w:rPr>
        <w:t xml:space="preserve">Strengthening national capacities (customs, environment inspectors, </w:t>
      </w:r>
      <w:r w:rsidR="00435F2C" w:rsidRPr="00F144AF">
        <w:rPr>
          <w:lang w:val="en-CA"/>
        </w:rPr>
        <w:t>D</w:t>
      </w:r>
      <w:r w:rsidRPr="00F144AF">
        <w:rPr>
          <w:lang w:val="en-CA"/>
        </w:rPr>
        <w:t>epartment of Commerce) for monitoring and controlling the import and distribution of HCFCs:</w:t>
      </w:r>
      <w:r w:rsidR="00255CDE" w:rsidRPr="00F144AF">
        <w:rPr>
          <w:lang w:val="en-CA"/>
        </w:rPr>
        <w:t xml:space="preserve"> </w:t>
      </w:r>
      <w:r w:rsidR="008401FF" w:rsidRPr="00F144AF">
        <w:rPr>
          <w:lang w:val="en-CA"/>
        </w:rPr>
        <w:t>T</w:t>
      </w:r>
      <w:r w:rsidRPr="00F144AF">
        <w:rPr>
          <w:lang w:val="en-CA"/>
        </w:rPr>
        <w:t xml:space="preserve">hree training workshops for 60 customs officers on the identification and control of HCFCs and HCFC-based equipment </w:t>
      </w:r>
      <w:r w:rsidR="00255CDE" w:rsidRPr="00F144AF">
        <w:rPr>
          <w:lang w:val="en-CA"/>
        </w:rPr>
        <w:t>(</w:t>
      </w:r>
      <w:r w:rsidRPr="00F144AF">
        <w:rPr>
          <w:lang w:val="en-CA"/>
        </w:rPr>
        <w:t>UNEP</w:t>
      </w:r>
      <w:r w:rsidR="00255CDE" w:rsidRPr="00F144AF">
        <w:rPr>
          <w:lang w:val="en-CA"/>
        </w:rPr>
        <w:t>) (US $</w:t>
      </w:r>
      <w:r w:rsidR="00B60FC1" w:rsidRPr="00F144AF">
        <w:rPr>
          <w:lang w:val="en-CA"/>
        </w:rPr>
        <w:t>8,000</w:t>
      </w:r>
      <w:r w:rsidR="00255CDE" w:rsidRPr="00F144AF">
        <w:rPr>
          <w:lang w:val="en-CA"/>
        </w:rPr>
        <w:t xml:space="preserve">); </w:t>
      </w:r>
    </w:p>
    <w:p w:rsidR="00255CDE" w:rsidRPr="00F144AF" w:rsidRDefault="00B60FC1" w:rsidP="00B65047">
      <w:pPr>
        <w:pStyle w:val="Heading2"/>
        <w:rPr>
          <w:lang w:val="en-CA"/>
        </w:rPr>
      </w:pPr>
      <w:r w:rsidRPr="00F144AF">
        <w:rPr>
          <w:lang w:val="en-CA"/>
        </w:rPr>
        <w:t>Strengthening technical capacity of refrigeration expert</w:t>
      </w:r>
      <w:r w:rsidR="00917A66" w:rsidRPr="00F144AF">
        <w:rPr>
          <w:lang w:val="en-CA"/>
        </w:rPr>
        <w:t>s</w:t>
      </w:r>
      <w:r w:rsidRPr="00F144AF">
        <w:rPr>
          <w:lang w:val="en-CA"/>
        </w:rPr>
        <w:t xml:space="preserve"> in go</w:t>
      </w:r>
      <w:r w:rsidR="008401FF" w:rsidRPr="00F144AF">
        <w:rPr>
          <w:lang w:val="en-CA"/>
        </w:rPr>
        <w:t>od practices in refrigeration: T</w:t>
      </w:r>
      <w:r w:rsidRPr="00F144AF">
        <w:rPr>
          <w:lang w:val="en-CA"/>
        </w:rPr>
        <w:t xml:space="preserve">hree training workshops for 90 RAC technicians on recovery and recycling of HCFCs and safe handling of </w:t>
      </w:r>
      <w:r w:rsidR="00172A5D" w:rsidRPr="00F144AF">
        <w:rPr>
          <w:lang w:val="en-CA"/>
        </w:rPr>
        <w:t>h</w:t>
      </w:r>
      <w:r w:rsidRPr="00F144AF">
        <w:rPr>
          <w:lang w:val="en-CA"/>
        </w:rPr>
        <w:t xml:space="preserve">ydrocarbon-refrigerants </w:t>
      </w:r>
      <w:r w:rsidR="008A3054" w:rsidRPr="00F144AF">
        <w:rPr>
          <w:lang w:val="en-CA"/>
        </w:rPr>
        <w:t xml:space="preserve">(UNEP) </w:t>
      </w:r>
      <w:r w:rsidR="00255CDE" w:rsidRPr="00F144AF">
        <w:rPr>
          <w:lang w:val="en-CA"/>
        </w:rPr>
        <w:t>(US $</w:t>
      </w:r>
      <w:r w:rsidRPr="00F144AF">
        <w:rPr>
          <w:lang w:val="en-CA"/>
        </w:rPr>
        <w:t>12,000</w:t>
      </w:r>
      <w:r w:rsidR="00255CDE" w:rsidRPr="00F144AF">
        <w:rPr>
          <w:lang w:val="en-CA"/>
        </w:rPr>
        <w:t xml:space="preserve">); </w:t>
      </w:r>
      <w:r w:rsidR="007B1079" w:rsidRPr="00F144AF">
        <w:rPr>
          <w:lang w:val="en-CA"/>
        </w:rPr>
        <w:t>and</w:t>
      </w:r>
    </w:p>
    <w:p w:rsidR="00255CDE" w:rsidRPr="00F144AF" w:rsidRDefault="008401FF" w:rsidP="00D97D6F">
      <w:pPr>
        <w:pStyle w:val="Heading2"/>
        <w:keepNext/>
        <w:rPr>
          <w:lang w:val="en-CA"/>
        </w:rPr>
      </w:pPr>
      <w:r w:rsidRPr="00F144AF">
        <w:rPr>
          <w:lang w:val="en-CA"/>
        </w:rPr>
        <w:t>PMU</w:t>
      </w:r>
      <w:r w:rsidR="00B60FC1" w:rsidRPr="00F144AF">
        <w:rPr>
          <w:lang w:val="en-CA"/>
        </w:rPr>
        <w:t xml:space="preserve">: </w:t>
      </w:r>
      <w:r w:rsidRPr="00F144AF">
        <w:rPr>
          <w:lang w:val="en-CA"/>
        </w:rPr>
        <w:t>R</w:t>
      </w:r>
      <w:r w:rsidR="00B60FC1" w:rsidRPr="00F144AF">
        <w:rPr>
          <w:lang w:val="en-CA"/>
        </w:rPr>
        <w:t xml:space="preserve">ecruitment of two national consultants (one refrigeration expert and one customs expert) </w:t>
      </w:r>
      <w:r w:rsidRPr="00F144AF">
        <w:rPr>
          <w:lang w:val="en-CA"/>
        </w:rPr>
        <w:t>(US $</w:t>
      </w:r>
      <w:r w:rsidR="00E31FC7" w:rsidRPr="00F144AF">
        <w:rPr>
          <w:lang w:val="en-CA"/>
        </w:rPr>
        <w:t>5,000</w:t>
      </w:r>
      <w:r w:rsidRPr="00F144AF">
        <w:rPr>
          <w:lang w:val="en-CA"/>
        </w:rPr>
        <w:t xml:space="preserve">) </w:t>
      </w:r>
      <w:r w:rsidR="00B60FC1" w:rsidRPr="00F144AF">
        <w:rPr>
          <w:lang w:val="en-CA"/>
        </w:rPr>
        <w:t xml:space="preserve">in addition to the existing NOU team to assist in the monitoring of the </w:t>
      </w:r>
      <w:r w:rsidR="00B60FC1" w:rsidRPr="00F144AF">
        <w:rPr>
          <w:lang w:val="en-CA"/>
        </w:rPr>
        <w:lastRenderedPageBreak/>
        <w:t>effective implementation of all HPMP activities and collection of accurate data</w:t>
      </w:r>
      <w:r w:rsidR="008A3054" w:rsidRPr="00F144AF">
        <w:rPr>
          <w:lang w:val="en-CA"/>
        </w:rPr>
        <w:t>;</w:t>
      </w:r>
      <w:r w:rsidR="00B60FC1" w:rsidRPr="00F144AF">
        <w:rPr>
          <w:lang w:val="en-CA"/>
        </w:rPr>
        <w:t xml:space="preserve"> </w:t>
      </w:r>
      <w:r w:rsidR="008A3054" w:rsidRPr="00F144AF">
        <w:rPr>
          <w:lang w:val="en-CA"/>
        </w:rPr>
        <w:t>m</w:t>
      </w:r>
      <w:r w:rsidR="00B60FC1" w:rsidRPr="00F144AF">
        <w:rPr>
          <w:lang w:val="en-CA"/>
        </w:rPr>
        <w:t xml:space="preserve">onitoring staff to travel </w:t>
      </w:r>
      <w:r w:rsidRPr="00F144AF">
        <w:rPr>
          <w:lang w:val="en-CA"/>
        </w:rPr>
        <w:t>(US $</w:t>
      </w:r>
      <w:r w:rsidR="00E31FC7" w:rsidRPr="00F144AF">
        <w:rPr>
          <w:lang w:val="en-CA"/>
        </w:rPr>
        <w:t>4,000</w:t>
      </w:r>
      <w:r w:rsidRPr="00F144AF">
        <w:rPr>
          <w:lang w:val="en-CA"/>
        </w:rPr>
        <w:t xml:space="preserve">) </w:t>
      </w:r>
      <w:r w:rsidR="00B60FC1" w:rsidRPr="00F144AF">
        <w:rPr>
          <w:lang w:val="en-CA"/>
        </w:rPr>
        <w:t>and provide reports on the implementation of the HPMP</w:t>
      </w:r>
      <w:r w:rsidR="00664E76" w:rsidRPr="00F144AF">
        <w:rPr>
          <w:lang w:val="en-CA"/>
        </w:rPr>
        <w:t>, and communication (US $1,000)</w:t>
      </w:r>
      <w:r w:rsidR="00B60FC1" w:rsidRPr="00F144AF">
        <w:rPr>
          <w:lang w:val="en-CA"/>
        </w:rPr>
        <w:t xml:space="preserve"> (UNEP).</w:t>
      </w:r>
    </w:p>
    <w:p w:rsidR="00255CDE" w:rsidRPr="00F144AF" w:rsidRDefault="00255CDE" w:rsidP="00B65047">
      <w:pPr>
        <w:rPr>
          <w:lang w:val="en-CA"/>
        </w:rPr>
      </w:pPr>
    </w:p>
    <w:p w:rsidR="00255CDE" w:rsidRPr="00F144AF" w:rsidRDefault="00255CDE" w:rsidP="00B65047">
      <w:pPr>
        <w:jc w:val="center"/>
        <w:rPr>
          <w:b/>
          <w:lang w:val="en-CA"/>
        </w:rPr>
      </w:pPr>
      <w:r w:rsidRPr="00F144AF">
        <w:rPr>
          <w:b/>
          <w:lang w:val="en-CA"/>
        </w:rPr>
        <w:t>SECRETARIAT’S COMMENTS AND RECOMMENDATION</w:t>
      </w:r>
    </w:p>
    <w:p w:rsidR="00255CDE" w:rsidRPr="00F144AF" w:rsidRDefault="00255CDE" w:rsidP="00B65047">
      <w:pPr>
        <w:rPr>
          <w:lang w:val="en-CA"/>
        </w:rPr>
      </w:pPr>
    </w:p>
    <w:p w:rsidR="00255CDE" w:rsidRPr="00F144AF" w:rsidRDefault="00255CDE" w:rsidP="00B65047">
      <w:pPr>
        <w:rPr>
          <w:b/>
          <w:lang w:val="en-CA"/>
        </w:rPr>
      </w:pPr>
      <w:r w:rsidRPr="00F144AF">
        <w:rPr>
          <w:b/>
          <w:lang w:val="en-CA"/>
        </w:rPr>
        <w:t>COMMENTS</w:t>
      </w:r>
    </w:p>
    <w:p w:rsidR="00255CDE" w:rsidRPr="00F144AF" w:rsidRDefault="00255CDE" w:rsidP="00B65047">
      <w:pPr>
        <w:rPr>
          <w:lang w:val="en-CA"/>
        </w:rPr>
      </w:pPr>
    </w:p>
    <w:p w:rsidR="00255CDE" w:rsidRPr="00F144AF" w:rsidRDefault="00255CDE" w:rsidP="00B65047">
      <w:pPr>
        <w:rPr>
          <w:u w:val="single"/>
          <w:lang w:val="en-CA"/>
        </w:rPr>
      </w:pPr>
      <w:r w:rsidRPr="00F144AF">
        <w:rPr>
          <w:u w:val="single"/>
          <w:lang w:val="en-CA"/>
        </w:rPr>
        <w:t xml:space="preserve">Progress report on the implementation of the </w:t>
      </w:r>
      <w:r w:rsidR="0014238D" w:rsidRPr="00F144AF">
        <w:rPr>
          <w:u w:val="single"/>
          <w:lang w:val="en-CA"/>
        </w:rPr>
        <w:t xml:space="preserve">third </w:t>
      </w:r>
      <w:r w:rsidRPr="00F144AF">
        <w:rPr>
          <w:u w:val="single"/>
          <w:lang w:val="en-CA"/>
        </w:rPr>
        <w:t>tranche of the HPMP</w:t>
      </w:r>
    </w:p>
    <w:p w:rsidR="00255CDE" w:rsidRPr="00F144AF" w:rsidRDefault="00255CDE" w:rsidP="00B65047">
      <w:pPr>
        <w:rPr>
          <w:lang w:val="en-CA"/>
        </w:rPr>
      </w:pPr>
    </w:p>
    <w:p w:rsidR="007436EC" w:rsidRPr="00F144AF" w:rsidRDefault="00B761F2" w:rsidP="00B65047">
      <w:pPr>
        <w:pStyle w:val="Heading1"/>
        <w:rPr>
          <w:lang w:val="en-CA"/>
        </w:rPr>
      </w:pPr>
      <w:r w:rsidRPr="00F144AF">
        <w:rPr>
          <w:lang w:val="en-CA"/>
        </w:rPr>
        <w:t xml:space="preserve">Upon request for clarification, UNEP explained that </w:t>
      </w:r>
      <w:r w:rsidR="00F87645" w:rsidRPr="00F144AF">
        <w:rPr>
          <w:lang w:val="en-CA"/>
        </w:rPr>
        <w:t xml:space="preserve">the delay in the submission of the fourth tranche was </w:t>
      </w:r>
      <w:r w:rsidR="007436EC" w:rsidRPr="00F144AF">
        <w:rPr>
          <w:lang w:val="en-CA"/>
        </w:rPr>
        <w:t xml:space="preserve">due to a change in the NOU </w:t>
      </w:r>
      <w:r w:rsidR="006056A9" w:rsidRPr="00F144AF">
        <w:rPr>
          <w:lang w:val="en-CA"/>
        </w:rPr>
        <w:t>with</w:t>
      </w:r>
      <w:r w:rsidR="007436EC" w:rsidRPr="00F144AF">
        <w:rPr>
          <w:lang w:val="en-CA"/>
        </w:rPr>
        <w:t xml:space="preserve"> the retirement of the former </w:t>
      </w:r>
      <w:r w:rsidR="00F87645" w:rsidRPr="00F144AF">
        <w:rPr>
          <w:lang w:val="en-CA"/>
        </w:rPr>
        <w:t>national ozone officer (NOO)</w:t>
      </w:r>
      <w:r w:rsidR="007436EC" w:rsidRPr="00F144AF">
        <w:rPr>
          <w:lang w:val="en-CA"/>
        </w:rPr>
        <w:t xml:space="preserve"> and delays in appoint</w:t>
      </w:r>
      <w:r w:rsidR="00F87645" w:rsidRPr="00F144AF">
        <w:rPr>
          <w:lang w:val="en-CA"/>
        </w:rPr>
        <w:t>ing</w:t>
      </w:r>
      <w:r w:rsidR="007436EC" w:rsidRPr="00F144AF">
        <w:rPr>
          <w:lang w:val="en-CA"/>
        </w:rPr>
        <w:t xml:space="preserve"> the new </w:t>
      </w:r>
      <w:r w:rsidR="00694C4A" w:rsidRPr="00F144AF">
        <w:rPr>
          <w:lang w:val="en-CA"/>
        </w:rPr>
        <w:t>NOO</w:t>
      </w:r>
      <w:r w:rsidR="007436EC" w:rsidRPr="00F144AF">
        <w:rPr>
          <w:lang w:val="en-CA"/>
        </w:rPr>
        <w:t xml:space="preserve">. </w:t>
      </w:r>
    </w:p>
    <w:p w:rsidR="00255CDE" w:rsidRPr="00F144AF" w:rsidRDefault="00255CDE" w:rsidP="00B65047">
      <w:pPr>
        <w:rPr>
          <w:i/>
          <w:lang w:val="en-CA"/>
        </w:rPr>
      </w:pPr>
      <w:r w:rsidRPr="00F144AF">
        <w:rPr>
          <w:i/>
          <w:lang w:val="en-CA"/>
        </w:rPr>
        <w:t>Legal framework</w:t>
      </w:r>
      <w:r w:rsidR="007436EC" w:rsidRPr="00F144AF">
        <w:rPr>
          <w:i/>
          <w:lang w:val="en-CA"/>
        </w:rPr>
        <w:t xml:space="preserve"> </w:t>
      </w:r>
    </w:p>
    <w:p w:rsidR="00255CDE" w:rsidRPr="00F144AF" w:rsidRDefault="00255CDE" w:rsidP="00B65047">
      <w:pPr>
        <w:rPr>
          <w:lang w:val="en-CA"/>
        </w:rPr>
      </w:pPr>
    </w:p>
    <w:p w:rsidR="00255CDE" w:rsidRPr="00F144AF" w:rsidRDefault="00255CDE" w:rsidP="00B65047">
      <w:pPr>
        <w:pStyle w:val="Heading1"/>
        <w:rPr>
          <w:lang w:val="en-CA"/>
        </w:rPr>
      </w:pPr>
      <w:r w:rsidRPr="00F144AF">
        <w:rPr>
          <w:lang w:val="en-CA"/>
        </w:rPr>
        <w:t xml:space="preserve">The Government of </w:t>
      </w:r>
      <w:r w:rsidR="00543104" w:rsidRPr="00F144AF">
        <w:rPr>
          <w:lang w:val="en-CA"/>
        </w:rPr>
        <w:t>the Congo</w:t>
      </w:r>
      <w:r w:rsidRPr="00F144AF">
        <w:rPr>
          <w:lang w:val="en-CA"/>
        </w:rPr>
        <w:t xml:space="preserve"> has already issued HCFC import quotas for 2019 </w:t>
      </w:r>
      <w:r w:rsidR="008B3267" w:rsidRPr="00F144AF">
        <w:rPr>
          <w:lang w:val="en-CA"/>
        </w:rPr>
        <w:t>at</w:t>
      </w:r>
      <w:r w:rsidR="005E7616" w:rsidRPr="00F144AF">
        <w:rPr>
          <w:lang w:val="en-CA"/>
        </w:rPr>
        <w:t xml:space="preserve"> </w:t>
      </w:r>
      <w:r w:rsidR="008454BC" w:rsidRPr="00F144AF">
        <w:rPr>
          <w:lang w:val="en-CA"/>
        </w:rPr>
        <w:t>6.88 </w:t>
      </w:r>
      <w:r w:rsidR="005E7616" w:rsidRPr="00F144AF">
        <w:rPr>
          <w:lang w:val="en-CA"/>
        </w:rPr>
        <w:t>ODP tonnes</w:t>
      </w:r>
      <w:r w:rsidR="00D25165" w:rsidRPr="00F144AF">
        <w:rPr>
          <w:lang w:val="en-CA"/>
        </w:rPr>
        <w:t xml:space="preserve"> (125 </w:t>
      </w:r>
      <w:proofErr w:type="spellStart"/>
      <w:r w:rsidR="00D25165" w:rsidRPr="00F144AF">
        <w:rPr>
          <w:lang w:val="en-CA"/>
        </w:rPr>
        <w:t>mt</w:t>
      </w:r>
      <w:proofErr w:type="spellEnd"/>
      <w:r w:rsidR="00D25165" w:rsidRPr="00F144AF">
        <w:rPr>
          <w:lang w:val="en-CA"/>
        </w:rPr>
        <w:t>)</w:t>
      </w:r>
      <w:r w:rsidRPr="00F144AF">
        <w:rPr>
          <w:lang w:val="en-CA"/>
        </w:rPr>
        <w:t xml:space="preserve">, which is lower than the </w:t>
      </w:r>
      <w:r w:rsidR="00D25165" w:rsidRPr="00F144AF">
        <w:rPr>
          <w:lang w:val="en-CA"/>
        </w:rPr>
        <w:t xml:space="preserve">Montreal Protocol control </w:t>
      </w:r>
      <w:r w:rsidR="001133A9" w:rsidRPr="00F144AF">
        <w:rPr>
          <w:lang w:val="en-CA"/>
        </w:rPr>
        <w:t xml:space="preserve">targets by </w:t>
      </w:r>
      <w:r w:rsidR="00BC59B9" w:rsidRPr="00F144AF">
        <w:rPr>
          <w:lang w:val="en-CA"/>
        </w:rPr>
        <w:t>25 per cent</w:t>
      </w:r>
      <w:r w:rsidR="001133A9" w:rsidRPr="00F144AF">
        <w:rPr>
          <w:lang w:val="en-CA"/>
        </w:rPr>
        <w:t>.</w:t>
      </w:r>
      <w:r w:rsidR="000222D2" w:rsidRPr="00F144AF">
        <w:rPr>
          <w:lang w:val="en-CA"/>
        </w:rPr>
        <w:t xml:space="preserve"> For strengthening their national regulations to reduce dependence on HCFCs,</w:t>
      </w:r>
      <w:r w:rsidR="00EC247C" w:rsidRPr="00F144AF">
        <w:rPr>
          <w:lang w:val="en-CA"/>
        </w:rPr>
        <w:t xml:space="preserve"> the</w:t>
      </w:r>
      <w:r w:rsidR="000222D2" w:rsidRPr="00F144AF">
        <w:rPr>
          <w:lang w:val="en-CA"/>
        </w:rPr>
        <w:t xml:space="preserve"> </w:t>
      </w:r>
      <w:r w:rsidR="005079FE" w:rsidRPr="00F144AF">
        <w:rPr>
          <w:lang w:val="en-CA"/>
        </w:rPr>
        <w:t xml:space="preserve">Government of the </w:t>
      </w:r>
      <w:r w:rsidR="000222D2" w:rsidRPr="00F144AF">
        <w:rPr>
          <w:lang w:val="en-CA"/>
        </w:rPr>
        <w:t xml:space="preserve">Congo is working with other CEMAC members to update regulations to </w:t>
      </w:r>
      <w:r w:rsidR="005079FE" w:rsidRPr="00F144AF">
        <w:rPr>
          <w:lang w:val="en-CA"/>
        </w:rPr>
        <w:t>ban import of</w:t>
      </w:r>
      <w:r w:rsidR="000222D2" w:rsidRPr="00F144AF">
        <w:rPr>
          <w:lang w:val="en-CA"/>
        </w:rPr>
        <w:t xml:space="preserve"> HCFC-based equipment </w:t>
      </w:r>
      <w:r w:rsidR="005079FE" w:rsidRPr="00F144AF">
        <w:rPr>
          <w:lang w:val="en-CA"/>
        </w:rPr>
        <w:t>by 2020</w:t>
      </w:r>
      <w:r w:rsidR="00B761F2" w:rsidRPr="00F144AF">
        <w:rPr>
          <w:lang w:val="en-CA"/>
        </w:rPr>
        <w:t xml:space="preserve"> </w:t>
      </w:r>
      <w:r w:rsidR="002917C0" w:rsidRPr="00F144AF">
        <w:rPr>
          <w:lang w:val="en-CA"/>
        </w:rPr>
        <w:t xml:space="preserve">and control </w:t>
      </w:r>
      <w:r w:rsidR="00B761F2" w:rsidRPr="00F144AF">
        <w:rPr>
          <w:lang w:val="en-CA"/>
        </w:rPr>
        <w:t xml:space="preserve">use of </w:t>
      </w:r>
      <w:r w:rsidR="002917C0" w:rsidRPr="00F144AF">
        <w:rPr>
          <w:lang w:val="en-CA"/>
        </w:rPr>
        <w:t>HFC</w:t>
      </w:r>
      <w:r w:rsidR="002917C0" w:rsidRPr="00F144AF">
        <w:rPr>
          <w:lang w:val="en-CA"/>
        </w:rPr>
        <w:noBreakHyphen/>
      </w:r>
      <w:r w:rsidR="00763172" w:rsidRPr="00F144AF">
        <w:rPr>
          <w:lang w:val="en-CA"/>
        </w:rPr>
        <w:t>based equipme</w:t>
      </w:r>
      <w:r w:rsidR="005079FE" w:rsidRPr="00F144AF">
        <w:rPr>
          <w:lang w:val="en-CA"/>
        </w:rPr>
        <w:t>nt</w:t>
      </w:r>
      <w:r w:rsidR="00763172" w:rsidRPr="00F144AF">
        <w:rPr>
          <w:lang w:val="en-CA"/>
        </w:rPr>
        <w:t xml:space="preserve">. </w:t>
      </w:r>
    </w:p>
    <w:p w:rsidR="00255CDE" w:rsidRPr="00F144AF" w:rsidRDefault="00255CDE" w:rsidP="00B65047">
      <w:pPr>
        <w:rPr>
          <w:i/>
          <w:lang w:val="en-CA"/>
        </w:rPr>
      </w:pPr>
      <w:r w:rsidRPr="00F144AF">
        <w:rPr>
          <w:i/>
          <w:lang w:val="en-CA"/>
        </w:rPr>
        <w:t>Refrigeration servicing sector</w:t>
      </w:r>
    </w:p>
    <w:p w:rsidR="00255CDE" w:rsidRPr="00F144AF" w:rsidRDefault="00255CDE" w:rsidP="00B65047">
      <w:pPr>
        <w:rPr>
          <w:lang w:val="en-CA"/>
        </w:rPr>
      </w:pPr>
    </w:p>
    <w:p w:rsidR="00255CDE" w:rsidRPr="00F144AF" w:rsidRDefault="005E7616" w:rsidP="00B65047">
      <w:pPr>
        <w:pStyle w:val="Heading1"/>
        <w:rPr>
          <w:lang w:val="en-CA"/>
        </w:rPr>
      </w:pPr>
      <w:r w:rsidRPr="00F144AF">
        <w:rPr>
          <w:lang w:val="en-CA"/>
        </w:rPr>
        <w:t>UNEP confirmed that the training program</w:t>
      </w:r>
      <w:r w:rsidR="00DA6A71" w:rsidRPr="00F144AF">
        <w:rPr>
          <w:lang w:val="en-CA"/>
        </w:rPr>
        <w:t>me</w:t>
      </w:r>
      <w:r w:rsidR="00BD0525" w:rsidRPr="00F144AF">
        <w:rPr>
          <w:lang w:val="en-CA"/>
        </w:rPr>
        <w:t xml:space="preserve"> for refrigeration technicians</w:t>
      </w:r>
      <w:r w:rsidRPr="00F144AF">
        <w:rPr>
          <w:lang w:val="en-CA"/>
        </w:rPr>
        <w:t xml:space="preserve"> covers safe use of flammable refrigerants</w:t>
      </w:r>
      <w:r w:rsidR="00482CE9" w:rsidRPr="00F144AF">
        <w:rPr>
          <w:lang w:val="en-CA"/>
        </w:rPr>
        <w:t xml:space="preserve">; however, it </w:t>
      </w:r>
      <w:r w:rsidR="00A06E73">
        <w:rPr>
          <w:lang w:val="en-CA"/>
        </w:rPr>
        <w:t>assures</w:t>
      </w:r>
      <w:r w:rsidR="00482CE9" w:rsidRPr="00F144AF">
        <w:rPr>
          <w:lang w:val="en-CA"/>
        </w:rPr>
        <w:t xml:space="preserve"> that </w:t>
      </w:r>
      <w:r w:rsidRPr="00F144AF">
        <w:rPr>
          <w:lang w:val="en-CA"/>
        </w:rPr>
        <w:t xml:space="preserve">there is no retrofit of </w:t>
      </w:r>
      <w:r w:rsidR="00482CE9" w:rsidRPr="00F144AF">
        <w:rPr>
          <w:lang w:val="en-CA"/>
        </w:rPr>
        <w:t xml:space="preserve">HCFC-22-based </w:t>
      </w:r>
      <w:r w:rsidRPr="00F144AF">
        <w:rPr>
          <w:lang w:val="en-CA"/>
        </w:rPr>
        <w:t>equipment</w:t>
      </w:r>
      <w:r w:rsidR="00BD0525" w:rsidRPr="00F144AF">
        <w:rPr>
          <w:lang w:val="en-CA"/>
        </w:rPr>
        <w:t xml:space="preserve"> with flammable refrigerants</w:t>
      </w:r>
      <w:r w:rsidRPr="00F144AF">
        <w:rPr>
          <w:lang w:val="en-CA"/>
        </w:rPr>
        <w:t>. The NOU is fully aware of the decision</w:t>
      </w:r>
      <w:r w:rsidR="00FE652C" w:rsidRPr="00F144AF">
        <w:rPr>
          <w:lang w:val="en-CA"/>
        </w:rPr>
        <w:t>s</w:t>
      </w:r>
      <w:r w:rsidRPr="00F144AF">
        <w:rPr>
          <w:lang w:val="en-CA"/>
        </w:rPr>
        <w:t xml:space="preserve"> of the Executive Committee relating to retrofit of equipment using flammable refrigerants in equipment designed for non-flammable refrigerants.</w:t>
      </w:r>
      <w:r w:rsidR="00FE652C" w:rsidRPr="00F144AF">
        <w:rPr>
          <w:rStyle w:val="FootnoteReference"/>
          <w:lang w:val="en-CA"/>
        </w:rPr>
        <w:footnoteReference w:id="2"/>
      </w:r>
      <w:r w:rsidRPr="00F144AF">
        <w:rPr>
          <w:lang w:val="en-CA"/>
        </w:rPr>
        <w:t xml:space="preserve">  </w:t>
      </w:r>
    </w:p>
    <w:p w:rsidR="00255CDE" w:rsidRPr="00F144AF" w:rsidRDefault="00255CDE" w:rsidP="00B65047">
      <w:pPr>
        <w:keepNext/>
        <w:keepLines/>
        <w:rPr>
          <w:u w:val="single"/>
          <w:lang w:val="en-CA"/>
        </w:rPr>
      </w:pPr>
      <w:r w:rsidRPr="00F144AF">
        <w:rPr>
          <w:u w:val="single"/>
          <w:lang w:val="en-CA"/>
        </w:rPr>
        <w:t xml:space="preserve">Sustainability of the HCFC phase-out </w:t>
      </w:r>
    </w:p>
    <w:p w:rsidR="00255CDE" w:rsidRPr="00F144AF" w:rsidRDefault="00255CDE" w:rsidP="00B65047">
      <w:pPr>
        <w:rPr>
          <w:u w:val="single"/>
          <w:lang w:val="en-CA"/>
        </w:rPr>
      </w:pPr>
    </w:p>
    <w:p w:rsidR="00255CDE" w:rsidRPr="00F144AF" w:rsidRDefault="001133A9" w:rsidP="00B65047">
      <w:pPr>
        <w:pStyle w:val="Heading1"/>
        <w:rPr>
          <w:lang w:val="en-CA"/>
        </w:rPr>
      </w:pPr>
      <w:r w:rsidRPr="00F144AF">
        <w:rPr>
          <w:lang w:val="en-CA"/>
        </w:rPr>
        <w:t xml:space="preserve">Under stage I, </w:t>
      </w:r>
      <w:r w:rsidR="001F07D9" w:rsidRPr="00F144AF">
        <w:rPr>
          <w:lang w:val="en-CA"/>
        </w:rPr>
        <w:t xml:space="preserve">technical assistance and training </w:t>
      </w:r>
      <w:r w:rsidR="00E11D99" w:rsidRPr="00F144AF">
        <w:rPr>
          <w:lang w:val="en-CA"/>
        </w:rPr>
        <w:t xml:space="preserve">equipment have </w:t>
      </w:r>
      <w:r w:rsidRPr="00F144AF">
        <w:rPr>
          <w:lang w:val="en-CA"/>
        </w:rPr>
        <w:t>been provided to the national training cent</w:t>
      </w:r>
      <w:r w:rsidR="004F2956">
        <w:rPr>
          <w:lang w:val="en-CA"/>
        </w:rPr>
        <w:t>r</w:t>
      </w:r>
      <w:r w:rsidRPr="00F144AF">
        <w:rPr>
          <w:lang w:val="en-CA"/>
        </w:rPr>
        <w:t>es for training RAC t</w:t>
      </w:r>
      <w:r w:rsidR="00CD7015" w:rsidRPr="00F144AF">
        <w:rPr>
          <w:lang w:val="en-CA"/>
        </w:rPr>
        <w:t>echnicians on an ongoing basis.</w:t>
      </w:r>
      <w:r w:rsidRPr="00F144AF">
        <w:rPr>
          <w:lang w:val="en-CA"/>
        </w:rPr>
        <w:t xml:space="preserve"> </w:t>
      </w:r>
      <w:r w:rsidR="00CC7A70" w:rsidRPr="00F144AF">
        <w:rPr>
          <w:lang w:val="en-CA"/>
        </w:rPr>
        <w:t>For reducing dependence on HCFC</w:t>
      </w:r>
      <w:r w:rsidR="00D35354" w:rsidRPr="00F144AF">
        <w:rPr>
          <w:lang w:val="en-CA"/>
        </w:rPr>
        <w:noBreakHyphen/>
      </w:r>
      <w:r w:rsidR="00CC7A70" w:rsidRPr="00F144AF">
        <w:rPr>
          <w:lang w:val="en-CA"/>
        </w:rPr>
        <w:t xml:space="preserve">based RAC equipment, the Government is </w:t>
      </w:r>
      <w:r w:rsidR="00805267" w:rsidRPr="00F144AF">
        <w:rPr>
          <w:lang w:val="en-CA"/>
        </w:rPr>
        <w:t xml:space="preserve">considering issuing a </w:t>
      </w:r>
      <w:r w:rsidR="00CC7A70" w:rsidRPr="00F144AF">
        <w:rPr>
          <w:lang w:val="en-CA"/>
        </w:rPr>
        <w:t>ban on import of suc</w:t>
      </w:r>
      <w:r w:rsidR="00CD7015" w:rsidRPr="00F144AF">
        <w:rPr>
          <w:lang w:val="en-CA"/>
        </w:rPr>
        <w:t>h equipment i</w:t>
      </w:r>
      <w:r w:rsidR="00862189" w:rsidRPr="00F144AF">
        <w:rPr>
          <w:lang w:val="en-CA"/>
        </w:rPr>
        <w:t>n the near future</w:t>
      </w:r>
      <w:r w:rsidR="00CC7A70" w:rsidRPr="00F144AF">
        <w:rPr>
          <w:lang w:val="en-CA"/>
        </w:rPr>
        <w:t xml:space="preserve">. A combination of the above measures </w:t>
      </w:r>
      <w:r w:rsidR="002C4DB6" w:rsidRPr="00F144AF">
        <w:rPr>
          <w:lang w:val="en-CA"/>
        </w:rPr>
        <w:t>is</w:t>
      </w:r>
      <w:r w:rsidR="00CC7A70" w:rsidRPr="00F144AF">
        <w:rPr>
          <w:lang w:val="en-CA"/>
        </w:rPr>
        <w:t xml:space="preserve"> expected to result in sustainable phase-out of HCFC</w:t>
      </w:r>
      <w:r w:rsidR="00CD7015" w:rsidRPr="00F144AF">
        <w:rPr>
          <w:lang w:val="en-CA"/>
        </w:rPr>
        <w:t>s</w:t>
      </w:r>
      <w:r w:rsidR="00CC7A70" w:rsidRPr="00F144AF">
        <w:rPr>
          <w:lang w:val="en-CA"/>
        </w:rPr>
        <w:t xml:space="preserve"> in the country.   </w:t>
      </w:r>
    </w:p>
    <w:p w:rsidR="00255CDE" w:rsidRPr="00F144AF" w:rsidRDefault="00255CDE" w:rsidP="00B65047">
      <w:pPr>
        <w:rPr>
          <w:u w:val="single"/>
          <w:lang w:val="en-CA"/>
        </w:rPr>
      </w:pPr>
      <w:r w:rsidRPr="00F144AF">
        <w:rPr>
          <w:u w:val="single"/>
          <w:lang w:val="en-CA"/>
        </w:rPr>
        <w:t xml:space="preserve">Conclusion </w:t>
      </w:r>
    </w:p>
    <w:p w:rsidR="00255CDE" w:rsidRPr="00F144AF" w:rsidRDefault="00255CDE" w:rsidP="00B65047">
      <w:pPr>
        <w:rPr>
          <w:lang w:val="en-CA"/>
        </w:rPr>
      </w:pPr>
    </w:p>
    <w:p w:rsidR="00255CDE" w:rsidRPr="00F144AF" w:rsidRDefault="00CC7A70" w:rsidP="00B65047">
      <w:pPr>
        <w:pStyle w:val="Heading1"/>
        <w:rPr>
          <w:lang w:val="en-CA"/>
        </w:rPr>
      </w:pPr>
      <w:r w:rsidRPr="00F144AF">
        <w:rPr>
          <w:lang w:val="en-CA"/>
        </w:rPr>
        <w:t xml:space="preserve">The HPMP is progressing </w:t>
      </w:r>
      <w:r w:rsidR="00805267" w:rsidRPr="00F144AF">
        <w:rPr>
          <w:lang w:val="en-CA"/>
        </w:rPr>
        <w:t>al</w:t>
      </w:r>
      <w:r w:rsidRPr="00F144AF">
        <w:rPr>
          <w:lang w:val="en-CA"/>
        </w:rPr>
        <w:t xml:space="preserve">though the country faced </w:t>
      </w:r>
      <w:r w:rsidR="005F3120" w:rsidRPr="00F144AF">
        <w:rPr>
          <w:lang w:val="en-CA"/>
        </w:rPr>
        <w:t>challenges</w:t>
      </w:r>
      <w:r w:rsidRPr="00F144AF">
        <w:rPr>
          <w:lang w:val="en-CA"/>
        </w:rPr>
        <w:t xml:space="preserve"> in the past</w:t>
      </w:r>
      <w:r w:rsidR="0086362D" w:rsidRPr="00F144AF">
        <w:rPr>
          <w:lang w:val="en-CA"/>
        </w:rPr>
        <w:t>, which caused a delay in submitting the current tranche</w:t>
      </w:r>
      <w:r w:rsidRPr="00F144AF">
        <w:rPr>
          <w:lang w:val="en-CA"/>
        </w:rPr>
        <w:t>. The country’s import licensing and quota system is operational. The consumption of HCFCs in 2018 is 2</w:t>
      </w:r>
      <w:r w:rsidR="00B974E8" w:rsidRPr="00F144AF">
        <w:rPr>
          <w:lang w:val="en-CA"/>
        </w:rPr>
        <w:t>1</w:t>
      </w:r>
      <w:r w:rsidRPr="00F144AF">
        <w:rPr>
          <w:lang w:val="en-CA"/>
        </w:rPr>
        <w:t>.</w:t>
      </w:r>
      <w:r w:rsidR="00B974E8" w:rsidRPr="00F144AF">
        <w:rPr>
          <w:lang w:val="en-CA"/>
        </w:rPr>
        <w:t>9</w:t>
      </w:r>
      <w:r w:rsidRPr="00F144AF">
        <w:rPr>
          <w:lang w:val="en-CA"/>
        </w:rPr>
        <w:t xml:space="preserve"> per cent below the </w:t>
      </w:r>
      <w:r w:rsidR="008B1BED" w:rsidRPr="00F144AF">
        <w:rPr>
          <w:lang w:val="en-CA"/>
        </w:rPr>
        <w:t>Montreal Protocol control targets</w:t>
      </w:r>
      <w:r w:rsidRPr="00F144AF">
        <w:rPr>
          <w:lang w:val="en-CA"/>
        </w:rPr>
        <w:t xml:space="preserve">. The activities so far implemented under the first three tranches </w:t>
      </w:r>
      <w:r w:rsidR="00917A66" w:rsidRPr="00F144AF">
        <w:rPr>
          <w:lang w:val="en-CA"/>
        </w:rPr>
        <w:t>including the strengthening of the centres of excellence in the country and national capacities for the control of HCFCs, and the distribution of refrigeration servicing equipment and tools</w:t>
      </w:r>
      <w:r w:rsidR="00057978" w:rsidRPr="00F144AF">
        <w:rPr>
          <w:lang w:val="en-CA"/>
        </w:rPr>
        <w:t>,</w:t>
      </w:r>
      <w:r w:rsidR="00917A66" w:rsidRPr="00F144AF">
        <w:rPr>
          <w:lang w:val="en-CA"/>
        </w:rPr>
        <w:t xml:space="preserve"> </w:t>
      </w:r>
      <w:r w:rsidRPr="00F144AF">
        <w:rPr>
          <w:lang w:val="en-CA"/>
        </w:rPr>
        <w:t>and those planned under the fourth tranche</w:t>
      </w:r>
      <w:r w:rsidR="00917A66" w:rsidRPr="00F144AF">
        <w:rPr>
          <w:lang w:val="en-CA"/>
        </w:rPr>
        <w:t xml:space="preserve"> that include training of customs and enforcement officers and training of service technicians and experts</w:t>
      </w:r>
      <w:r w:rsidR="00057978" w:rsidRPr="00F144AF">
        <w:rPr>
          <w:lang w:val="en-CA"/>
        </w:rPr>
        <w:t>,</w:t>
      </w:r>
      <w:r w:rsidR="0084650B" w:rsidRPr="00F144AF">
        <w:rPr>
          <w:lang w:val="en-CA"/>
        </w:rPr>
        <w:t xml:space="preserve"> </w:t>
      </w:r>
      <w:r w:rsidRPr="00F144AF">
        <w:rPr>
          <w:lang w:val="en-CA"/>
        </w:rPr>
        <w:t>will further strengthen the servicing sector and ensure the long</w:t>
      </w:r>
      <w:r w:rsidR="001F33CC" w:rsidRPr="00F144AF">
        <w:rPr>
          <w:lang w:val="en-CA"/>
        </w:rPr>
        <w:t>-</w:t>
      </w:r>
      <w:r w:rsidRPr="00F144AF">
        <w:rPr>
          <w:lang w:val="en-CA"/>
        </w:rPr>
        <w:t>term sustainability of the activities prop</w:t>
      </w:r>
      <w:r w:rsidR="001F33CC" w:rsidRPr="00F144AF">
        <w:rPr>
          <w:lang w:val="en-CA"/>
        </w:rPr>
        <w:t>osed under stage I of the HPMP.</w:t>
      </w:r>
      <w:r w:rsidR="005C0EFE" w:rsidRPr="00F144AF">
        <w:rPr>
          <w:lang w:val="en-CA"/>
        </w:rPr>
        <w:t xml:space="preserve"> T</w:t>
      </w:r>
      <w:r w:rsidR="00EE5D73" w:rsidRPr="00F144AF">
        <w:rPr>
          <w:lang w:val="en-CA"/>
        </w:rPr>
        <w:t>he disbursement level</w:t>
      </w:r>
      <w:r w:rsidR="005C0EFE" w:rsidRPr="00F144AF">
        <w:rPr>
          <w:lang w:val="en-CA"/>
        </w:rPr>
        <w:t xml:space="preserve"> for the third tranche is at 77 per cent of the funds approved.</w:t>
      </w:r>
    </w:p>
    <w:p w:rsidR="00255CDE" w:rsidRPr="00F144AF" w:rsidRDefault="00255CDE" w:rsidP="00D97D6F">
      <w:pPr>
        <w:keepNext/>
        <w:rPr>
          <w:lang w:val="en-CA"/>
        </w:rPr>
      </w:pPr>
      <w:r w:rsidRPr="00F144AF">
        <w:rPr>
          <w:b/>
          <w:lang w:val="en-CA"/>
        </w:rPr>
        <w:lastRenderedPageBreak/>
        <w:t xml:space="preserve">RECOMMENDATION </w:t>
      </w:r>
    </w:p>
    <w:p w:rsidR="00255CDE" w:rsidRPr="00F144AF" w:rsidRDefault="00255CDE" w:rsidP="00D97D6F">
      <w:pPr>
        <w:keepNext/>
        <w:rPr>
          <w:lang w:val="en-CA"/>
        </w:rPr>
      </w:pPr>
    </w:p>
    <w:p w:rsidR="00255CDE" w:rsidRPr="00F144AF" w:rsidRDefault="00255CDE" w:rsidP="00D97D6F">
      <w:pPr>
        <w:pStyle w:val="Heading1"/>
        <w:keepNext/>
        <w:rPr>
          <w:lang w:val="en-CA"/>
        </w:rPr>
      </w:pPr>
      <w:r w:rsidRPr="00F144AF">
        <w:rPr>
          <w:lang w:val="en-CA"/>
        </w:rPr>
        <w:t>The Fund Secretariat recommend</w:t>
      </w:r>
      <w:r w:rsidR="008102F2" w:rsidRPr="00F144AF">
        <w:rPr>
          <w:lang w:val="en-CA"/>
        </w:rPr>
        <w:t>s that the Executive Committee take</w:t>
      </w:r>
      <w:r w:rsidR="00870B7F" w:rsidRPr="00F144AF">
        <w:rPr>
          <w:lang w:val="en-CA"/>
        </w:rPr>
        <w:t>s</w:t>
      </w:r>
      <w:r w:rsidR="008102F2" w:rsidRPr="00F144AF">
        <w:rPr>
          <w:lang w:val="en-CA"/>
        </w:rPr>
        <w:t xml:space="preserve"> </w:t>
      </w:r>
      <w:r w:rsidRPr="00F144AF">
        <w:rPr>
          <w:lang w:val="en-CA"/>
        </w:rPr>
        <w:t xml:space="preserve">note of the progress report on the implementation of the </w:t>
      </w:r>
      <w:r w:rsidR="00C90A66" w:rsidRPr="00F144AF">
        <w:rPr>
          <w:lang w:val="en-CA"/>
        </w:rPr>
        <w:t>third</w:t>
      </w:r>
      <w:r w:rsidRPr="00F144AF">
        <w:rPr>
          <w:lang w:val="en-CA"/>
        </w:rPr>
        <w:t xml:space="preserve"> tranche of stage I of the HCFC</w:t>
      </w:r>
      <w:bookmarkStart w:id="0" w:name="_GoBack"/>
      <w:bookmarkEnd w:id="0"/>
      <w:r w:rsidRPr="00F144AF">
        <w:rPr>
          <w:lang w:val="en-CA"/>
        </w:rPr>
        <w:t xml:space="preserve"> phase-out management plan (HPMP) for </w:t>
      </w:r>
      <w:r w:rsidR="00C90A66" w:rsidRPr="00F144AF">
        <w:rPr>
          <w:lang w:val="en-CA"/>
        </w:rPr>
        <w:t>the Congo</w:t>
      </w:r>
      <w:r w:rsidRPr="00F144AF">
        <w:rPr>
          <w:lang w:val="en-CA"/>
        </w:rPr>
        <w:t>; and</w:t>
      </w:r>
      <w:r w:rsidR="003F458B" w:rsidRPr="00F144AF">
        <w:rPr>
          <w:lang w:val="en-CA"/>
        </w:rPr>
        <w:t xml:space="preserve"> </w:t>
      </w:r>
      <w:r w:rsidRPr="00F144AF">
        <w:rPr>
          <w:lang w:val="en-CA"/>
        </w:rPr>
        <w:t xml:space="preserve">further recommends blanket approval of the </w:t>
      </w:r>
      <w:r w:rsidR="00C90A66" w:rsidRPr="00F144AF">
        <w:rPr>
          <w:lang w:val="en-CA"/>
        </w:rPr>
        <w:t>fourth</w:t>
      </w:r>
      <w:r w:rsidRPr="00F144AF">
        <w:rPr>
          <w:lang w:val="en-CA"/>
        </w:rPr>
        <w:t xml:space="preserve"> tranche of stage I of the HPMP for </w:t>
      </w:r>
      <w:r w:rsidR="00C90A66" w:rsidRPr="00F144AF">
        <w:rPr>
          <w:lang w:val="en-CA"/>
        </w:rPr>
        <w:t>the Congo</w:t>
      </w:r>
      <w:r w:rsidRPr="00F144AF">
        <w:rPr>
          <w:lang w:val="en-CA"/>
        </w:rPr>
        <w:t xml:space="preserve">, and the corresponding </w:t>
      </w:r>
      <w:r w:rsidR="00D50FC2" w:rsidRPr="00F144AF">
        <w:rPr>
          <w:lang w:val="en-CA"/>
        </w:rPr>
        <w:t>2020</w:t>
      </w:r>
      <w:r w:rsidR="00FB1889" w:rsidRPr="00F144AF">
        <w:rPr>
          <w:lang w:val="en-CA"/>
        </w:rPr>
        <w:t>–</w:t>
      </w:r>
      <w:r w:rsidR="00D50FC2" w:rsidRPr="00F144AF">
        <w:rPr>
          <w:lang w:val="en-CA"/>
        </w:rPr>
        <w:t>2021</w:t>
      </w:r>
      <w:r w:rsidR="00C90A66" w:rsidRPr="00F144AF">
        <w:rPr>
          <w:lang w:val="en-CA"/>
        </w:rPr>
        <w:t xml:space="preserve"> </w:t>
      </w:r>
      <w:r w:rsidRPr="00F144AF">
        <w:rPr>
          <w:lang w:val="en-CA"/>
        </w:rPr>
        <w:t xml:space="preserve">tranche implementation plan, at the funding </w:t>
      </w:r>
      <w:r w:rsidR="001831EE" w:rsidRPr="00F144AF">
        <w:rPr>
          <w:lang w:val="en-CA"/>
        </w:rPr>
        <w:t>level shown in the table below</w:t>
      </w:r>
      <w:r w:rsidR="008E7946" w:rsidRPr="00F144AF">
        <w:rPr>
          <w:lang w:val="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370"/>
        <w:gridCol w:w="1477"/>
        <w:gridCol w:w="1477"/>
        <w:gridCol w:w="1477"/>
      </w:tblGrid>
      <w:tr w:rsidR="00F144AF" w:rsidRPr="00F144AF" w:rsidTr="008504F9">
        <w:tc>
          <w:tcPr>
            <w:tcW w:w="293" w:type="pct"/>
          </w:tcPr>
          <w:p w:rsidR="00255CDE" w:rsidRPr="00F144AF" w:rsidRDefault="00255CDE" w:rsidP="00B65047">
            <w:pPr>
              <w:jc w:val="center"/>
              <w:rPr>
                <w:b/>
                <w:bCs/>
                <w:sz w:val="20"/>
                <w:szCs w:val="20"/>
                <w:lang w:val="en-CA"/>
              </w:rPr>
            </w:pPr>
          </w:p>
        </w:tc>
        <w:tc>
          <w:tcPr>
            <w:tcW w:w="2337" w:type="pct"/>
          </w:tcPr>
          <w:p w:rsidR="00255CDE" w:rsidRPr="00F144AF" w:rsidRDefault="00255CDE" w:rsidP="00B65047">
            <w:pPr>
              <w:jc w:val="center"/>
              <w:rPr>
                <w:b/>
                <w:bCs/>
                <w:sz w:val="20"/>
                <w:szCs w:val="20"/>
                <w:lang w:val="en-CA"/>
              </w:rPr>
            </w:pPr>
            <w:r w:rsidRPr="00F144AF">
              <w:rPr>
                <w:b/>
                <w:bCs/>
                <w:sz w:val="20"/>
                <w:szCs w:val="20"/>
                <w:lang w:val="en-CA"/>
              </w:rPr>
              <w:t>Project title</w:t>
            </w:r>
          </w:p>
        </w:tc>
        <w:tc>
          <w:tcPr>
            <w:tcW w:w="790" w:type="pct"/>
            <w:tcMar>
              <w:left w:w="29" w:type="dxa"/>
              <w:right w:w="29" w:type="dxa"/>
            </w:tcMar>
          </w:tcPr>
          <w:p w:rsidR="00255CDE" w:rsidRPr="00F144AF" w:rsidRDefault="00255CDE" w:rsidP="00B65047">
            <w:pPr>
              <w:jc w:val="center"/>
              <w:rPr>
                <w:b/>
                <w:bCs/>
                <w:sz w:val="20"/>
                <w:szCs w:val="20"/>
                <w:lang w:val="en-CA"/>
              </w:rPr>
            </w:pPr>
            <w:r w:rsidRPr="00F144AF">
              <w:rPr>
                <w:b/>
                <w:bCs/>
                <w:sz w:val="20"/>
                <w:szCs w:val="20"/>
                <w:lang w:val="en-CA"/>
              </w:rPr>
              <w:t>Project funding (US $)</w:t>
            </w:r>
          </w:p>
        </w:tc>
        <w:tc>
          <w:tcPr>
            <w:tcW w:w="790" w:type="pct"/>
            <w:tcMar>
              <w:left w:w="29" w:type="dxa"/>
              <w:right w:w="29" w:type="dxa"/>
            </w:tcMar>
          </w:tcPr>
          <w:p w:rsidR="00255CDE" w:rsidRPr="00F144AF" w:rsidRDefault="00255CDE" w:rsidP="00B65047">
            <w:pPr>
              <w:jc w:val="center"/>
              <w:rPr>
                <w:b/>
                <w:bCs/>
                <w:sz w:val="20"/>
                <w:szCs w:val="20"/>
                <w:lang w:val="en-CA"/>
              </w:rPr>
            </w:pPr>
            <w:r w:rsidRPr="00F144AF">
              <w:rPr>
                <w:b/>
                <w:bCs/>
                <w:sz w:val="20"/>
                <w:szCs w:val="20"/>
                <w:lang w:val="en-CA"/>
              </w:rPr>
              <w:t>Support cost (US $)</w:t>
            </w:r>
          </w:p>
        </w:tc>
        <w:tc>
          <w:tcPr>
            <w:tcW w:w="790" w:type="pct"/>
            <w:tcMar>
              <w:left w:w="29" w:type="dxa"/>
              <w:right w:w="29" w:type="dxa"/>
            </w:tcMar>
          </w:tcPr>
          <w:p w:rsidR="00255CDE" w:rsidRPr="00F144AF" w:rsidRDefault="00255CDE" w:rsidP="00B65047">
            <w:pPr>
              <w:jc w:val="center"/>
              <w:rPr>
                <w:b/>
                <w:bCs/>
                <w:sz w:val="20"/>
                <w:szCs w:val="20"/>
                <w:lang w:val="en-CA"/>
              </w:rPr>
            </w:pPr>
            <w:r w:rsidRPr="00F144AF">
              <w:rPr>
                <w:b/>
                <w:bCs/>
                <w:sz w:val="20"/>
                <w:szCs w:val="20"/>
                <w:lang w:val="en-CA"/>
              </w:rPr>
              <w:t>Implementing agency</w:t>
            </w:r>
          </w:p>
        </w:tc>
      </w:tr>
      <w:tr w:rsidR="00255CDE" w:rsidRPr="00F144AF" w:rsidTr="008504F9">
        <w:tc>
          <w:tcPr>
            <w:tcW w:w="293" w:type="pct"/>
          </w:tcPr>
          <w:p w:rsidR="00255CDE" w:rsidRPr="00F144AF" w:rsidRDefault="00255CDE" w:rsidP="00B65047">
            <w:pPr>
              <w:rPr>
                <w:sz w:val="20"/>
                <w:szCs w:val="20"/>
                <w:lang w:val="en-CA"/>
              </w:rPr>
            </w:pPr>
            <w:r w:rsidRPr="00F144AF">
              <w:rPr>
                <w:sz w:val="20"/>
                <w:szCs w:val="20"/>
                <w:lang w:val="en-CA"/>
              </w:rPr>
              <w:t>(a)</w:t>
            </w:r>
          </w:p>
        </w:tc>
        <w:tc>
          <w:tcPr>
            <w:tcW w:w="2337" w:type="pct"/>
          </w:tcPr>
          <w:p w:rsidR="00255CDE" w:rsidRPr="00F144AF" w:rsidRDefault="00255CDE" w:rsidP="00B65047">
            <w:pPr>
              <w:rPr>
                <w:sz w:val="20"/>
                <w:szCs w:val="20"/>
                <w:lang w:val="en-CA"/>
              </w:rPr>
            </w:pPr>
            <w:r w:rsidRPr="00F144AF">
              <w:rPr>
                <w:sz w:val="20"/>
                <w:szCs w:val="20"/>
                <w:lang w:val="en-CA"/>
              </w:rPr>
              <w:t xml:space="preserve">HCFC phase-out management plan (stage I, </w:t>
            </w:r>
            <w:r w:rsidR="00B67BA4" w:rsidRPr="00F144AF">
              <w:rPr>
                <w:sz w:val="20"/>
                <w:szCs w:val="20"/>
                <w:lang w:val="en-CA"/>
              </w:rPr>
              <w:t xml:space="preserve">fourth </w:t>
            </w:r>
            <w:r w:rsidRPr="00F144AF">
              <w:rPr>
                <w:sz w:val="20"/>
                <w:szCs w:val="20"/>
                <w:lang w:val="en-CA"/>
              </w:rPr>
              <w:t>tranche)</w:t>
            </w:r>
          </w:p>
        </w:tc>
        <w:tc>
          <w:tcPr>
            <w:tcW w:w="790" w:type="pct"/>
          </w:tcPr>
          <w:p w:rsidR="00255CDE" w:rsidRPr="00F144AF" w:rsidRDefault="00B67BA4" w:rsidP="00B65047">
            <w:pPr>
              <w:jc w:val="right"/>
              <w:rPr>
                <w:sz w:val="20"/>
                <w:szCs w:val="20"/>
                <w:lang w:val="en-CA"/>
              </w:rPr>
            </w:pPr>
            <w:r w:rsidRPr="00F144AF">
              <w:rPr>
                <w:sz w:val="20"/>
                <w:szCs w:val="20"/>
                <w:lang w:val="en-CA"/>
              </w:rPr>
              <w:t>25,000</w:t>
            </w:r>
          </w:p>
        </w:tc>
        <w:tc>
          <w:tcPr>
            <w:tcW w:w="790" w:type="pct"/>
          </w:tcPr>
          <w:p w:rsidR="00255CDE" w:rsidRPr="00F144AF" w:rsidRDefault="00B67BA4" w:rsidP="00B65047">
            <w:pPr>
              <w:jc w:val="right"/>
              <w:rPr>
                <w:lang w:val="en-CA"/>
              </w:rPr>
            </w:pPr>
            <w:r w:rsidRPr="00F144AF">
              <w:rPr>
                <w:sz w:val="20"/>
                <w:szCs w:val="20"/>
                <w:lang w:val="en-CA"/>
              </w:rPr>
              <w:t>3,250</w:t>
            </w:r>
          </w:p>
        </w:tc>
        <w:tc>
          <w:tcPr>
            <w:tcW w:w="790" w:type="pct"/>
          </w:tcPr>
          <w:p w:rsidR="00255CDE" w:rsidRPr="00F144AF" w:rsidRDefault="00B67BA4" w:rsidP="00B65047">
            <w:pPr>
              <w:jc w:val="center"/>
              <w:rPr>
                <w:sz w:val="20"/>
                <w:szCs w:val="20"/>
                <w:lang w:val="en-CA"/>
              </w:rPr>
            </w:pPr>
            <w:r w:rsidRPr="00F144AF">
              <w:rPr>
                <w:sz w:val="20"/>
                <w:szCs w:val="20"/>
                <w:lang w:val="en-CA"/>
              </w:rPr>
              <w:t>UNEP</w:t>
            </w:r>
          </w:p>
        </w:tc>
      </w:tr>
    </w:tbl>
    <w:p w:rsidR="00255CDE" w:rsidRPr="00F144AF" w:rsidRDefault="00255CDE" w:rsidP="00B6504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335D8" w:rsidRPr="00F144AF" w:rsidTr="00900108">
        <w:tc>
          <w:tcPr>
            <w:tcW w:w="1915" w:type="dxa"/>
          </w:tcPr>
          <w:p w:rsidR="003335D8" w:rsidRPr="00F144AF" w:rsidRDefault="003335D8" w:rsidP="00B65047">
            <w:pPr>
              <w:tabs>
                <w:tab w:val="left" w:pos="8280"/>
              </w:tabs>
            </w:pPr>
          </w:p>
        </w:tc>
        <w:tc>
          <w:tcPr>
            <w:tcW w:w="1915" w:type="dxa"/>
          </w:tcPr>
          <w:p w:rsidR="003335D8" w:rsidRPr="00F144AF" w:rsidRDefault="003335D8" w:rsidP="00B65047">
            <w:pPr>
              <w:tabs>
                <w:tab w:val="left" w:pos="8280"/>
              </w:tabs>
            </w:pPr>
          </w:p>
        </w:tc>
        <w:tc>
          <w:tcPr>
            <w:tcW w:w="1915" w:type="dxa"/>
            <w:tcBorders>
              <w:bottom w:val="single" w:sz="4" w:space="0" w:color="auto"/>
            </w:tcBorders>
          </w:tcPr>
          <w:p w:rsidR="003335D8" w:rsidRPr="00F144AF" w:rsidRDefault="003335D8" w:rsidP="00B65047">
            <w:pPr>
              <w:tabs>
                <w:tab w:val="left" w:pos="8280"/>
              </w:tabs>
            </w:pPr>
          </w:p>
        </w:tc>
        <w:tc>
          <w:tcPr>
            <w:tcW w:w="1915" w:type="dxa"/>
          </w:tcPr>
          <w:p w:rsidR="003335D8" w:rsidRPr="00F144AF" w:rsidRDefault="003335D8" w:rsidP="00B65047">
            <w:pPr>
              <w:tabs>
                <w:tab w:val="left" w:pos="8280"/>
              </w:tabs>
            </w:pPr>
          </w:p>
        </w:tc>
        <w:tc>
          <w:tcPr>
            <w:tcW w:w="1916" w:type="dxa"/>
          </w:tcPr>
          <w:p w:rsidR="003335D8" w:rsidRPr="00F144AF" w:rsidRDefault="003335D8" w:rsidP="00B65047">
            <w:pPr>
              <w:tabs>
                <w:tab w:val="left" w:pos="8280"/>
              </w:tabs>
            </w:pPr>
          </w:p>
        </w:tc>
      </w:tr>
    </w:tbl>
    <w:p w:rsidR="00052C5C" w:rsidRPr="00F144AF" w:rsidRDefault="00052C5C" w:rsidP="00B65047">
      <w:pPr>
        <w:tabs>
          <w:tab w:val="left" w:pos="8280"/>
        </w:tabs>
        <w:rPr>
          <w:lang w:val="en-CA"/>
        </w:rPr>
      </w:pPr>
    </w:p>
    <w:sectPr w:rsidR="00052C5C" w:rsidRPr="00F144AF" w:rsidSect="00DF55E4">
      <w:headerReference w:type="even" r:id="rId9"/>
      <w:headerReference w:type="default" r:id="rId10"/>
      <w:footerReference w:type="even" r:id="rId11"/>
      <w:footerReference w:type="default" r:id="rId12"/>
      <w:footerReference w:type="first" r:id="rId13"/>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BD" w:rsidRDefault="007D11BD" w:rsidP="004A504B">
      <w:r>
        <w:separator/>
      </w:r>
    </w:p>
  </w:endnote>
  <w:endnote w:type="continuationSeparator" w:id="0">
    <w:p w:rsidR="007D11BD" w:rsidRDefault="007D11B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93" w:rsidRPr="0033525D" w:rsidRDefault="00156E93">
    <w:pPr>
      <w:jc w:val="center"/>
    </w:pPr>
    <w:r>
      <w:fldChar w:fldCharType="begin"/>
    </w:r>
    <w:r>
      <w:instrText xml:space="preserve"> PAGE </w:instrText>
    </w:r>
    <w:r>
      <w:fldChar w:fldCharType="separate"/>
    </w:r>
    <w:r w:rsidR="00D97D6F">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93" w:rsidRPr="0033525D" w:rsidRDefault="00156E93">
    <w:pPr>
      <w:jc w:val="center"/>
    </w:pPr>
    <w:r>
      <w:fldChar w:fldCharType="begin"/>
    </w:r>
    <w:r>
      <w:instrText xml:space="preserve"> PAGE </w:instrText>
    </w:r>
    <w:r>
      <w:fldChar w:fldCharType="separate"/>
    </w:r>
    <w:r w:rsidR="00D97D6F">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93" w:rsidRDefault="00156E9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156E93" w:rsidRDefault="00156E9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BD" w:rsidRDefault="007D11BD" w:rsidP="004A504B">
      <w:r>
        <w:separator/>
      </w:r>
    </w:p>
  </w:footnote>
  <w:footnote w:type="continuationSeparator" w:id="0">
    <w:p w:rsidR="007D11BD" w:rsidRDefault="007D11BD" w:rsidP="004A504B">
      <w:r>
        <w:continuationSeparator/>
      </w:r>
    </w:p>
  </w:footnote>
  <w:footnote w:id="1">
    <w:p w:rsidR="00156E93" w:rsidRPr="00FE3307" w:rsidRDefault="00156E93" w:rsidP="00255CDE">
      <w:pPr>
        <w:pStyle w:val="FootnoteText"/>
        <w:rPr>
          <w:lang w:val="en-CA"/>
        </w:rPr>
      </w:pPr>
      <w:r w:rsidRPr="00360B03">
        <w:rPr>
          <w:rStyle w:val="FootnoteReference"/>
        </w:rPr>
        <w:footnoteRef/>
      </w:r>
      <w:r w:rsidRPr="00360B03">
        <w:t xml:space="preserve"> </w:t>
      </w:r>
      <w:r w:rsidRPr="00360B03">
        <w:rPr>
          <w:lang w:val="en-CA"/>
        </w:rPr>
        <w:t xml:space="preserve">As per the letter of 8 October 2019 from the </w:t>
      </w:r>
      <w:proofErr w:type="spellStart"/>
      <w:r w:rsidRPr="00360B03">
        <w:rPr>
          <w:lang w:val="en-CA"/>
        </w:rPr>
        <w:t>Ministère</w:t>
      </w:r>
      <w:proofErr w:type="spellEnd"/>
      <w:r w:rsidRPr="00360B03">
        <w:rPr>
          <w:lang w:val="en-CA"/>
        </w:rPr>
        <w:t xml:space="preserve"> du </w:t>
      </w:r>
      <w:proofErr w:type="spellStart"/>
      <w:r w:rsidRPr="00360B03">
        <w:rPr>
          <w:lang w:val="en-CA"/>
        </w:rPr>
        <w:t>Tourisme</w:t>
      </w:r>
      <w:proofErr w:type="spellEnd"/>
      <w:r w:rsidRPr="00360B03">
        <w:rPr>
          <w:lang w:val="en-CA"/>
        </w:rPr>
        <w:t xml:space="preserve"> et de </w:t>
      </w:r>
      <w:proofErr w:type="spellStart"/>
      <w:r w:rsidRPr="00360B03">
        <w:rPr>
          <w:lang w:val="en-CA"/>
        </w:rPr>
        <w:t>l’Environnement</w:t>
      </w:r>
      <w:proofErr w:type="spellEnd"/>
      <w:r w:rsidRPr="00360B03">
        <w:rPr>
          <w:lang w:val="en-CA"/>
        </w:rPr>
        <w:t xml:space="preserve"> of the Congo to the Secretariat.</w:t>
      </w:r>
    </w:p>
  </w:footnote>
  <w:footnote w:id="2">
    <w:p w:rsidR="00FE652C" w:rsidRPr="00FE652C" w:rsidRDefault="00FE652C">
      <w:pPr>
        <w:pStyle w:val="FootnoteText"/>
        <w:rPr>
          <w:lang w:val="en-CA"/>
        </w:rPr>
      </w:pPr>
      <w:r>
        <w:rPr>
          <w:rStyle w:val="FootnoteReference"/>
        </w:rPr>
        <w:footnoteRef/>
      </w:r>
      <w:r>
        <w:t xml:space="preserve"> </w:t>
      </w:r>
      <w:r>
        <w:rPr>
          <w:lang w:val="en-CA"/>
        </w:rPr>
        <w:t>Decision</w:t>
      </w:r>
      <w:r w:rsidR="004133F4">
        <w:rPr>
          <w:lang w:val="en-CA"/>
        </w:rPr>
        <w:t>s</w:t>
      </w:r>
      <w:r>
        <w:rPr>
          <w:lang w:val="en-CA"/>
        </w:rPr>
        <w:t xml:space="preserve"> 72/17 and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93" w:rsidRPr="0033525D" w:rsidRDefault="00D97D6F">
    <w:r>
      <w:fldChar w:fldCharType="begin"/>
    </w:r>
    <w:r>
      <w:instrText xml:space="preserve"> DOCPROPERTY "Document number"  \* MERGEFORMAT </w:instrText>
    </w:r>
    <w:r>
      <w:fldChar w:fldCharType="separate"/>
    </w:r>
    <w:r w:rsidR="001955B4">
      <w:t>UNEP/</w:t>
    </w:r>
    <w:proofErr w:type="spellStart"/>
    <w:r w:rsidR="001955B4">
      <w:t>OzL.Pro</w:t>
    </w:r>
    <w:proofErr w:type="spellEnd"/>
    <w:r w:rsidR="001955B4">
      <w:t>/</w:t>
    </w:r>
    <w:proofErr w:type="spellStart"/>
    <w:r w:rsidR="001955B4">
      <w:t>ExCom</w:t>
    </w:r>
    <w:proofErr w:type="spellEnd"/>
    <w:r w:rsidR="001955B4">
      <w:t>/84/44</w:t>
    </w:r>
    <w:r>
      <w:fldChar w:fldCharType="end"/>
    </w:r>
  </w:p>
  <w:p w:rsidR="00156E93" w:rsidRPr="0033525D" w:rsidRDefault="00156E93"/>
  <w:p w:rsidR="00156E93" w:rsidRPr="0033525D" w:rsidRDefault="00156E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93" w:rsidRPr="0033525D" w:rsidRDefault="00D97D6F">
    <w:pPr>
      <w:jc w:val="right"/>
    </w:pPr>
    <w:r>
      <w:fldChar w:fldCharType="begin"/>
    </w:r>
    <w:r>
      <w:instrText xml:space="preserve"> DOCPROPERTY "Document number"  \* MERGEFORMAT </w:instrText>
    </w:r>
    <w:r>
      <w:fldChar w:fldCharType="separate"/>
    </w:r>
    <w:r w:rsidR="001955B4">
      <w:t>UNEP/</w:t>
    </w:r>
    <w:proofErr w:type="spellStart"/>
    <w:r w:rsidR="001955B4">
      <w:t>OzL.Pro</w:t>
    </w:r>
    <w:proofErr w:type="spellEnd"/>
    <w:r w:rsidR="001955B4">
      <w:t>/</w:t>
    </w:r>
    <w:proofErr w:type="spellStart"/>
    <w:r w:rsidR="001955B4">
      <w:t>ExCom</w:t>
    </w:r>
    <w:proofErr w:type="spellEnd"/>
    <w:r w:rsidR="001955B4">
      <w:t>/84/44</w:t>
    </w:r>
    <w:r>
      <w:fldChar w:fldCharType="end"/>
    </w:r>
  </w:p>
  <w:p w:rsidR="00156E93" w:rsidRPr="0033525D" w:rsidRDefault="00156E93"/>
  <w:p w:rsidR="00156E93" w:rsidRPr="0033525D" w:rsidRDefault="00156E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934F08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 w:numId="23">
    <w:abstractNumId w:val="10"/>
  </w:num>
  <w:num w:numId="24">
    <w:abstractNumId w:val="10"/>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FED"/>
    <w:rsid w:val="0000434E"/>
    <w:rsid w:val="00017C3F"/>
    <w:rsid w:val="000211A9"/>
    <w:rsid w:val="000222D2"/>
    <w:rsid w:val="00031260"/>
    <w:rsid w:val="000317EF"/>
    <w:rsid w:val="0003681A"/>
    <w:rsid w:val="00052C5C"/>
    <w:rsid w:val="00057978"/>
    <w:rsid w:val="00061EC2"/>
    <w:rsid w:val="00080ED0"/>
    <w:rsid w:val="000844EE"/>
    <w:rsid w:val="00085794"/>
    <w:rsid w:val="00085B8F"/>
    <w:rsid w:val="000901BF"/>
    <w:rsid w:val="00090481"/>
    <w:rsid w:val="00092009"/>
    <w:rsid w:val="000A6C26"/>
    <w:rsid w:val="000A6DF9"/>
    <w:rsid w:val="000C486D"/>
    <w:rsid w:val="000D52A4"/>
    <w:rsid w:val="000D6845"/>
    <w:rsid w:val="000E07BC"/>
    <w:rsid w:val="000E299A"/>
    <w:rsid w:val="000E59CB"/>
    <w:rsid w:val="000F08FB"/>
    <w:rsid w:val="000F1CD4"/>
    <w:rsid w:val="000F4103"/>
    <w:rsid w:val="000F4BCF"/>
    <w:rsid w:val="000F70A7"/>
    <w:rsid w:val="001133A9"/>
    <w:rsid w:val="00113CCA"/>
    <w:rsid w:val="00122F25"/>
    <w:rsid w:val="00135980"/>
    <w:rsid w:val="00135D64"/>
    <w:rsid w:val="0014238D"/>
    <w:rsid w:val="00153500"/>
    <w:rsid w:val="00156E93"/>
    <w:rsid w:val="00164719"/>
    <w:rsid w:val="00166FC4"/>
    <w:rsid w:val="001677AC"/>
    <w:rsid w:val="001720E5"/>
    <w:rsid w:val="00172A5D"/>
    <w:rsid w:val="00173B31"/>
    <w:rsid w:val="001804EA"/>
    <w:rsid w:val="001831EE"/>
    <w:rsid w:val="00190A61"/>
    <w:rsid w:val="001955B4"/>
    <w:rsid w:val="001A3342"/>
    <w:rsid w:val="001A3E3D"/>
    <w:rsid w:val="001A7049"/>
    <w:rsid w:val="001B1D88"/>
    <w:rsid w:val="001B1E40"/>
    <w:rsid w:val="001B3235"/>
    <w:rsid w:val="001B6487"/>
    <w:rsid w:val="001C3C80"/>
    <w:rsid w:val="001C764E"/>
    <w:rsid w:val="001D1EA1"/>
    <w:rsid w:val="001E1052"/>
    <w:rsid w:val="001E21B1"/>
    <w:rsid w:val="001E2EB7"/>
    <w:rsid w:val="001E2F93"/>
    <w:rsid w:val="001E61E5"/>
    <w:rsid w:val="001F07D9"/>
    <w:rsid w:val="001F2159"/>
    <w:rsid w:val="001F33CC"/>
    <w:rsid w:val="00204DF8"/>
    <w:rsid w:val="00213B82"/>
    <w:rsid w:val="00214863"/>
    <w:rsid w:val="002156B4"/>
    <w:rsid w:val="002374A8"/>
    <w:rsid w:val="00253222"/>
    <w:rsid w:val="00255CDE"/>
    <w:rsid w:val="00262847"/>
    <w:rsid w:val="00264ACF"/>
    <w:rsid w:val="00273022"/>
    <w:rsid w:val="00281BB2"/>
    <w:rsid w:val="002917C0"/>
    <w:rsid w:val="00295C44"/>
    <w:rsid w:val="002B08D9"/>
    <w:rsid w:val="002B102E"/>
    <w:rsid w:val="002B72E9"/>
    <w:rsid w:val="002C4DB6"/>
    <w:rsid w:val="002C7998"/>
    <w:rsid w:val="002D28F7"/>
    <w:rsid w:val="002F1E53"/>
    <w:rsid w:val="002F263D"/>
    <w:rsid w:val="002F2CAA"/>
    <w:rsid w:val="002F5121"/>
    <w:rsid w:val="002F59B4"/>
    <w:rsid w:val="0030052C"/>
    <w:rsid w:val="0030355F"/>
    <w:rsid w:val="003306E1"/>
    <w:rsid w:val="00330F6C"/>
    <w:rsid w:val="003320E4"/>
    <w:rsid w:val="003335D8"/>
    <w:rsid w:val="0033419D"/>
    <w:rsid w:val="0033525D"/>
    <w:rsid w:val="003414F3"/>
    <w:rsid w:val="00346674"/>
    <w:rsid w:val="003512CB"/>
    <w:rsid w:val="0035613E"/>
    <w:rsid w:val="0035643D"/>
    <w:rsid w:val="00360B03"/>
    <w:rsid w:val="003635BE"/>
    <w:rsid w:val="00363EE9"/>
    <w:rsid w:val="0036427C"/>
    <w:rsid w:val="00366505"/>
    <w:rsid w:val="00376128"/>
    <w:rsid w:val="0037742E"/>
    <w:rsid w:val="00377D56"/>
    <w:rsid w:val="00382314"/>
    <w:rsid w:val="0038245A"/>
    <w:rsid w:val="003840E6"/>
    <w:rsid w:val="00385613"/>
    <w:rsid w:val="00385CFC"/>
    <w:rsid w:val="003919B9"/>
    <w:rsid w:val="0039337A"/>
    <w:rsid w:val="00397D0B"/>
    <w:rsid w:val="003A3189"/>
    <w:rsid w:val="003A3CA7"/>
    <w:rsid w:val="003A622A"/>
    <w:rsid w:val="003B08F1"/>
    <w:rsid w:val="003B33BD"/>
    <w:rsid w:val="003B569D"/>
    <w:rsid w:val="003B5BC6"/>
    <w:rsid w:val="003B5C43"/>
    <w:rsid w:val="003C061F"/>
    <w:rsid w:val="003C0C29"/>
    <w:rsid w:val="003C3C0E"/>
    <w:rsid w:val="003D4FAC"/>
    <w:rsid w:val="003D7069"/>
    <w:rsid w:val="003E27C1"/>
    <w:rsid w:val="003E7906"/>
    <w:rsid w:val="003F3C50"/>
    <w:rsid w:val="003F458B"/>
    <w:rsid w:val="003F5FBE"/>
    <w:rsid w:val="00406A6A"/>
    <w:rsid w:val="00406B22"/>
    <w:rsid w:val="004133F4"/>
    <w:rsid w:val="004174B4"/>
    <w:rsid w:val="004226C8"/>
    <w:rsid w:val="0042451F"/>
    <w:rsid w:val="004321F8"/>
    <w:rsid w:val="004328A7"/>
    <w:rsid w:val="004341D9"/>
    <w:rsid w:val="00434C74"/>
    <w:rsid w:val="00435F2C"/>
    <w:rsid w:val="004428C9"/>
    <w:rsid w:val="00456EB4"/>
    <w:rsid w:val="004612F6"/>
    <w:rsid w:val="004718F3"/>
    <w:rsid w:val="004731B8"/>
    <w:rsid w:val="00475040"/>
    <w:rsid w:val="00482CE9"/>
    <w:rsid w:val="00490930"/>
    <w:rsid w:val="0049303C"/>
    <w:rsid w:val="00493D40"/>
    <w:rsid w:val="004967B6"/>
    <w:rsid w:val="004A310A"/>
    <w:rsid w:val="004A504B"/>
    <w:rsid w:val="004A6911"/>
    <w:rsid w:val="004B54E0"/>
    <w:rsid w:val="004B7384"/>
    <w:rsid w:val="004C4269"/>
    <w:rsid w:val="004D4F3C"/>
    <w:rsid w:val="004D6236"/>
    <w:rsid w:val="004D7F90"/>
    <w:rsid w:val="004E4DBB"/>
    <w:rsid w:val="004E4E41"/>
    <w:rsid w:val="004E7F9C"/>
    <w:rsid w:val="004F18A7"/>
    <w:rsid w:val="004F2956"/>
    <w:rsid w:val="004F3493"/>
    <w:rsid w:val="004F5143"/>
    <w:rsid w:val="005079FE"/>
    <w:rsid w:val="00512B09"/>
    <w:rsid w:val="00515971"/>
    <w:rsid w:val="00515B2F"/>
    <w:rsid w:val="00523D56"/>
    <w:rsid w:val="005251C4"/>
    <w:rsid w:val="00532BD7"/>
    <w:rsid w:val="00533796"/>
    <w:rsid w:val="00536B57"/>
    <w:rsid w:val="00543104"/>
    <w:rsid w:val="00555D75"/>
    <w:rsid w:val="00556E26"/>
    <w:rsid w:val="00560DF0"/>
    <w:rsid w:val="00567477"/>
    <w:rsid w:val="0056759C"/>
    <w:rsid w:val="005813ED"/>
    <w:rsid w:val="0059513E"/>
    <w:rsid w:val="005A405F"/>
    <w:rsid w:val="005A4390"/>
    <w:rsid w:val="005B0230"/>
    <w:rsid w:val="005B48FF"/>
    <w:rsid w:val="005C03A8"/>
    <w:rsid w:val="005C0EFE"/>
    <w:rsid w:val="005C729F"/>
    <w:rsid w:val="005D2FF7"/>
    <w:rsid w:val="005D762B"/>
    <w:rsid w:val="005D779C"/>
    <w:rsid w:val="005E4189"/>
    <w:rsid w:val="005E7616"/>
    <w:rsid w:val="005F3120"/>
    <w:rsid w:val="00604C15"/>
    <w:rsid w:val="006056A9"/>
    <w:rsid w:val="00614BE0"/>
    <w:rsid w:val="006158D5"/>
    <w:rsid w:val="00625D83"/>
    <w:rsid w:val="00640E5A"/>
    <w:rsid w:val="00646F26"/>
    <w:rsid w:val="00661B54"/>
    <w:rsid w:val="006623E7"/>
    <w:rsid w:val="00662B80"/>
    <w:rsid w:val="00664E76"/>
    <w:rsid w:val="00670F6C"/>
    <w:rsid w:val="00675795"/>
    <w:rsid w:val="006852C7"/>
    <w:rsid w:val="006852CE"/>
    <w:rsid w:val="00694C4A"/>
    <w:rsid w:val="006B6024"/>
    <w:rsid w:val="006C1727"/>
    <w:rsid w:val="006C1A26"/>
    <w:rsid w:val="006C32FD"/>
    <w:rsid w:val="006C39CE"/>
    <w:rsid w:val="006D0FCC"/>
    <w:rsid w:val="006D1D2D"/>
    <w:rsid w:val="006D54FC"/>
    <w:rsid w:val="006E1FC3"/>
    <w:rsid w:val="006F1B97"/>
    <w:rsid w:val="00703ACD"/>
    <w:rsid w:val="0070616B"/>
    <w:rsid w:val="00706FDA"/>
    <w:rsid w:val="007113FA"/>
    <w:rsid w:val="00711F9A"/>
    <w:rsid w:val="00713810"/>
    <w:rsid w:val="007303A5"/>
    <w:rsid w:val="00730B3E"/>
    <w:rsid w:val="0073251E"/>
    <w:rsid w:val="0073420B"/>
    <w:rsid w:val="00735BED"/>
    <w:rsid w:val="007403A6"/>
    <w:rsid w:val="007436EC"/>
    <w:rsid w:val="0074760E"/>
    <w:rsid w:val="00754ABA"/>
    <w:rsid w:val="00763172"/>
    <w:rsid w:val="00763B26"/>
    <w:rsid w:val="00775F92"/>
    <w:rsid w:val="007A0B5A"/>
    <w:rsid w:val="007A1546"/>
    <w:rsid w:val="007A228C"/>
    <w:rsid w:val="007A368E"/>
    <w:rsid w:val="007A5868"/>
    <w:rsid w:val="007B04CE"/>
    <w:rsid w:val="007B1079"/>
    <w:rsid w:val="007B67F4"/>
    <w:rsid w:val="007B6871"/>
    <w:rsid w:val="007B7A2F"/>
    <w:rsid w:val="007C227C"/>
    <w:rsid w:val="007C3D33"/>
    <w:rsid w:val="007D11BD"/>
    <w:rsid w:val="007D24C7"/>
    <w:rsid w:val="007D294A"/>
    <w:rsid w:val="007D47D2"/>
    <w:rsid w:val="007D6EC0"/>
    <w:rsid w:val="007D7E1D"/>
    <w:rsid w:val="007F17D1"/>
    <w:rsid w:val="00805267"/>
    <w:rsid w:val="008102F2"/>
    <w:rsid w:val="008127E7"/>
    <w:rsid w:val="00827FA9"/>
    <w:rsid w:val="00831979"/>
    <w:rsid w:val="008401FF"/>
    <w:rsid w:val="008454BC"/>
    <w:rsid w:val="0084650B"/>
    <w:rsid w:val="008504F9"/>
    <w:rsid w:val="00851352"/>
    <w:rsid w:val="00862189"/>
    <w:rsid w:val="00863230"/>
    <w:rsid w:val="0086362D"/>
    <w:rsid w:val="00870B7F"/>
    <w:rsid w:val="008717D8"/>
    <w:rsid w:val="0087215C"/>
    <w:rsid w:val="00880E35"/>
    <w:rsid w:val="00882C34"/>
    <w:rsid w:val="008875FE"/>
    <w:rsid w:val="00887F8E"/>
    <w:rsid w:val="008910F2"/>
    <w:rsid w:val="00896234"/>
    <w:rsid w:val="00897E43"/>
    <w:rsid w:val="008A3054"/>
    <w:rsid w:val="008A67CA"/>
    <w:rsid w:val="008B1BED"/>
    <w:rsid w:val="008B3267"/>
    <w:rsid w:val="008C5738"/>
    <w:rsid w:val="008C7EAD"/>
    <w:rsid w:val="008D01D6"/>
    <w:rsid w:val="008D0CB9"/>
    <w:rsid w:val="008D0CFE"/>
    <w:rsid w:val="008D3375"/>
    <w:rsid w:val="008D54C2"/>
    <w:rsid w:val="008D6152"/>
    <w:rsid w:val="008E5D4A"/>
    <w:rsid w:val="008E7946"/>
    <w:rsid w:val="008F0F81"/>
    <w:rsid w:val="008F27BF"/>
    <w:rsid w:val="008F7110"/>
    <w:rsid w:val="008F7FE6"/>
    <w:rsid w:val="009142EC"/>
    <w:rsid w:val="009154C3"/>
    <w:rsid w:val="00917A66"/>
    <w:rsid w:val="00923540"/>
    <w:rsid w:val="00926767"/>
    <w:rsid w:val="0093595F"/>
    <w:rsid w:val="009361D5"/>
    <w:rsid w:val="00937D0B"/>
    <w:rsid w:val="009415D7"/>
    <w:rsid w:val="009428A4"/>
    <w:rsid w:val="009526E6"/>
    <w:rsid w:val="00964EF8"/>
    <w:rsid w:val="009659F4"/>
    <w:rsid w:val="009709B0"/>
    <w:rsid w:val="00970D60"/>
    <w:rsid w:val="009960E5"/>
    <w:rsid w:val="009A7ADC"/>
    <w:rsid w:val="009C19B7"/>
    <w:rsid w:val="009C3664"/>
    <w:rsid w:val="009D7C51"/>
    <w:rsid w:val="009E196C"/>
    <w:rsid w:val="009F36BF"/>
    <w:rsid w:val="00A00F4F"/>
    <w:rsid w:val="00A02890"/>
    <w:rsid w:val="00A06E73"/>
    <w:rsid w:val="00A111B6"/>
    <w:rsid w:val="00A2547B"/>
    <w:rsid w:val="00A25DB9"/>
    <w:rsid w:val="00A26D27"/>
    <w:rsid w:val="00A376EE"/>
    <w:rsid w:val="00A42A99"/>
    <w:rsid w:val="00A45187"/>
    <w:rsid w:val="00A5151A"/>
    <w:rsid w:val="00A56465"/>
    <w:rsid w:val="00A57E0A"/>
    <w:rsid w:val="00A65FBD"/>
    <w:rsid w:val="00A753D1"/>
    <w:rsid w:val="00A77A29"/>
    <w:rsid w:val="00A823F6"/>
    <w:rsid w:val="00A93BBA"/>
    <w:rsid w:val="00AA0A89"/>
    <w:rsid w:val="00AA3286"/>
    <w:rsid w:val="00AA6429"/>
    <w:rsid w:val="00AA7CC9"/>
    <w:rsid w:val="00AC01AA"/>
    <w:rsid w:val="00AC4F72"/>
    <w:rsid w:val="00AD5359"/>
    <w:rsid w:val="00AD58D0"/>
    <w:rsid w:val="00AE1C37"/>
    <w:rsid w:val="00AE25DA"/>
    <w:rsid w:val="00AE77AA"/>
    <w:rsid w:val="00AF60D1"/>
    <w:rsid w:val="00AF741A"/>
    <w:rsid w:val="00B01ADB"/>
    <w:rsid w:val="00B04161"/>
    <w:rsid w:val="00B056F9"/>
    <w:rsid w:val="00B11E3D"/>
    <w:rsid w:val="00B12A1E"/>
    <w:rsid w:val="00B14293"/>
    <w:rsid w:val="00B17E82"/>
    <w:rsid w:val="00B32AE4"/>
    <w:rsid w:val="00B437B4"/>
    <w:rsid w:val="00B4575A"/>
    <w:rsid w:val="00B575BA"/>
    <w:rsid w:val="00B6015E"/>
    <w:rsid w:val="00B60FC1"/>
    <w:rsid w:val="00B65047"/>
    <w:rsid w:val="00B67BA4"/>
    <w:rsid w:val="00B703D7"/>
    <w:rsid w:val="00B761F2"/>
    <w:rsid w:val="00B76429"/>
    <w:rsid w:val="00B816CD"/>
    <w:rsid w:val="00B92247"/>
    <w:rsid w:val="00B956D4"/>
    <w:rsid w:val="00B97446"/>
    <w:rsid w:val="00B974E8"/>
    <w:rsid w:val="00BA7432"/>
    <w:rsid w:val="00BC1AA0"/>
    <w:rsid w:val="00BC2495"/>
    <w:rsid w:val="00BC59B9"/>
    <w:rsid w:val="00BC7EB9"/>
    <w:rsid w:val="00BD0525"/>
    <w:rsid w:val="00BD2643"/>
    <w:rsid w:val="00BD427D"/>
    <w:rsid w:val="00BD56B1"/>
    <w:rsid w:val="00BD6558"/>
    <w:rsid w:val="00BF3022"/>
    <w:rsid w:val="00BF3214"/>
    <w:rsid w:val="00BF5573"/>
    <w:rsid w:val="00C104A8"/>
    <w:rsid w:val="00C15867"/>
    <w:rsid w:val="00C2296D"/>
    <w:rsid w:val="00C23155"/>
    <w:rsid w:val="00C321FC"/>
    <w:rsid w:val="00C40C41"/>
    <w:rsid w:val="00C43D3D"/>
    <w:rsid w:val="00C45885"/>
    <w:rsid w:val="00C50F22"/>
    <w:rsid w:val="00C55303"/>
    <w:rsid w:val="00C57971"/>
    <w:rsid w:val="00C65BD7"/>
    <w:rsid w:val="00C76BA4"/>
    <w:rsid w:val="00C83A48"/>
    <w:rsid w:val="00C85865"/>
    <w:rsid w:val="00C85E85"/>
    <w:rsid w:val="00C90A66"/>
    <w:rsid w:val="00CA2EAE"/>
    <w:rsid w:val="00CA4AC1"/>
    <w:rsid w:val="00CB0316"/>
    <w:rsid w:val="00CB0B11"/>
    <w:rsid w:val="00CB17A7"/>
    <w:rsid w:val="00CB5354"/>
    <w:rsid w:val="00CC299E"/>
    <w:rsid w:val="00CC6236"/>
    <w:rsid w:val="00CC6A14"/>
    <w:rsid w:val="00CC70A3"/>
    <w:rsid w:val="00CC7A70"/>
    <w:rsid w:val="00CD4442"/>
    <w:rsid w:val="00CD53C3"/>
    <w:rsid w:val="00CD574E"/>
    <w:rsid w:val="00CD7015"/>
    <w:rsid w:val="00CE2A27"/>
    <w:rsid w:val="00CE4C22"/>
    <w:rsid w:val="00CF41EC"/>
    <w:rsid w:val="00CF5D04"/>
    <w:rsid w:val="00D04114"/>
    <w:rsid w:val="00D04DE4"/>
    <w:rsid w:val="00D0546C"/>
    <w:rsid w:val="00D063F1"/>
    <w:rsid w:val="00D13CD0"/>
    <w:rsid w:val="00D14F22"/>
    <w:rsid w:val="00D21C2C"/>
    <w:rsid w:val="00D22563"/>
    <w:rsid w:val="00D22A5B"/>
    <w:rsid w:val="00D25165"/>
    <w:rsid w:val="00D35354"/>
    <w:rsid w:val="00D4741C"/>
    <w:rsid w:val="00D50FC2"/>
    <w:rsid w:val="00D51B89"/>
    <w:rsid w:val="00D533F7"/>
    <w:rsid w:val="00D57918"/>
    <w:rsid w:val="00D62899"/>
    <w:rsid w:val="00D66982"/>
    <w:rsid w:val="00D7256C"/>
    <w:rsid w:val="00D73DC6"/>
    <w:rsid w:val="00D74C1A"/>
    <w:rsid w:val="00D754C1"/>
    <w:rsid w:val="00D77393"/>
    <w:rsid w:val="00D77A35"/>
    <w:rsid w:val="00D81B3E"/>
    <w:rsid w:val="00D863C0"/>
    <w:rsid w:val="00D90C70"/>
    <w:rsid w:val="00D90E49"/>
    <w:rsid w:val="00D957C0"/>
    <w:rsid w:val="00D96ADE"/>
    <w:rsid w:val="00D97D6F"/>
    <w:rsid w:val="00DA0CE2"/>
    <w:rsid w:val="00DA6A71"/>
    <w:rsid w:val="00DC0506"/>
    <w:rsid w:val="00DC6A10"/>
    <w:rsid w:val="00DD2DC3"/>
    <w:rsid w:val="00DE657E"/>
    <w:rsid w:val="00DF4704"/>
    <w:rsid w:val="00DF55E4"/>
    <w:rsid w:val="00DF6A03"/>
    <w:rsid w:val="00E024AA"/>
    <w:rsid w:val="00E11D99"/>
    <w:rsid w:val="00E12D99"/>
    <w:rsid w:val="00E250F1"/>
    <w:rsid w:val="00E25F13"/>
    <w:rsid w:val="00E31FC7"/>
    <w:rsid w:val="00E3550D"/>
    <w:rsid w:val="00E41335"/>
    <w:rsid w:val="00E54486"/>
    <w:rsid w:val="00E57905"/>
    <w:rsid w:val="00E614E0"/>
    <w:rsid w:val="00E62903"/>
    <w:rsid w:val="00E67B54"/>
    <w:rsid w:val="00E73F7F"/>
    <w:rsid w:val="00E85409"/>
    <w:rsid w:val="00E97908"/>
    <w:rsid w:val="00EA429F"/>
    <w:rsid w:val="00EA4F9E"/>
    <w:rsid w:val="00EA63CA"/>
    <w:rsid w:val="00EA6D3B"/>
    <w:rsid w:val="00EB00AD"/>
    <w:rsid w:val="00EB136C"/>
    <w:rsid w:val="00EB480E"/>
    <w:rsid w:val="00EB5EC6"/>
    <w:rsid w:val="00EB7FC9"/>
    <w:rsid w:val="00EC247C"/>
    <w:rsid w:val="00EC3F0E"/>
    <w:rsid w:val="00ED27E8"/>
    <w:rsid w:val="00ED7137"/>
    <w:rsid w:val="00EE5D73"/>
    <w:rsid w:val="00EE66BA"/>
    <w:rsid w:val="00EE7BB7"/>
    <w:rsid w:val="00F07A58"/>
    <w:rsid w:val="00F144AF"/>
    <w:rsid w:val="00F15F6C"/>
    <w:rsid w:val="00F21088"/>
    <w:rsid w:val="00F268BE"/>
    <w:rsid w:val="00F26E2B"/>
    <w:rsid w:val="00F327E7"/>
    <w:rsid w:val="00F334FD"/>
    <w:rsid w:val="00F35746"/>
    <w:rsid w:val="00F447C7"/>
    <w:rsid w:val="00F4720E"/>
    <w:rsid w:val="00F5123D"/>
    <w:rsid w:val="00F5211B"/>
    <w:rsid w:val="00F554A9"/>
    <w:rsid w:val="00F716FD"/>
    <w:rsid w:val="00F80355"/>
    <w:rsid w:val="00F8045E"/>
    <w:rsid w:val="00F86166"/>
    <w:rsid w:val="00F87645"/>
    <w:rsid w:val="00F87C43"/>
    <w:rsid w:val="00FB0C81"/>
    <w:rsid w:val="00FB1889"/>
    <w:rsid w:val="00FB1D7A"/>
    <w:rsid w:val="00FB330D"/>
    <w:rsid w:val="00FC2200"/>
    <w:rsid w:val="00FC2540"/>
    <w:rsid w:val="00FE652C"/>
    <w:rsid w:val="00FF0204"/>
    <w:rsid w:val="00FF3AED"/>
    <w:rsid w:val="00FF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14309"/>
  <w15:docId w15:val="{0D35F6F2-6BE6-4E71-A1FF-D777B530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en-GB"/>
    </w:rPr>
  </w:style>
  <w:style w:type="character" w:styleId="FootnoteReference">
    <w:name w:val="footnote reference"/>
    <w:basedOn w:val="DefaultParagraphFont"/>
    <w:uiPriority w:val="99"/>
    <w:semiHidden/>
    <w:unhideWhenUsed/>
    <w:rsid w:val="0025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455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UNEP/OzL.Pro/ExCom/84/44</Document_x0020_Number>
    <DocumentType xmlns="64e33b30-101d-41de-b951-961aab25ea29">Pre-session</DocumentType>
  </documentManagement>
</p:properties>
</file>

<file path=customXml/itemProps1.xml><?xml version="1.0" encoding="utf-8"?>
<ds:datastoreItem xmlns:ds="http://schemas.openxmlformats.org/officeDocument/2006/customXml" ds:itemID="{213AB96D-F7CB-4469-8A71-2DA78E48448A}"/>
</file>

<file path=customXml/itemProps2.xml><?xml version="1.0" encoding="utf-8"?>
<ds:datastoreItem xmlns:ds="http://schemas.openxmlformats.org/officeDocument/2006/customXml" ds:itemID="{E9382B36-5CD5-4BB7-8B5D-FEE02787A2AF}"/>
</file>

<file path=customXml/itemProps3.xml><?xml version="1.0" encoding="utf-8"?>
<ds:datastoreItem xmlns:ds="http://schemas.openxmlformats.org/officeDocument/2006/customXml" ds:itemID="{B4F73059-8E3E-47DD-A69A-2AF0F647DE82}"/>
</file>

<file path=customXml/itemProps4.xml><?xml version="1.0" encoding="utf-8"?>
<ds:datastoreItem xmlns:ds="http://schemas.openxmlformats.org/officeDocument/2006/customXml" ds:itemID="{FCD8D9C0-CBC9-40E9-81DF-A84BB1AD847F}"/>
</file>

<file path=docProps/app.xml><?xml version="1.0" encoding="utf-8"?>
<Properties xmlns="http://schemas.openxmlformats.org/officeDocument/2006/extended-properties" xmlns:vt="http://schemas.openxmlformats.org/officeDocument/2006/docPropsVTypes">
  <Template>Eec84G</Template>
  <TotalTime>5</TotalTime>
  <Pages>6</Pages>
  <Words>1676</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proposal: Congo (the)</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Congo</dc:title>
  <dc:creator/>
  <cp:lastModifiedBy>Muriel Aguiar</cp:lastModifiedBy>
  <cp:revision>10</cp:revision>
  <cp:lastPrinted>2001-05-26T16:40:00Z</cp:lastPrinted>
  <dcterms:created xsi:type="dcterms:W3CDTF">2019-11-15T21:46:00Z</dcterms:created>
  <dcterms:modified xsi:type="dcterms:W3CDTF">2019-11-15T21:51:00Z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UNEP/OzL.Pro/ExCom/84/44</vt:lpwstr>
  </property>
  <property fmtid="{D5CDD505-2E9C-101B-9397-08002B2CF9AE}" pid="3" name="Revision date">
    <vt:lpwstr>11/15/2019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