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E5103" w14:textId="77777777" w:rsidR="00EE66BA" w:rsidRDefault="00264ACF" w:rsidP="00264ACF">
      <w:r>
        <w:rPr>
          <w:noProof/>
          <w:lang w:val="en-CA" w:eastAsia="en-CA"/>
        </w:rPr>
        <w:drawing>
          <wp:anchor distT="0" distB="0" distL="114300" distR="114300" simplePos="0" relativeHeight="251658240" behindDoc="1" locked="0" layoutInCell="1" allowOverlap="1" wp14:anchorId="3B6CAE58" wp14:editId="53693409">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t xml:space="preserve"> </w:t>
      </w:r>
    </w:p>
    <w:p w14:paraId="7EA69A15" w14:textId="77777777" w:rsidR="00D0546C" w:rsidRDefault="00D0546C" w:rsidP="00D0546C">
      <w:pPr>
        <w:tabs>
          <w:tab w:val="left" w:pos="1410"/>
        </w:tabs>
      </w:pPr>
    </w:p>
    <w:p w14:paraId="58720818" w14:textId="77777777" w:rsidR="00D0546C" w:rsidRDefault="00D0546C" w:rsidP="003919B9">
      <w:pPr>
        <w:ind w:left="5040"/>
      </w:pPr>
    </w:p>
    <w:p w14:paraId="19A234CC" w14:textId="77777777" w:rsidR="001C1D59" w:rsidRDefault="005A4390" w:rsidP="003919B9">
      <w:pPr>
        <w:ind w:left="5040"/>
      </w:pPr>
      <w:r>
        <w:t xml:space="preserve"> </w:t>
      </w:r>
      <w:r>
        <w:br/>
        <w:t xml:space="preserve">   </w:t>
      </w:r>
      <w:r w:rsidR="00D0546C">
        <w:br/>
      </w:r>
      <w:r w:rsidR="00D0546C">
        <w:br/>
      </w:r>
      <w:r w:rsidR="00D0546C">
        <w:br/>
      </w:r>
      <w:r w:rsidR="00264ACF">
        <w:t xml:space="preserve">   </w:t>
      </w:r>
      <w:r w:rsidR="00426A90">
        <w:fldChar w:fldCharType="begin"/>
      </w:r>
      <w:r w:rsidR="00426A90">
        <w:instrText xml:space="preserve"> DOCPROPERTY "Document number"  \* MERGEFORMAT </w:instrText>
      </w:r>
      <w:r w:rsidR="00426A90">
        <w:fldChar w:fldCharType="separate"/>
      </w:r>
      <w:r w:rsidR="001C1D59">
        <w:t>UNEP/</w:t>
      </w:r>
      <w:proofErr w:type="spellStart"/>
      <w:r w:rsidR="001C1D59">
        <w:t>OzL.Pro</w:t>
      </w:r>
      <w:proofErr w:type="spellEnd"/>
      <w:r w:rsidR="001C1D59">
        <w:t>/</w:t>
      </w:r>
      <w:proofErr w:type="spellStart"/>
      <w:r w:rsidR="001C1D59">
        <w:t>ExCom</w:t>
      </w:r>
      <w:proofErr w:type="spellEnd"/>
      <w:r w:rsidR="001C1D59">
        <w:t>/84/50</w:t>
      </w:r>
      <w:r w:rsidR="00426A90">
        <w:fldChar w:fldCharType="end"/>
      </w:r>
    </w:p>
    <w:p w14:paraId="29AD7349" w14:textId="10885470" w:rsidR="003919B9" w:rsidRDefault="003919B9" w:rsidP="003919B9">
      <w:pPr>
        <w:ind w:left="5040"/>
      </w:pPr>
      <w:r>
        <w:t xml:space="preserve">   </w:t>
      </w:r>
      <w:r>
        <w:fldChar w:fldCharType="begin"/>
      </w:r>
      <w:r>
        <w:instrText xml:space="preserve"> DOCPROPERTY "Revision date" \@ "d MMMM YYYY"  \* MERGEFORMAT </w:instrText>
      </w:r>
      <w:r>
        <w:fldChar w:fldCharType="separate"/>
      </w:r>
      <w:r w:rsidR="00B32EAB">
        <w:t>22 November 2019</w:t>
      </w:r>
      <w:r>
        <w:fldChar w:fldCharType="end"/>
      </w:r>
    </w:p>
    <w:p w14:paraId="7E2C86F1" w14:textId="77777777" w:rsidR="003919B9" w:rsidRPr="003F73BA" w:rsidRDefault="003919B9" w:rsidP="003919B9"/>
    <w:p w14:paraId="0D41BA13" w14:textId="77777777" w:rsidR="00EE66BA" w:rsidRDefault="00EE66BA" w:rsidP="001C3C80">
      <w:pPr>
        <w:tabs>
          <w:tab w:val="left" w:pos="8280"/>
        </w:tabs>
      </w:pPr>
    </w:p>
    <w:p w14:paraId="2D8C1B62" w14:textId="77777777" w:rsidR="003919B9" w:rsidRDefault="003919B9" w:rsidP="001C3C80">
      <w:pPr>
        <w:tabs>
          <w:tab w:val="left" w:pos="8280"/>
        </w:tabs>
      </w:pPr>
    </w:p>
    <w:p w14:paraId="73034615" w14:textId="77777777" w:rsidR="003919B9" w:rsidRDefault="00D66982" w:rsidP="00D66982">
      <w:pPr>
        <w:tabs>
          <w:tab w:val="left" w:pos="3940"/>
        </w:tabs>
      </w:pPr>
      <w:r>
        <w:tab/>
      </w:r>
    </w:p>
    <w:p w14:paraId="5FA47868" w14:textId="77777777" w:rsidR="003919B9" w:rsidRDefault="003919B9" w:rsidP="001C3C80">
      <w:pPr>
        <w:tabs>
          <w:tab w:val="left" w:pos="8280"/>
        </w:tabs>
      </w:pPr>
    </w:p>
    <w:p w14:paraId="43AC1376" w14:textId="77777777" w:rsidR="003919B9" w:rsidRDefault="003919B9" w:rsidP="001C3C80">
      <w:pPr>
        <w:tabs>
          <w:tab w:val="left" w:pos="8280"/>
        </w:tabs>
      </w:pPr>
    </w:p>
    <w:p w14:paraId="3B735C00" w14:textId="77777777" w:rsidR="003919B9" w:rsidRDefault="003919B9" w:rsidP="001C3C80">
      <w:pPr>
        <w:tabs>
          <w:tab w:val="left" w:pos="8280"/>
        </w:tabs>
      </w:pPr>
    </w:p>
    <w:p w14:paraId="539D4670" w14:textId="77777777" w:rsidR="003919B9" w:rsidRDefault="003919B9" w:rsidP="001C3C80">
      <w:pPr>
        <w:tabs>
          <w:tab w:val="left" w:pos="8280"/>
        </w:tabs>
      </w:pPr>
    </w:p>
    <w:p w14:paraId="53A419BE" w14:textId="77777777" w:rsidR="003919B9" w:rsidRDefault="003919B9" w:rsidP="001C3C80">
      <w:pPr>
        <w:tabs>
          <w:tab w:val="left" w:pos="8280"/>
        </w:tabs>
      </w:pPr>
    </w:p>
    <w:p w14:paraId="597C6CCE" w14:textId="77777777" w:rsidR="003919B9" w:rsidRDefault="003919B9" w:rsidP="001C3C80">
      <w:pPr>
        <w:tabs>
          <w:tab w:val="left" w:pos="8280"/>
        </w:tabs>
      </w:pPr>
    </w:p>
    <w:p w14:paraId="1567126D" w14:textId="77777777" w:rsidR="000E59CB" w:rsidRDefault="000E59CB" w:rsidP="001C3C80">
      <w:pPr>
        <w:tabs>
          <w:tab w:val="left" w:pos="8280"/>
        </w:tabs>
      </w:pPr>
    </w:p>
    <w:p w14:paraId="2E3A8F2E" w14:textId="77777777" w:rsidR="004731B8" w:rsidRDefault="004731B8" w:rsidP="001C3C80">
      <w:pPr>
        <w:tabs>
          <w:tab w:val="left" w:pos="8280"/>
        </w:tabs>
      </w:pPr>
    </w:p>
    <w:p w14:paraId="1793984D" w14:textId="77777777" w:rsidR="00255CDE" w:rsidRPr="00FE3307" w:rsidRDefault="00255CDE" w:rsidP="00255CDE">
      <w:pPr>
        <w:rPr>
          <w:lang w:val="en-CA"/>
        </w:rPr>
      </w:pPr>
    </w:p>
    <w:p w14:paraId="14468B7B" w14:textId="77777777" w:rsidR="00255CDE" w:rsidRPr="00FE3307" w:rsidRDefault="007F3FCF" w:rsidP="00255CDE">
      <w:pPr>
        <w:jc w:val="center"/>
        <w:rPr>
          <w:b/>
          <w:lang w:val="en-CA"/>
        </w:rPr>
      </w:pPr>
      <w:r w:rsidRPr="00FE3307">
        <w:rPr>
          <w:b/>
          <w:lang w:val="en-CA"/>
        </w:rPr>
        <w:t xml:space="preserve">PROJECT </w:t>
      </w:r>
      <w:r>
        <w:rPr>
          <w:b/>
          <w:lang w:val="en-CA"/>
        </w:rPr>
        <w:t>PROPOSAL: GHANA</w:t>
      </w:r>
    </w:p>
    <w:p w14:paraId="7161A86D" w14:textId="77777777" w:rsidR="00255CDE" w:rsidRPr="00FE3307" w:rsidRDefault="00255CDE" w:rsidP="00255CDE">
      <w:pPr>
        <w:rPr>
          <w:lang w:val="en-CA"/>
        </w:rPr>
      </w:pPr>
    </w:p>
    <w:p w14:paraId="4A874705" w14:textId="77777777" w:rsidR="007F3FCF" w:rsidRDefault="007F3FCF" w:rsidP="00255CDE">
      <w:pPr>
        <w:ind w:firstLine="720"/>
        <w:rPr>
          <w:lang w:val="en-CA"/>
        </w:rPr>
      </w:pPr>
    </w:p>
    <w:p w14:paraId="42BC7A89" w14:textId="77777777" w:rsidR="00255CDE" w:rsidRPr="00FE3307" w:rsidRDefault="00255CDE" w:rsidP="00255CDE">
      <w:pPr>
        <w:ind w:firstLine="720"/>
        <w:rPr>
          <w:lang w:val="en-CA"/>
        </w:rPr>
      </w:pPr>
      <w:r w:rsidRPr="00FE3307">
        <w:rPr>
          <w:lang w:val="en-CA"/>
        </w:rPr>
        <w:t xml:space="preserve">This document consists of the comments and recommendation of the Secretariat on the following project proposal: </w:t>
      </w:r>
    </w:p>
    <w:p w14:paraId="53B5ACF0" w14:textId="77777777" w:rsidR="00255CDE" w:rsidRPr="00FE3307" w:rsidRDefault="00255CDE" w:rsidP="00255CDE">
      <w:pPr>
        <w:rPr>
          <w:lang w:val="en-CA"/>
        </w:rPr>
      </w:pPr>
    </w:p>
    <w:p w14:paraId="7BB864DA" w14:textId="77777777" w:rsidR="00255CDE" w:rsidRPr="00FE3307" w:rsidRDefault="00255CDE" w:rsidP="00255CDE">
      <w:pPr>
        <w:rPr>
          <w:u w:val="single"/>
          <w:lang w:val="en-CA"/>
        </w:rPr>
      </w:pPr>
      <w:r w:rsidRPr="00FE3307">
        <w:rPr>
          <w:u w:val="single"/>
          <w:lang w:val="en-CA"/>
        </w:rPr>
        <w:t>Phase-out</w:t>
      </w:r>
    </w:p>
    <w:p w14:paraId="6C01EE16" w14:textId="77777777" w:rsidR="00255CDE" w:rsidRPr="00FE3307" w:rsidRDefault="00255CDE" w:rsidP="00255CDE">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255CDE" w:rsidRPr="00FE3307" w14:paraId="50F769A0" w14:textId="77777777" w:rsidTr="00F72F44">
        <w:tc>
          <w:tcPr>
            <w:tcW w:w="6941" w:type="dxa"/>
          </w:tcPr>
          <w:p w14:paraId="2117BB9A" w14:textId="2A01B926" w:rsidR="00255CDE" w:rsidRPr="006514C5" w:rsidRDefault="00255CDE" w:rsidP="006514C5">
            <w:pPr>
              <w:pStyle w:val="ListParagraph"/>
              <w:numPr>
                <w:ilvl w:val="0"/>
                <w:numId w:val="21"/>
              </w:numPr>
              <w:ind w:hanging="830"/>
              <w:rPr>
                <w:lang w:val="en-CA"/>
              </w:rPr>
            </w:pPr>
            <w:r w:rsidRPr="006514C5">
              <w:rPr>
                <w:lang w:val="en-CA"/>
              </w:rPr>
              <w:t xml:space="preserve">HCFC phase-out management plan (stage I, </w:t>
            </w:r>
            <w:r w:rsidR="006514C5" w:rsidRPr="006514C5">
              <w:rPr>
                <w:lang w:val="en-CA"/>
              </w:rPr>
              <w:t>sixth</w:t>
            </w:r>
            <w:r w:rsidRPr="006514C5">
              <w:rPr>
                <w:lang w:val="en-CA"/>
              </w:rPr>
              <w:t xml:space="preserve"> </w:t>
            </w:r>
            <w:r w:rsidR="00A30A5C">
              <w:rPr>
                <w:lang w:val="en-CA"/>
              </w:rPr>
              <w:t>and final tranche</w:t>
            </w:r>
            <w:r w:rsidRPr="006514C5">
              <w:rPr>
                <w:lang w:val="en-CA"/>
              </w:rPr>
              <w:t>)</w:t>
            </w:r>
          </w:p>
        </w:tc>
        <w:tc>
          <w:tcPr>
            <w:tcW w:w="2409" w:type="dxa"/>
          </w:tcPr>
          <w:p w14:paraId="2684D54B" w14:textId="77777777" w:rsidR="00255CDE" w:rsidRPr="006514C5" w:rsidRDefault="006514C5" w:rsidP="00255CDE">
            <w:pPr>
              <w:jc w:val="right"/>
              <w:rPr>
                <w:b/>
                <w:lang w:val="en-CA"/>
              </w:rPr>
            </w:pPr>
            <w:r w:rsidRPr="006514C5">
              <w:rPr>
                <w:lang w:val="en-CA"/>
              </w:rPr>
              <w:t>UNDP and the Government of Italy</w:t>
            </w:r>
          </w:p>
        </w:tc>
      </w:tr>
    </w:tbl>
    <w:p w14:paraId="3E9BEEA0" w14:textId="77777777" w:rsidR="00255CDE" w:rsidRPr="00FE3307" w:rsidRDefault="00255CDE" w:rsidP="00255CDE">
      <w:pPr>
        <w:rPr>
          <w:lang w:val="en-CA"/>
        </w:rPr>
      </w:pPr>
    </w:p>
    <w:p w14:paraId="7F1E3F3F" w14:textId="77777777" w:rsidR="00255CDE" w:rsidRPr="00FE3307" w:rsidRDefault="00255CDE" w:rsidP="00255CDE">
      <w:pPr>
        <w:rPr>
          <w:lang w:val="en-CA"/>
        </w:rPr>
      </w:pPr>
    </w:p>
    <w:p w14:paraId="466D4CE5" w14:textId="77777777" w:rsidR="00255CDE" w:rsidRPr="00FE3307" w:rsidRDefault="00255CDE" w:rsidP="00255CDE">
      <w:pPr>
        <w:rPr>
          <w:lang w:val="en-CA"/>
        </w:rPr>
      </w:pPr>
    </w:p>
    <w:p w14:paraId="6A2BD484" w14:textId="77777777" w:rsidR="00255CDE" w:rsidRPr="00FE3307" w:rsidRDefault="00255CDE" w:rsidP="00255CDE">
      <w:pPr>
        <w:rPr>
          <w:lang w:val="en-CA"/>
        </w:rPr>
      </w:pPr>
      <w:r w:rsidRPr="00FE3307">
        <w:rPr>
          <w:lang w:val="en-CA"/>
        </w:rPr>
        <w:br w:type="page"/>
      </w:r>
    </w:p>
    <w:p w14:paraId="2E84B84D" w14:textId="77777777" w:rsidR="00255CDE" w:rsidRPr="00FE3307" w:rsidRDefault="00255CDE" w:rsidP="00255CDE">
      <w:pPr>
        <w:jc w:val="center"/>
        <w:rPr>
          <w:b/>
          <w:lang w:val="en-CA"/>
        </w:rPr>
      </w:pPr>
      <w:r w:rsidRPr="00FE3307">
        <w:rPr>
          <w:b/>
          <w:lang w:val="en-CA"/>
        </w:rPr>
        <w:lastRenderedPageBreak/>
        <w:t>PROJECT EVALUATION SHEET – MULTI-YEAR PROJECTS</w:t>
      </w:r>
    </w:p>
    <w:p w14:paraId="349F2E7A" w14:textId="77777777" w:rsidR="00255CDE" w:rsidRPr="00FE3307" w:rsidRDefault="00255CDE" w:rsidP="00255CDE">
      <w:pPr>
        <w:jc w:val="center"/>
        <w:rPr>
          <w:lang w:val="en-CA"/>
        </w:rPr>
      </w:pPr>
    </w:p>
    <w:p w14:paraId="59C6C341" w14:textId="77777777" w:rsidR="00255CDE" w:rsidRPr="006514C5" w:rsidRDefault="006514C5" w:rsidP="00255CDE">
      <w:pPr>
        <w:jc w:val="center"/>
        <w:rPr>
          <w:b/>
          <w:lang w:val="en-CA"/>
        </w:rPr>
      </w:pPr>
      <w:r w:rsidRPr="006514C5">
        <w:rPr>
          <w:b/>
          <w:lang w:val="en-CA"/>
        </w:rPr>
        <w:t>Ghana</w:t>
      </w:r>
    </w:p>
    <w:p w14:paraId="393D72A6" w14:textId="77777777" w:rsidR="00255CDE" w:rsidRPr="00FE3307" w:rsidRDefault="00255CDE" w:rsidP="00255CDE">
      <w:pPr>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30"/>
        <w:gridCol w:w="2410"/>
        <w:gridCol w:w="2410"/>
        <w:gridCol w:w="2350"/>
      </w:tblGrid>
      <w:tr w:rsidR="00521370" w:rsidRPr="00521370" w14:paraId="558F0928" w14:textId="77777777" w:rsidTr="00BE419F">
        <w:trPr>
          <w:trHeight w:val="240"/>
        </w:trPr>
        <w:tc>
          <w:tcPr>
            <w:tcW w:w="2830" w:type="dxa"/>
            <w:shd w:val="clear" w:color="auto" w:fill="auto"/>
          </w:tcPr>
          <w:p w14:paraId="05642293" w14:textId="77777777" w:rsidR="00521370" w:rsidRPr="00521370" w:rsidRDefault="00521370" w:rsidP="00521370">
            <w:pPr>
              <w:spacing w:after="80"/>
              <w:jc w:val="left"/>
              <w:rPr>
                <w:b/>
                <w:sz w:val="18"/>
                <w:lang w:val="en-CA"/>
              </w:rPr>
            </w:pPr>
            <w:r w:rsidRPr="00521370">
              <w:rPr>
                <w:b/>
                <w:sz w:val="18"/>
                <w:lang w:val="en-CA"/>
              </w:rPr>
              <w:t>(I) PROJECT TITLE</w:t>
            </w:r>
          </w:p>
        </w:tc>
        <w:tc>
          <w:tcPr>
            <w:tcW w:w="2410" w:type="dxa"/>
            <w:shd w:val="clear" w:color="auto" w:fill="auto"/>
          </w:tcPr>
          <w:p w14:paraId="6D8F13D4" w14:textId="77777777" w:rsidR="00521370" w:rsidRPr="00521370" w:rsidRDefault="00521370" w:rsidP="00521370">
            <w:pPr>
              <w:spacing w:after="80"/>
              <w:jc w:val="center"/>
              <w:rPr>
                <w:b/>
                <w:sz w:val="18"/>
                <w:lang w:val="en-CA"/>
              </w:rPr>
            </w:pPr>
            <w:r w:rsidRPr="00521370">
              <w:rPr>
                <w:b/>
                <w:sz w:val="18"/>
                <w:lang w:val="en-CA"/>
              </w:rPr>
              <w:t>AGENCY</w:t>
            </w:r>
          </w:p>
        </w:tc>
        <w:tc>
          <w:tcPr>
            <w:tcW w:w="2410" w:type="dxa"/>
            <w:shd w:val="clear" w:color="auto" w:fill="auto"/>
          </w:tcPr>
          <w:p w14:paraId="24F88F39" w14:textId="77777777" w:rsidR="00521370" w:rsidRPr="00521370" w:rsidRDefault="00521370" w:rsidP="00521370">
            <w:pPr>
              <w:spacing w:after="80"/>
              <w:jc w:val="center"/>
              <w:rPr>
                <w:b/>
                <w:sz w:val="18"/>
                <w:lang w:val="en-CA"/>
              </w:rPr>
            </w:pPr>
            <w:r w:rsidRPr="00521370">
              <w:rPr>
                <w:b/>
                <w:sz w:val="18"/>
                <w:lang w:val="en-CA"/>
              </w:rPr>
              <w:t>MEETING APPROVED</w:t>
            </w:r>
          </w:p>
        </w:tc>
        <w:tc>
          <w:tcPr>
            <w:tcW w:w="2350" w:type="dxa"/>
            <w:shd w:val="clear" w:color="auto" w:fill="auto"/>
          </w:tcPr>
          <w:p w14:paraId="6E9B4410" w14:textId="77777777" w:rsidR="00521370" w:rsidRPr="00521370" w:rsidRDefault="00521370" w:rsidP="00521370">
            <w:pPr>
              <w:spacing w:after="80"/>
              <w:jc w:val="center"/>
              <w:rPr>
                <w:b/>
                <w:sz w:val="18"/>
                <w:lang w:val="en-CA"/>
              </w:rPr>
            </w:pPr>
            <w:r w:rsidRPr="00521370">
              <w:rPr>
                <w:b/>
                <w:sz w:val="18"/>
                <w:lang w:val="en-CA"/>
              </w:rPr>
              <w:t>CONTROL MEASURE</w:t>
            </w:r>
          </w:p>
        </w:tc>
      </w:tr>
      <w:tr w:rsidR="00521370" w:rsidRPr="00521370" w14:paraId="2497AF48" w14:textId="77777777" w:rsidTr="00BE419F">
        <w:trPr>
          <w:trHeight w:val="240"/>
        </w:trPr>
        <w:tc>
          <w:tcPr>
            <w:tcW w:w="2830" w:type="dxa"/>
            <w:shd w:val="clear" w:color="auto" w:fill="auto"/>
          </w:tcPr>
          <w:p w14:paraId="6B5F1A5F" w14:textId="77777777" w:rsidR="00521370" w:rsidRPr="00521370" w:rsidRDefault="00521370" w:rsidP="00BE419F">
            <w:pPr>
              <w:spacing w:after="80"/>
              <w:jc w:val="center"/>
              <w:rPr>
                <w:sz w:val="18"/>
                <w:lang w:val="en-CA"/>
              </w:rPr>
            </w:pPr>
            <w:r>
              <w:rPr>
                <w:sz w:val="18"/>
                <w:lang w:val="en-CA"/>
              </w:rPr>
              <w:t>HCFC phase</w:t>
            </w:r>
            <w:r w:rsidR="00BE419F">
              <w:rPr>
                <w:sz w:val="18"/>
                <w:lang w:val="en-CA"/>
              </w:rPr>
              <w:t>-</w:t>
            </w:r>
            <w:r>
              <w:rPr>
                <w:sz w:val="18"/>
                <w:lang w:val="en-CA"/>
              </w:rPr>
              <w:t xml:space="preserve">out </w:t>
            </w:r>
            <w:r w:rsidR="00BE419F">
              <w:rPr>
                <w:sz w:val="18"/>
                <w:lang w:val="en-CA"/>
              </w:rPr>
              <w:t xml:space="preserve">management </w:t>
            </w:r>
            <w:r>
              <w:rPr>
                <w:sz w:val="18"/>
                <w:lang w:val="en-CA"/>
              </w:rPr>
              <w:t>plan (Stage I)</w:t>
            </w:r>
          </w:p>
        </w:tc>
        <w:tc>
          <w:tcPr>
            <w:tcW w:w="2410" w:type="dxa"/>
            <w:shd w:val="clear" w:color="auto" w:fill="auto"/>
          </w:tcPr>
          <w:p w14:paraId="3A839C5B" w14:textId="77777777" w:rsidR="00521370" w:rsidRPr="00521370" w:rsidRDefault="00521370" w:rsidP="00521370">
            <w:pPr>
              <w:spacing w:after="80"/>
              <w:jc w:val="center"/>
              <w:rPr>
                <w:sz w:val="18"/>
                <w:lang w:val="en-CA"/>
              </w:rPr>
            </w:pPr>
            <w:r w:rsidRPr="00521370">
              <w:rPr>
                <w:sz w:val="18"/>
                <w:lang w:val="en-CA"/>
              </w:rPr>
              <w:t>UNDP (lead), Government of Italy</w:t>
            </w:r>
          </w:p>
        </w:tc>
        <w:tc>
          <w:tcPr>
            <w:tcW w:w="2410" w:type="dxa"/>
            <w:shd w:val="clear" w:color="auto" w:fill="auto"/>
          </w:tcPr>
          <w:p w14:paraId="661233FC" w14:textId="77777777" w:rsidR="00521370" w:rsidRPr="00521370" w:rsidRDefault="00521370" w:rsidP="00521370">
            <w:pPr>
              <w:spacing w:after="80"/>
              <w:jc w:val="center"/>
              <w:rPr>
                <w:sz w:val="18"/>
                <w:lang w:val="en-CA"/>
              </w:rPr>
            </w:pPr>
            <w:r>
              <w:rPr>
                <w:sz w:val="18"/>
                <w:lang w:val="en-CA"/>
              </w:rPr>
              <w:t>61</w:t>
            </w:r>
            <w:r w:rsidRPr="00521370">
              <w:rPr>
                <w:sz w:val="18"/>
                <w:vertAlign w:val="superscript"/>
                <w:lang w:val="en-CA"/>
              </w:rPr>
              <w:t>st</w:t>
            </w:r>
          </w:p>
        </w:tc>
        <w:tc>
          <w:tcPr>
            <w:tcW w:w="2350" w:type="dxa"/>
            <w:shd w:val="clear" w:color="auto" w:fill="auto"/>
          </w:tcPr>
          <w:p w14:paraId="63613E16" w14:textId="77777777" w:rsidR="00521370" w:rsidRPr="00521370" w:rsidRDefault="00521370" w:rsidP="00521370">
            <w:pPr>
              <w:spacing w:after="80"/>
              <w:jc w:val="center"/>
              <w:rPr>
                <w:sz w:val="18"/>
                <w:lang w:val="en-CA"/>
              </w:rPr>
            </w:pPr>
            <w:r w:rsidRPr="00363740">
              <w:rPr>
                <w:sz w:val="18"/>
                <w:lang w:val="en-CA"/>
              </w:rPr>
              <w:t>35% by 2020</w:t>
            </w:r>
          </w:p>
        </w:tc>
      </w:tr>
    </w:tbl>
    <w:p w14:paraId="6A2C1619" w14:textId="77777777" w:rsidR="00521370" w:rsidRDefault="00521370" w:rsidP="00521370">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521370" w:rsidRPr="00BE419F" w14:paraId="021C7AE5" w14:textId="77777777" w:rsidTr="00521370">
        <w:trPr>
          <w:trHeight w:val="240"/>
        </w:trPr>
        <w:tc>
          <w:tcPr>
            <w:tcW w:w="5200" w:type="dxa"/>
            <w:shd w:val="clear" w:color="auto" w:fill="auto"/>
          </w:tcPr>
          <w:p w14:paraId="3858BF15" w14:textId="77777777" w:rsidR="00521370" w:rsidRPr="00521370" w:rsidRDefault="00521370" w:rsidP="00521370">
            <w:pPr>
              <w:spacing w:after="60"/>
              <w:jc w:val="left"/>
              <w:rPr>
                <w:b/>
                <w:sz w:val="18"/>
                <w:lang w:val="en-CA"/>
              </w:rPr>
            </w:pPr>
            <w:r w:rsidRPr="00521370">
              <w:rPr>
                <w:b/>
                <w:sz w:val="18"/>
                <w:lang w:val="en-CA"/>
              </w:rPr>
              <w:t>(II) LATEST ARTICLE 7 DATA (Annex C Group l)</w:t>
            </w:r>
          </w:p>
        </w:tc>
        <w:tc>
          <w:tcPr>
            <w:tcW w:w="2400" w:type="dxa"/>
            <w:shd w:val="clear" w:color="auto" w:fill="auto"/>
          </w:tcPr>
          <w:p w14:paraId="3FA76817" w14:textId="77777777" w:rsidR="00521370" w:rsidRPr="001C6F9B" w:rsidRDefault="00BE419F" w:rsidP="00521370">
            <w:pPr>
              <w:spacing w:after="60"/>
              <w:jc w:val="center"/>
              <w:rPr>
                <w:sz w:val="18"/>
                <w:highlight w:val="magenta"/>
                <w:lang w:val="en-CA"/>
              </w:rPr>
            </w:pPr>
            <w:r w:rsidRPr="00BE419F">
              <w:rPr>
                <w:sz w:val="18"/>
                <w:lang w:val="en-CA"/>
              </w:rPr>
              <w:t>2018</w:t>
            </w:r>
          </w:p>
        </w:tc>
        <w:tc>
          <w:tcPr>
            <w:tcW w:w="2400" w:type="dxa"/>
            <w:shd w:val="clear" w:color="auto" w:fill="auto"/>
          </w:tcPr>
          <w:p w14:paraId="1450FD92" w14:textId="77777777" w:rsidR="00521370" w:rsidRPr="00BE419F" w:rsidRDefault="00BE419F" w:rsidP="00521370">
            <w:pPr>
              <w:spacing w:after="60"/>
              <w:jc w:val="right"/>
              <w:rPr>
                <w:sz w:val="18"/>
                <w:lang w:val="en-CA"/>
              </w:rPr>
            </w:pPr>
            <w:r w:rsidRPr="00BE419F">
              <w:rPr>
                <w:sz w:val="18"/>
                <w:lang w:val="en-CA"/>
              </w:rPr>
              <w:t>17.8</w:t>
            </w:r>
            <w:r w:rsidR="00521370" w:rsidRPr="00BE419F">
              <w:rPr>
                <w:sz w:val="18"/>
                <w:lang w:val="en-CA"/>
              </w:rPr>
              <w:t xml:space="preserve"> (ODP tonnes)</w:t>
            </w:r>
          </w:p>
        </w:tc>
      </w:tr>
    </w:tbl>
    <w:p w14:paraId="19A36727" w14:textId="77777777" w:rsidR="00521370" w:rsidRDefault="00521370" w:rsidP="00521370">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1714"/>
      </w:tblGrid>
      <w:tr w:rsidR="00521370" w:rsidRPr="00521370" w14:paraId="3E0BE9D9" w14:textId="77777777" w:rsidTr="00F72F44">
        <w:trPr>
          <w:trHeight w:val="240"/>
        </w:trPr>
        <w:tc>
          <w:tcPr>
            <w:tcW w:w="0" w:type="auto"/>
            <w:gridSpan w:val="8"/>
            <w:shd w:val="clear" w:color="auto" w:fill="auto"/>
          </w:tcPr>
          <w:p w14:paraId="2CB91358" w14:textId="77777777" w:rsidR="00521370" w:rsidRPr="00521370" w:rsidRDefault="00521370" w:rsidP="00521370">
            <w:pPr>
              <w:spacing w:after="60"/>
              <w:jc w:val="left"/>
              <w:rPr>
                <w:b/>
                <w:sz w:val="18"/>
                <w:lang w:val="en-CA"/>
              </w:rPr>
            </w:pPr>
            <w:r w:rsidRPr="00521370">
              <w:rPr>
                <w:b/>
                <w:sz w:val="18"/>
                <w:lang w:val="en-CA"/>
              </w:rPr>
              <w:t>(III) LATEST COUNTRY PROGRAMME SECTORAL DATA (ODP tonnes)</w:t>
            </w:r>
          </w:p>
        </w:tc>
        <w:tc>
          <w:tcPr>
            <w:tcW w:w="0" w:type="auto"/>
            <w:gridSpan w:val="2"/>
            <w:shd w:val="clear" w:color="auto" w:fill="auto"/>
          </w:tcPr>
          <w:p w14:paraId="5327EF15" w14:textId="77777777" w:rsidR="00521370" w:rsidRPr="00521370" w:rsidRDefault="00521370" w:rsidP="00521370">
            <w:pPr>
              <w:spacing w:after="60"/>
              <w:jc w:val="right"/>
              <w:rPr>
                <w:b/>
                <w:sz w:val="18"/>
                <w:lang w:val="en-CA"/>
              </w:rPr>
            </w:pPr>
            <w:r w:rsidRPr="00521370">
              <w:rPr>
                <w:b/>
                <w:sz w:val="18"/>
                <w:lang w:val="en-CA"/>
              </w:rPr>
              <w:t>Year: 201</w:t>
            </w:r>
            <w:r w:rsidR="003D6865">
              <w:rPr>
                <w:b/>
                <w:sz w:val="18"/>
                <w:lang w:val="en-CA"/>
              </w:rPr>
              <w:t>8</w:t>
            </w:r>
          </w:p>
        </w:tc>
      </w:tr>
      <w:tr w:rsidR="00521370" w:rsidRPr="00521370" w14:paraId="0E18FFFA" w14:textId="77777777" w:rsidTr="00F72F44">
        <w:trPr>
          <w:trHeight w:val="240"/>
        </w:trPr>
        <w:tc>
          <w:tcPr>
            <w:tcW w:w="0" w:type="auto"/>
            <w:shd w:val="clear" w:color="auto" w:fill="auto"/>
          </w:tcPr>
          <w:p w14:paraId="6A16EEEA" w14:textId="77777777" w:rsidR="00521370" w:rsidRPr="00521370" w:rsidRDefault="00521370" w:rsidP="00521370">
            <w:pPr>
              <w:spacing w:after="60"/>
              <w:jc w:val="center"/>
              <w:rPr>
                <w:sz w:val="18"/>
                <w:lang w:val="en-CA"/>
              </w:rPr>
            </w:pPr>
            <w:r>
              <w:rPr>
                <w:sz w:val="18"/>
                <w:lang w:val="en-CA"/>
              </w:rPr>
              <w:t>Chemical</w:t>
            </w:r>
          </w:p>
        </w:tc>
        <w:tc>
          <w:tcPr>
            <w:tcW w:w="0" w:type="auto"/>
            <w:shd w:val="clear" w:color="auto" w:fill="auto"/>
          </w:tcPr>
          <w:p w14:paraId="0CD872FC" w14:textId="77777777" w:rsidR="00521370" w:rsidRPr="00521370" w:rsidRDefault="00521370" w:rsidP="00521370">
            <w:pPr>
              <w:spacing w:after="60"/>
              <w:jc w:val="center"/>
              <w:rPr>
                <w:sz w:val="18"/>
                <w:lang w:val="en-CA"/>
              </w:rPr>
            </w:pPr>
            <w:r>
              <w:rPr>
                <w:sz w:val="18"/>
                <w:lang w:val="en-CA"/>
              </w:rPr>
              <w:t>Aerosol</w:t>
            </w:r>
          </w:p>
        </w:tc>
        <w:tc>
          <w:tcPr>
            <w:tcW w:w="0" w:type="auto"/>
            <w:shd w:val="clear" w:color="auto" w:fill="auto"/>
          </w:tcPr>
          <w:p w14:paraId="66BFD734" w14:textId="77777777" w:rsidR="00521370" w:rsidRPr="00521370" w:rsidRDefault="00521370" w:rsidP="00521370">
            <w:pPr>
              <w:spacing w:after="60"/>
              <w:jc w:val="center"/>
              <w:rPr>
                <w:sz w:val="18"/>
                <w:lang w:val="en-CA"/>
              </w:rPr>
            </w:pPr>
            <w:r>
              <w:rPr>
                <w:sz w:val="18"/>
                <w:lang w:val="en-CA"/>
              </w:rPr>
              <w:t>Foam</w:t>
            </w:r>
          </w:p>
        </w:tc>
        <w:tc>
          <w:tcPr>
            <w:tcW w:w="0" w:type="auto"/>
            <w:shd w:val="clear" w:color="auto" w:fill="auto"/>
          </w:tcPr>
          <w:p w14:paraId="68AFE5CB" w14:textId="77777777" w:rsidR="00521370" w:rsidRPr="00521370" w:rsidRDefault="00521370" w:rsidP="00521370">
            <w:pPr>
              <w:spacing w:after="60"/>
              <w:jc w:val="center"/>
              <w:rPr>
                <w:sz w:val="18"/>
                <w:lang w:val="en-CA"/>
              </w:rPr>
            </w:pPr>
            <w:r>
              <w:rPr>
                <w:sz w:val="18"/>
                <w:lang w:val="en-CA"/>
              </w:rPr>
              <w:t>Fire fighting</w:t>
            </w:r>
          </w:p>
        </w:tc>
        <w:tc>
          <w:tcPr>
            <w:tcW w:w="0" w:type="auto"/>
            <w:gridSpan w:val="2"/>
            <w:shd w:val="clear" w:color="auto" w:fill="auto"/>
          </w:tcPr>
          <w:p w14:paraId="3F0F78E9" w14:textId="77777777" w:rsidR="00521370" w:rsidRPr="00521370" w:rsidRDefault="00521370" w:rsidP="00521370">
            <w:pPr>
              <w:spacing w:after="60"/>
              <w:jc w:val="center"/>
              <w:rPr>
                <w:sz w:val="18"/>
                <w:lang w:val="en-CA"/>
              </w:rPr>
            </w:pPr>
            <w:r>
              <w:rPr>
                <w:sz w:val="18"/>
                <w:lang w:val="en-CA"/>
              </w:rPr>
              <w:t>Refrigeration</w:t>
            </w:r>
          </w:p>
        </w:tc>
        <w:tc>
          <w:tcPr>
            <w:tcW w:w="0" w:type="auto"/>
            <w:shd w:val="clear" w:color="auto" w:fill="auto"/>
          </w:tcPr>
          <w:p w14:paraId="4F9E4628" w14:textId="77777777" w:rsidR="00521370" w:rsidRPr="00521370" w:rsidRDefault="00521370" w:rsidP="00521370">
            <w:pPr>
              <w:spacing w:after="60"/>
              <w:jc w:val="center"/>
              <w:rPr>
                <w:sz w:val="18"/>
                <w:lang w:val="en-CA"/>
              </w:rPr>
            </w:pPr>
            <w:r>
              <w:rPr>
                <w:sz w:val="18"/>
                <w:lang w:val="en-CA"/>
              </w:rPr>
              <w:t>Solvent</w:t>
            </w:r>
          </w:p>
        </w:tc>
        <w:tc>
          <w:tcPr>
            <w:tcW w:w="0" w:type="auto"/>
            <w:shd w:val="clear" w:color="auto" w:fill="auto"/>
          </w:tcPr>
          <w:p w14:paraId="05F63943" w14:textId="77777777" w:rsidR="00521370" w:rsidRPr="00521370" w:rsidRDefault="00521370" w:rsidP="00521370">
            <w:pPr>
              <w:spacing w:after="60"/>
              <w:jc w:val="center"/>
              <w:rPr>
                <w:sz w:val="18"/>
                <w:lang w:val="en-CA"/>
              </w:rPr>
            </w:pPr>
            <w:r>
              <w:rPr>
                <w:sz w:val="18"/>
                <w:lang w:val="en-CA"/>
              </w:rPr>
              <w:t>Process agent</w:t>
            </w:r>
          </w:p>
        </w:tc>
        <w:tc>
          <w:tcPr>
            <w:tcW w:w="0" w:type="auto"/>
            <w:shd w:val="clear" w:color="auto" w:fill="auto"/>
          </w:tcPr>
          <w:p w14:paraId="51FF72D1" w14:textId="77777777" w:rsidR="00521370" w:rsidRPr="00521370" w:rsidRDefault="00521370" w:rsidP="00521370">
            <w:pPr>
              <w:spacing w:after="60"/>
              <w:jc w:val="center"/>
              <w:rPr>
                <w:sz w:val="18"/>
                <w:lang w:val="en-CA"/>
              </w:rPr>
            </w:pPr>
            <w:r>
              <w:rPr>
                <w:sz w:val="18"/>
                <w:lang w:val="en-CA"/>
              </w:rPr>
              <w:t>Lab use</w:t>
            </w:r>
          </w:p>
        </w:tc>
        <w:tc>
          <w:tcPr>
            <w:tcW w:w="0" w:type="auto"/>
            <w:shd w:val="clear" w:color="auto" w:fill="auto"/>
          </w:tcPr>
          <w:p w14:paraId="4FE48D99" w14:textId="77777777" w:rsidR="00521370" w:rsidRPr="00521370" w:rsidRDefault="00521370" w:rsidP="00521370">
            <w:pPr>
              <w:spacing w:after="60"/>
              <w:jc w:val="center"/>
              <w:rPr>
                <w:sz w:val="18"/>
                <w:lang w:val="en-CA"/>
              </w:rPr>
            </w:pPr>
            <w:r>
              <w:rPr>
                <w:sz w:val="18"/>
                <w:lang w:val="en-CA"/>
              </w:rPr>
              <w:t>Total sector consumption</w:t>
            </w:r>
          </w:p>
        </w:tc>
      </w:tr>
      <w:tr w:rsidR="00521370" w:rsidRPr="00521370" w14:paraId="38198197" w14:textId="77777777" w:rsidTr="00F72F44">
        <w:trPr>
          <w:trHeight w:val="240"/>
        </w:trPr>
        <w:tc>
          <w:tcPr>
            <w:tcW w:w="0" w:type="auto"/>
            <w:gridSpan w:val="4"/>
            <w:shd w:val="clear" w:color="auto" w:fill="auto"/>
          </w:tcPr>
          <w:p w14:paraId="7020C1AE" w14:textId="77777777" w:rsidR="00521370" w:rsidRPr="00521370" w:rsidRDefault="00521370" w:rsidP="00521370">
            <w:pPr>
              <w:spacing w:after="60"/>
              <w:jc w:val="center"/>
              <w:rPr>
                <w:sz w:val="18"/>
                <w:lang w:val="en-CA"/>
              </w:rPr>
            </w:pPr>
            <w:r>
              <w:rPr>
                <w:sz w:val="18"/>
                <w:lang w:val="en-CA"/>
              </w:rPr>
              <w:t xml:space="preserve"> </w:t>
            </w:r>
          </w:p>
        </w:tc>
        <w:tc>
          <w:tcPr>
            <w:tcW w:w="0" w:type="auto"/>
            <w:shd w:val="clear" w:color="auto" w:fill="auto"/>
          </w:tcPr>
          <w:p w14:paraId="33B32254" w14:textId="77777777" w:rsidR="00521370" w:rsidRPr="00521370" w:rsidRDefault="00521370" w:rsidP="00521370">
            <w:pPr>
              <w:spacing w:after="60"/>
              <w:jc w:val="center"/>
              <w:rPr>
                <w:sz w:val="18"/>
                <w:lang w:val="en-CA"/>
              </w:rPr>
            </w:pPr>
            <w:r>
              <w:rPr>
                <w:sz w:val="18"/>
                <w:lang w:val="en-CA"/>
              </w:rPr>
              <w:t>Manufacturing</w:t>
            </w:r>
          </w:p>
        </w:tc>
        <w:tc>
          <w:tcPr>
            <w:tcW w:w="0" w:type="auto"/>
            <w:shd w:val="clear" w:color="auto" w:fill="auto"/>
          </w:tcPr>
          <w:p w14:paraId="7A38BC91" w14:textId="77777777" w:rsidR="00521370" w:rsidRPr="00521370" w:rsidRDefault="00521370" w:rsidP="00521370">
            <w:pPr>
              <w:spacing w:after="60"/>
              <w:jc w:val="center"/>
              <w:rPr>
                <w:sz w:val="18"/>
                <w:lang w:val="en-CA"/>
              </w:rPr>
            </w:pPr>
            <w:r>
              <w:rPr>
                <w:sz w:val="18"/>
                <w:lang w:val="en-CA"/>
              </w:rPr>
              <w:t>Servicing</w:t>
            </w:r>
          </w:p>
        </w:tc>
        <w:tc>
          <w:tcPr>
            <w:tcW w:w="0" w:type="auto"/>
            <w:gridSpan w:val="4"/>
            <w:shd w:val="clear" w:color="auto" w:fill="auto"/>
          </w:tcPr>
          <w:p w14:paraId="6DA6EE86" w14:textId="77777777" w:rsidR="00521370" w:rsidRPr="00521370" w:rsidRDefault="00521370" w:rsidP="00521370">
            <w:pPr>
              <w:spacing w:after="60"/>
              <w:jc w:val="center"/>
              <w:rPr>
                <w:sz w:val="18"/>
                <w:lang w:val="en-CA"/>
              </w:rPr>
            </w:pPr>
          </w:p>
        </w:tc>
      </w:tr>
      <w:tr w:rsidR="005D35A9" w:rsidRPr="00521370" w14:paraId="7937C4A8" w14:textId="77777777" w:rsidTr="00F72F44">
        <w:trPr>
          <w:trHeight w:val="240"/>
        </w:trPr>
        <w:tc>
          <w:tcPr>
            <w:tcW w:w="1200" w:type="dxa"/>
            <w:shd w:val="clear" w:color="auto" w:fill="auto"/>
          </w:tcPr>
          <w:p w14:paraId="458D61E2" w14:textId="77777777" w:rsidR="005D35A9" w:rsidRPr="00521370" w:rsidRDefault="005D35A9" w:rsidP="00F72F44">
            <w:pPr>
              <w:spacing w:after="60"/>
              <w:jc w:val="left"/>
              <w:rPr>
                <w:sz w:val="18"/>
                <w:lang w:val="en-CA"/>
              </w:rPr>
            </w:pPr>
            <w:r>
              <w:rPr>
                <w:sz w:val="18"/>
                <w:lang w:val="en-CA"/>
              </w:rPr>
              <w:t>HCFC-22</w:t>
            </w:r>
          </w:p>
        </w:tc>
        <w:tc>
          <w:tcPr>
            <w:tcW w:w="0" w:type="auto"/>
            <w:shd w:val="clear" w:color="auto" w:fill="auto"/>
          </w:tcPr>
          <w:p w14:paraId="5BF107BF" w14:textId="77777777" w:rsidR="005D35A9" w:rsidRPr="00521370" w:rsidRDefault="005D35A9" w:rsidP="00F72F44">
            <w:pPr>
              <w:spacing w:after="60"/>
              <w:jc w:val="right"/>
              <w:rPr>
                <w:sz w:val="18"/>
                <w:lang w:val="en-CA"/>
              </w:rPr>
            </w:pPr>
          </w:p>
        </w:tc>
        <w:tc>
          <w:tcPr>
            <w:tcW w:w="0" w:type="auto"/>
            <w:shd w:val="clear" w:color="auto" w:fill="auto"/>
          </w:tcPr>
          <w:p w14:paraId="48C312C3" w14:textId="77777777" w:rsidR="005D35A9" w:rsidRPr="00521370" w:rsidRDefault="005D35A9" w:rsidP="00F72F44">
            <w:pPr>
              <w:spacing w:after="60"/>
              <w:jc w:val="right"/>
              <w:rPr>
                <w:sz w:val="18"/>
                <w:lang w:val="en-CA"/>
              </w:rPr>
            </w:pPr>
          </w:p>
        </w:tc>
        <w:tc>
          <w:tcPr>
            <w:tcW w:w="0" w:type="auto"/>
            <w:shd w:val="clear" w:color="auto" w:fill="auto"/>
          </w:tcPr>
          <w:p w14:paraId="7EB39DA6" w14:textId="77777777" w:rsidR="005D35A9" w:rsidRPr="00521370" w:rsidRDefault="005D35A9" w:rsidP="00F72F44">
            <w:pPr>
              <w:spacing w:after="60"/>
              <w:jc w:val="right"/>
              <w:rPr>
                <w:sz w:val="18"/>
                <w:lang w:val="en-CA"/>
              </w:rPr>
            </w:pPr>
          </w:p>
        </w:tc>
        <w:tc>
          <w:tcPr>
            <w:tcW w:w="0" w:type="auto"/>
            <w:shd w:val="clear" w:color="auto" w:fill="auto"/>
          </w:tcPr>
          <w:p w14:paraId="4BB3EF33" w14:textId="77777777" w:rsidR="005D35A9" w:rsidRPr="00521370" w:rsidRDefault="005D35A9" w:rsidP="00F72F44">
            <w:pPr>
              <w:spacing w:after="60"/>
              <w:jc w:val="right"/>
              <w:rPr>
                <w:sz w:val="18"/>
                <w:lang w:val="en-CA"/>
              </w:rPr>
            </w:pPr>
          </w:p>
        </w:tc>
        <w:tc>
          <w:tcPr>
            <w:tcW w:w="0" w:type="auto"/>
            <w:shd w:val="clear" w:color="auto" w:fill="auto"/>
          </w:tcPr>
          <w:p w14:paraId="50EC6825" w14:textId="77777777" w:rsidR="005D35A9" w:rsidRPr="00521370" w:rsidRDefault="005D35A9" w:rsidP="00F72F44">
            <w:pPr>
              <w:spacing w:after="60"/>
              <w:jc w:val="right"/>
              <w:rPr>
                <w:sz w:val="18"/>
                <w:lang w:val="en-CA"/>
              </w:rPr>
            </w:pPr>
            <w:r>
              <w:rPr>
                <w:sz w:val="18"/>
                <w:lang w:val="en-CA"/>
              </w:rPr>
              <w:t>16.79</w:t>
            </w:r>
          </w:p>
        </w:tc>
        <w:tc>
          <w:tcPr>
            <w:tcW w:w="0" w:type="auto"/>
            <w:shd w:val="clear" w:color="auto" w:fill="auto"/>
          </w:tcPr>
          <w:p w14:paraId="18642D82" w14:textId="77777777" w:rsidR="005D35A9" w:rsidRPr="00521370" w:rsidRDefault="005D35A9" w:rsidP="00F72F44">
            <w:pPr>
              <w:spacing w:after="60"/>
              <w:jc w:val="right"/>
              <w:rPr>
                <w:sz w:val="18"/>
                <w:lang w:val="en-CA"/>
              </w:rPr>
            </w:pPr>
          </w:p>
        </w:tc>
        <w:tc>
          <w:tcPr>
            <w:tcW w:w="0" w:type="auto"/>
            <w:shd w:val="clear" w:color="auto" w:fill="auto"/>
          </w:tcPr>
          <w:p w14:paraId="56329470" w14:textId="77777777" w:rsidR="005D35A9" w:rsidRPr="00521370" w:rsidRDefault="005D35A9" w:rsidP="00F72F44">
            <w:pPr>
              <w:spacing w:after="60"/>
              <w:jc w:val="right"/>
              <w:rPr>
                <w:sz w:val="18"/>
                <w:lang w:val="en-CA"/>
              </w:rPr>
            </w:pPr>
          </w:p>
        </w:tc>
        <w:tc>
          <w:tcPr>
            <w:tcW w:w="0" w:type="auto"/>
            <w:shd w:val="clear" w:color="auto" w:fill="auto"/>
          </w:tcPr>
          <w:p w14:paraId="6D758013" w14:textId="77777777" w:rsidR="005D35A9" w:rsidRPr="00521370" w:rsidRDefault="005D35A9" w:rsidP="00F72F44">
            <w:pPr>
              <w:spacing w:after="60"/>
              <w:jc w:val="right"/>
              <w:rPr>
                <w:sz w:val="18"/>
                <w:lang w:val="en-CA"/>
              </w:rPr>
            </w:pPr>
          </w:p>
        </w:tc>
        <w:tc>
          <w:tcPr>
            <w:tcW w:w="0" w:type="auto"/>
            <w:shd w:val="clear" w:color="auto" w:fill="auto"/>
          </w:tcPr>
          <w:p w14:paraId="4FBF4E9D" w14:textId="77777777" w:rsidR="005D35A9" w:rsidRPr="00521370" w:rsidRDefault="005D35A9" w:rsidP="00F72F44">
            <w:pPr>
              <w:spacing w:after="60"/>
              <w:jc w:val="right"/>
              <w:rPr>
                <w:sz w:val="18"/>
                <w:lang w:val="en-CA"/>
              </w:rPr>
            </w:pPr>
            <w:r>
              <w:rPr>
                <w:sz w:val="18"/>
                <w:lang w:val="en-CA"/>
              </w:rPr>
              <w:t>16.79</w:t>
            </w:r>
          </w:p>
        </w:tc>
      </w:tr>
      <w:tr w:rsidR="00521370" w:rsidRPr="00521370" w14:paraId="7B2815C1" w14:textId="77777777" w:rsidTr="00521370">
        <w:trPr>
          <w:trHeight w:val="240"/>
        </w:trPr>
        <w:tc>
          <w:tcPr>
            <w:tcW w:w="1200" w:type="dxa"/>
            <w:shd w:val="clear" w:color="auto" w:fill="auto"/>
          </w:tcPr>
          <w:p w14:paraId="6B806940" w14:textId="77777777" w:rsidR="00521370" w:rsidRPr="00521370" w:rsidRDefault="00521370" w:rsidP="00521370">
            <w:pPr>
              <w:spacing w:after="60"/>
              <w:jc w:val="left"/>
              <w:rPr>
                <w:sz w:val="18"/>
                <w:lang w:val="en-CA"/>
              </w:rPr>
            </w:pPr>
            <w:r>
              <w:rPr>
                <w:sz w:val="18"/>
                <w:lang w:val="en-CA"/>
              </w:rPr>
              <w:t>HCFC-142b</w:t>
            </w:r>
          </w:p>
        </w:tc>
        <w:tc>
          <w:tcPr>
            <w:tcW w:w="0" w:type="auto"/>
            <w:shd w:val="clear" w:color="auto" w:fill="auto"/>
          </w:tcPr>
          <w:p w14:paraId="38529EC8" w14:textId="77777777" w:rsidR="00521370" w:rsidRPr="00521370" w:rsidRDefault="00521370" w:rsidP="00521370">
            <w:pPr>
              <w:spacing w:after="60"/>
              <w:jc w:val="right"/>
              <w:rPr>
                <w:sz w:val="18"/>
                <w:lang w:val="en-CA"/>
              </w:rPr>
            </w:pPr>
          </w:p>
        </w:tc>
        <w:tc>
          <w:tcPr>
            <w:tcW w:w="0" w:type="auto"/>
            <w:shd w:val="clear" w:color="auto" w:fill="auto"/>
          </w:tcPr>
          <w:p w14:paraId="54A23319" w14:textId="77777777" w:rsidR="00521370" w:rsidRPr="00521370" w:rsidRDefault="00521370" w:rsidP="00521370">
            <w:pPr>
              <w:spacing w:after="60"/>
              <w:jc w:val="right"/>
              <w:rPr>
                <w:sz w:val="18"/>
                <w:lang w:val="en-CA"/>
              </w:rPr>
            </w:pPr>
          </w:p>
        </w:tc>
        <w:tc>
          <w:tcPr>
            <w:tcW w:w="0" w:type="auto"/>
            <w:shd w:val="clear" w:color="auto" w:fill="auto"/>
          </w:tcPr>
          <w:p w14:paraId="6D8F3B1E" w14:textId="77777777" w:rsidR="00521370" w:rsidRPr="00521370" w:rsidRDefault="00521370" w:rsidP="00521370">
            <w:pPr>
              <w:spacing w:after="60"/>
              <w:jc w:val="right"/>
              <w:rPr>
                <w:sz w:val="18"/>
                <w:lang w:val="en-CA"/>
              </w:rPr>
            </w:pPr>
          </w:p>
        </w:tc>
        <w:tc>
          <w:tcPr>
            <w:tcW w:w="0" w:type="auto"/>
            <w:shd w:val="clear" w:color="auto" w:fill="auto"/>
          </w:tcPr>
          <w:p w14:paraId="2ADBE376" w14:textId="77777777" w:rsidR="00521370" w:rsidRPr="00521370" w:rsidRDefault="00521370" w:rsidP="00521370">
            <w:pPr>
              <w:spacing w:after="60"/>
              <w:jc w:val="right"/>
              <w:rPr>
                <w:sz w:val="18"/>
                <w:lang w:val="en-CA"/>
              </w:rPr>
            </w:pPr>
          </w:p>
        </w:tc>
        <w:tc>
          <w:tcPr>
            <w:tcW w:w="0" w:type="auto"/>
            <w:shd w:val="clear" w:color="auto" w:fill="auto"/>
          </w:tcPr>
          <w:p w14:paraId="50B1FF8E" w14:textId="77777777" w:rsidR="00521370" w:rsidRPr="00521370" w:rsidRDefault="003D6865" w:rsidP="00521370">
            <w:pPr>
              <w:spacing w:after="60"/>
              <w:jc w:val="right"/>
              <w:rPr>
                <w:sz w:val="18"/>
                <w:lang w:val="en-CA"/>
              </w:rPr>
            </w:pPr>
            <w:r>
              <w:rPr>
                <w:sz w:val="18"/>
                <w:lang w:val="en-CA"/>
              </w:rPr>
              <w:t>1.05</w:t>
            </w:r>
          </w:p>
        </w:tc>
        <w:tc>
          <w:tcPr>
            <w:tcW w:w="0" w:type="auto"/>
            <w:shd w:val="clear" w:color="auto" w:fill="auto"/>
          </w:tcPr>
          <w:p w14:paraId="57A5D4AF" w14:textId="77777777" w:rsidR="00521370" w:rsidRPr="00521370" w:rsidRDefault="00521370" w:rsidP="00521370">
            <w:pPr>
              <w:spacing w:after="60"/>
              <w:jc w:val="right"/>
              <w:rPr>
                <w:sz w:val="18"/>
                <w:lang w:val="en-CA"/>
              </w:rPr>
            </w:pPr>
          </w:p>
        </w:tc>
        <w:tc>
          <w:tcPr>
            <w:tcW w:w="0" w:type="auto"/>
            <w:shd w:val="clear" w:color="auto" w:fill="auto"/>
          </w:tcPr>
          <w:p w14:paraId="0FDD1F36" w14:textId="77777777" w:rsidR="00521370" w:rsidRPr="00521370" w:rsidRDefault="00521370" w:rsidP="00521370">
            <w:pPr>
              <w:spacing w:after="60"/>
              <w:jc w:val="right"/>
              <w:rPr>
                <w:sz w:val="18"/>
                <w:lang w:val="en-CA"/>
              </w:rPr>
            </w:pPr>
          </w:p>
        </w:tc>
        <w:tc>
          <w:tcPr>
            <w:tcW w:w="0" w:type="auto"/>
            <w:shd w:val="clear" w:color="auto" w:fill="auto"/>
          </w:tcPr>
          <w:p w14:paraId="310301BB" w14:textId="77777777" w:rsidR="00521370" w:rsidRPr="00521370" w:rsidRDefault="00521370" w:rsidP="00521370">
            <w:pPr>
              <w:spacing w:after="60"/>
              <w:jc w:val="right"/>
              <w:rPr>
                <w:sz w:val="18"/>
                <w:lang w:val="en-CA"/>
              </w:rPr>
            </w:pPr>
          </w:p>
        </w:tc>
        <w:tc>
          <w:tcPr>
            <w:tcW w:w="0" w:type="auto"/>
            <w:shd w:val="clear" w:color="auto" w:fill="auto"/>
          </w:tcPr>
          <w:p w14:paraId="5B6635BA" w14:textId="77777777" w:rsidR="00521370" w:rsidRPr="00521370" w:rsidRDefault="003D6865" w:rsidP="00521370">
            <w:pPr>
              <w:spacing w:after="60"/>
              <w:jc w:val="right"/>
              <w:rPr>
                <w:sz w:val="18"/>
                <w:lang w:val="en-CA"/>
              </w:rPr>
            </w:pPr>
            <w:r>
              <w:rPr>
                <w:sz w:val="18"/>
                <w:lang w:val="en-CA"/>
              </w:rPr>
              <w:t>1.05</w:t>
            </w:r>
          </w:p>
        </w:tc>
      </w:tr>
    </w:tbl>
    <w:p w14:paraId="4BD7909D" w14:textId="77777777" w:rsidR="00521370" w:rsidRDefault="00521370" w:rsidP="00521370">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14"/>
        <w:gridCol w:w="917"/>
        <w:gridCol w:w="5552"/>
        <w:gridCol w:w="917"/>
      </w:tblGrid>
      <w:tr w:rsidR="00521370" w:rsidRPr="00521370" w14:paraId="7DF36187" w14:textId="77777777" w:rsidTr="00521370">
        <w:trPr>
          <w:trHeight w:val="240"/>
        </w:trPr>
        <w:tc>
          <w:tcPr>
            <w:tcW w:w="0" w:type="auto"/>
            <w:gridSpan w:val="4"/>
            <w:shd w:val="clear" w:color="auto" w:fill="auto"/>
          </w:tcPr>
          <w:p w14:paraId="27D3A87C" w14:textId="77777777" w:rsidR="00521370" w:rsidRPr="00521370" w:rsidRDefault="00521370" w:rsidP="00521370">
            <w:pPr>
              <w:spacing w:after="60"/>
              <w:jc w:val="left"/>
              <w:rPr>
                <w:b/>
                <w:sz w:val="18"/>
                <w:lang w:val="en-CA"/>
              </w:rPr>
            </w:pPr>
            <w:r w:rsidRPr="00521370">
              <w:rPr>
                <w:b/>
                <w:sz w:val="18"/>
                <w:lang w:val="en-CA"/>
              </w:rPr>
              <w:t>(IV) CONSUMPTION DATA (ODP tonnes)</w:t>
            </w:r>
          </w:p>
        </w:tc>
      </w:tr>
      <w:tr w:rsidR="00521370" w:rsidRPr="00521370" w14:paraId="0C13F6EB" w14:textId="77777777" w:rsidTr="00521370">
        <w:trPr>
          <w:trHeight w:val="240"/>
        </w:trPr>
        <w:tc>
          <w:tcPr>
            <w:tcW w:w="0" w:type="auto"/>
            <w:shd w:val="clear" w:color="auto" w:fill="auto"/>
          </w:tcPr>
          <w:p w14:paraId="7CF178FE" w14:textId="77777777" w:rsidR="00521370" w:rsidRPr="00521370" w:rsidRDefault="00521370" w:rsidP="00521370">
            <w:pPr>
              <w:spacing w:after="60"/>
              <w:jc w:val="center"/>
              <w:rPr>
                <w:sz w:val="18"/>
                <w:lang w:val="en-CA"/>
              </w:rPr>
            </w:pPr>
            <w:r>
              <w:rPr>
                <w:sz w:val="18"/>
                <w:lang w:val="en-CA"/>
              </w:rPr>
              <w:t>2009 - 2010 baseline:</w:t>
            </w:r>
          </w:p>
        </w:tc>
        <w:tc>
          <w:tcPr>
            <w:tcW w:w="0" w:type="auto"/>
            <w:shd w:val="clear" w:color="auto" w:fill="auto"/>
          </w:tcPr>
          <w:p w14:paraId="56BB9957" w14:textId="77777777" w:rsidR="00521370" w:rsidRPr="00521370" w:rsidRDefault="00521370" w:rsidP="00521370">
            <w:pPr>
              <w:spacing w:after="60"/>
              <w:jc w:val="right"/>
              <w:rPr>
                <w:sz w:val="18"/>
                <w:lang w:val="en-CA"/>
              </w:rPr>
            </w:pPr>
            <w:r>
              <w:rPr>
                <w:sz w:val="18"/>
                <w:lang w:val="en-CA"/>
              </w:rPr>
              <w:t>57.3</w:t>
            </w:r>
            <w:r w:rsidR="005D35A9">
              <w:rPr>
                <w:sz w:val="18"/>
                <w:lang w:val="en-CA"/>
              </w:rPr>
              <w:t>0</w:t>
            </w:r>
          </w:p>
        </w:tc>
        <w:tc>
          <w:tcPr>
            <w:tcW w:w="0" w:type="auto"/>
            <w:shd w:val="clear" w:color="auto" w:fill="auto"/>
          </w:tcPr>
          <w:p w14:paraId="75F67C30" w14:textId="77777777" w:rsidR="00521370" w:rsidRPr="00521370" w:rsidRDefault="00521370" w:rsidP="00521370">
            <w:pPr>
              <w:spacing w:after="60"/>
              <w:jc w:val="center"/>
              <w:rPr>
                <w:sz w:val="18"/>
                <w:lang w:val="en-CA"/>
              </w:rPr>
            </w:pPr>
            <w:r>
              <w:rPr>
                <w:sz w:val="18"/>
                <w:lang w:val="en-CA"/>
              </w:rPr>
              <w:t>Starting point for sustained aggregate reductions:</w:t>
            </w:r>
          </w:p>
        </w:tc>
        <w:tc>
          <w:tcPr>
            <w:tcW w:w="0" w:type="auto"/>
            <w:shd w:val="clear" w:color="auto" w:fill="auto"/>
          </w:tcPr>
          <w:p w14:paraId="0C0738A0" w14:textId="77777777" w:rsidR="00521370" w:rsidRPr="00521370" w:rsidRDefault="005D35A9" w:rsidP="00521370">
            <w:pPr>
              <w:spacing w:after="60"/>
              <w:jc w:val="right"/>
              <w:rPr>
                <w:sz w:val="18"/>
                <w:lang w:val="en-CA"/>
              </w:rPr>
            </w:pPr>
            <w:r w:rsidRPr="005D35A9">
              <w:rPr>
                <w:sz w:val="18"/>
                <w:lang w:val="en-CA"/>
              </w:rPr>
              <w:t>57.30</w:t>
            </w:r>
          </w:p>
        </w:tc>
      </w:tr>
      <w:tr w:rsidR="00521370" w:rsidRPr="00521370" w14:paraId="5BAC9237" w14:textId="77777777" w:rsidTr="00F72F44">
        <w:trPr>
          <w:trHeight w:val="240"/>
        </w:trPr>
        <w:tc>
          <w:tcPr>
            <w:tcW w:w="0" w:type="auto"/>
            <w:gridSpan w:val="4"/>
            <w:shd w:val="clear" w:color="auto" w:fill="auto"/>
          </w:tcPr>
          <w:p w14:paraId="74F44FF6" w14:textId="77777777" w:rsidR="00521370" w:rsidRPr="00521370" w:rsidRDefault="00521370" w:rsidP="00521370">
            <w:pPr>
              <w:spacing w:after="60"/>
              <w:jc w:val="center"/>
              <w:rPr>
                <w:b/>
                <w:sz w:val="18"/>
                <w:lang w:val="en-CA"/>
              </w:rPr>
            </w:pPr>
            <w:r w:rsidRPr="00521370">
              <w:rPr>
                <w:b/>
                <w:sz w:val="18"/>
                <w:lang w:val="en-CA"/>
              </w:rPr>
              <w:t>CONSUMPTION ELIGIBLE FOR FUNDING (ODP tonnes)</w:t>
            </w:r>
          </w:p>
        </w:tc>
      </w:tr>
      <w:tr w:rsidR="00521370" w:rsidRPr="00521370" w14:paraId="0AEF9B7C" w14:textId="77777777" w:rsidTr="00521370">
        <w:trPr>
          <w:trHeight w:val="240"/>
        </w:trPr>
        <w:tc>
          <w:tcPr>
            <w:tcW w:w="0" w:type="auto"/>
            <w:shd w:val="clear" w:color="auto" w:fill="auto"/>
          </w:tcPr>
          <w:p w14:paraId="06723FF2" w14:textId="77777777" w:rsidR="00521370" w:rsidRPr="00521370" w:rsidRDefault="00521370" w:rsidP="00521370">
            <w:pPr>
              <w:spacing w:after="60"/>
              <w:jc w:val="center"/>
              <w:rPr>
                <w:sz w:val="18"/>
                <w:lang w:val="en-CA"/>
              </w:rPr>
            </w:pPr>
            <w:r>
              <w:rPr>
                <w:sz w:val="18"/>
                <w:lang w:val="en-CA"/>
              </w:rPr>
              <w:t>Already approved:</w:t>
            </w:r>
          </w:p>
        </w:tc>
        <w:tc>
          <w:tcPr>
            <w:tcW w:w="0" w:type="auto"/>
            <w:shd w:val="clear" w:color="auto" w:fill="auto"/>
          </w:tcPr>
          <w:p w14:paraId="680BD2F8" w14:textId="77777777" w:rsidR="00521370" w:rsidRPr="00521370" w:rsidRDefault="005D35A9" w:rsidP="00521370">
            <w:pPr>
              <w:spacing w:after="60"/>
              <w:jc w:val="right"/>
              <w:rPr>
                <w:sz w:val="18"/>
                <w:lang w:val="en-CA"/>
              </w:rPr>
            </w:pPr>
            <w:r w:rsidRPr="005D35A9">
              <w:rPr>
                <w:sz w:val="18"/>
                <w:lang w:val="en-CA"/>
              </w:rPr>
              <w:t>26.27</w:t>
            </w:r>
          </w:p>
        </w:tc>
        <w:tc>
          <w:tcPr>
            <w:tcW w:w="0" w:type="auto"/>
            <w:shd w:val="clear" w:color="auto" w:fill="auto"/>
          </w:tcPr>
          <w:p w14:paraId="28A96CCE" w14:textId="77777777" w:rsidR="00521370" w:rsidRPr="00521370" w:rsidRDefault="00521370" w:rsidP="00521370">
            <w:pPr>
              <w:spacing w:after="60"/>
              <w:jc w:val="center"/>
              <w:rPr>
                <w:sz w:val="18"/>
                <w:lang w:val="en-CA"/>
              </w:rPr>
            </w:pPr>
            <w:r>
              <w:rPr>
                <w:sz w:val="18"/>
                <w:lang w:val="en-CA"/>
              </w:rPr>
              <w:t>Remaining:</w:t>
            </w:r>
          </w:p>
        </w:tc>
        <w:tc>
          <w:tcPr>
            <w:tcW w:w="0" w:type="auto"/>
            <w:shd w:val="clear" w:color="auto" w:fill="auto"/>
          </w:tcPr>
          <w:p w14:paraId="06BFE638" w14:textId="77777777" w:rsidR="00521370" w:rsidRPr="00521370" w:rsidRDefault="005D35A9" w:rsidP="00521370">
            <w:pPr>
              <w:spacing w:after="60"/>
              <w:jc w:val="right"/>
              <w:rPr>
                <w:sz w:val="18"/>
                <w:lang w:val="en-CA"/>
              </w:rPr>
            </w:pPr>
            <w:r w:rsidRPr="005D35A9">
              <w:rPr>
                <w:sz w:val="18"/>
                <w:lang w:val="en-CA"/>
              </w:rPr>
              <w:t>31.03</w:t>
            </w:r>
          </w:p>
        </w:tc>
      </w:tr>
    </w:tbl>
    <w:p w14:paraId="252C8CCF" w14:textId="77777777" w:rsidR="00521370" w:rsidRDefault="00521370" w:rsidP="00521370">
      <w:pPr>
        <w:spacing w:after="60"/>
        <w:jc w:val="center"/>
        <w:rPr>
          <w:lang w:val="en-CA"/>
        </w:rPr>
      </w:pPr>
    </w:p>
    <w:tbl>
      <w:tblPr>
        <w:tblStyle w:val="TableGrid"/>
        <w:tblW w:w="100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413"/>
        <w:gridCol w:w="4295"/>
        <w:gridCol w:w="2155"/>
        <w:gridCol w:w="2155"/>
      </w:tblGrid>
      <w:tr w:rsidR="005D35A9" w:rsidRPr="00521370" w14:paraId="7A9A9F54" w14:textId="77777777" w:rsidTr="005D35A9">
        <w:trPr>
          <w:trHeight w:val="220"/>
        </w:trPr>
        <w:tc>
          <w:tcPr>
            <w:tcW w:w="5708" w:type="dxa"/>
            <w:gridSpan w:val="2"/>
            <w:shd w:val="clear" w:color="auto" w:fill="auto"/>
          </w:tcPr>
          <w:p w14:paraId="3922B3D9" w14:textId="77777777" w:rsidR="005D35A9" w:rsidRPr="00521370" w:rsidRDefault="005D35A9" w:rsidP="00521370">
            <w:pPr>
              <w:spacing w:after="60"/>
              <w:jc w:val="left"/>
              <w:rPr>
                <w:b/>
                <w:sz w:val="18"/>
                <w:lang w:val="en-CA"/>
              </w:rPr>
            </w:pPr>
            <w:r w:rsidRPr="00521370">
              <w:rPr>
                <w:b/>
                <w:sz w:val="18"/>
                <w:lang w:val="en-CA"/>
              </w:rPr>
              <w:t>(V) BUSINESS PLAN</w:t>
            </w:r>
          </w:p>
        </w:tc>
        <w:tc>
          <w:tcPr>
            <w:tcW w:w="2155" w:type="dxa"/>
            <w:shd w:val="clear" w:color="auto" w:fill="auto"/>
          </w:tcPr>
          <w:p w14:paraId="035A4CB9" w14:textId="77777777" w:rsidR="005D35A9" w:rsidRPr="00521370" w:rsidRDefault="005D35A9" w:rsidP="00521370">
            <w:pPr>
              <w:spacing w:after="60"/>
              <w:jc w:val="center"/>
              <w:rPr>
                <w:b/>
                <w:sz w:val="18"/>
                <w:lang w:val="en-CA"/>
              </w:rPr>
            </w:pPr>
            <w:r>
              <w:rPr>
                <w:b/>
                <w:sz w:val="18"/>
                <w:lang w:val="en-CA"/>
              </w:rPr>
              <w:t>2019</w:t>
            </w:r>
          </w:p>
        </w:tc>
        <w:tc>
          <w:tcPr>
            <w:tcW w:w="2155" w:type="dxa"/>
            <w:shd w:val="clear" w:color="auto" w:fill="auto"/>
          </w:tcPr>
          <w:p w14:paraId="3A3E1439" w14:textId="77777777" w:rsidR="005D35A9" w:rsidRPr="00521370" w:rsidRDefault="005D35A9" w:rsidP="00521370">
            <w:pPr>
              <w:spacing w:after="60"/>
              <w:jc w:val="center"/>
              <w:rPr>
                <w:b/>
                <w:sz w:val="18"/>
                <w:lang w:val="en-CA"/>
              </w:rPr>
            </w:pPr>
            <w:r>
              <w:rPr>
                <w:b/>
                <w:sz w:val="18"/>
                <w:lang w:val="en-CA"/>
              </w:rPr>
              <w:t>Total</w:t>
            </w:r>
          </w:p>
        </w:tc>
      </w:tr>
      <w:tr w:rsidR="005D35A9" w:rsidRPr="00521370" w14:paraId="47A2F966" w14:textId="77777777" w:rsidTr="005D35A9">
        <w:trPr>
          <w:trHeight w:val="220"/>
        </w:trPr>
        <w:tc>
          <w:tcPr>
            <w:tcW w:w="1413" w:type="dxa"/>
            <w:vMerge w:val="restart"/>
            <w:shd w:val="clear" w:color="auto" w:fill="auto"/>
          </w:tcPr>
          <w:p w14:paraId="18DF4471" w14:textId="77777777" w:rsidR="005D35A9" w:rsidRPr="00521370" w:rsidRDefault="005D35A9" w:rsidP="00521370">
            <w:pPr>
              <w:spacing w:after="60"/>
              <w:jc w:val="center"/>
              <w:rPr>
                <w:sz w:val="18"/>
                <w:lang w:val="en-CA"/>
              </w:rPr>
            </w:pPr>
            <w:r>
              <w:rPr>
                <w:sz w:val="18"/>
                <w:lang w:val="en-CA"/>
              </w:rPr>
              <w:t>UNDP</w:t>
            </w:r>
          </w:p>
        </w:tc>
        <w:tc>
          <w:tcPr>
            <w:tcW w:w="4295" w:type="dxa"/>
            <w:shd w:val="clear" w:color="auto" w:fill="auto"/>
          </w:tcPr>
          <w:p w14:paraId="48515E52" w14:textId="77777777" w:rsidR="005D35A9" w:rsidRPr="00521370" w:rsidRDefault="005D35A9" w:rsidP="00521370">
            <w:pPr>
              <w:spacing w:after="60"/>
              <w:jc w:val="left"/>
              <w:rPr>
                <w:sz w:val="18"/>
                <w:lang w:val="en-CA"/>
              </w:rPr>
            </w:pPr>
            <w:r>
              <w:rPr>
                <w:sz w:val="18"/>
                <w:lang w:val="en-CA"/>
              </w:rPr>
              <w:t>ODS phase-out (ODP tonnes)</w:t>
            </w:r>
          </w:p>
        </w:tc>
        <w:tc>
          <w:tcPr>
            <w:tcW w:w="2155" w:type="dxa"/>
            <w:shd w:val="clear" w:color="auto" w:fill="auto"/>
          </w:tcPr>
          <w:p w14:paraId="749C3D43" w14:textId="77777777" w:rsidR="005D35A9" w:rsidRPr="00521370" w:rsidRDefault="005D35A9" w:rsidP="00521370">
            <w:pPr>
              <w:spacing w:after="60"/>
              <w:jc w:val="right"/>
              <w:rPr>
                <w:sz w:val="18"/>
                <w:lang w:val="en-CA"/>
              </w:rPr>
            </w:pPr>
            <w:r>
              <w:rPr>
                <w:sz w:val="18"/>
                <w:lang w:val="en-CA"/>
              </w:rPr>
              <w:t>2.3</w:t>
            </w:r>
            <w:r w:rsidR="00F72F44">
              <w:rPr>
                <w:sz w:val="18"/>
                <w:lang w:val="en-CA"/>
              </w:rPr>
              <w:t>5</w:t>
            </w:r>
          </w:p>
        </w:tc>
        <w:tc>
          <w:tcPr>
            <w:tcW w:w="2155" w:type="dxa"/>
            <w:shd w:val="clear" w:color="auto" w:fill="auto"/>
          </w:tcPr>
          <w:p w14:paraId="28E72C80" w14:textId="77777777" w:rsidR="005D35A9" w:rsidRPr="00521370" w:rsidRDefault="005D35A9" w:rsidP="00521370">
            <w:pPr>
              <w:spacing w:after="60"/>
              <w:jc w:val="right"/>
              <w:rPr>
                <w:sz w:val="18"/>
                <w:lang w:val="en-CA"/>
              </w:rPr>
            </w:pPr>
            <w:r>
              <w:rPr>
                <w:sz w:val="18"/>
                <w:lang w:val="en-CA"/>
              </w:rPr>
              <w:t>2.3</w:t>
            </w:r>
            <w:r w:rsidR="00F72F44">
              <w:rPr>
                <w:sz w:val="18"/>
                <w:lang w:val="en-CA"/>
              </w:rPr>
              <w:t>5</w:t>
            </w:r>
          </w:p>
        </w:tc>
      </w:tr>
      <w:tr w:rsidR="005D35A9" w:rsidRPr="00521370" w14:paraId="264C74F3" w14:textId="77777777" w:rsidTr="005D35A9">
        <w:trPr>
          <w:trHeight w:val="220"/>
        </w:trPr>
        <w:tc>
          <w:tcPr>
            <w:tcW w:w="1413" w:type="dxa"/>
            <w:vMerge/>
            <w:shd w:val="clear" w:color="auto" w:fill="auto"/>
          </w:tcPr>
          <w:p w14:paraId="5246A228" w14:textId="77777777" w:rsidR="005D35A9" w:rsidRPr="00521370" w:rsidRDefault="005D35A9" w:rsidP="00521370">
            <w:pPr>
              <w:spacing w:after="60"/>
              <w:jc w:val="center"/>
              <w:rPr>
                <w:sz w:val="18"/>
                <w:lang w:val="en-CA"/>
              </w:rPr>
            </w:pPr>
          </w:p>
        </w:tc>
        <w:tc>
          <w:tcPr>
            <w:tcW w:w="4295" w:type="dxa"/>
            <w:shd w:val="clear" w:color="auto" w:fill="auto"/>
          </w:tcPr>
          <w:p w14:paraId="7AC7CC24" w14:textId="77777777" w:rsidR="005D35A9" w:rsidRPr="00521370" w:rsidRDefault="005D35A9" w:rsidP="00521370">
            <w:pPr>
              <w:spacing w:after="60"/>
              <w:jc w:val="left"/>
              <w:rPr>
                <w:sz w:val="18"/>
                <w:lang w:val="en-CA"/>
              </w:rPr>
            </w:pPr>
            <w:r>
              <w:rPr>
                <w:sz w:val="18"/>
                <w:lang w:val="en-CA"/>
              </w:rPr>
              <w:t>Funding (US $)</w:t>
            </w:r>
          </w:p>
        </w:tc>
        <w:tc>
          <w:tcPr>
            <w:tcW w:w="2155" w:type="dxa"/>
            <w:shd w:val="clear" w:color="auto" w:fill="auto"/>
          </w:tcPr>
          <w:p w14:paraId="5DEF8BB2" w14:textId="77777777" w:rsidR="005D35A9" w:rsidRPr="00521370" w:rsidRDefault="005D35A9" w:rsidP="00521370">
            <w:pPr>
              <w:spacing w:after="60"/>
              <w:jc w:val="right"/>
              <w:rPr>
                <w:sz w:val="18"/>
                <w:lang w:val="en-CA"/>
              </w:rPr>
            </w:pPr>
            <w:r>
              <w:rPr>
                <w:sz w:val="18"/>
                <w:lang w:val="en-CA"/>
              </w:rPr>
              <w:t>130,409</w:t>
            </w:r>
          </w:p>
        </w:tc>
        <w:tc>
          <w:tcPr>
            <w:tcW w:w="2155" w:type="dxa"/>
            <w:shd w:val="clear" w:color="auto" w:fill="auto"/>
          </w:tcPr>
          <w:p w14:paraId="49CF0700" w14:textId="77777777" w:rsidR="005D35A9" w:rsidRPr="00521370" w:rsidRDefault="005D35A9" w:rsidP="00521370">
            <w:pPr>
              <w:spacing w:after="60"/>
              <w:jc w:val="right"/>
              <w:rPr>
                <w:sz w:val="18"/>
                <w:lang w:val="en-CA"/>
              </w:rPr>
            </w:pPr>
            <w:r>
              <w:rPr>
                <w:sz w:val="18"/>
                <w:lang w:val="en-CA"/>
              </w:rPr>
              <w:t>130,409</w:t>
            </w:r>
          </w:p>
        </w:tc>
      </w:tr>
    </w:tbl>
    <w:p w14:paraId="5E2F61F9" w14:textId="77777777" w:rsidR="00521370" w:rsidRDefault="00521370" w:rsidP="00521370">
      <w:pPr>
        <w:spacing w:after="60"/>
        <w:jc w:val="center"/>
        <w:rPr>
          <w:lang w:val="en-CA"/>
        </w:rPr>
      </w:pPr>
    </w:p>
    <w:tbl>
      <w:tblPr>
        <w:tblStyle w:val="TableGrid"/>
        <w:tblW w:w="10013"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66"/>
        <w:gridCol w:w="1075"/>
        <w:gridCol w:w="823"/>
        <w:gridCol w:w="778"/>
        <w:gridCol w:w="778"/>
        <w:gridCol w:w="778"/>
        <w:gridCol w:w="598"/>
        <w:gridCol w:w="778"/>
        <w:gridCol w:w="598"/>
        <w:gridCol w:w="771"/>
        <w:gridCol w:w="771"/>
        <w:gridCol w:w="598"/>
        <w:gridCol w:w="901"/>
      </w:tblGrid>
      <w:tr w:rsidR="00D86455" w:rsidRPr="00363740" w14:paraId="3F051BA0" w14:textId="77777777" w:rsidTr="00D86455">
        <w:trPr>
          <w:trHeight w:val="262"/>
        </w:trPr>
        <w:tc>
          <w:tcPr>
            <w:tcW w:w="2664" w:type="dxa"/>
            <w:gridSpan w:val="3"/>
            <w:shd w:val="clear" w:color="auto" w:fill="auto"/>
            <w:tcMar>
              <w:left w:w="57" w:type="dxa"/>
              <w:right w:w="57" w:type="dxa"/>
            </w:tcMar>
          </w:tcPr>
          <w:p w14:paraId="5ACE632C" w14:textId="77777777" w:rsidR="00D86455" w:rsidRPr="00363740" w:rsidRDefault="00D86455" w:rsidP="00BE419F">
            <w:pPr>
              <w:spacing w:after="60"/>
              <w:jc w:val="left"/>
              <w:rPr>
                <w:b/>
                <w:sz w:val="18"/>
                <w:lang w:val="en-CA"/>
              </w:rPr>
            </w:pPr>
            <w:r w:rsidRPr="00363740">
              <w:rPr>
                <w:b/>
                <w:sz w:val="18"/>
                <w:lang w:val="en-CA"/>
              </w:rPr>
              <w:t>(VI) PROJECT DATA</w:t>
            </w:r>
          </w:p>
        </w:tc>
        <w:tc>
          <w:tcPr>
            <w:tcW w:w="778" w:type="dxa"/>
            <w:shd w:val="clear" w:color="auto" w:fill="auto"/>
            <w:tcMar>
              <w:left w:w="57" w:type="dxa"/>
              <w:right w:w="57" w:type="dxa"/>
            </w:tcMar>
          </w:tcPr>
          <w:p w14:paraId="3ABF8765" w14:textId="77777777" w:rsidR="00D86455" w:rsidRPr="00363740" w:rsidRDefault="00D86455" w:rsidP="00BE419F">
            <w:pPr>
              <w:spacing w:after="60"/>
              <w:jc w:val="center"/>
              <w:rPr>
                <w:b/>
                <w:sz w:val="18"/>
                <w:lang w:val="en-CA"/>
              </w:rPr>
            </w:pPr>
            <w:r w:rsidRPr="00363740">
              <w:rPr>
                <w:b/>
                <w:sz w:val="18"/>
                <w:lang w:val="en-CA"/>
              </w:rPr>
              <w:t>2010</w:t>
            </w:r>
          </w:p>
        </w:tc>
        <w:tc>
          <w:tcPr>
            <w:tcW w:w="778" w:type="dxa"/>
            <w:shd w:val="clear" w:color="auto" w:fill="auto"/>
            <w:tcMar>
              <w:left w:w="57" w:type="dxa"/>
              <w:right w:w="57" w:type="dxa"/>
            </w:tcMar>
          </w:tcPr>
          <w:p w14:paraId="60BA038F" w14:textId="77777777" w:rsidR="00D86455" w:rsidRPr="00363740" w:rsidRDefault="00D86455" w:rsidP="00BE419F">
            <w:pPr>
              <w:spacing w:after="60"/>
              <w:jc w:val="center"/>
              <w:rPr>
                <w:b/>
                <w:sz w:val="18"/>
                <w:lang w:val="en-CA"/>
              </w:rPr>
            </w:pPr>
            <w:r w:rsidRPr="00363740">
              <w:rPr>
                <w:b/>
                <w:sz w:val="18"/>
                <w:lang w:val="en-CA"/>
              </w:rPr>
              <w:t>2012</w:t>
            </w:r>
          </w:p>
        </w:tc>
        <w:tc>
          <w:tcPr>
            <w:tcW w:w="778" w:type="dxa"/>
            <w:shd w:val="clear" w:color="auto" w:fill="auto"/>
            <w:tcMar>
              <w:left w:w="57" w:type="dxa"/>
              <w:right w:w="57" w:type="dxa"/>
            </w:tcMar>
          </w:tcPr>
          <w:p w14:paraId="5B2764EE" w14:textId="77777777" w:rsidR="00D86455" w:rsidRPr="00363740" w:rsidRDefault="00D86455" w:rsidP="00BE419F">
            <w:pPr>
              <w:spacing w:after="60"/>
              <w:jc w:val="center"/>
              <w:rPr>
                <w:b/>
                <w:sz w:val="18"/>
                <w:lang w:val="en-CA"/>
              </w:rPr>
            </w:pPr>
            <w:r w:rsidRPr="00363740">
              <w:rPr>
                <w:b/>
                <w:sz w:val="18"/>
                <w:lang w:val="en-CA"/>
              </w:rPr>
              <w:t>2014</w:t>
            </w:r>
          </w:p>
        </w:tc>
        <w:tc>
          <w:tcPr>
            <w:tcW w:w="598" w:type="dxa"/>
            <w:shd w:val="clear" w:color="auto" w:fill="auto"/>
            <w:tcMar>
              <w:left w:w="57" w:type="dxa"/>
              <w:right w:w="57" w:type="dxa"/>
            </w:tcMar>
          </w:tcPr>
          <w:p w14:paraId="1157F274" w14:textId="77777777" w:rsidR="00D86455" w:rsidRPr="00363740" w:rsidRDefault="00D86455" w:rsidP="00BE419F">
            <w:pPr>
              <w:spacing w:after="60"/>
              <w:jc w:val="center"/>
              <w:rPr>
                <w:b/>
                <w:sz w:val="18"/>
                <w:lang w:val="en-CA"/>
              </w:rPr>
            </w:pPr>
            <w:r w:rsidRPr="00363740">
              <w:rPr>
                <w:b/>
                <w:sz w:val="18"/>
                <w:lang w:val="en-CA"/>
              </w:rPr>
              <w:t>2015</w:t>
            </w:r>
          </w:p>
        </w:tc>
        <w:tc>
          <w:tcPr>
            <w:tcW w:w="778" w:type="dxa"/>
            <w:shd w:val="clear" w:color="auto" w:fill="auto"/>
            <w:tcMar>
              <w:left w:w="57" w:type="dxa"/>
              <w:right w:w="57" w:type="dxa"/>
            </w:tcMar>
          </w:tcPr>
          <w:p w14:paraId="75FD0682" w14:textId="77777777" w:rsidR="00D86455" w:rsidRPr="00363740" w:rsidRDefault="00D86455" w:rsidP="00BE419F">
            <w:pPr>
              <w:spacing w:after="60"/>
              <w:jc w:val="center"/>
              <w:rPr>
                <w:b/>
                <w:sz w:val="18"/>
                <w:lang w:val="en-CA"/>
              </w:rPr>
            </w:pPr>
            <w:r w:rsidRPr="00363740">
              <w:rPr>
                <w:b/>
                <w:sz w:val="18"/>
                <w:lang w:val="en-CA"/>
              </w:rPr>
              <w:t>2016</w:t>
            </w:r>
          </w:p>
        </w:tc>
        <w:tc>
          <w:tcPr>
            <w:tcW w:w="598" w:type="dxa"/>
            <w:shd w:val="clear" w:color="auto" w:fill="auto"/>
            <w:tcMar>
              <w:left w:w="57" w:type="dxa"/>
              <w:right w:w="57" w:type="dxa"/>
            </w:tcMar>
          </w:tcPr>
          <w:p w14:paraId="06EF962D" w14:textId="77777777" w:rsidR="00D86455" w:rsidRPr="00363740" w:rsidRDefault="00D86455" w:rsidP="00BE419F">
            <w:pPr>
              <w:spacing w:after="60"/>
              <w:jc w:val="center"/>
              <w:rPr>
                <w:b/>
                <w:sz w:val="18"/>
                <w:lang w:val="en-CA"/>
              </w:rPr>
            </w:pPr>
            <w:r w:rsidRPr="00363740">
              <w:rPr>
                <w:b/>
                <w:sz w:val="18"/>
                <w:lang w:val="en-CA"/>
              </w:rPr>
              <w:t>2017</w:t>
            </w:r>
          </w:p>
        </w:tc>
        <w:tc>
          <w:tcPr>
            <w:tcW w:w="771" w:type="dxa"/>
            <w:shd w:val="clear" w:color="auto" w:fill="auto"/>
            <w:tcMar>
              <w:left w:w="57" w:type="dxa"/>
              <w:right w:w="57" w:type="dxa"/>
            </w:tcMar>
          </w:tcPr>
          <w:p w14:paraId="3060F405" w14:textId="77777777" w:rsidR="00D86455" w:rsidRPr="00363740" w:rsidRDefault="00D86455" w:rsidP="00BE419F">
            <w:pPr>
              <w:spacing w:after="60"/>
              <w:jc w:val="center"/>
              <w:rPr>
                <w:b/>
                <w:sz w:val="18"/>
                <w:lang w:val="en-CA"/>
              </w:rPr>
            </w:pPr>
            <w:r w:rsidRPr="00363740">
              <w:rPr>
                <w:b/>
                <w:sz w:val="18"/>
                <w:lang w:val="en-CA"/>
              </w:rPr>
              <w:t>2018</w:t>
            </w:r>
          </w:p>
        </w:tc>
        <w:tc>
          <w:tcPr>
            <w:tcW w:w="771" w:type="dxa"/>
            <w:shd w:val="clear" w:color="auto" w:fill="auto"/>
            <w:tcMar>
              <w:left w:w="57" w:type="dxa"/>
              <w:right w:w="57" w:type="dxa"/>
            </w:tcMar>
          </w:tcPr>
          <w:p w14:paraId="127E3C16" w14:textId="77777777" w:rsidR="00D86455" w:rsidRPr="00363740" w:rsidRDefault="00D86455" w:rsidP="00BE419F">
            <w:pPr>
              <w:spacing w:after="60"/>
              <w:jc w:val="center"/>
              <w:rPr>
                <w:b/>
                <w:sz w:val="18"/>
                <w:lang w:val="en-CA"/>
              </w:rPr>
            </w:pPr>
            <w:r w:rsidRPr="00363740">
              <w:rPr>
                <w:b/>
                <w:sz w:val="18"/>
                <w:lang w:val="en-CA"/>
              </w:rPr>
              <w:t>2019</w:t>
            </w:r>
          </w:p>
        </w:tc>
        <w:tc>
          <w:tcPr>
            <w:tcW w:w="598" w:type="dxa"/>
            <w:shd w:val="clear" w:color="auto" w:fill="auto"/>
            <w:tcMar>
              <w:left w:w="57" w:type="dxa"/>
              <w:right w:w="57" w:type="dxa"/>
            </w:tcMar>
          </w:tcPr>
          <w:p w14:paraId="0FD3CA6C" w14:textId="77777777" w:rsidR="00D86455" w:rsidRPr="00363740" w:rsidRDefault="00D86455" w:rsidP="00BE419F">
            <w:pPr>
              <w:spacing w:after="60"/>
              <w:jc w:val="center"/>
              <w:rPr>
                <w:b/>
                <w:sz w:val="18"/>
                <w:lang w:val="en-CA"/>
              </w:rPr>
            </w:pPr>
            <w:r w:rsidRPr="00363740">
              <w:rPr>
                <w:b/>
                <w:bCs/>
                <w:color w:val="000000"/>
                <w:sz w:val="18"/>
                <w:szCs w:val="18"/>
                <w:lang w:val="en-CA"/>
              </w:rPr>
              <w:t>2020</w:t>
            </w:r>
          </w:p>
        </w:tc>
        <w:tc>
          <w:tcPr>
            <w:tcW w:w="901" w:type="dxa"/>
            <w:tcMar>
              <w:left w:w="57" w:type="dxa"/>
              <w:right w:w="57" w:type="dxa"/>
            </w:tcMar>
          </w:tcPr>
          <w:p w14:paraId="4B094E13" w14:textId="77777777" w:rsidR="00D86455" w:rsidRPr="00363740" w:rsidRDefault="00D86455" w:rsidP="00BE419F">
            <w:pPr>
              <w:spacing w:after="60"/>
              <w:jc w:val="center"/>
              <w:rPr>
                <w:b/>
                <w:sz w:val="18"/>
                <w:lang w:val="en-CA"/>
              </w:rPr>
            </w:pPr>
            <w:r w:rsidRPr="00363740">
              <w:rPr>
                <w:b/>
                <w:sz w:val="18"/>
                <w:lang w:val="en-CA"/>
              </w:rPr>
              <w:t>Total</w:t>
            </w:r>
          </w:p>
        </w:tc>
      </w:tr>
      <w:tr w:rsidR="00D86455" w:rsidRPr="00363740" w14:paraId="29A46D89" w14:textId="77777777" w:rsidTr="00D86455">
        <w:trPr>
          <w:trHeight w:val="460"/>
        </w:trPr>
        <w:tc>
          <w:tcPr>
            <w:tcW w:w="2664" w:type="dxa"/>
            <w:gridSpan w:val="3"/>
            <w:shd w:val="clear" w:color="auto" w:fill="auto"/>
            <w:tcMar>
              <w:left w:w="57" w:type="dxa"/>
              <w:right w:w="57" w:type="dxa"/>
            </w:tcMar>
          </w:tcPr>
          <w:p w14:paraId="4201921B" w14:textId="77777777" w:rsidR="00D86455" w:rsidRPr="00363740" w:rsidRDefault="00D86455" w:rsidP="00BE419F">
            <w:pPr>
              <w:spacing w:after="60"/>
              <w:jc w:val="left"/>
              <w:rPr>
                <w:sz w:val="18"/>
                <w:lang w:val="en-CA"/>
              </w:rPr>
            </w:pPr>
            <w:r w:rsidRPr="00363740">
              <w:rPr>
                <w:sz w:val="18"/>
                <w:lang w:val="en-CA"/>
              </w:rPr>
              <w:t>Montreal Protocol consumption limits</w:t>
            </w:r>
          </w:p>
        </w:tc>
        <w:tc>
          <w:tcPr>
            <w:tcW w:w="778" w:type="dxa"/>
            <w:shd w:val="clear" w:color="auto" w:fill="auto"/>
            <w:tcMar>
              <w:left w:w="57" w:type="dxa"/>
              <w:right w:w="57" w:type="dxa"/>
            </w:tcMar>
          </w:tcPr>
          <w:p w14:paraId="514EEC80" w14:textId="77777777" w:rsidR="00D86455" w:rsidRPr="00363740" w:rsidRDefault="00D86455" w:rsidP="00BE419F">
            <w:pPr>
              <w:spacing w:after="60"/>
              <w:jc w:val="center"/>
              <w:rPr>
                <w:sz w:val="18"/>
                <w:lang w:val="en-CA"/>
              </w:rPr>
            </w:pPr>
            <w:r w:rsidRPr="00363740">
              <w:rPr>
                <w:sz w:val="18"/>
                <w:lang w:val="en-CA"/>
              </w:rPr>
              <w:t>n/a</w:t>
            </w:r>
          </w:p>
        </w:tc>
        <w:tc>
          <w:tcPr>
            <w:tcW w:w="778" w:type="dxa"/>
            <w:shd w:val="clear" w:color="auto" w:fill="auto"/>
            <w:tcMar>
              <w:left w:w="57" w:type="dxa"/>
              <w:right w:w="57" w:type="dxa"/>
            </w:tcMar>
          </w:tcPr>
          <w:p w14:paraId="5BD3CA68" w14:textId="77777777" w:rsidR="00D86455" w:rsidRPr="00363740" w:rsidRDefault="00D86455" w:rsidP="00BE419F">
            <w:pPr>
              <w:spacing w:after="60"/>
              <w:jc w:val="center"/>
              <w:rPr>
                <w:sz w:val="18"/>
                <w:lang w:val="en-CA"/>
              </w:rPr>
            </w:pPr>
            <w:r w:rsidRPr="00363740">
              <w:rPr>
                <w:sz w:val="18"/>
                <w:lang w:val="en-CA"/>
              </w:rPr>
              <w:t>n/a</w:t>
            </w:r>
          </w:p>
        </w:tc>
        <w:tc>
          <w:tcPr>
            <w:tcW w:w="778" w:type="dxa"/>
            <w:shd w:val="clear" w:color="auto" w:fill="auto"/>
            <w:tcMar>
              <w:left w:w="57" w:type="dxa"/>
              <w:right w:w="57" w:type="dxa"/>
            </w:tcMar>
          </w:tcPr>
          <w:p w14:paraId="6708E4CD" w14:textId="77777777" w:rsidR="00D86455" w:rsidRPr="00363740" w:rsidRDefault="00D86455" w:rsidP="00BE419F">
            <w:pPr>
              <w:spacing w:after="60"/>
              <w:jc w:val="right"/>
              <w:rPr>
                <w:sz w:val="18"/>
                <w:lang w:val="en-CA"/>
              </w:rPr>
            </w:pPr>
            <w:r w:rsidRPr="00363740">
              <w:rPr>
                <w:sz w:val="18"/>
                <w:lang w:val="en-CA"/>
              </w:rPr>
              <w:t>57.30</w:t>
            </w:r>
          </w:p>
        </w:tc>
        <w:tc>
          <w:tcPr>
            <w:tcW w:w="598" w:type="dxa"/>
            <w:shd w:val="clear" w:color="auto" w:fill="auto"/>
            <w:tcMar>
              <w:left w:w="57" w:type="dxa"/>
              <w:right w:w="57" w:type="dxa"/>
            </w:tcMar>
          </w:tcPr>
          <w:p w14:paraId="5B3E7153" w14:textId="77777777" w:rsidR="00D86455" w:rsidRPr="00363740" w:rsidRDefault="00D86455" w:rsidP="00BE419F">
            <w:pPr>
              <w:spacing w:after="60"/>
              <w:jc w:val="right"/>
              <w:rPr>
                <w:sz w:val="18"/>
                <w:lang w:val="en-CA"/>
              </w:rPr>
            </w:pPr>
            <w:r w:rsidRPr="00363740">
              <w:rPr>
                <w:sz w:val="18"/>
                <w:lang w:val="en-CA"/>
              </w:rPr>
              <w:t>51.57</w:t>
            </w:r>
          </w:p>
        </w:tc>
        <w:tc>
          <w:tcPr>
            <w:tcW w:w="778" w:type="dxa"/>
            <w:shd w:val="clear" w:color="auto" w:fill="auto"/>
            <w:tcMar>
              <w:left w:w="57" w:type="dxa"/>
              <w:right w:w="57" w:type="dxa"/>
            </w:tcMar>
          </w:tcPr>
          <w:p w14:paraId="058E69BA" w14:textId="77777777" w:rsidR="00D86455" w:rsidRPr="00363740" w:rsidRDefault="00D86455" w:rsidP="00BE419F">
            <w:pPr>
              <w:spacing w:after="60"/>
              <w:jc w:val="right"/>
              <w:rPr>
                <w:sz w:val="18"/>
                <w:lang w:val="en-CA"/>
              </w:rPr>
            </w:pPr>
            <w:r w:rsidRPr="00363740">
              <w:rPr>
                <w:sz w:val="18"/>
                <w:lang w:val="en-CA"/>
              </w:rPr>
              <w:t>51.57</w:t>
            </w:r>
          </w:p>
        </w:tc>
        <w:tc>
          <w:tcPr>
            <w:tcW w:w="598" w:type="dxa"/>
            <w:shd w:val="clear" w:color="auto" w:fill="auto"/>
            <w:tcMar>
              <w:left w:w="57" w:type="dxa"/>
              <w:right w:w="57" w:type="dxa"/>
            </w:tcMar>
          </w:tcPr>
          <w:p w14:paraId="437ABF9D" w14:textId="77777777" w:rsidR="00D86455" w:rsidRPr="00363740" w:rsidRDefault="00D86455" w:rsidP="00BE419F">
            <w:pPr>
              <w:spacing w:after="60"/>
              <w:jc w:val="right"/>
              <w:rPr>
                <w:sz w:val="18"/>
                <w:lang w:val="en-CA"/>
              </w:rPr>
            </w:pPr>
            <w:r w:rsidRPr="00363740">
              <w:rPr>
                <w:sz w:val="18"/>
                <w:lang w:val="en-CA"/>
              </w:rPr>
              <w:t>51.57</w:t>
            </w:r>
          </w:p>
        </w:tc>
        <w:tc>
          <w:tcPr>
            <w:tcW w:w="771" w:type="dxa"/>
            <w:shd w:val="clear" w:color="auto" w:fill="auto"/>
            <w:tcMar>
              <w:left w:w="57" w:type="dxa"/>
              <w:right w:w="57" w:type="dxa"/>
            </w:tcMar>
          </w:tcPr>
          <w:p w14:paraId="5715C8F8" w14:textId="77777777" w:rsidR="00D86455" w:rsidRPr="00363740" w:rsidRDefault="00D86455" w:rsidP="00BE419F">
            <w:pPr>
              <w:spacing w:after="60"/>
              <w:jc w:val="right"/>
              <w:rPr>
                <w:sz w:val="18"/>
                <w:lang w:val="en-CA"/>
              </w:rPr>
            </w:pPr>
            <w:r w:rsidRPr="00363740">
              <w:rPr>
                <w:sz w:val="18"/>
                <w:lang w:val="en-CA"/>
              </w:rPr>
              <w:t>51.57</w:t>
            </w:r>
          </w:p>
        </w:tc>
        <w:tc>
          <w:tcPr>
            <w:tcW w:w="771" w:type="dxa"/>
            <w:shd w:val="clear" w:color="auto" w:fill="auto"/>
            <w:tcMar>
              <w:left w:w="57" w:type="dxa"/>
              <w:right w:w="57" w:type="dxa"/>
            </w:tcMar>
          </w:tcPr>
          <w:p w14:paraId="79CBB140" w14:textId="77777777" w:rsidR="00D86455" w:rsidRPr="00363740" w:rsidRDefault="00D86455" w:rsidP="00BE419F">
            <w:pPr>
              <w:spacing w:after="60"/>
              <w:jc w:val="right"/>
              <w:rPr>
                <w:sz w:val="18"/>
                <w:lang w:val="en-CA"/>
              </w:rPr>
            </w:pPr>
            <w:r w:rsidRPr="00363740">
              <w:rPr>
                <w:sz w:val="18"/>
                <w:lang w:val="en-CA"/>
              </w:rPr>
              <w:t>51.57</w:t>
            </w:r>
          </w:p>
        </w:tc>
        <w:tc>
          <w:tcPr>
            <w:tcW w:w="598" w:type="dxa"/>
            <w:shd w:val="clear" w:color="auto" w:fill="auto"/>
            <w:tcMar>
              <w:left w:w="57" w:type="dxa"/>
              <w:right w:w="57" w:type="dxa"/>
            </w:tcMar>
          </w:tcPr>
          <w:p w14:paraId="165BD851" w14:textId="77777777" w:rsidR="00D86455" w:rsidRPr="00363740" w:rsidRDefault="00D86455" w:rsidP="00BE419F">
            <w:pPr>
              <w:spacing w:after="60"/>
              <w:jc w:val="center"/>
              <w:rPr>
                <w:sz w:val="18"/>
                <w:lang w:val="en-CA"/>
              </w:rPr>
            </w:pPr>
            <w:r w:rsidRPr="00363740">
              <w:rPr>
                <w:color w:val="000000"/>
                <w:sz w:val="18"/>
                <w:szCs w:val="18"/>
                <w:lang w:val="en-CA"/>
              </w:rPr>
              <w:t>37.25</w:t>
            </w:r>
          </w:p>
        </w:tc>
        <w:tc>
          <w:tcPr>
            <w:tcW w:w="901" w:type="dxa"/>
            <w:tcMar>
              <w:left w:w="57" w:type="dxa"/>
              <w:right w:w="57" w:type="dxa"/>
            </w:tcMar>
          </w:tcPr>
          <w:p w14:paraId="5C865CD6" w14:textId="77777777" w:rsidR="00D86455" w:rsidRPr="00363740" w:rsidRDefault="00D86455" w:rsidP="00BE419F">
            <w:pPr>
              <w:spacing w:after="60"/>
              <w:jc w:val="center"/>
              <w:rPr>
                <w:sz w:val="18"/>
                <w:lang w:val="en-CA"/>
              </w:rPr>
            </w:pPr>
            <w:r w:rsidRPr="00363740">
              <w:rPr>
                <w:sz w:val="18"/>
                <w:lang w:val="en-CA"/>
              </w:rPr>
              <w:t>n/a</w:t>
            </w:r>
          </w:p>
        </w:tc>
      </w:tr>
      <w:tr w:rsidR="00D86455" w:rsidRPr="00363740" w14:paraId="31EF252B" w14:textId="77777777" w:rsidTr="00D86455">
        <w:trPr>
          <w:trHeight w:val="467"/>
        </w:trPr>
        <w:tc>
          <w:tcPr>
            <w:tcW w:w="2664" w:type="dxa"/>
            <w:gridSpan w:val="3"/>
            <w:shd w:val="clear" w:color="auto" w:fill="auto"/>
            <w:tcMar>
              <w:left w:w="57" w:type="dxa"/>
              <w:right w:w="57" w:type="dxa"/>
            </w:tcMar>
          </w:tcPr>
          <w:p w14:paraId="240AFAE9" w14:textId="77777777" w:rsidR="00D86455" w:rsidRPr="00363740" w:rsidRDefault="00D86455" w:rsidP="00BE419F">
            <w:pPr>
              <w:spacing w:after="60"/>
              <w:jc w:val="left"/>
              <w:rPr>
                <w:sz w:val="18"/>
                <w:lang w:val="en-CA"/>
              </w:rPr>
            </w:pPr>
            <w:r w:rsidRPr="00363740">
              <w:rPr>
                <w:sz w:val="18"/>
                <w:lang w:val="en-CA"/>
              </w:rPr>
              <w:t>Maximum allowable consumption (ODP tonnes)</w:t>
            </w:r>
          </w:p>
        </w:tc>
        <w:tc>
          <w:tcPr>
            <w:tcW w:w="778" w:type="dxa"/>
            <w:shd w:val="clear" w:color="auto" w:fill="auto"/>
            <w:tcMar>
              <w:left w:w="57" w:type="dxa"/>
              <w:right w:w="57" w:type="dxa"/>
            </w:tcMar>
          </w:tcPr>
          <w:p w14:paraId="544883D3" w14:textId="77777777" w:rsidR="00D86455" w:rsidRPr="00363740" w:rsidRDefault="00D86455" w:rsidP="00BE419F">
            <w:pPr>
              <w:spacing w:after="60"/>
              <w:jc w:val="center"/>
              <w:rPr>
                <w:sz w:val="18"/>
                <w:lang w:val="en-CA"/>
              </w:rPr>
            </w:pPr>
            <w:r w:rsidRPr="00363740">
              <w:rPr>
                <w:sz w:val="18"/>
                <w:lang w:val="en-CA"/>
              </w:rPr>
              <w:t>n/a</w:t>
            </w:r>
          </w:p>
        </w:tc>
        <w:tc>
          <w:tcPr>
            <w:tcW w:w="778" w:type="dxa"/>
            <w:shd w:val="clear" w:color="auto" w:fill="auto"/>
            <w:tcMar>
              <w:left w:w="57" w:type="dxa"/>
              <w:right w:w="57" w:type="dxa"/>
            </w:tcMar>
          </w:tcPr>
          <w:p w14:paraId="7CF624EB" w14:textId="77777777" w:rsidR="00D86455" w:rsidRPr="00363740" w:rsidRDefault="00D86455" w:rsidP="00BE419F">
            <w:pPr>
              <w:spacing w:after="60"/>
              <w:jc w:val="center"/>
              <w:rPr>
                <w:sz w:val="18"/>
                <w:lang w:val="en-CA"/>
              </w:rPr>
            </w:pPr>
            <w:r w:rsidRPr="00363740">
              <w:rPr>
                <w:sz w:val="18"/>
                <w:lang w:val="en-CA"/>
              </w:rPr>
              <w:t>n/a</w:t>
            </w:r>
          </w:p>
        </w:tc>
        <w:tc>
          <w:tcPr>
            <w:tcW w:w="778" w:type="dxa"/>
            <w:shd w:val="clear" w:color="auto" w:fill="auto"/>
            <w:tcMar>
              <w:left w:w="57" w:type="dxa"/>
              <w:right w:w="57" w:type="dxa"/>
            </w:tcMar>
          </w:tcPr>
          <w:p w14:paraId="09F34176" w14:textId="77777777" w:rsidR="00D86455" w:rsidRPr="00363740" w:rsidRDefault="00D86455" w:rsidP="00BE419F">
            <w:pPr>
              <w:spacing w:after="60"/>
              <w:jc w:val="right"/>
              <w:rPr>
                <w:sz w:val="18"/>
                <w:lang w:val="en-CA"/>
              </w:rPr>
            </w:pPr>
            <w:r w:rsidRPr="00363740">
              <w:rPr>
                <w:sz w:val="18"/>
                <w:lang w:val="en-CA"/>
              </w:rPr>
              <w:t>57.30</w:t>
            </w:r>
          </w:p>
        </w:tc>
        <w:tc>
          <w:tcPr>
            <w:tcW w:w="598" w:type="dxa"/>
            <w:shd w:val="clear" w:color="auto" w:fill="auto"/>
            <w:tcMar>
              <w:left w:w="57" w:type="dxa"/>
              <w:right w:w="57" w:type="dxa"/>
            </w:tcMar>
          </w:tcPr>
          <w:p w14:paraId="54230988" w14:textId="77777777" w:rsidR="00D86455" w:rsidRPr="00363740" w:rsidRDefault="00D86455" w:rsidP="00BE419F">
            <w:pPr>
              <w:spacing w:after="60"/>
              <w:jc w:val="right"/>
              <w:rPr>
                <w:sz w:val="18"/>
                <w:lang w:val="en-CA"/>
              </w:rPr>
            </w:pPr>
            <w:r w:rsidRPr="00363740">
              <w:rPr>
                <w:sz w:val="18"/>
                <w:lang w:val="en-CA"/>
              </w:rPr>
              <w:t>51.57</w:t>
            </w:r>
          </w:p>
        </w:tc>
        <w:tc>
          <w:tcPr>
            <w:tcW w:w="778" w:type="dxa"/>
            <w:shd w:val="clear" w:color="auto" w:fill="auto"/>
            <w:tcMar>
              <w:left w:w="57" w:type="dxa"/>
              <w:right w:w="57" w:type="dxa"/>
            </w:tcMar>
          </w:tcPr>
          <w:p w14:paraId="5F31930D" w14:textId="77777777" w:rsidR="00D86455" w:rsidRPr="00363740" w:rsidRDefault="00D86455" w:rsidP="00BE419F">
            <w:pPr>
              <w:spacing w:after="60"/>
              <w:jc w:val="right"/>
              <w:rPr>
                <w:sz w:val="18"/>
                <w:lang w:val="en-CA"/>
              </w:rPr>
            </w:pPr>
            <w:r w:rsidRPr="00363740">
              <w:rPr>
                <w:sz w:val="18"/>
                <w:lang w:val="en-CA"/>
              </w:rPr>
              <w:t>51.57</w:t>
            </w:r>
          </w:p>
        </w:tc>
        <w:tc>
          <w:tcPr>
            <w:tcW w:w="598" w:type="dxa"/>
            <w:shd w:val="clear" w:color="auto" w:fill="auto"/>
            <w:tcMar>
              <w:left w:w="57" w:type="dxa"/>
              <w:right w:w="57" w:type="dxa"/>
            </w:tcMar>
          </w:tcPr>
          <w:p w14:paraId="0BE3421A" w14:textId="77777777" w:rsidR="00D86455" w:rsidRPr="00363740" w:rsidRDefault="00D86455" w:rsidP="00BE419F">
            <w:pPr>
              <w:spacing w:after="60"/>
              <w:jc w:val="right"/>
              <w:rPr>
                <w:sz w:val="18"/>
                <w:lang w:val="en-CA"/>
              </w:rPr>
            </w:pPr>
            <w:r w:rsidRPr="00363740">
              <w:rPr>
                <w:sz w:val="18"/>
                <w:lang w:val="en-CA"/>
              </w:rPr>
              <w:t>51.57</w:t>
            </w:r>
          </w:p>
        </w:tc>
        <w:tc>
          <w:tcPr>
            <w:tcW w:w="771" w:type="dxa"/>
            <w:shd w:val="clear" w:color="auto" w:fill="auto"/>
            <w:tcMar>
              <w:left w:w="57" w:type="dxa"/>
              <w:right w:w="57" w:type="dxa"/>
            </w:tcMar>
          </w:tcPr>
          <w:p w14:paraId="286B93E6" w14:textId="77777777" w:rsidR="00D86455" w:rsidRPr="00363740" w:rsidRDefault="00D86455" w:rsidP="00BE419F">
            <w:pPr>
              <w:spacing w:after="60"/>
              <w:jc w:val="right"/>
              <w:rPr>
                <w:sz w:val="18"/>
                <w:lang w:val="en-CA"/>
              </w:rPr>
            </w:pPr>
            <w:r w:rsidRPr="00363740">
              <w:rPr>
                <w:sz w:val="18"/>
                <w:lang w:val="en-CA"/>
              </w:rPr>
              <w:t>51.57</w:t>
            </w:r>
          </w:p>
        </w:tc>
        <w:tc>
          <w:tcPr>
            <w:tcW w:w="771" w:type="dxa"/>
            <w:shd w:val="clear" w:color="auto" w:fill="auto"/>
            <w:tcMar>
              <w:left w:w="57" w:type="dxa"/>
              <w:right w:w="57" w:type="dxa"/>
            </w:tcMar>
          </w:tcPr>
          <w:p w14:paraId="421597BA" w14:textId="77777777" w:rsidR="00D86455" w:rsidRPr="00363740" w:rsidRDefault="00D86455" w:rsidP="00BE419F">
            <w:pPr>
              <w:spacing w:after="60"/>
              <w:jc w:val="right"/>
              <w:rPr>
                <w:sz w:val="18"/>
                <w:lang w:val="en-CA"/>
              </w:rPr>
            </w:pPr>
            <w:r w:rsidRPr="00363740">
              <w:rPr>
                <w:sz w:val="18"/>
                <w:lang w:val="en-CA"/>
              </w:rPr>
              <w:t>51.57</w:t>
            </w:r>
          </w:p>
        </w:tc>
        <w:tc>
          <w:tcPr>
            <w:tcW w:w="598" w:type="dxa"/>
            <w:shd w:val="clear" w:color="auto" w:fill="auto"/>
            <w:tcMar>
              <w:left w:w="57" w:type="dxa"/>
              <w:right w:w="57" w:type="dxa"/>
            </w:tcMar>
          </w:tcPr>
          <w:p w14:paraId="516A84C0" w14:textId="77777777" w:rsidR="00D86455" w:rsidRPr="00363740" w:rsidRDefault="00D86455" w:rsidP="00BE419F">
            <w:pPr>
              <w:spacing w:after="60"/>
              <w:rPr>
                <w:sz w:val="18"/>
                <w:lang w:val="en-CA"/>
              </w:rPr>
            </w:pPr>
            <w:r w:rsidRPr="00363740">
              <w:rPr>
                <w:color w:val="000000"/>
                <w:sz w:val="18"/>
                <w:szCs w:val="18"/>
                <w:lang w:val="en-CA"/>
              </w:rPr>
              <w:t>37.25</w:t>
            </w:r>
          </w:p>
        </w:tc>
        <w:tc>
          <w:tcPr>
            <w:tcW w:w="901" w:type="dxa"/>
            <w:tcMar>
              <w:left w:w="57" w:type="dxa"/>
              <w:right w:w="57" w:type="dxa"/>
            </w:tcMar>
          </w:tcPr>
          <w:p w14:paraId="7E738CD8" w14:textId="77777777" w:rsidR="00D86455" w:rsidRPr="00363740" w:rsidRDefault="00D86455" w:rsidP="00BE419F">
            <w:pPr>
              <w:spacing w:after="60"/>
              <w:jc w:val="center"/>
              <w:rPr>
                <w:sz w:val="18"/>
                <w:lang w:val="en-CA"/>
              </w:rPr>
            </w:pPr>
            <w:r w:rsidRPr="00363740">
              <w:rPr>
                <w:sz w:val="18"/>
                <w:lang w:val="en-CA"/>
              </w:rPr>
              <w:t>n/a</w:t>
            </w:r>
          </w:p>
        </w:tc>
      </w:tr>
      <w:tr w:rsidR="00D86455" w:rsidRPr="00363740" w14:paraId="6857371E" w14:textId="77777777" w:rsidTr="00D86455">
        <w:trPr>
          <w:trHeight w:val="467"/>
        </w:trPr>
        <w:tc>
          <w:tcPr>
            <w:tcW w:w="766" w:type="dxa"/>
            <w:vMerge w:val="restart"/>
            <w:shd w:val="clear" w:color="auto" w:fill="auto"/>
            <w:tcMar>
              <w:left w:w="57" w:type="dxa"/>
              <w:right w:w="57" w:type="dxa"/>
            </w:tcMar>
          </w:tcPr>
          <w:p w14:paraId="3E71AF46" w14:textId="77777777" w:rsidR="00D86455" w:rsidRPr="00363740" w:rsidRDefault="00D86455" w:rsidP="00BE419F">
            <w:pPr>
              <w:spacing w:after="60"/>
              <w:jc w:val="left"/>
              <w:rPr>
                <w:sz w:val="18"/>
                <w:lang w:val="en-CA"/>
              </w:rPr>
            </w:pPr>
            <w:r w:rsidRPr="00363740">
              <w:rPr>
                <w:sz w:val="18"/>
                <w:lang w:val="en-CA"/>
              </w:rPr>
              <w:t>Agreed funding (US $)</w:t>
            </w:r>
          </w:p>
        </w:tc>
        <w:tc>
          <w:tcPr>
            <w:tcW w:w="1074" w:type="dxa"/>
            <w:vMerge w:val="restart"/>
            <w:shd w:val="clear" w:color="auto" w:fill="auto"/>
            <w:tcMar>
              <w:left w:w="57" w:type="dxa"/>
              <w:right w:w="57" w:type="dxa"/>
            </w:tcMar>
          </w:tcPr>
          <w:p w14:paraId="2A5DE34D" w14:textId="77777777" w:rsidR="00D86455" w:rsidRPr="00363740" w:rsidRDefault="00D86455" w:rsidP="00BE419F">
            <w:pPr>
              <w:spacing w:after="60"/>
              <w:jc w:val="center"/>
              <w:rPr>
                <w:sz w:val="18"/>
                <w:lang w:val="en-CA"/>
              </w:rPr>
            </w:pPr>
            <w:r w:rsidRPr="00363740">
              <w:rPr>
                <w:sz w:val="18"/>
                <w:lang w:val="en-CA"/>
              </w:rPr>
              <w:t>UNDP</w:t>
            </w:r>
          </w:p>
        </w:tc>
        <w:tc>
          <w:tcPr>
            <w:tcW w:w="822" w:type="dxa"/>
            <w:shd w:val="clear" w:color="auto" w:fill="auto"/>
            <w:tcMar>
              <w:left w:w="57" w:type="dxa"/>
              <w:right w:w="57" w:type="dxa"/>
            </w:tcMar>
          </w:tcPr>
          <w:p w14:paraId="6EE5D6C3" w14:textId="77777777" w:rsidR="00D86455" w:rsidRPr="00363740" w:rsidRDefault="00D86455" w:rsidP="00BE419F">
            <w:pPr>
              <w:spacing w:after="60"/>
              <w:jc w:val="left"/>
              <w:rPr>
                <w:sz w:val="18"/>
                <w:lang w:val="en-CA"/>
              </w:rPr>
            </w:pPr>
            <w:r w:rsidRPr="00363740">
              <w:rPr>
                <w:sz w:val="18"/>
                <w:lang w:val="en-CA"/>
              </w:rPr>
              <w:t>Project costs</w:t>
            </w:r>
          </w:p>
        </w:tc>
        <w:tc>
          <w:tcPr>
            <w:tcW w:w="778" w:type="dxa"/>
            <w:shd w:val="clear" w:color="auto" w:fill="auto"/>
            <w:tcMar>
              <w:left w:w="57" w:type="dxa"/>
              <w:right w:w="57" w:type="dxa"/>
            </w:tcMar>
          </w:tcPr>
          <w:p w14:paraId="026CF639" w14:textId="77777777" w:rsidR="00D86455" w:rsidRPr="00363740" w:rsidRDefault="00D86455" w:rsidP="00BE419F">
            <w:pPr>
              <w:spacing w:after="60"/>
              <w:jc w:val="right"/>
              <w:rPr>
                <w:sz w:val="18"/>
                <w:lang w:val="en-CA"/>
              </w:rPr>
            </w:pPr>
            <w:r w:rsidRPr="00363740">
              <w:rPr>
                <w:sz w:val="18"/>
                <w:lang w:val="en-CA"/>
              </w:rPr>
              <w:t>200,000</w:t>
            </w:r>
          </w:p>
        </w:tc>
        <w:tc>
          <w:tcPr>
            <w:tcW w:w="778" w:type="dxa"/>
            <w:shd w:val="clear" w:color="auto" w:fill="auto"/>
            <w:tcMar>
              <w:left w:w="57" w:type="dxa"/>
              <w:right w:w="57" w:type="dxa"/>
            </w:tcMar>
          </w:tcPr>
          <w:p w14:paraId="292E9418" w14:textId="77777777" w:rsidR="00D86455" w:rsidRPr="00363740" w:rsidRDefault="00D86455" w:rsidP="00BE419F">
            <w:pPr>
              <w:spacing w:after="60"/>
              <w:jc w:val="right"/>
              <w:rPr>
                <w:sz w:val="18"/>
                <w:lang w:val="en-CA"/>
              </w:rPr>
            </w:pPr>
            <w:r w:rsidRPr="00363740">
              <w:rPr>
                <w:sz w:val="18"/>
                <w:lang w:val="en-CA"/>
              </w:rPr>
              <w:t>200,000</w:t>
            </w:r>
          </w:p>
        </w:tc>
        <w:tc>
          <w:tcPr>
            <w:tcW w:w="778" w:type="dxa"/>
            <w:shd w:val="clear" w:color="auto" w:fill="auto"/>
            <w:tcMar>
              <w:left w:w="57" w:type="dxa"/>
              <w:right w:w="57" w:type="dxa"/>
            </w:tcMar>
          </w:tcPr>
          <w:p w14:paraId="7AF416B6" w14:textId="77777777" w:rsidR="00D86455" w:rsidRPr="00363740" w:rsidRDefault="00D86455" w:rsidP="00BE419F">
            <w:pPr>
              <w:spacing w:after="60"/>
              <w:jc w:val="right"/>
              <w:rPr>
                <w:sz w:val="18"/>
                <w:lang w:val="en-CA"/>
              </w:rPr>
            </w:pPr>
            <w:r w:rsidRPr="00363740">
              <w:rPr>
                <w:sz w:val="18"/>
                <w:lang w:val="en-CA"/>
              </w:rPr>
              <w:t>190,000</w:t>
            </w:r>
          </w:p>
        </w:tc>
        <w:tc>
          <w:tcPr>
            <w:tcW w:w="598" w:type="dxa"/>
            <w:shd w:val="clear" w:color="auto" w:fill="auto"/>
            <w:tcMar>
              <w:left w:w="57" w:type="dxa"/>
              <w:right w:w="57" w:type="dxa"/>
            </w:tcMar>
          </w:tcPr>
          <w:p w14:paraId="01184B97" w14:textId="77777777" w:rsidR="00D86455" w:rsidRPr="00363740" w:rsidRDefault="00D86455" w:rsidP="00BE419F">
            <w:pPr>
              <w:spacing w:after="60"/>
              <w:jc w:val="right"/>
              <w:rPr>
                <w:sz w:val="18"/>
                <w:lang w:val="en-CA"/>
              </w:rPr>
            </w:pPr>
            <w:r w:rsidRPr="00363740">
              <w:rPr>
                <w:sz w:val="18"/>
                <w:lang w:val="en-CA"/>
              </w:rPr>
              <w:t>0</w:t>
            </w:r>
          </w:p>
        </w:tc>
        <w:tc>
          <w:tcPr>
            <w:tcW w:w="778" w:type="dxa"/>
            <w:shd w:val="clear" w:color="auto" w:fill="auto"/>
            <w:tcMar>
              <w:left w:w="57" w:type="dxa"/>
              <w:right w:w="57" w:type="dxa"/>
            </w:tcMar>
          </w:tcPr>
          <w:p w14:paraId="1C18A2EB" w14:textId="77777777" w:rsidR="00D86455" w:rsidRPr="00363740" w:rsidRDefault="00D86455" w:rsidP="00BE419F">
            <w:pPr>
              <w:spacing w:after="60"/>
              <w:jc w:val="right"/>
              <w:rPr>
                <w:sz w:val="18"/>
                <w:lang w:val="en-CA"/>
              </w:rPr>
            </w:pPr>
            <w:r w:rsidRPr="00363740">
              <w:rPr>
                <w:sz w:val="18"/>
                <w:lang w:val="en-CA"/>
              </w:rPr>
              <w:t>195,000</w:t>
            </w:r>
          </w:p>
        </w:tc>
        <w:tc>
          <w:tcPr>
            <w:tcW w:w="598" w:type="dxa"/>
            <w:shd w:val="clear" w:color="auto" w:fill="auto"/>
            <w:tcMar>
              <w:left w:w="57" w:type="dxa"/>
              <w:right w:w="57" w:type="dxa"/>
            </w:tcMar>
          </w:tcPr>
          <w:p w14:paraId="782EDAA6" w14:textId="77777777" w:rsidR="00D86455" w:rsidRPr="00363740" w:rsidRDefault="00D86455" w:rsidP="00BE419F">
            <w:pPr>
              <w:spacing w:after="60"/>
              <w:jc w:val="right"/>
              <w:rPr>
                <w:sz w:val="18"/>
                <w:lang w:val="en-CA"/>
              </w:rPr>
            </w:pPr>
            <w:r w:rsidRPr="00363740">
              <w:rPr>
                <w:sz w:val="18"/>
                <w:lang w:val="en-CA"/>
              </w:rPr>
              <w:t>0</w:t>
            </w:r>
          </w:p>
        </w:tc>
        <w:tc>
          <w:tcPr>
            <w:tcW w:w="771" w:type="dxa"/>
            <w:shd w:val="clear" w:color="auto" w:fill="auto"/>
            <w:tcMar>
              <w:left w:w="57" w:type="dxa"/>
              <w:right w:w="57" w:type="dxa"/>
            </w:tcMar>
          </w:tcPr>
          <w:p w14:paraId="3887105F" w14:textId="77777777" w:rsidR="00D86455" w:rsidRPr="00363740" w:rsidRDefault="00D86455" w:rsidP="00BE419F">
            <w:pPr>
              <w:jc w:val="right"/>
              <w:rPr>
                <w:sz w:val="18"/>
                <w:szCs w:val="18"/>
                <w:lang w:val="en-CA"/>
              </w:rPr>
            </w:pPr>
            <w:r w:rsidRPr="00363740">
              <w:rPr>
                <w:sz w:val="18"/>
                <w:szCs w:val="18"/>
                <w:lang w:val="en-CA"/>
              </w:rPr>
              <w:t xml:space="preserve">125,000 </w:t>
            </w:r>
          </w:p>
        </w:tc>
        <w:tc>
          <w:tcPr>
            <w:tcW w:w="771" w:type="dxa"/>
            <w:shd w:val="clear" w:color="auto" w:fill="auto"/>
            <w:tcMar>
              <w:left w:w="57" w:type="dxa"/>
              <w:right w:w="57" w:type="dxa"/>
            </w:tcMar>
          </w:tcPr>
          <w:p w14:paraId="308BEAB3" w14:textId="77777777" w:rsidR="00D86455" w:rsidRPr="00363740" w:rsidRDefault="00D86455" w:rsidP="00BE419F">
            <w:pPr>
              <w:spacing w:after="60"/>
              <w:jc w:val="right"/>
              <w:rPr>
                <w:sz w:val="18"/>
                <w:lang w:val="en-CA"/>
              </w:rPr>
            </w:pPr>
            <w:r w:rsidRPr="00363740">
              <w:rPr>
                <w:sz w:val="18"/>
                <w:lang w:val="en-CA"/>
              </w:rPr>
              <w:t>121,311</w:t>
            </w:r>
          </w:p>
        </w:tc>
        <w:tc>
          <w:tcPr>
            <w:tcW w:w="598" w:type="dxa"/>
            <w:shd w:val="clear" w:color="auto" w:fill="auto"/>
            <w:tcMar>
              <w:left w:w="57" w:type="dxa"/>
              <w:right w:w="57" w:type="dxa"/>
            </w:tcMar>
          </w:tcPr>
          <w:p w14:paraId="02B794DF" w14:textId="77777777" w:rsidR="00D86455" w:rsidRPr="00363740" w:rsidRDefault="00D86455" w:rsidP="00BE419F">
            <w:pPr>
              <w:spacing w:after="60"/>
              <w:jc w:val="right"/>
              <w:rPr>
                <w:sz w:val="18"/>
                <w:lang w:val="en-CA"/>
              </w:rPr>
            </w:pPr>
            <w:r w:rsidRPr="00363740">
              <w:rPr>
                <w:sz w:val="18"/>
                <w:lang w:val="en-CA"/>
              </w:rPr>
              <w:t>0</w:t>
            </w:r>
          </w:p>
        </w:tc>
        <w:tc>
          <w:tcPr>
            <w:tcW w:w="901" w:type="dxa"/>
            <w:tcMar>
              <w:left w:w="57" w:type="dxa"/>
              <w:right w:w="57" w:type="dxa"/>
            </w:tcMar>
          </w:tcPr>
          <w:p w14:paraId="57D6D932" w14:textId="77777777" w:rsidR="00D86455" w:rsidRPr="00363740" w:rsidRDefault="00D86455" w:rsidP="00BE419F">
            <w:pPr>
              <w:spacing w:after="60"/>
              <w:jc w:val="right"/>
              <w:rPr>
                <w:sz w:val="18"/>
                <w:lang w:val="en-CA"/>
              </w:rPr>
            </w:pPr>
            <w:r w:rsidRPr="00363740">
              <w:rPr>
                <w:sz w:val="18"/>
                <w:lang w:val="en-CA"/>
              </w:rPr>
              <w:t>1,031,311</w:t>
            </w:r>
          </w:p>
        </w:tc>
      </w:tr>
      <w:tr w:rsidR="00D86455" w:rsidRPr="00363740" w14:paraId="083F67EB" w14:textId="77777777" w:rsidTr="00D86455">
        <w:trPr>
          <w:trHeight w:val="467"/>
        </w:trPr>
        <w:tc>
          <w:tcPr>
            <w:tcW w:w="766" w:type="dxa"/>
            <w:vMerge/>
            <w:shd w:val="clear" w:color="auto" w:fill="auto"/>
            <w:tcMar>
              <w:left w:w="57" w:type="dxa"/>
              <w:right w:w="57" w:type="dxa"/>
            </w:tcMar>
          </w:tcPr>
          <w:p w14:paraId="74EA7694" w14:textId="77777777" w:rsidR="00D86455" w:rsidRPr="00363740" w:rsidRDefault="00D86455" w:rsidP="00BE419F">
            <w:pPr>
              <w:spacing w:after="60"/>
              <w:jc w:val="center"/>
              <w:rPr>
                <w:sz w:val="18"/>
                <w:lang w:val="en-CA"/>
              </w:rPr>
            </w:pPr>
          </w:p>
        </w:tc>
        <w:tc>
          <w:tcPr>
            <w:tcW w:w="1074" w:type="dxa"/>
            <w:vMerge/>
            <w:shd w:val="clear" w:color="auto" w:fill="auto"/>
            <w:tcMar>
              <w:left w:w="57" w:type="dxa"/>
              <w:right w:w="57" w:type="dxa"/>
            </w:tcMar>
          </w:tcPr>
          <w:p w14:paraId="61D3EF32" w14:textId="77777777" w:rsidR="00D86455" w:rsidRPr="00363740" w:rsidRDefault="00D86455" w:rsidP="00BE419F">
            <w:pPr>
              <w:spacing w:after="60"/>
              <w:jc w:val="center"/>
              <w:rPr>
                <w:sz w:val="18"/>
                <w:lang w:val="en-CA"/>
              </w:rPr>
            </w:pPr>
          </w:p>
        </w:tc>
        <w:tc>
          <w:tcPr>
            <w:tcW w:w="822" w:type="dxa"/>
            <w:shd w:val="clear" w:color="auto" w:fill="auto"/>
            <w:tcMar>
              <w:left w:w="57" w:type="dxa"/>
              <w:right w:w="57" w:type="dxa"/>
            </w:tcMar>
          </w:tcPr>
          <w:p w14:paraId="1A8C2C81" w14:textId="77777777" w:rsidR="00D86455" w:rsidRPr="00363740" w:rsidRDefault="00D86455" w:rsidP="00BE419F">
            <w:pPr>
              <w:spacing w:after="60"/>
              <w:jc w:val="left"/>
              <w:rPr>
                <w:sz w:val="18"/>
                <w:lang w:val="en-CA"/>
              </w:rPr>
            </w:pPr>
            <w:r w:rsidRPr="00363740">
              <w:rPr>
                <w:sz w:val="18"/>
                <w:lang w:val="en-CA"/>
              </w:rPr>
              <w:t>Support costs</w:t>
            </w:r>
          </w:p>
        </w:tc>
        <w:tc>
          <w:tcPr>
            <w:tcW w:w="778" w:type="dxa"/>
            <w:shd w:val="clear" w:color="auto" w:fill="auto"/>
            <w:tcMar>
              <w:left w:w="57" w:type="dxa"/>
              <w:right w:w="57" w:type="dxa"/>
            </w:tcMar>
          </w:tcPr>
          <w:p w14:paraId="0E941474" w14:textId="77777777" w:rsidR="00D86455" w:rsidRPr="00363740" w:rsidRDefault="00D86455" w:rsidP="00BE419F">
            <w:pPr>
              <w:spacing w:after="60"/>
              <w:jc w:val="right"/>
              <w:rPr>
                <w:sz w:val="18"/>
                <w:lang w:val="en-CA"/>
              </w:rPr>
            </w:pPr>
            <w:r w:rsidRPr="00363740">
              <w:rPr>
                <w:sz w:val="18"/>
                <w:lang w:val="en-CA"/>
              </w:rPr>
              <w:t>15,000</w:t>
            </w:r>
          </w:p>
        </w:tc>
        <w:tc>
          <w:tcPr>
            <w:tcW w:w="778" w:type="dxa"/>
            <w:shd w:val="clear" w:color="auto" w:fill="auto"/>
            <w:tcMar>
              <w:left w:w="57" w:type="dxa"/>
              <w:right w:w="57" w:type="dxa"/>
            </w:tcMar>
          </w:tcPr>
          <w:p w14:paraId="61E15378" w14:textId="77777777" w:rsidR="00D86455" w:rsidRPr="00363740" w:rsidRDefault="00D86455" w:rsidP="00BE419F">
            <w:pPr>
              <w:spacing w:after="60"/>
              <w:jc w:val="right"/>
              <w:rPr>
                <w:sz w:val="18"/>
                <w:lang w:val="en-CA"/>
              </w:rPr>
            </w:pPr>
            <w:r w:rsidRPr="00363740">
              <w:rPr>
                <w:sz w:val="18"/>
                <w:lang w:val="en-CA"/>
              </w:rPr>
              <w:t>15,000</w:t>
            </w:r>
          </w:p>
        </w:tc>
        <w:tc>
          <w:tcPr>
            <w:tcW w:w="778" w:type="dxa"/>
            <w:shd w:val="clear" w:color="auto" w:fill="auto"/>
            <w:tcMar>
              <w:left w:w="57" w:type="dxa"/>
              <w:right w:w="57" w:type="dxa"/>
            </w:tcMar>
          </w:tcPr>
          <w:p w14:paraId="1C4C1EAD" w14:textId="77777777" w:rsidR="00D86455" w:rsidRPr="00363740" w:rsidRDefault="00D86455" w:rsidP="00BE419F">
            <w:pPr>
              <w:spacing w:after="60"/>
              <w:jc w:val="right"/>
              <w:rPr>
                <w:sz w:val="18"/>
                <w:lang w:val="en-CA"/>
              </w:rPr>
            </w:pPr>
            <w:r w:rsidRPr="00363740">
              <w:rPr>
                <w:sz w:val="18"/>
                <w:lang w:val="en-CA"/>
              </w:rPr>
              <w:t>14,250</w:t>
            </w:r>
          </w:p>
        </w:tc>
        <w:tc>
          <w:tcPr>
            <w:tcW w:w="598" w:type="dxa"/>
            <w:shd w:val="clear" w:color="auto" w:fill="auto"/>
            <w:tcMar>
              <w:left w:w="57" w:type="dxa"/>
              <w:right w:w="57" w:type="dxa"/>
            </w:tcMar>
          </w:tcPr>
          <w:p w14:paraId="2F41A4E5" w14:textId="77777777" w:rsidR="00D86455" w:rsidRPr="00363740" w:rsidRDefault="00D86455" w:rsidP="00BE419F">
            <w:pPr>
              <w:spacing w:after="60"/>
              <w:jc w:val="right"/>
              <w:rPr>
                <w:sz w:val="18"/>
                <w:lang w:val="en-CA"/>
              </w:rPr>
            </w:pPr>
            <w:r w:rsidRPr="00363740">
              <w:rPr>
                <w:sz w:val="18"/>
                <w:lang w:val="en-CA"/>
              </w:rPr>
              <w:t>0</w:t>
            </w:r>
          </w:p>
        </w:tc>
        <w:tc>
          <w:tcPr>
            <w:tcW w:w="778" w:type="dxa"/>
            <w:shd w:val="clear" w:color="auto" w:fill="auto"/>
            <w:tcMar>
              <w:left w:w="57" w:type="dxa"/>
              <w:right w:w="57" w:type="dxa"/>
            </w:tcMar>
          </w:tcPr>
          <w:p w14:paraId="045FBB10" w14:textId="77777777" w:rsidR="00D86455" w:rsidRPr="00363740" w:rsidRDefault="00D86455" w:rsidP="00BE419F">
            <w:pPr>
              <w:spacing w:after="60"/>
              <w:jc w:val="right"/>
              <w:rPr>
                <w:sz w:val="18"/>
                <w:lang w:val="en-CA"/>
              </w:rPr>
            </w:pPr>
            <w:r w:rsidRPr="00363740">
              <w:rPr>
                <w:sz w:val="18"/>
                <w:lang w:val="en-CA"/>
              </w:rPr>
              <w:t>14,625</w:t>
            </w:r>
          </w:p>
        </w:tc>
        <w:tc>
          <w:tcPr>
            <w:tcW w:w="598" w:type="dxa"/>
            <w:shd w:val="clear" w:color="auto" w:fill="auto"/>
            <w:tcMar>
              <w:left w:w="57" w:type="dxa"/>
              <w:right w:w="57" w:type="dxa"/>
            </w:tcMar>
          </w:tcPr>
          <w:p w14:paraId="67980E6E" w14:textId="77777777" w:rsidR="00D86455" w:rsidRPr="00363740" w:rsidRDefault="00D86455" w:rsidP="00BE419F">
            <w:pPr>
              <w:spacing w:after="60"/>
              <w:jc w:val="right"/>
              <w:rPr>
                <w:sz w:val="18"/>
                <w:lang w:val="en-CA"/>
              </w:rPr>
            </w:pPr>
            <w:r w:rsidRPr="00363740">
              <w:rPr>
                <w:sz w:val="18"/>
                <w:lang w:val="en-CA"/>
              </w:rPr>
              <w:t>0</w:t>
            </w:r>
          </w:p>
        </w:tc>
        <w:tc>
          <w:tcPr>
            <w:tcW w:w="771" w:type="dxa"/>
            <w:shd w:val="clear" w:color="auto" w:fill="auto"/>
            <w:tcMar>
              <w:left w:w="57" w:type="dxa"/>
              <w:right w:w="57" w:type="dxa"/>
            </w:tcMar>
          </w:tcPr>
          <w:p w14:paraId="4F6E85F3" w14:textId="77777777" w:rsidR="00D86455" w:rsidRPr="00363740" w:rsidRDefault="00D86455" w:rsidP="00BE419F">
            <w:pPr>
              <w:jc w:val="right"/>
              <w:rPr>
                <w:sz w:val="18"/>
                <w:szCs w:val="18"/>
                <w:lang w:val="en-CA"/>
              </w:rPr>
            </w:pPr>
            <w:r w:rsidRPr="00363740">
              <w:rPr>
                <w:sz w:val="18"/>
                <w:szCs w:val="18"/>
                <w:lang w:val="en-CA"/>
              </w:rPr>
              <w:t xml:space="preserve">9,375 </w:t>
            </w:r>
          </w:p>
        </w:tc>
        <w:tc>
          <w:tcPr>
            <w:tcW w:w="771" w:type="dxa"/>
            <w:shd w:val="clear" w:color="auto" w:fill="auto"/>
            <w:tcMar>
              <w:left w:w="57" w:type="dxa"/>
              <w:right w:w="57" w:type="dxa"/>
            </w:tcMar>
          </w:tcPr>
          <w:p w14:paraId="5E159C02" w14:textId="77777777" w:rsidR="00D86455" w:rsidRPr="00363740" w:rsidRDefault="00D86455" w:rsidP="00BE419F">
            <w:pPr>
              <w:spacing w:after="60"/>
              <w:jc w:val="right"/>
              <w:rPr>
                <w:sz w:val="18"/>
                <w:lang w:val="en-CA"/>
              </w:rPr>
            </w:pPr>
            <w:r w:rsidRPr="00363740">
              <w:rPr>
                <w:sz w:val="18"/>
                <w:lang w:val="en-CA"/>
              </w:rPr>
              <w:t>9,098</w:t>
            </w:r>
          </w:p>
        </w:tc>
        <w:tc>
          <w:tcPr>
            <w:tcW w:w="598" w:type="dxa"/>
            <w:shd w:val="clear" w:color="auto" w:fill="auto"/>
            <w:tcMar>
              <w:left w:w="57" w:type="dxa"/>
              <w:right w:w="57" w:type="dxa"/>
            </w:tcMar>
          </w:tcPr>
          <w:p w14:paraId="7E0EE5AB" w14:textId="77777777" w:rsidR="00D86455" w:rsidRPr="00363740" w:rsidRDefault="00D86455" w:rsidP="00BE419F">
            <w:pPr>
              <w:spacing w:after="60"/>
              <w:jc w:val="right"/>
              <w:rPr>
                <w:sz w:val="18"/>
                <w:lang w:val="en-CA"/>
              </w:rPr>
            </w:pPr>
            <w:r w:rsidRPr="00363740">
              <w:rPr>
                <w:sz w:val="18"/>
                <w:lang w:val="en-CA"/>
              </w:rPr>
              <w:t>0</w:t>
            </w:r>
          </w:p>
        </w:tc>
        <w:tc>
          <w:tcPr>
            <w:tcW w:w="901" w:type="dxa"/>
            <w:tcMar>
              <w:left w:w="57" w:type="dxa"/>
              <w:right w:w="57" w:type="dxa"/>
            </w:tcMar>
          </w:tcPr>
          <w:p w14:paraId="1C8DD55F" w14:textId="77777777" w:rsidR="00D86455" w:rsidRPr="00363740" w:rsidRDefault="00D86455" w:rsidP="00BE419F">
            <w:pPr>
              <w:spacing w:after="60"/>
              <w:jc w:val="right"/>
              <w:rPr>
                <w:sz w:val="18"/>
                <w:lang w:val="en-CA"/>
              </w:rPr>
            </w:pPr>
            <w:r w:rsidRPr="00363740">
              <w:rPr>
                <w:sz w:val="18"/>
                <w:lang w:val="en-CA"/>
              </w:rPr>
              <w:t>77,348</w:t>
            </w:r>
          </w:p>
        </w:tc>
      </w:tr>
      <w:tr w:rsidR="00D86455" w:rsidRPr="00363740" w14:paraId="295CA669" w14:textId="77777777" w:rsidTr="00D86455">
        <w:trPr>
          <w:trHeight w:val="475"/>
        </w:trPr>
        <w:tc>
          <w:tcPr>
            <w:tcW w:w="766" w:type="dxa"/>
            <w:vMerge/>
            <w:shd w:val="clear" w:color="auto" w:fill="auto"/>
            <w:tcMar>
              <w:left w:w="57" w:type="dxa"/>
              <w:right w:w="57" w:type="dxa"/>
            </w:tcMar>
          </w:tcPr>
          <w:p w14:paraId="03826403" w14:textId="77777777" w:rsidR="00D86455" w:rsidRPr="00363740" w:rsidRDefault="00D86455" w:rsidP="00BE419F">
            <w:pPr>
              <w:spacing w:after="60"/>
              <w:jc w:val="center"/>
              <w:rPr>
                <w:sz w:val="18"/>
                <w:lang w:val="en-CA"/>
              </w:rPr>
            </w:pPr>
          </w:p>
        </w:tc>
        <w:tc>
          <w:tcPr>
            <w:tcW w:w="1074" w:type="dxa"/>
            <w:vMerge w:val="restart"/>
            <w:shd w:val="clear" w:color="auto" w:fill="auto"/>
            <w:tcMar>
              <w:left w:w="57" w:type="dxa"/>
              <w:right w:w="57" w:type="dxa"/>
            </w:tcMar>
          </w:tcPr>
          <w:p w14:paraId="3C437F10" w14:textId="77777777" w:rsidR="00D86455" w:rsidRPr="00363740" w:rsidRDefault="00D86455" w:rsidP="00BE419F">
            <w:pPr>
              <w:spacing w:after="60"/>
              <w:jc w:val="center"/>
              <w:rPr>
                <w:sz w:val="18"/>
                <w:lang w:val="en-CA"/>
              </w:rPr>
            </w:pPr>
            <w:r w:rsidRPr="00363740">
              <w:rPr>
                <w:sz w:val="18"/>
                <w:lang w:val="en-CA"/>
              </w:rPr>
              <w:t>Government of Italy</w:t>
            </w:r>
          </w:p>
        </w:tc>
        <w:tc>
          <w:tcPr>
            <w:tcW w:w="822" w:type="dxa"/>
            <w:shd w:val="clear" w:color="auto" w:fill="auto"/>
            <w:tcMar>
              <w:left w:w="57" w:type="dxa"/>
              <w:right w:w="57" w:type="dxa"/>
            </w:tcMar>
          </w:tcPr>
          <w:p w14:paraId="046E5698" w14:textId="77777777" w:rsidR="00D86455" w:rsidRPr="00363740" w:rsidRDefault="00D86455" w:rsidP="00BE419F">
            <w:pPr>
              <w:spacing w:after="60"/>
              <w:jc w:val="left"/>
              <w:rPr>
                <w:sz w:val="18"/>
                <w:lang w:val="en-CA"/>
              </w:rPr>
            </w:pPr>
            <w:r w:rsidRPr="00363740">
              <w:rPr>
                <w:sz w:val="18"/>
                <w:lang w:val="en-CA"/>
              </w:rPr>
              <w:t>Project costs</w:t>
            </w:r>
          </w:p>
        </w:tc>
        <w:tc>
          <w:tcPr>
            <w:tcW w:w="778" w:type="dxa"/>
            <w:shd w:val="clear" w:color="auto" w:fill="auto"/>
            <w:tcMar>
              <w:left w:w="57" w:type="dxa"/>
              <w:right w:w="57" w:type="dxa"/>
            </w:tcMar>
          </w:tcPr>
          <w:p w14:paraId="17FCA72A" w14:textId="77777777" w:rsidR="00D86455" w:rsidRPr="00363740" w:rsidRDefault="00D86455" w:rsidP="00BE419F">
            <w:pPr>
              <w:spacing w:after="60"/>
              <w:jc w:val="right"/>
              <w:rPr>
                <w:sz w:val="18"/>
                <w:lang w:val="en-CA"/>
              </w:rPr>
            </w:pPr>
            <w:r w:rsidRPr="00363740">
              <w:rPr>
                <w:sz w:val="18"/>
                <w:lang w:val="en-CA"/>
              </w:rPr>
              <w:t>70,000</w:t>
            </w:r>
          </w:p>
        </w:tc>
        <w:tc>
          <w:tcPr>
            <w:tcW w:w="778" w:type="dxa"/>
            <w:shd w:val="clear" w:color="auto" w:fill="auto"/>
            <w:tcMar>
              <w:left w:w="57" w:type="dxa"/>
              <w:right w:w="57" w:type="dxa"/>
            </w:tcMar>
          </w:tcPr>
          <w:p w14:paraId="52A5B499" w14:textId="77777777" w:rsidR="00D86455" w:rsidRPr="00363740" w:rsidRDefault="00D86455" w:rsidP="00BE419F">
            <w:pPr>
              <w:spacing w:after="60"/>
              <w:jc w:val="right"/>
              <w:rPr>
                <w:sz w:val="18"/>
                <w:lang w:val="en-CA"/>
              </w:rPr>
            </w:pPr>
            <w:r w:rsidRPr="00363740">
              <w:rPr>
                <w:sz w:val="18"/>
                <w:lang w:val="en-CA"/>
              </w:rPr>
              <w:t>60,000</w:t>
            </w:r>
          </w:p>
        </w:tc>
        <w:tc>
          <w:tcPr>
            <w:tcW w:w="778" w:type="dxa"/>
            <w:shd w:val="clear" w:color="auto" w:fill="auto"/>
            <w:tcMar>
              <w:left w:w="57" w:type="dxa"/>
              <w:right w:w="57" w:type="dxa"/>
            </w:tcMar>
          </w:tcPr>
          <w:p w14:paraId="3A0E3038" w14:textId="77777777" w:rsidR="00D86455" w:rsidRPr="00363740" w:rsidRDefault="00D86455" w:rsidP="00BE419F">
            <w:pPr>
              <w:spacing w:after="60"/>
              <w:jc w:val="right"/>
              <w:rPr>
                <w:sz w:val="18"/>
                <w:lang w:val="en-CA"/>
              </w:rPr>
            </w:pPr>
            <w:r w:rsidRPr="00363740">
              <w:rPr>
                <w:sz w:val="18"/>
                <w:lang w:val="en-CA"/>
              </w:rPr>
              <w:t>70,000</w:t>
            </w:r>
          </w:p>
        </w:tc>
        <w:tc>
          <w:tcPr>
            <w:tcW w:w="598" w:type="dxa"/>
            <w:shd w:val="clear" w:color="auto" w:fill="auto"/>
            <w:tcMar>
              <w:left w:w="57" w:type="dxa"/>
              <w:right w:w="57" w:type="dxa"/>
            </w:tcMar>
          </w:tcPr>
          <w:p w14:paraId="4D5C97A1" w14:textId="77777777" w:rsidR="00D86455" w:rsidRPr="00363740" w:rsidRDefault="00D86455" w:rsidP="00BE419F">
            <w:pPr>
              <w:spacing w:after="60"/>
              <w:jc w:val="right"/>
              <w:rPr>
                <w:sz w:val="18"/>
                <w:lang w:val="en-CA"/>
              </w:rPr>
            </w:pPr>
            <w:r w:rsidRPr="00363740">
              <w:rPr>
                <w:sz w:val="18"/>
                <w:lang w:val="en-CA"/>
              </w:rPr>
              <w:t>0</w:t>
            </w:r>
          </w:p>
        </w:tc>
        <w:tc>
          <w:tcPr>
            <w:tcW w:w="778" w:type="dxa"/>
            <w:shd w:val="clear" w:color="auto" w:fill="auto"/>
            <w:tcMar>
              <w:left w:w="57" w:type="dxa"/>
              <w:right w:w="57" w:type="dxa"/>
            </w:tcMar>
          </w:tcPr>
          <w:p w14:paraId="7431D9AC" w14:textId="77777777" w:rsidR="00D86455" w:rsidRPr="00363740" w:rsidRDefault="00D86455" w:rsidP="00BE419F">
            <w:pPr>
              <w:spacing w:after="60"/>
              <w:jc w:val="right"/>
              <w:rPr>
                <w:sz w:val="18"/>
                <w:lang w:val="en-CA"/>
              </w:rPr>
            </w:pPr>
            <w:r w:rsidRPr="00363740">
              <w:rPr>
                <w:sz w:val="18"/>
                <w:lang w:val="en-CA"/>
              </w:rPr>
              <w:t>65,000</w:t>
            </w:r>
          </w:p>
        </w:tc>
        <w:tc>
          <w:tcPr>
            <w:tcW w:w="598" w:type="dxa"/>
            <w:shd w:val="clear" w:color="auto" w:fill="auto"/>
            <w:tcMar>
              <w:left w:w="57" w:type="dxa"/>
              <w:right w:w="57" w:type="dxa"/>
            </w:tcMar>
          </w:tcPr>
          <w:p w14:paraId="377881B0" w14:textId="77777777" w:rsidR="00D86455" w:rsidRPr="00363740" w:rsidRDefault="00D86455" w:rsidP="00BE419F">
            <w:pPr>
              <w:spacing w:after="60"/>
              <w:jc w:val="right"/>
              <w:rPr>
                <w:sz w:val="18"/>
                <w:lang w:val="en-CA"/>
              </w:rPr>
            </w:pPr>
            <w:r w:rsidRPr="00363740">
              <w:rPr>
                <w:sz w:val="18"/>
                <w:lang w:val="en-CA"/>
              </w:rPr>
              <w:t>0</w:t>
            </w:r>
          </w:p>
        </w:tc>
        <w:tc>
          <w:tcPr>
            <w:tcW w:w="771" w:type="dxa"/>
            <w:shd w:val="clear" w:color="auto" w:fill="auto"/>
            <w:tcMar>
              <w:left w:w="57" w:type="dxa"/>
              <w:right w:w="57" w:type="dxa"/>
            </w:tcMar>
          </w:tcPr>
          <w:p w14:paraId="25140D7D" w14:textId="77777777" w:rsidR="00D86455" w:rsidRPr="00363740" w:rsidRDefault="00D86455" w:rsidP="00BE419F">
            <w:pPr>
              <w:jc w:val="right"/>
              <w:rPr>
                <w:sz w:val="18"/>
                <w:szCs w:val="18"/>
                <w:lang w:val="en-CA"/>
              </w:rPr>
            </w:pPr>
            <w:r w:rsidRPr="00363740">
              <w:rPr>
                <w:sz w:val="18"/>
                <w:szCs w:val="18"/>
                <w:lang w:val="en-CA"/>
              </w:rPr>
              <w:t xml:space="preserve">60,000 </w:t>
            </w:r>
          </w:p>
        </w:tc>
        <w:tc>
          <w:tcPr>
            <w:tcW w:w="771" w:type="dxa"/>
            <w:shd w:val="clear" w:color="auto" w:fill="auto"/>
            <w:tcMar>
              <w:left w:w="57" w:type="dxa"/>
              <w:right w:w="57" w:type="dxa"/>
            </w:tcMar>
          </w:tcPr>
          <w:p w14:paraId="0D563201" w14:textId="77777777" w:rsidR="00D86455" w:rsidRPr="00363740" w:rsidRDefault="00D86455" w:rsidP="00BE419F">
            <w:pPr>
              <w:spacing w:after="60"/>
              <w:jc w:val="right"/>
              <w:rPr>
                <w:sz w:val="18"/>
                <w:lang w:val="en-CA"/>
              </w:rPr>
            </w:pPr>
            <w:r w:rsidRPr="00363740">
              <w:rPr>
                <w:sz w:val="18"/>
                <w:lang w:val="en-CA"/>
              </w:rPr>
              <w:t>0</w:t>
            </w:r>
          </w:p>
        </w:tc>
        <w:tc>
          <w:tcPr>
            <w:tcW w:w="598" w:type="dxa"/>
            <w:shd w:val="clear" w:color="auto" w:fill="auto"/>
            <w:tcMar>
              <w:left w:w="57" w:type="dxa"/>
              <w:right w:w="57" w:type="dxa"/>
            </w:tcMar>
          </w:tcPr>
          <w:p w14:paraId="3EC90FAE" w14:textId="77777777" w:rsidR="00D86455" w:rsidRPr="00363740" w:rsidRDefault="00D86455" w:rsidP="00BE419F">
            <w:pPr>
              <w:spacing w:after="60"/>
              <w:jc w:val="right"/>
              <w:rPr>
                <w:sz w:val="18"/>
                <w:lang w:val="en-CA"/>
              </w:rPr>
            </w:pPr>
            <w:r w:rsidRPr="00363740">
              <w:rPr>
                <w:sz w:val="18"/>
                <w:lang w:val="en-CA"/>
              </w:rPr>
              <w:t>0</w:t>
            </w:r>
          </w:p>
        </w:tc>
        <w:tc>
          <w:tcPr>
            <w:tcW w:w="901" w:type="dxa"/>
            <w:tcMar>
              <w:left w:w="57" w:type="dxa"/>
              <w:right w:w="57" w:type="dxa"/>
            </w:tcMar>
          </w:tcPr>
          <w:p w14:paraId="426B4C58" w14:textId="77777777" w:rsidR="00D86455" w:rsidRPr="00363740" w:rsidRDefault="00D86455" w:rsidP="00BE419F">
            <w:pPr>
              <w:spacing w:after="60"/>
              <w:jc w:val="right"/>
              <w:rPr>
                <w:sz w:val="18"/>
                <w:lang w:val="en-CA"/>
              </w:rPr>
            </w:pPr>
            <w:r w:rsidRPr="00363740">
              <w:rPr>
                <w:sz w:val="18"/>
                <w:lang w:val="en-CA"/>
              </w:rPr>
              <w:t>325,000</w:t>
            </w:r>
          </w:p>
        </w:tc>
      </w:tr>
      <w:tr w:rsidR="00D86455" w:rsidRPr="00363740" w14:paraId="3E8BC129" w14:textId="77777777" w:rsidTr="00D86455">
        <w:trPr>
          <w:trHeight w:val="467"/>
        </w:trPr>
        <w:tc>
          <w:tcPr>
            <w:tcW w:w="766" w:type="dxa"/>
            <w:vMerge/>
            <w:shd w:val="clear" w:color="auto" w:fill="auto"/>
            <w:tcMar>
              <w:left w:w="57" w:type="dxa"/>
              <w:right w:w="57" w:type="dxa"/>
            </w:tcMar>
          </w:tcPr>
          <w:p w14:paraId="6268C6D6" w14:textId="77777777" w:rsidR="00D86455" w:rsidRPr="00363740" w:rsidRDefault="00D86455" w:rsidP="00BE419F">
            <w:pPr>
              <w:spacing w:after="60"/>
              <w:jc w:val="center"/>
              <w:rPr>
                <w:sz w:val="18"/>
                <w:lang w:val="en-CA"/>
              </w:rPr>
            </w:pPr>
          </w:p>
        </w:tc>
        <w:tc>
          <w:tcPr>
            <w:tcW w:w="1074" w:type="dxa"/>
            <w:vMerge/>
            <w:shd w:val="clear" w:color="auto" w:fill="auto"/>
            <w:tcMar>
              <w:left w:w="57" w:type="dxa"/>
              <w:right w:w="57" w:type="dxa"/>
            </w:tcMar>
          </w:tcPr>
          <w:p w14:paraId="68A0DE86" w14:textId="77777777" w:rsidR="00D86455" w:rsidRPr="00363740" w:rsidRDefault="00D86455" w:rsidP="00BE419F">
            <w:pPr>
              <w:spacing w:after="60"/>
              <w:jc w:val="center"/>
              <w:rPr>
                <w:sz w:val="18"/>
                <w:lang w:val="en-CA"/>
              </w:rPr>
            </w:pPr>
          </w:p>
        </w:tc>
        <w:tc>
          <w:tcPr>
            <w:tcW w:w="822" w:type="dxa"/>
            <w:shd w:val="clear" w:color="auto" w:fill="auto"/>
            <w:tcMar>
              <w:left w:w="57" w:type="dxa"/>
              <w:right w:w="57" w:type="dxa"/>
            </w:tcMar>
          </w:tcPr>
          <w:p w14:paraId="7E85B243" w14:textId="77777777" w:rsidR="00D86455" w:rsidRPr="00363740" w:rsidRDefault="00D86455" w:rsidP="00BE419F">
            <w:pPr>
              <w:spacing w:after="60"/>
              <w:jc w:val="left"/>
              <w:rPr>
                <w:sz w:val="18"/>
                <w:lang w:val="en-CA"/>
              </w:rPr>
            </w:pPr>
            <w:r w:rsidRPr="00363740">
              <w:rPr>
                <w:sz w:val="18"/>
                <w:lang w:val="en-CA"/>
              </w:rPr>
              <w:t>Support costs</w:t>
            </w:r>
          </w:p>
        </w:tc>
        <w:tc>
          <w:tcPr>
            <w:tcW w:w="778" w:type="dxa"/>
            <w:shd w:val="clear" w:color="auto" w:fill="auto"/>
            <w:tcMar>
              <w:left w:w="57" w:type="dxa"/>
              <w:right w:w="57" w:type="dxa"/>
            </w:tcMar>
          </w:tcPr>
          <w:p w14:paraId="6A14B0A5" w14:textId="77777777" w:rsidR="00D86455" w:rsidRPr="00363740" w:rsidRDefault="00D86455" w:rsidP="00BE419F">
            <w:pPr>
              <w:spacing w:after="60"/>
              <w:jc w:val="right"/>
              <w:rPr>
                <w:sz w:val="18"/>
                <w:lang w:val="en-CA"/>
              </w:rPr>
            </w:pPr>
            <w:r w:rsidRPr="00363740">
              <w:rPr>
                <w:sz w:val="18"/>
                <w:lang w:val="en-CA"/>
              </w:rPr>
              <w:t>9,100</w:t>
            </w:r>
          </w:p>
        </w:tc>
        <w:tc>
          <w:tcPr>
            <w:tcW w:w="778" w:type="dxa"/>
            <w:shd w:val="clear" w:color="auto" w:fill="auto"/>
            <w:tcMar>
              <w:left w:w="57" w:type="dxa"/>
              <w:right w:w="57" w:type="dxa"/>
            </w:tcMar>
          </w:tcPr>
          <w:p w14:paraId="36C990F8" w14:textId="77777777" w:rsidR="00D86455" w:rsidRPr="00363740" w:rsidRDefault="00D86455" w:rsidP="00BE419F">
            <w:pPr>
              <w:spacing w:after="60"/>
              <w:jc w:val="right"/>
              <w:rPr>
                <w:sz w:val="18"/>
                <w:lang w:val="en-CA"/>
              </w:rPr>
            </w:pPr>
            <w:r w:rsidRPr="00363740">
              <w:rPr>
                <w:sz w:val="18"/>
                <w:lang w:val="en-CA"/>
              </w:rPr>
              <w:t>7,800</w:t>
            </w:r>
          </w:p>
        </w:tc>
        <w:tc>
          <w:tcPr>
            <w:tcW w:w="778" w:type="dxa"/>
            <w:shd w:val="clear" w:color="auto" w:fill="auto"/>
            <w:tcMar>
              <w:left w:w="57" w:type="dxa"/>
              <w:right w:w="57" w:type="dxa"/>
            </w:tcMar>
          </w:tcPr>
          <w:p w14:paraId="6DCB4A90" w14:textId="77777777" w:rsidR="00D86455" w:rsidRPr="00363740" w:rsidRDefault="00D86455" w:rsidP="00BE419F">
            <w:pPr>
              <w:spacing w:after="60"/>
              <w:jc w:val="right"/>
              <w:rPr>
                <w:sz w:val="18"/>
                <w:lang w:val="en-CA"/>
              </w:rPr>
            </w:pPr>
            <w:r w:rsidRPr="00363740">
              <w:rPr>
                <w:sz w:val="18"/>
                <w:lang w:val="en-CA"/>
              </w:rPr>
              <w:t>9,100</w:t>
            </w:r>
          </w:p>
        </w:tc>
        <w:tc>
          <w:tcPr>
            <w:tcW w:w="598" w:type="dxa"/>
            <w:shd w:val="clear" w:color="auto" w:fill="auto"/>
            <w:tcMar>
              <w:left w:w="57" w:type="dxa"/>
              <w:right w:w="57" w:type="dxa"/>
            </w:tcMar>
          </w:tcPr>
          <w:p w14:paraId="2AF879AA" w14:textId="77777777" w:rsidR="00D86455" w:rsidRPr="00363740" w:rsidRDefault="00D86455" w:rsidP="00BE419F">
            <w:pPr>
              <w:spacing w:after="60"/>
              <w:jc w:val="right"/>
              <w:rPr>
                <w:sz w:val="18"/>
                <w:lang w:val="en-CA"/>
              </w:rPr>
            </w:pPr>
            <w:r w:rsidRPr="00363740">
              <w:rPr>
                <w:sz w:val="18"/>
                <w:lang w:val="en-CA"/>
              </w:rPr>
              <w:t>0</w:t>
            </w:r>
          </w:p>
        </w:tc>
        <w:tc>
          <w:tcPr>
            <w:tcW w:w="778" w:type="dxa"/>
            <w:shd w:val="clear" w:color="auto" w:fill="auto"/>
            <w:tcMar>
              <w:left w:w="57" w:type="dxa"/>
              <w:right w:w="57" w:type="dxa"/>
            </w:tcMar>
          </w:tcPr>
          <w:p w14:paraId="19603245" w14:textId="77777777" w:rsidR="00D86455" w:rsidRPr="00363740" w:rsidRDefault="00D86455" w:rsidP="00BE419F">
            <w:pPr>
              <w:spacing w:after="60"/>
              <w:jc w:val="right"/>
              <w:rPr>
                <w:sz w:val="18"/>
                <w:lang w:val="en-CA"/>
              </w:rPr>
            </w:pPr>
            <w:r w:rsidRPr="00363740">
              <w:rPr>
                <w:sz w:val="18"/>
                <w:lang w:val="en-CA"/>
              </w:rPr>
              <w:t>8,450</w:t>
            </w:r>
          </w:p>
        </w:tc>
        <w:tc>
          <w:tcPr>
            <w:tcW w:w="598" w:type="dxa"/>
            <w:shd w:val="clear" w:color="auto" w:fill="auto"/>
            <w:tcMar>
              <w:left w:w="57" w:type="dxa"/>
              <w:right w:w="57" w:type="dxa"/>
            </w:tcMar>
          </w:tcPr>
          <w:p w14:paraId="1A754DCC" w14:textId="77777777" w:rsidR="00D86455" w:rsidRPr="00363740" w:rsidRDefault="00D86455" w:rsidP="00BE419F">
            <w:pPr>
              <w:spacing w:after="60"/>
              <w:jc w:val="right"/>
              <w:rPr>
                <w:sz w:val="18"/>
                <w:lang w:val="en-CA"/>
              </w:rPr>
            </w:pPr>
            <w:r w:rsidRPr="00363740">
              <w:rPr>
                <w:sz w:val="18"/>
                <w:lang w:val="en-CA"/>
              </w:rPr>
              <w:t>0</w:t>
            </w:r>
          </w:p>
        </w:tc>
        <w:tc>
          <w:tcPr>
            <w:tcW w:w="771" w:type="dxa"/>
            <w:shd w:val="clear" w:color="auto" w:fill="auto"/>
            <w:tcMar>
              <w:left w:w="57" w:type="dxa"/>
              <w:right w:w="57" w:type="dxa"/>
            </w:tcMar>
          </w:tcPr>
          <w:p w14:paraId="21363E96" w14:textId="77777777" w:rsidR="00D86455" w:rsidRPr="00363740" w:rsidRDefault="00D86455" w:rsidP="00BE419F">
            <w:pPr>
              <w:jc w:val="right"/>
              <w:rPr>
                <w:sz w:val="18"/>
                <w:szCs w:val="18"/>
                <w:lang w:val="en-CA"/>
              </w:rPr>
            </w:pPr>
            <w:r w:rsidRPr="00363740">
              <w:rPr>
                <w:sz w:val="18"/>
                <w:szCs w:val="18"/>
                <w:lang w:val="en-CA"/>
              </w:rPr>
              <w:t xml:space="preserve">7,800 </w:t>
            </w:r>
          </w:p>
        </w:tc>
        <w:tc>
          <w:tcPr>
            <w:tcW w:w="771" w:type="dxa"/>
            <w:shd w:val="clear" w:color="auto" w:fill="auto"/>
            <w:tcMar>
              <w:left w:w="57" w:type="dxa"/>
              <w:right w:w="57" w:type="dxa"/>
            </w:tcMar>
          </w:tcPr>
          <w:p w14:paraId="390BD22A" w14:textId="77777777" w:rsidR="00D86455" w:rsidRPr="00363740" w:rsidRDefault="00D86455" w:rsidP="00BE419F">
            <w:pPr>
              <w:spacing w:after="60"/>
              <w:jc w:val="right"/>
              <w:rPr>
                <w:sz w:val="18"/>
                <w:lang w:val="en-CA"/>
              </w:rPr>
            </w:pPr>
            <w:r w:rsidRPr="00363740">
              <w:rPr>
                <w:sz w:val="18"/>
                <w:lang w:val="en-CA"/>
              </w:rPr>
              <w:t>0</w:t>
            </w:r>
          </w:p>
        </w:tc>
        <w:tc>
          <w:tcPr>
            <w:tcW w:w="598" w:type="dxa"/>
            <w:shd w:val="clear" w:color="auto" w:fill="auto"/>
            <w:tcMar>
              <w:left w:w="57" w:type="dxa"/>
              <w:right w:w="57" w:type="dxa"/>
            </w:tcMar>
          </w:tcPr>
          <w:p w14:paraId="158A6EA6" w14:textId="77777777" w:rsidR="00D86455" w:rsidRPr="00363740" w:rsidRDefault="00D86455" w:rsidP="00BE419F">
            <w:pPr>
              <w:spacing w:after="60"/>
              <w:jc w:val="right"/>
              <w:rPr>
                <w:sz w:val="18"/>
                <w:lang w:val="en-CA"/>
              </w:rPr>
            </w:pPr>
            <w:r w:rsidRPr="00363740">
              <w:rPr>
                <w:sz w:val="18"/>
                <w:lang w:val="en-CA"/>
              </w:rPr>
              <w:t>0</w:t>
            </w:r>
          </w:p>
        </w:tc>
        <w:tc>
          <w:tcPr>
            <w:tcW w:w="901" w:type="dxa"/>
            <w:tcMar>
              <w:left w:w="57" w:type="dxa"/>
              <w:right w:w="57" w:type="dxa"/>
            </w:tcMar>
          </w:tcPr>
          <w:p w14:paraId="7AC3A487" w14:textId="77777777" w:rsidR="00D86455" w:rsidRPr="00363740" w:rsidRDefault="00D86455" w:rsidP="00BE419F">
            <w:pPr>
              <w:spacing w:after="60"/>
              <w:jc w:val="right"/>
              <w:rPr>
                <w:sz w:val="18"/>
                <w:lang w:val="en-CA"/>
              </w:rPr>
            </w:pPr>
            <w:r w:rsidRPr="00363740">
              <w:rPr>
                <w:sz w:val="18"/>
                <w:lang w:val="en-CA"/>
              </w:rPr>
              <w:t>42,250</w:t>
            </w:r>
          </w:p>
        </w:tc>
      </w:tr>
      <w:tr w:rsidR="00D86455" w:rsidRPr="00363740" w14:paraId="14D64694" w14:textId="77777777" w:rsidTr="00D86455">
        <w:trPr>
          <w:trHeight w:val="467"/>
        </w:trPr>
        <w:tc>
          <w:tcPr>
            <w:tcW w:w="1841" w:type="dxa"/>
            <w:gridSpan w:val="2"/>
            <w:vMerge w:val="restart"/>
            <w:shd w:val="clear" w:color="auto" w:fill="auto"/>
            <w:tcMar>
              <w:left w:w="57" w:type="dxa"/>
              <w:right w:w="57" w:type="dxa"/>
            </w:tcMar>
          </w:tcPr>
          <w:p w14:paraId="127E0DF3" w14:textId="77777777" w:rsidR="00D86455" w:rsidRPr="00363740" w:rsidRDefault="00D86455" w:rsidP="00D86455">
            <w:pPr>
              <w:spacing w:after="60"/>
              <w:jc w:val="left"/>
              <w:rPr>
                <w:sz w:val="18"/>
                <w:lang w:val="en-CA"/>
              </w:rPr>
            </w:pPr>
            <w:r w:rsidRPr="00363740">
              <w:rPr>
                <w:sz w:val="18"/>
                <w:lang w:val="en-CA"/>
              </w:rPr>
              <w:t xml:space="preserve">Funds approved by </w:t>
            </w:r>
            <w:proofErr w:type="spellStart"/>
            <w:r w:rsidRPr="00363740">
              <w:rPr>
                <w:sz w:val="18"/>
                <w:lang w:val="en-CA"/>
              </w:rPr>
              <w:t>ExCom</w:t>
            </w:r>
            <w:proofErr w:type="spellEnd"/>
            <w:r w:rsidRPr="00363740">
              <w:rPr>
                <w:sz w:val="18"/>
                <w:lang w:val="en-CA"/>
              </w:rPr>
              <w:t xml:space="preserve"> (US $)</w:t>
            </w:r>
          </w:p>
        </w:tc>
        <w:tc>
          <w:tcPr>
            <w:tcW w:w="822" w:type="dxa"/>
            <w:shd w:val="clear" w:color="auto" w:fill="auto"/>
            <w:tcMar>
              <w:left w:w="57" w:type="dxa"/>
              <w:right w:w="57" w:type="dxa"/>
            </w:tcMar>
          </w:tcPr>
          <w:p w14:paraId="08E9E4C5" w14:textId="77777777" w:rsidR="00D86455" w:rsidRPr="00363740" w:rsidRDefault="00D86455" w:rsidP="00D86455">
            <w:pPr>
              <w:spacing w:after="60"/>
              <w:jc w:val="left"/>
              <w:rPr>
                <w:sz w:val="18"/>
                <w:lang w:val="en-CA"/>
              </w:rPr>
            </w:pPr>
            <w:r w:rsidRPr="00363740">
              <w:rPr>
                <w:sz w:val="18"/>
                <w:lang w:val="en-CA"/>
              </w:rPr>
              <w:t>Project costs</w:t>
            </w:r>
          </w:p>
        </w:tc>
        <w:tc>
          <w:tcPr>
            <w:tcW w:w="778" w:type="dxa"/>
            <w:shd w:val="clear" w:color="auto" w:fill="auto"/>
            <w:tcMar>
              <w:left w:w="57" w:type="dxa"/>
              <w:right w:w="57" w:type="dxa"/>
            </w:tcMar>
          </w:tcPr>
          <w:p w14:paraId="0FFA039B" w14:textId="77777777" w:rsidR="00D86455" w:rsidRPr="00363740" w:rsidRDefault="00D86455" w:rsidP="00D86455">
            <w:pPr>
              <w:spacing w:after="60"/>
              <w:jc w:val="right"/>
              <w:rPr>
                <w:sz w:val="18"/>
                <w:lang w:val="en-CA"/>
              </w:rPr>
            </w:pPr>
            <w:r w:rsidRPr="00363740">
              <w:rPr>
                <w:sz w:val="18"/>
                <w:lang w:val="en-CA"/>
              </w:rPr>
              <w:t>270,000</w:t>
            </w:r>
          </w:p>
        </w:tc>
        <w:tc>
          <w:tcPr>
            <w:tcW w:w="778" w:type="dxa"/>
            <w:shd w:val="clear" w:color="auto" w:fill="auto"/>
            <w:tcMar>
              <w:left w:w="57" w:type="dxa"/>
              <w:right w:w="57" w:type="dxa"/>
            </w:tcMar>
          </w:tcPr>
          <w:p w14:paraId="056900F8" w14:textId="77777777" w:rsidR="00D86455" w:rsidRPr="00363740" w:rsidRDefault="00D86455" w:rsidP="00D86455">
            <w:pPr>
              <w:spacing w:after="60"/>
              <w:jc w:val="right"/>
              <w:rPr>
                <w:sz w:val="18"/>
                <w:lang w:val="en-CA"/>
              </w:rPr>
            </w:pPr>
            <w:r w:rsidRPr="00363740">
              <w:rPr>
                <w:sz w:val="18"/>
                <w:lang w:val="en-CA"/>
              </w:rPr>
              <w:t>260,000</w:t>
            </w:r>
          </w:p>
        </w:tc>
        <w:tc>
          <w:tcPr>
            <w:tcW w:w="778" w:type="dxa"/>
            <w:shd w:val="clear" w:color="auto" w:fill="auto"/>
            <w:tcMar>
              <w:left w:w="57" w:type="dxa"/>
              <w:right w:w="57" w:type="dxa"/>
            </w:tcMar>
          </w:tcPr>
          <w:p w14:paraId="2856CB4A" w14:textId="77777777" w:rsidR="00D86455" w:rsidRPr="00363740" w:rsidRDefault="00D86455" w:rsidP="00D86455">
            <w:pPr>
              <w:spacing w:after="60"/>
              <w:jc w:val="right"/>
              <w:rPr>
                <w:sz w:val="18"/>
                <w:lang w:val="en-CA"/>
              </w:rPr>
            </w:pPr>
            <w:r w:rsidRPr="00363740">
              <w:rPr>
                <w:sz w:val="18"/>
                <w:lang w:val="en-CA"/>
              </w:rPr>
              <w:t>260,000</w:t>
            </w:r>
          </w:p>
        </w:tc>
        <w:tc>
          <w:tcPr>
            <w:tcW w:w="598" w:type="dxa"/>
            <w:shd w:val="clear" w:color="auto" w:fill="auto"/>
            <w:tcMar>
              <w:left w:w="57" w:type="dxa"/>
              <w:right w:w="57" w:type="dxa"/>
            </w:tcMar>
          </w:tcPr>
          <w:p w14:paraId="24C19B45" w14:textId="77777777" w:rsidR="00D86455" w:rsidRPr="00363740" w:rsidRDefault="00D86455" w:rsidP="00D86455">
            <w:pPr>
              <w:spacing w:after="60"/>
              <w:jc w:val="right"/>
              <w:rPr>
                <w:sz w:val="18"/>
                <w:lang w:val="en-CA"/>
              </w:rPr>
            </w:pPr>
            <w:r w:rsidRPr="00363740">
              <w:rPr>
                <w:sz w:val="18"/>
                <w:lang w:val="en-CA"/>
              </w:rPr>
              <w:t>0</w:t>
            </w:r>
          </w:p>
        </w:tc>
        <w:tc>
          <w:tcPr>
            <w:tcW w:w="778" w:type="dxa"/>
            <w:shd w:val="clear" w:color="auto" w:fill="auto"/>
            <w:tcMar>
              <w:left w:w="57" w:type="dxa"/>
              <w:right w:w="57" w:type="dxa"/>
            </w:tcMar>
          </w:tcPr>
          <w:p w14:paraId="326E6130" w14:textId="77777777" w:rsidR="00D86455" w:rsidRPr="00363740" w:rsidRDefault="00D86455" w:rsidP="00D86455">
            <w:pPr>
              <w:spacing w:after="60"/>
              <w:jc w:val="right"/>
              <w:rPr>
                <w:sz w:val="18"/>
                <w:lang w:val="en-CA"/>
              </w:rPr>
            </w:pPr>
            <w:r w:rsidRPr="00363740">
              <w:rPr>
                <w:sz w:val="18"/>
                <w:lang w:val="en-CA"/>
              </w:rPr>
              <w:t>260,000</w:t>
            </w:r>
          </w:p>
        </w:tc>
        <w:tc>
          <w:tcPr>
            <w:tcW w:w="598" w:type="dxa"/>
            <w:shd w:val="clear" w:color="auto" w:fill="auto"/>
            <w:tcMar>
              <w:left w:w="57" w:type="dxa"/>
              <w:right w:w="57" w:type="dxa"/>
            </w:tcMar>
          </w:tcPr>
          <w:p w14:paraId="4F932DFA" w14:textId="77777777" w:rsidR="00D86455" w:rsidRPr="00363740" w:rsidRDefault="00D86455" w:rsidP="00D86455">
            <w:pPr>
              <w:spacing w:after="60"/>
              <w:jc w:val="right"/>
              <w:rPr>
                <w:sz w:val="18"/>
                <w:lang w:val="en-CA"/>
              </w:rPr>
            </w:pPr>
            <w:r w:rsidRPr="00363740">
              <w:rPr>
                <w:sz w:val="18"/>
                <w:lang w:val="en-CA"/>
              </w:rPr>
              <w:t>0</w:t>
            </w:r>
          </w:p>
        </w:tc>
        <w:tc>
          <w:tcPr>
            <w:tcW w:w="771" w:type="dxa"/>
            <w:shd w:val="clear" w:color="auto" w:fill="auto"/>
            <w:tcMar>
              <w:left w:w="57" w:type="dxa"/>
              <w:right w:w="57" w:type="dxa"/>
            </w:tcMar>
          </w:tcPr>
          <w:p w14:paraId="5C57AADB" w14:textId="77777777" w:rsidR="00D86455" w:rsidRPr="00363740" w:rsidRDefault="00D86455" w:rsidP="00D86455">
            <w:pPr>
              <w:keepNext/>
              <w:keepLines/>
              <w:jc w:val="right"/>
              <w:rPr>
                <w:sz w:val="18"/>
                <w:szCs w:val="18"/>
                <w:lang w:val="en-CA"/>
              </w:rPr>
            </w:pPr>
            <w:r w:rsidRPr="00363740">
              <w:rPr>
                <w:sz w:val="18"/>
                <w:szCs w:val="18"/>
                <w:lang w:val="en-CA"/>
              </w:rPr>
              <w:t xml:space="preserve">185,000 </w:t>
            </w:r>
          </w:p>
        </w:tc>
        <w:tc>
          <w:tcPr>
            <w:tcW w:w="771" w:type="dxa"/>
            <w:shd w:val="clear" w:color="auto" w:fill="auto"/>
            <w:tcMar>
              <w:left w:w="57" w:type="dxa"/>
              <w:right w:w="57" w:type="dxa"/>
            </w:tcMar>
          </w:tcPr>
          <w:p w14:paraId="2A428800" w14:textId="77777777" w:rsidR="00D86455" w:rsidRPr="00363740" w:rsidRDefault="00D86455" w:rsidP="00D86455">
            <w:pPr>
              <w:spacing w:after="60"/>
              <w:jc w:val="right"/>
              <w:rPr>
                <w:sz w:val="18"/>
                <w:lang w:val="en-CA"/>
              </w:rPr>
            </w:pPr>
            <w:r>
              <w:rPr>
                <w:sz w:val="18"/>
                <w:lang w:val="en-CA"/>
              </w:rPr>
              <w:t>0</w:t>
            </w:r>
          </w:p>
        </w:tc>
        <w:tc>
          <w:tcPr>
            <w:tcW w:w="598" w:type="dxa"/>
            <w:shd w:val="clear" w:color="auto" w:fill="auto"/>
            <w:tcMar>
              <w:left w:w="57" w:type="dxa"/>
              <w:right w:w="57" w:type="dxa"/>
            </w:tcMar>
          </w:tcPr>
          <w:p w14:paraId="556825D1" w14:textId="77777777" w:rsidR="00D86455" w:rsidRPr="00363740" w:rsidRDefault="00D86455" w:rsidP="00D86455">
            <w:pPr>
              <w:spacing w:after="60"/>
              <w:jc w:val="right"/>
              <w:rPr>
                <w:sz w:val="18"/>
                <w:lang w:val="en-CA"/>
              </w:rPr>
            </w:pPr>
            <w:r>
              <w:rPr>
                <w:sz w:val="18"/>
                <w:lang w:val="en-CA"/>
              </w:rPr>
              <w:t>0</w:t>
            </w:r>
          </w:p>
        </w:tc>
        <w:tc>
          <w:tcPr>
            <w:tcW w:w="901" w:type="dxa"/>
            <w:tcMar>
              <w:left w:w="57" w:type="dxa"/>
              <w:right w:w="57" w:type="dxa"/>
            </w:tcMar>
          </w:tcPr>
          <w:p w14:paraId="177F9726" w14:textId="77777777" w:rsidR="00D86455" w:rsidRPr="00363740" w:rsidRDefault="00D86455" w:rsidP="00D86455">
            <w:pPr>
              <w:spacing w:after="60"/>
              <w:jc w:val="right"/>
              <w:rPr>
                <w:sz w:val="18"/>
                <w:lang w:val="en-CA"/>
              </w:rPr>
            </w:pPr>
            <w:r w:rsidRPr="00D86455">
              <w:rPr>
                <w:sz w:val="18"/>
                <w:lang w:val="en-CA"/>
              </w:rPr>
              <w:t>1,235,000</w:t>
            </w:r>
          </w:p>
        </w:tc>
      </w:tr>
      <w:tr w:rsidR="00D86455" w:rsidRPr="00363740" w14:paraId="4588CD39" w14:textId="77777777" w:rsidTr="00D86455">
        <w:trPr>
          <w:trHeight w:val="467"/>
        </w:trPr>
        <w:tc>
          <w:tcPr>
            <w:tcW w:w="1841" w:type="dxa"/>
            <w:gridSpan w:val="2"/>
            <w:vMerge/>
            <w:shd w:val="clear" w:color="auto" w:fill="auto"/>
            <w:tcMar>
              <w:left w:w="57" w:type="dxa"/>
              <w:right w:w="57" w:type="dxa"/>
            </w:tcMar>
          </w:tcPr>
          <w:p w14:paraId="7B5E50F6" w14:textId="77777777" w:rsidR="00D86455" w:rsidRPr="00363740" w:rsidRDefault="00D86455" w:rsidP="00D86455">
            <w:pPr>
              <w:spacing w:after="60"/>
              <w:jc w:val="center"/>
              <w:rPr>
                <w:sz w:val="18"/>
                <w:lang w:val="en-CA"/>
              </w:rPr>
            </w:pPr>
          </w:p>
        </w:tc>
        <w:tc>
          <w:tcPr>
            <w:tcW w:w="822" w:type="dxa"/>
            <w:shd w:val="clear" w:color="auto" w:fill="auto"/>
            <w:tcMar>
              <w:left w:w="57" w:type="dxa"/>
              <w:right w:w="57" w:type="dxa"/>
            </w:tcMar>
          </w:tcPr>
          <w:p w14:paraId="6C54EC38" w14:textId="77777777" w:rsidR="00D86455" w:rsidRPr="00363740" w:rsidRDefault="00D86455" w:rsidP="00D86455">
            <w:pPr>
              <w:spacing w:after="60"/>
              <w:jc w:val="left"/>
              <w:rPr>
                <w:sz w:val="18"/>
                <w:lang w:val="en-CA"/>
              </w:rPr>
            </w:pPr>
            <w:r w:rsidRPr="00363740">
              <w:rPr>
                <w:sz w:val="18"/>
                <w:lang w:val="en-CA"/>
              </w:rPr>
              <w:t>Support costs</w:t>
            </w:r>
          </w:p>
        </w:tc>
        <w:tc>
          <w:tcPr>
            <w:tcW w:w="778" w:type="dxa"/>
            <w:shd w:val="clear" w:color="auto" w:fill="auto"/>
            <w:tcMar>
              <w:left w:w="57" w:type="dxa"/>
              <w:right w:w="57" w:type="dxa"/>
            </w:tcMar>
          </w:tcPr>
          <w:p w14:paraId="10F70E1E" w14:textId="77777777" w:rsidR="00D86455" w:rsidRPr="00363740" w:rsidRDefault="00D86455" w:rsidP="00D86455">
            <w:pPr>
              <w:spacing w:after="60"/>
              <w:jc w:val="right"/>
              <w:rPr>
                <w:sz w:val="18"/>
                <w:lang w:val="en-CA"/>
              </w:rPr>
            </w:pPr>
            <w:r w:rsidRPr="00363740">
              <w:rPr>
                <w:sz w:val="18"/>
                <w:lang w:val="en-CA"/>
              </w:rPr>
              <w:t>24,100</w:t>
            </w:r>
          </w:p>
        </w:tc>
        <w:tc>
          <w:tcPr>
            <w:tcW w:w="778" w:type="dxa"/>
            <w:shd w:val="clear" w:color="auto" w:fill="auto"/>
            <w:tcMar>
              <w:left w:w="57" w:type="dxa"/>
              <w:right w:w="57" w:type="dxa"/>
            </w:tcMar>
          </w:tcPr>
          <w:p w14:paraId="70E54C6B" w14:textId="77777777" w:rsidR="00D86455" w:rsidRPr="00363740" w:rsidRDefault="00D86455" w:rsidP="00D86455">
            <w:pPr>
              <w:spacing w:after="60"/>
              <w:jc w:val="right"/>
              <w:rPr>
                <w:sz w:val="18"/>
                <w:lang w:val="en-CA"/>
              </w:rPr>
            </w:pPr>
            <w:r w:rsidRPr="00363740">
              <w:rPr>
                <w:sz w:val="18"/>
                <w:lang w:val="en-CA"/>
              </w:rPr>
              <w:t>22,800</w:t>
            </w:r>
          </w:p>
        </w:tc>
        <w:tc>
          <w:tcPr>
            <w:tcW w:w="778" w:type="dxa"/>
            <w:shd w:val="clear" w:color="auto" w:fill="auto"/>
            <w:tcMar>
              <w:left w:w="57" w:type="dxa"/>
              <w:right w:w="57" w:type="dxa"/>
            </w:tcMar>
          </w:tcPr>
          <w:p w14:paraId="27B19591" w14:textId="77777777" w:rsidR="00D86455" w:rsidRPr="00363740" w:rsidRDefault="00D86455" w:rsidP="00D86455">
            <w:pPr>
              <w:spacing w:after="60"/>
              <w:jc w:val="right"/>
              <w:rPr>
                <w:sz w:val="18"/>
                <w:lang w:val="en-CA"/>
              </w:rPr>
            </w:pPr>
            <w:r w:rsidRPr="00363740">
              <w:rPr>
                <w:sz w:val="18"/>
                <w:lang w:val="en-CA"/>
              </w:rPr>
              <w:t>23,350</w:t>
            </w:r>
          </w:p>
        </w:tc>
        <w:tc>
          <w:tcPr>
            <w:tcW w:w="598" w:type="dxa"/>
            <w:shd w:val="clear" w:color="auto" w:fill="auto"/>
            <w:tcMar>
              <w:left w:w="57" w:type="dxa"/>
              <w:right w:w="57" w:type="dxa"/>
            </w:tcMar>
          </w:tcPr>
          <w:p w14:paraId="62C39658" w14:textId="77777777" w:rsidR="00D86455" w:rsidRPr="00363740" w:rsidRDefault="00D86455" w:rsidP="00D86455">
            <w:pPr>
              <w:spacing w:after="60"/>
              <w:jc w:val="right"/>
              <w:rPr>
                <w:sz w:val="18"/>
                <w:lang w:val="en-CA"/>
              </w:rPr>
            </w:pPr>
            <w:r w:rsidRPr="00363740">
              <w:rPr>
                <w:sz w:val="18"/>
                <w:lang w:val="en-CA"/>
              </w:rPr>
              <w:t>0</w:t>
            </w:r>
          </w:p>
        </w:tc>
        <w:tc>
          <w:tcPr>
            <w:tcW w:w="778" w:type="dxa"/>
            <w:shd w:val="clear" w:color="auto" w:fill="auto"/>
            <w:tcMar>
              <w:left w:w="57" w:type="dxa"/>
              <w:right w:w="57" w:type="dxa"/>
            </w:tcMar>
          </w:tcPr>
          <w:p w14:paraId="046B906E" w14:textId="77777777" w:rsidR="00D86455" w:rsidRPr="00363740" w:rsidRDefault="00D86455" w:rsidP="00D86455">
            <w:pPr>
              <w:spacing w:after="60"/>
              <w:jc w:val="right"/>
              <w:rPr>
                <w:sz w:val="18"/>
                <w:lang w:val="en-CA"/>
              </w:rPr>
            </w:pPr>
            <w:r w:rsidRPr="00363740">
              <w:rPr>
                <w:sz w:val="18"/>
                <w:lang w:val="en-CA"/>
              </w:rPr>
              <w:t>23,075</w:t>
            </w:r>
          </w:p>
        </w:tc>
        <w:tc>
          <w:tcPr>
            <w:tcW w:w="598" w:type="dxa"/>
            <w:shd w:val="clear" w:color="auto" w:fill="auto"/>
            <w:tcMar>
              <w:left w:w="57" w:type="dxa"/>
              <w:right w:w="57" w:type="dxa"/>
            </w:tcMar>
          </w:tcPr>
          <w:p w14:paraId="2D907300" w14:textId="77777777" w:rsidR="00D86455" w:rsidRPr="00363740" w:rsidRDefault="00D86455" w:rsidP="00D86455">
            <w:pPr>
              <w:spacing w:after="60"/>
              <w:jc w:val="right"/>
              <w:rPr>
                <w:sz w:val="18"/>
                <w:lang w:val="en-CA"/>
              </w:rPr>
            </w:pPr>
            <w:r w:rsidRPr="00363740">
              <w:rPr>
                <w:sz w:val="18"/>
                <w:lang w:val="en-CA"/>
              </w:rPr>
              <w:t>0</w:t>
            </w:r>
          </w:p>
        </w:tc>
        <w:tc>
          <w:tcPr>
            <w:tcW w:w="771" w:type="dxa"/>
            <w:shd w:val="clear" w:color="auto" w:fill="auto"/>
            <w:tcMar>
              <w:left w:w="57" w:type="dxa"/>
              <w:right w:w="57" w:type="dxa"/>
            </w:tcMar>
          </w:tcPr>
          <w:p w14:paraId="199892D5" w14:textId="77777777" w:rsidR="00D86455" w:rsidRPr="00363740" w:rsidRDefault="00D86455" w:rsidP="00D86455">
            <w:pPr>
              <w:keepNext/>
              <w:keepLines/>
              <w:jc w:val="right"/>
              <w:rPr>
                <w:sz w:val="18"/>
                <w:szCs w:val="18"/>
                <w:lang w:val="en-CA"/>
              </w:rPr>
            </w:pPr>
            <w:r w:rsidRPr="00363740">
              <w:rPr>
                <w:sz w:val="18"/>
                <w:szCs w:val="18"/>
                <w:lang w:val="en-CA"/>
              </w:rPr>
              <w:t xml:space="preserve">17,175 </w:t>
            </w:r>
          </w:p>
        </w:tc>
        <w:tc>
          <w:tcPr>
            <w:tcW w:w="771" w:type="dxa"/>
            <w:shd w:val="clear" w:color="auto" w:fill="auto"/>
            <w:tcMar>
              <w:left w:w="57" w:type="dxa"/>
              <w:right w:w="57" w:type="dxa"/>
            </w:tcMar>
          </w:tcPr>
          <w:p w14:paraId="0D45A1F7" w14:textId="77777777" w:rsidR="00D86455" w:rsidRPr="00363740" w:rsidRDefault="00D86455" w:rsidP="00D86455">
            <w:pPr>
              <w:spacing w:after="60"/>
              <w:jc w:val="right"/>
              <w:rPr>
                <w:sz w:val="18"/>
                <w:lang w:val="en-CA"/>
              </w:rPr>
            </w:pPr>
            <w:r>
              <w:rPr>
                <w:sz w:val="18"/>
                <w:lang w:val="en-CA"/>
              </w:rPr>
              <w:t>0</w:t>
            </w:r>
          </w:p>
        </w:tc>
        <w:tc>
          <w:tcPr>
            <w:tcW w:w="598" w:type="dxa"/>
            <w:shd w:val="clear" w:color="auto" w:fill="auto"/>
            <w:tcMar>
              <w:left w:w="57" w:type="dxa"/>
              <w:right w:w="57" w:type="dxa"/>
            </w:tcMar>
          </w:tcPr>
          <w:p w14:paraId="43633721" w14:textId="77777777" w:rsidR="00D86455" w:rsidRPr="00363740" w:rsidRDefault="00D86455" w:rsidP="00D86455">
            <w:pPr>
              <w:spacing w:after="60"/>
              <w:jc w:val="right"/>
              <w:rPr>
                <w:sz w:val="18"/>
                <w:lang w:val="en-CA"/>
              </w:rPr>
            </w:pPr>
            <w:r>
              <w:rPr>
                <w:sz w:val="18"/>
                <w:lang w:val="en-CA"/>
              </w:rPr>
              <w:t>0</w:t>
            </w:r>
          </w:p>
        </w:tc>
        <w:tc>
          <w:tcPr>
            <w:tcW w:w="901" w:type="dxa"/>
            <w:tcMar>
              <w:left w:w="57" w:type="dxa"/>
              <w:right w:w="57" w:type="dxa"/>
            </w:tcMar>
          </w:tcPr>
          <w:p w14:paraId="5046C1E2" w14:textId="77777777" w:rsidR="00D86455" w:rsidRPr="00363740" w:rsidRDefault="00D86455" w:rsidP="00D86455">
            <w:pPr>
              <w:spacing w:after="60"/>
              <w:jc w:val="right"/>
              <w:rPr>
                <w:sz w:val="18"/>
                <w:lang w:val="en-CA"/>
              </w:rPr>
            </w:pPr>
            <w:r w:rsidRPr="00D86455">
              <w:rPr>
                <w:sz w:val="18"/>
                <w:lang w:val="en-CA"/>
              </w:rPr>
              <w:t>110,500</w:t>
            </w:r>
          </w:p>
        </w:tc>
      </w:tr>
      <w:tr w:rsidR="00D86455" w:rsidRPr="00363740" w14:paraId="2C6C5229" w14:textId="77777777" w:rsidTr="00D86455">
        <w:trPr>
          <w:trHeight w:val="467"/>
        </w:trPr>
        <w:tc>
          <w:tcPr>
            <w:tcW w:w="1841" w:type="dxa"/>
            <w:gridSpan w:val="2"/>
            <w:vMerge w:val="restart"/>
            <w:shd w:val="clear" w:color="auto" w:fill="auto"/>
            <w:tcMar>
              <w:left w:w="57" w:type="dxa"/>
              <w:right w:w="57" w:type="dxa"/>
            </w:tcMar>
          </w:tcPr>
          <w:p w14:paraId="2C35E08B" w14:textId="77777777" w:rsidR="00D86455" w:rsidRPr="00363740" w:rsidRDefault="00D86455" w:rsidP="00D86455">
            <w:pPr>
              <w:spacing w:after="60"/>
              <w:jc w:val="left"/>
              <w:rPr>
                <w:sz w:val="18"/>
                <w:lang w:val="en-CA"/>
              </w:rPr>
            </w:pPr>
            <w:r w:rsidRPr="00363740">
              <w:rPr>
                <w:sz w:val="18"/>
                <w:lang w:val="en-CA"/>
              </w:rPr>
              <w:t>Total funds requested for approval at this meeting (US $)</w:t>
            </w:r>
          </w:p>
        </w:tc>
        <w:tc>
          <w:tcPr>
            <w:tcW w:w="822" w:type="dxa"/>
            <w:shd w:val="clear" w:color="auto" w:fill="auto"/>
            <w:tcMar>
              <w:left w:w="57" w:type="dxa"/>
              <w:right w:w="57" w:type="dxa"/>
            </w:tcMar>
          </w:tcPr>
          <w:p w14:paraId="29F4105C" w14:textId="77777777" w:rsidR="00D86455" w:rsidRPr="00363740" w:rsidRDefault="00D86455" w:rsidP="00D86455">
            <w:pPr>
              <w:spacing w:after="60"/>
              <w:jc w:val="left"/>
              <w:rPr>
                <w:sz w:val="18"/>
                <w:lang w:val="en-CA"/>
              </w:rPr>
            </w:pPr>
            <w:r w:rsidRPr="00363740">
              <w:rPr>
                <w:sz w:val="18"/>
                <w:lang w:val="en-CA"/>
              </w:rPr>
              <w:t>Project costs</w:t>
            </w:r>
          </w:p>
        </w:tc>
        <w:tc>
          <w:tcPr>
            <w:tcW w:w="778" w:type="dxa"/>
            <w:shd w:val="clear" w:color="auto" w:fill="auto"/>
            <w:tcMar>
              <w:left w:w="57" w:type="dxa"/>
              <w:right w:w="57" w:type="dxa"/>
            </w:tcMar>
          </w:tcPr>
          <w:p w14:paraId="1324676D" w14:textId="77777777" w:rsidR="00D86455" w:rsidRPr="00363740" w:rsidRDefault="00D86455" w:rsidP="00D86455">
            <w:pPr>
              <w:spacing w:after="60"/>
              <w:jc w:val="right"/>
              <w:rPr>
                <w:sz w:val="18"/>
                <w:lang w:val="en-CA"/>
              </w:rPr>
            </w:pPr>
            <w:r>
              <w:rPr>
                <w:sz w:val="18"/>
                <w:lang w:val="en-CA"/>
              </w:rPr>
              <w:t>0</w:t>
            </w:r>
          </w:p>
        </w:tc>
        <w:tc>
          <w:tcPr>
            <w:tcW w:w="778" w:type="dxa"/>
            <w:shd w:val="clear" w:color="auto" w:fill="auto"/>
            <w:tcMar>
              <w:left w:w="57" w:type="dxa"/>
              <w:right w:w="57" w:type="dxa"/>
            </w:tcMar>
          </w:tcPr>
          <w:p w14:paraId="76A07771" w14:textId="77777777" w:rsidR="00D86455" w:rsidRPr="00363740" w:rsidRDefault="00D86455" w:rsidP="00D86455">
            <w:pPr>
              <w:spacing w:after="60"/>
              <w:jc w:val="right"/>
              <w:rPr>
                <w:sz w:val="18"/>
                <w:lang w:val="en-CA"/>
              </w:rPr>
            </w:pPr>
            <w:r>
              <w:rPr>
                <w:sz w:val="18"/>
                <w:lang w:val="en-CA"/>
              </w:rPr>
              <w:t>0</w:t>
            </w:r>
          </w:p>
        </w:tc>
        <w:tc>
          <w:tcPr>
            <w:tcW w:w="778" w:type="dxa"/>
            <w:shd w:val="clear" w:color="auto" w:fill="auto"/>
            <w:tcMar>
              <w:left w:w="57" w:type="dxa"/>
              <w:right w:w="57" w:type="dxa"/>
            </w:tcMar>
          </w:tcPr>
          <w:p w14:paraId="051328C2" w14:textId="77777777" w:rsidR="00D86455" w:rsidRPr="00363740" w:rsidRDefault="00D86455" w:rsidP="00D86455">
            <w:pPr>
              <w:spacing w:after="60"/>
              <w:jc w:val="right"/>
              <w:rPr>
                <w:sz w:val="18"/>
                <w:lang w:val="en-CA"/>
              </w:rPr>
            </w:pPr>
            <w:r>
              <w:rPr>
                <w:sz w:val="18"/>
                <w:lang w:val="en-CA"/>
              </w:rPr>
              <w:t>0</w:t>
            </w:r>
          </w:p>
        </w:tc>
        <w:tc>
          <w:tcPr>
            <w:tcW w:w="598" w:type="dxa"/>
            <w:shd w:val="clear" w:color="auto" w:fill="auto"/>
            <w:tcMar>
              <w:left w:w="57" w:type="dxa"/>
              <w:right w:w="57" w:type="dxa"/>
            </w:tcMar>
          </w:tcPr>
          <w:p w14:paraId="4B0F53F2" w14:textId="77777777" w:rsidR="00D86455" w:rsidRPr="00363740" w:rsidRDefault="00D86455" w:rsidP="00D86455">
            <w:pPr>
              <w:spacing w:after="60"/>
              <w:jc w:val="right"/>
              <w:rPr>
                <w:sz w:val="18"/>
                <w:lang w:val="en-CA"/>
              </w:rPr>
            </w:pPr>
            <w:r>
              <w:rPr>
                <w:sz w:val="18"/>
                <w:lang w:val="en-CA"/>
              </w:rPr>
              <w:t>0</w:t>
            </w:r>
          </w:p>
        </w:tc>
        <w:tc>
          <w:tcPr>
            <w:tcW w:w="778" w:type="dxa"/>
            <w:shd w:val="clear" w:color="auto" w:fill="auto"/>
            <w:tcMar>
              <w:left w:w="57" w:type="dxa"/>
              <w:right w:w="57" w:type="dxa"/>
            </w:tcMar>
          </w:tcPr>
          <w:p w14:paraId="261450F8" w14:textId="77777777" w:rsidR="00D86455" w:rsidRPr="00363740" w:rsidRDefault="00D86455" w:rsidP="00D86455">
            <w:pPr>
              <w:spacing w:after="60"/>
              <w:jc w:val="right"/>
              <w:rPr>
                <w:sz w:val="18"/>
                <w:lang w:val="en-CA"/>
              </w:rPr>
            </w:pPr>
            <w:r>
              <w:rPr>
                <w:sz w:val="18"/>
                <w:lang w:val="en-CA"/>
              </w:rPr>
              <w:t>0</w:t>
            </w:r>
          </w:p>
        </w:tc>
        <w:tc>
          <w:tcPr>
            <w:tcW w:w="598" w:type="dxa"/>
            <w:shd w:val="clear" w:color="auto" w:fill="auto"/>
            <w:tcMar>
              <w:left w:w="57" w:type="dxa"/>
              <w:right w:w="57" w:type="dxa"/>
            </w:tcMar>
          </w:tcPr>
          <w:p w14:paraId="7472FCB4" w14:textId="77777777" w:rsidR="00D86455" w:rsidRPr="00363740" w:rsidRDefault="00D86455" w:rsidP="00D86455">
            <w:pPr>
              <w:spacing w:after="60"/>
              <w:jc w:val="right"/>
              <w:rPr>
                <w:sz w:val="18"/>
                <w:lang w:val="en-CA"/>
              </w:rPr>
            </w:pPr>
            <w:r>
              <w:rPr>
                <w:sz w:val="18"/>
                <w:lang w:val="en-CA"/>
              </w:rPr>
              <w:t>0</w:t>
            </w:r>
          </w:p>
        </w:tc>
        <w:tc>
          <w:tcPr>
            <w:tcW w:w="771" w:type="dxa"/>
            <w:shd w:val="clear" w:color="auto" w:fill="auto"/>
            <w:tcMar>
              <w:left w:w="57" w:type="dxa"/>
              <w:right w:w="57" w:type="dxa"/>
            </w:tcMar>
          </w:tcPr>
          <w:p w14:paraId="7A557195" w14:textId="77777777" w:rsidR="00D86455" w:rsidRPr="00363740" w:rsidRDefault="00D86455" w:rsidP="00D86455">
            <w:pPr>
              <w:keepNext/>
              <w:keepLines/>
              <w:jc w:val="right"/>
              <w:rPr>
                <w:sz w:val="18"/>
                <w:szCs w:val="18"/>
                <w:lang w:val="en-CA"/>
              </w:rPr>
            </w:pPr>
            <w:r>
              <w:rPr>
                <w:sz w:val="18"/>
                <w:szCs w:val="18"/>
                <w:lang w:val="en-CA"/>
              </w:rPr>
              <w:t>0</w:t>
            </w:r>
          </w:p>
        </w:tc>
        <w:tc>
          <w:tcPr>
            <w:tcW w:w="771" w:type="dxa"/>
            <w:shd w:val="clear" w:color="auto" w:fill="auto"/>
            <w:tcMar>
              <w:left w:w="57" w:type="dxa"/>
              <w:right w:w="57" w:type="dxa"/>
            </w:tcMar>
          </w:tcPr>
          <w:p w14:paraId="3AF36C6C" w14:textId="77777777" w:rsidR="00D86455" w:rsidRPr="00D86455" w:rsidRDefault="00D86455" w:rsidP="00D86455">
            <w:pPr>
              <w:spacing w:after="60"/>
              <w:jc w:val="right"/>
              <w:rPr>
                <w:b/>
                <w:sz w:val="18"/>
                <w:lang w:val="en-CA"/>
              </w:rPr>
            </w:pPr>
            <w:r w:rsidRPr="00D86455">
              <w:rPr>
                <w:b/>
                <w:sz w:val="18"/>
                <w:lang w:val="en-CA"/>
              </w:rPr>
              <w:t>121,311</w:t>
            </w:r>
          </w:p>
        </w:tc>
        <w:tc>
          <w:tcPr>
            <w:tcW w:w="598" w:type="dxa"/>
            <w:shd w:val="clear" w:color="auto" w:fill="auto"/>
            <w:tcMar>
              <w:left w:w="57" w:type="dxa"/>
              <w:right w:w="57" w:type="dxa"/>
            </w:tcMar>
          </w:tcPr>
          <w:p w14:paraId="2793387D" w14:textId="77777777" w:rsidR="00D86455" w:rsidRPr="00363740" w:rsidRDefault="00D86455" w:rsidP="00D86455">
            <w:pPr>
              <w:spacing w:after="60"/>
              <w:jc w:val="right"/>
              <w:rPr>
                <w:sz w:val="18"/>
                <w:lang w:val="en-CA"/>
              </w:rPr>
            </w:pPr>
            <w:r>
              <w:rPr>
                <w:sz w:val="18"/>
                <w:lang w:val="en-CA"/>
              </w:rPr>
              <w:t>0</w:t>
            </w:r>
          </w:p>
        </w:tc>
        <w:tc>
          <w:tcPr>
            <w:tcW w:w="901" w:type="dxa"/>
            <w:tcMar>
              <w:left w:w="57" w:type="dxa"/>
              <w:right w:w="57" w:type="dxa"/>
            </w:tcMar>
          </w:tcPr>
          <w:p w14:paraId="55EAD14D" w14:textId="77777777" w:rsidR="00D86455" w:rsidRPr="00D86455" w:rsidRDefault="00D86455" w:rsidP="00D86455">
            <w:pPr>
              <w:spacing w:after="60"/>
              <w:jc w:val="right"/>
              <w:rPr>
                <w:b/>
                <w:sz w:val="18"/>
                <w:lang w:val="en-CA"/>
              </w:rPr>
            </w:pPr>
            <w:r w:rsidRPr="00D86455">
              <w:rPr>
                <w:b/>
                <w:sz w:val="18"/>
                <w:lang w:val="en-CA"/>
              </w:rPr>
              <w:t>121,311</w:t>
            </w:r>
          </w:p>
        </w:tc>
      </w:tr>
      <w:tr w:rsidR="00D86455" w:rsidRPr="00363740" w14:paraId="6FE6F115" w14:textId="77777777" w:rsidTr="00D86455">
        <w:trPr>
          <w:trHeight w:val="475"/>
        </w:trPr>
        <w:tc>
          <w:tcPr>
            <w:tcW w:w="1841" w:type="dxa"/>
            <w:gridSpan w:val="2"/>
            <w:vMerge/>
            <w:shd w:val="clear" w:color="auto" w:fill="auto"/>
            <w:tcMar>
              <w:left w:w="57" w:type="dxa"/>
              <w:right w:w="57" w:type="dxa"/>
            </w:tcMar>
          </w:tcPr>
          <w:p w14:paraId="5298CAE8" w14:textId="77777777" w:rsidR="00D86455" w:rsidRPr="00363740" w:rsidRDefault="00D86455" w:rsidP="00D86455">
            <w:pPr>
              <w:spacing w:after="60"/>
              <w:jc w:val="center"/>
              <w:rPr>
                <w:sz w:val="18"/>
                <w:lang w:val="en-CA"/>
              </w:rPr>
            </w:pPr>
          </w:p>
        </w:tc>
        <w:tc>
          <w:tcPr>
            <w:tcW w:w="822" w:type="dxa"/>
            <w:shd w:val="clear" w:color="auto" w:fill="auto"/>
            <w:tcMar>
              <w:left w:w="57" w:type="dxa"/>
              <w:right w:w="57" w:type="dxa"/>
            </w:tcMar>
          </w:tcPr>
          <w:p w14:paraId="4AAD0238" w14:textId="77777777" w:rsidR="00D86455" w:rsidRPr="00363740" w:rsidRDefault="00D86455" w:rsidP="00D86455">
            <w:pPr>
              <w:spacing w:after="60"/>
              <w:jc w:val="left"/>
              <w:rPr>
                <w:sz w:val="18"/>
                <w:lang w:val="en-CA"/>
              </w:rPr>
            </w:pPr>
            <w:r w:rsidRPr="00363740">
              <w:rPr>
                <w:sz w:val="18"/>
                <w:lang w:val="en-CA"/>
              </w:rPr>
              <w:t>Support costs</w:t>
            </w:r>
          </w:p>
        </w:tc>
        <w:tc>
          <w:tcPr>
            <w:tcW w:w="778" w:type="dxa"/>
            <w:shd w:val="clear" w:color="auto" w:fill="auto"/>
            <w:tcMar>
              <w:left w:w="57" w:type="dxa"/>
              <w:right w:w="57" w:type="dxa"/>
            </w:tcMar>
          </w:tcPr>
          <w:p w14:paraId="6A3AF34F" w14:textId="77777777" w:rsidR="00D86455" w:rsidRPr="00363740" w:rsidRDefault="00D86455" w:rsidP="00D86455">
            <w:pPr>
              <w:spacing w:after="60"/>
              <w:jc w:val="right"/>
              <w:rPr>
                <w:sz w:val="18"/>
                <w:lang w:val="en-CA"/>
              </w:rPr>
            </w:pPr>
            <w:r>
              <w:rPr>
                <w:sz w:val="18"/>
                <w:lang w:val="en-CA"/>
              </w:rPr>
              <w:t>0</w:t>
            </w:r>
          </w:p>
        </w:tc>
        <w:tc>
          <w:tcPr>
            <w:tcW w:w="778" w:type="dxa"/>
            <w:shd w:val="clear" w:color="auto" w:fill="auto"/>
            <w:tcMar>
              <w:left w:w="57" w:type="dxa"/>
              <w:right w:w="57" w:type="dxa"/>
            </w:tcMar>
          </w:tcPr>
          <w:p w14:paraId="72951D26" w14:textId="77777777" w:rsidR="00D86455" w:rsidRPr="00363740" w:rsidRDefault="00D86455" w:rsidP="00D86455">
            <w:pPr>
              <w:spacing w:after="60"/>
              <w:jc w:val="right"/>
              <w:rPr>
                <w:sz w:val="18"/>
                <w:lang w:val="en-CA"/>
              </w:rPr>
            </w:pPr>
            <w:r>
              <w:rPr>
                <w:sz w:val="18"/>
                <w:lang w:val="en-CA"/>
              </w:rPr>
              <w:t>0</w:t>
            </w:r>
          </w:p>
        </w:tc>
        <w:tc>
          <w:tcPr>
            <w:tcW w:w="778" w:type="dxa"/>
            <w:shd w:val="clear" w:color="auto" w:fill="auto"/>
            <w:tcMar>
              <w:left w:w="57" w:type="dxa"/>
              <w:right w:w="57" w:type="dxa"/>
            </w:tcMar>
          </w:tcPr>
          <w:p w14:paraId="5D8C39E2" w14:textId="77777777" w:rsidR="00D86455" w:rsidRPr="00363740" w:rsidRDefault="00D86455" w:rsidP="00D86455">
            <w:pPr>
              <w:spacing w:after="60"/>
              <w:jc w:val="right"/>
              <w:rPr>
                <w:sz w:val="18"/>
                <w:lang w:val="en-CA"/>
              </w:rPr>
            </w:pPr>
            <w:r>
              <w:rPr>
                <w:sz w:val="18"/>
                <w:lang w:val="en-CA"/>
              </w:rPr>
              <w:t>0</w:t>
            </w:r>
          </w:p>
        </w:tc>
        <w:tc>
          <w:tcPr>
            <w:tcW w:w="598" w:type="dxa"/>
            <w:shd w:val="clear" w:color="auto" w:fill="auto"/>
            <w:tcMar>
              <w:left w:w="57" w:type="dxa"/>
              <w:right w:w="57" w:type="dxa"/>
            </w:tcMar>
          </w:tcPr>
          <w:p w14:paraId="67956F56" w14:textId="77777777" w:rsidR="00D86455" w:rsidRPr="00363740" w:rsidRDefault="00D86455" w:rsidP="00D86455">
            <w:pPr>
              <w:spacing w:after="60"/>
              <w:jc w:val="right"/>
              <w:rPr>
                <w:sz w:val="18"/>
                <w:lang w:val="en-CA"/>
              </w:rPr>
            </w:pPr>
            <w:r>
              <w:rPr>
                <w:sz w:val="18"/>
                <w:lang w:val="en-CA"/>
              </w:rPr>
              <w:t>0</w:t>
            </w:r>
          </w:p>
        </w:tc>
        <w:tc>
          <w:tcPr>
            <w:tcW w:w="778" w:type="dxa"/>
            <w:shd w:val="clear" w:color="auto" w:fill="auto"/>
            <w:tcMar>
              <w:left w:w="57" w:type="dxa"/>
              <w:right w:w="57" w:type="dxa"/>
            </w:tcMar>
          </w:tcPr>
          <w:p w14:paraId="6ADD2715" w14:textId="77777777" w:rsidR="00D86455" w:rsidRPr="00363740" w:rsidRDefault="00D86455" w:rsidP="00D86455">
            <w:pPr>
              <w:spacing w:after="60"/>
              <w:jc w:val="right"/>
              <w:rPr>
                <w:sz w:val="18"/>
                <w:lang w:val="en-CA"/>
              </w:rPr>
            </w:pPr>
            <w:r>
              <w:rPr>
                <w:sz w:val="18"/>
                <w:lang w:val="en-CA"/>
              </w:rPr>
              <w:t>0</w:t>
            </w:r>
          </w:p>
        </w:tc>
        <w:tc>
          <w:tcPr>
            <w:tcW w:w="598" w:type="dxa"/>
            <w:shd w:val="clear" w:color="auto" w:fill="auto"/>
            <w:tcMar>
              <w:left w:w="57" w:type="dxa"/>
              <w:right w:w="57" w:type="dxa"/>
            </w:tcMar>
          </w:tcPr>
          <w:p w14:paraId="41313F99" w14:textId="77777777" w:rsidR="00D86455" w:rsidRPr="00363740" w:rsidRDefault="00D86455" w:rsidP="00D86455">
            <w:pPr>
              <w:spacing w:after="60"/>
              <w:jc w:val="right"/>
              <w:rPr>
                <w:sz w:val="18"/>
                <w:lang w:val="en-CA"/>
              </w:rPr>
            </w:pPr>
            <w:r>
              <w:rPr>
                <w:sz w:val="18"/>
                <w:lang w:val="en-CA"/>
              </w:rPr>
              <w:t>0</w:t>
            </w:r>
          </w:p>
        </w:tc>
        <w:tc>
          <w:tcPr>
            <w:tcW w:w="771" w:type="dxa"/>
            <w:shd w:val="clear" w:color="auto" w:fill="auto"/>
            <w:tcMar>
              <w:left w:w="57" w:type="dxa"/>
              <w:right w:w="57" w:type="dxa"/>
            </w:tcMar>
          </w:tcPr>
          <w:p w14:paraId="1961AAE0" w14:textId="77777777" w:rsidR="00D86455" w:rsidRPr="00363740" w:rsidRDefault="00D86455" w:rsidP="00D86455">
            <w:pPr>
              <w:keepNext/>
              <w:keepLines/>
              <w:jc w:val="right"/>
              <w:rPr>
                <w:sz w:val="18"/>
                <w:szCs w:val="18"/>
                <w:lang w:val="en-CA"/>
              </w:rPr>
            </w:pPr>
            <w:r>
              <w:rPr>
                <w:sz w:val="18"/>
                <w:szCs w:val="18"/>
                <w:lang w:val="en-CA"/>
              </w:rPr>
              <w:t>0</w:t>
            </w:r>
          </w:p>
        </w:tc>
        <w:tc>
          <w:tcPr>
            <w:tcW w:w="771" w:type="dxa"/>
            <w:shd w:val="clear" w:color="auto" w:fill="auto"/>
            <w:tcMar>
              <w:left w:w="57" w:type="dxa"/>
              <w:right w:w="57" w:type="dxa"/>
            </w:tcMar>
          </w:tcPr>
          <w:p w14:paraId="52E50221" w14:textId="77777777" w:rsidR="00D86455" w:rsidRPr="00D86455" w:rsidRDefault="00D86455" w:rsidP="00D86455">
            <w:pPr>
              <w:spacing w:after="60"/>
              <w:jc w:val="right"/>
              <w:rPr>
                <w:b/>
                <w:sz w:val="18"/>
                <w:lang w:val="en-CA"/>
              </w:rPr>
            </w:pPr>
            <w:r w:rsidRPr="00D86455">
              <w:rPr>
                <w:b/>
                <w:sz w:val="18"/>
                <w:lang w:val="en-CA"/>
              </w:rPr>
              <w:t>9,098</w:t>
            </w:r>
          </w:p>
        </w:tc>
        <w:tc>
          <w:tcPr>
            <w:tcW w:w="598" w:type="dxa"/>
            <w:shd w:val="clear" w:color="auto" w:fill="auto"/>
            <w:tcMar>
              <w:left w:w="57" w:type="dxa"/>
              <w:right w:w="57" w:type="dxa"/>
            </w:tcMar>
          </w:tcPr>
          <w:p w14:paraId="368F9304" w14:textId="77777777" w:rsidR="00D86455" w:rsidRPr="00363740" w:rsidRDefault="00D86455" w:rsidP="00D86455">
            <w:pPr>
              <w:spacing w:after="60"/>
              <w:jc w:val="right"/>
              <w:rPr>
                <w:sz w:val="18"/>
                <w:lang w:val="en-CA"/>
              </w:rPr>
            </w:pPr>
            <w:r>
              <w:rPr>
                <w:sz w:val="18"/>
                <w:lang w:val="en-CA"/>
              </w:rPr>
              <w:t>0</w:t>
            </w:r>
          </w:p>
        </w:tc>
        <w:tc>
          <w:tcPr>
            <w:tcW w:w="901" w:type="dxa"/>
            <w:tcMar>
              <w:left w:w="57" w:type="dxa"/>
              <w:right w:w="57" w:type="dxa"/>
            </w:tcMar>
          </w:tcPr>
          <w:p w14:paraId="3D07D0ED" w14:textId="77777777" w:rsidR="00D86455" w:rsidRPr="00D86455" w:rsidRDefault="00D86455" w:rsidP="00D86455">
            <w:pPr>
              <w:spacing w:after="60"/>
              <w:jc w:val="right"/>
              <w:rPr>
                <w:b/>
                <w:sz w:val="18"/>
                <w:lang w:val="en-CA"/>
              </w:rPr>
            </w:pPr>
            <w:r w:rsidRPr="00D86455">
              <w:rPr>
                <w:b/>
                <w:sz w:val="18"/>
                <w:lang w:val="en-CA"/>
              </w:rPr>
              <w:t>9,098</w:t>
            </w:r>
          </w:p>
        </w:tc>
      </w:tr>
    </w:tbl>
    <w:p w14:paraId="09BB9C6E" w14:textId="77777777" w:rsidR="00521370" w:rsidRDefault="00521370" w:rsidP="00521370">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521370" w:rsidRPr="00521370" w14:paraId="31FB7549" w14:textId="77777777" w:rsidTr="00521370">
        <w:trPr>
          <w:trHeight w:val="240"/>
        </w:trPr>
        <w:tc>
          <w:tcPr>
            <w:tcW w:w="3000" w:type="dxa"/>
            <w:shd w:val="clear" w:color="auto" w:fill="auto"/>
          </w:tcPr>
          <w:p w14:paraId="7D6CEDB7" w14:textId="77777777" w:rsidR="00521370" w:rsidRPr="00521370" w:rsidRDefault="00521370" w:rsidP="00521370">
            <w:pPr>
              <w:spacing w:after="60"/>
              <w:jc w:val="left"/>
              <w:rPr>
                <w:b/>
                <w:sz w:val="18"/>
                <w:lang w:val="en-CA"/>
              </w:rPr>
            </w:pPr>
            <w:r w:rsidRPr="00521370">
              <w:rPr>
                <w:b/>
                <w:sz w:val="18"/>
                <w:lang w:val="en-CA"/>
              </w:rPr>
              <w:t>Secretariat's recommendation:</w:t>
            </w:r>
          </w:p>
        </w:tc>
        <w:tc>
          <w:tcPr>
            <w:tcW w:w="7000" w:type="dxa"/>
            <w:shd w:val="clear" w:color="auto" w:fill="auto"/>
          </w:tcPr>
          <w:p w14:paraId="56E889CE" w14:textId="77777777" w:rsidR="00521370" w:rsidRPr="00521370" w:rsidRDefault="00284091" w:rsidP="00521370">
            <w:pPr>
              <w:spacing w:after="60"/>
              <w:jc w:val="center"/>
              <w:rPr>
                <w:sz w:val="18"/>
                <w:lang w:val="en-CA"/>
              </w:rPr>
            </w:pPr>
            <w:r>
              <w:rPr>
                <w:sz w:val="18"/>
                <w:lang w:val="en-CA"/>
              </w:rPr>
              <w:t>Blanket approval</w:t>
            </w:r>
          </w:p>
        </w:tc>
      </w:tr>
    </w:tbl>
    <w:p w14:paraId="16CF3602" w14:textId="77777777" w:rsidR="00255CDE" w:rsidRPr="00FE3307" w:rsidRDefault="00255CDE" w:rsidP="00255CDE">
      <w:pPr>
        <w:rPr>
          <w:lang w:val="en-CA"/>
        </w:rPr>
      </w:pPr>
      <w:r w:rsidRPr="00FE3307">
        <w:rPr>
          <w:lang w:val="en-CA"/>
        </w:rPr>
        <w:br w:type="page"/>
      </w:r>
    </w:p>
    <w:p w14:paraId="26579EF4" w14:textId="77777777" w:rsidR="00255CDE" w:rsidRDefault="00255CDE" w:rsidP="00255CDE">
      <w:pPr>
        <w:jc w:val="center"/>
        <w:rPr>
          <w:b/>
          <w:lang w:val="en-CA"/>
        </w:rPr>
      </w:pPr>
      <w:r w:rsidRPr="00FE3307">
        <w:rPr>
          <w:b/>
          <w:lang w:val="en-CA"/>
        </w:rPr>
        <w:lastRenderedPageBreak/>
        <w:t>PROJECT DESCRIPTION</w:t>
      </w:r>
    </w:p>
    <w:p w14:paraId="0A79C146" w14:textId="77777777" w:rsidR="00007030" w:rsidRDefault="00007030" w:rsidP="00255CDE">
      <w:pPr>
        <w:jc w:val="center"/>
        <w:rPr>
          <w:b/>
          <w:lang w:val="en-CA"/>
        </w:rPr>
      </w:pPr>
    </w:p>
    <w:p w14:paraId="7BF84A9B" w14:textId="06642806" w:rsidR="00255CDE" w:rsidRPr="00FE3307" w:rsidRDefault="00255CDE" w:rsidP="0075475D">
      <w:pPr>
        <w:pStyle w:val="Heading1"/>
        <w:rPr>
          <w:lang w:val="en-CA"/>
        </w:rPr>
      </w:pPr>
      <w:r w:rsidRPr="00FE3307">
        <w:rPr>
          <w:lang w:val="en-CA"/>
        </w:rPr>
        <w:t>On behalf of the Government of</w:t>
      </w:r>
      <w:r w:rsidR="0075475D">
        <w:rPr>
          <w:lang w:val="en-CA"/>
        </w:rPr>
        <w:t xml:space="preserve"> Ghana</w:t>
      </w:r>
      <w:r w:rsidRPr="00FE3307">
        <w:rPr>
          <w:lang w:val="en-CA"/>
        </w:rPr>
        <w:t xml:space="preserve">, </w:t>
      </w:r>
      <w:r w:rsidR="0075475D">
        <w:rPr>
          <w:lang w:val="en-CA"/>
        </w:rPr>
        <w:t>UNDP</w:t>
      </w:r>
      <w:r w:rsidRPr="00FE3307">
        <w:rPr>
          <w:lang w:val="en-CA"/>
        </w:rPr>
        <w:t xml:space="preserve"> as the lead  implementing agency has submitted a request for funding for the </w:t>
      </w:r>
      <w:r w:rsidR="00395798">
        <w:rPr>
          <w:lang w:val="en-CA"/>
        </w:rPr>
        <w:t>sixth</w:t>
      </w:r>
      <w:r w:rsidR="0075475D" w:rsidRPr="00B16F58">
        <w:rPr>
          <w:lang w:val="en-CA"/>
        </w:rPr>
        <w:t xml:space="preserve"> </w:t>
      </w:r>
      <w:r w:rsidR="005737DB">
        <w:rPr>
          <w:lang w:val="en-CA"/>
        </w:rPr>
        <w:t>and</w:t>
      </w:r>
      <w:r w:rsidR="005737DB" w:rsidRPr="00B16F58">
        <w:rPr>
          <w:lang w:val="en-CA"/>
        </w:rPr>
        <w:t xml:space="preserve"> </w:t>
      </w:r>
      <w:r w:rsidRPr="00B16F58">
        <w:rPr>
          <w:lang w:val="en-CA"/>
        </w:rPr>
        <w:t>final</w:t>
      </w:r>
      <w:r w:rsidR="0075475D" w:rsidRPr="00B16F58">
        <w:rPr>
          <w:lang w:val="en-CA"/>
        </w:rPr>
        <w:t xml:space="preserve"> </w:t>
      </w:r>
      <w:r w:rsidRPr="00B16F58">
        <w:rPr>
          <w:lang w:val="en-CA"/>
        </w:rPr>
        <w:t>tranche</w:t>
      </w:r>
      <w:r w:rsidRPr="00FE3307">
        <w:rPr>
          <w:lang w:val="en-CA"/>
        </w:rPr>
        <w:t xml:space="preserve"> of stage I</w:t>
      </w:r>
      <w:r w:rsidR="0075475D">
        <w:rPr>
          <w:lang w:val="en-CA"/>
        </w:rPr>
        <w:t xml:space="preserve"> </w:t>
      </w:r>
      <w:r w:rsidRPr="00FE3307">
        <w:rPr>
          <w:lang w:val="en-CA"/>
        </w:rPr>
        <w:t>of the HCFC phase-out management plan (HPMP) at the amount of US $</w:t>
      </w:r>
      <w:r w:rsidR="0075475D" w:rsidRPr="0075475D">
        <w:rPr>
          <w:lang w:val="en-CA"/>
        </w:rPr>
        <w:t>121,311</w:t>
      </w:r>
      <w:r w:rsidR="00D913BD">
        <w:rPr>
          <w:lang w:val="en-CA"/>
        </w:rPr>
        <w:t>,</w:t>
      </w:r>
      <w:r w:rsidRPr="00FE3307">
        <w:rPr>
          <w:lang w:val="en-CA"/>
        </w:rPr>
        <w:t xml:space="preserve"> plus agency support costs of US $</w:t>
      </w:r>
      <w:r w:rsidR="0075475D" w:rsidRPr="0075475D">
        <w:rPr>
          <w:lang w:val="en-CA"/>
        </w:rPr>
        <w:t>9,098</w:t>
      </w:r>
      <w:r w:rsidRPr="00FE3307">
        <w:rPr>
          <w:lang w:val="en-CA"/>
        </w:rPr>
        <w:t xml:space="preserve"> for </w:t>
      </w:r>
      <w:r w:rsidR="0075475D">
        <w:rPr>
          <w:lang w:val="en-CA"/>
        </w:rPr>
        <w:t>UNDP</w:t>
      </w:r>
      <w:r w:rsidRPr="00FE3307">
        <w:rPr>
          <w:lang w:val="en-CA"/>
        </w:rPr>
        <w:t xml:space="preserve"> only</w:t>
      </w:r>
      <w:r w:rsidRPr="006E3BBB">
        <w:rPr>
          <w:lang w:val="en-CA"/>
        </w:rPr>
        <w:t>.</w:t>
      </w:r>
      <w:r w:rsidRPr="006E3BBB">
        <w:rPr>
          <w:rStyle w:val="FootnoteReference"/>
          <w:lang w:val="en-CA"/>
        </w:rPr>
        <w:footnoteReference w:id="1"/>
      </w:r>
      <w:r w:rsidRPr="006E3BBB">
        <w:rPr>
          <w:lang w:val="en-CA"/>
        </w:rPr>
        <w:t xml:space="preserve"> T</w:t>
      </w:r>
      <w:r w:rsidRPr="00FE3307">
        <w:rPr>
          <w:lang w:val="en-CA"/>
        </w:rPr>
        <w:t xml:space="preserve">he submission includes a progress report on the implementation of the </w:t>
      </w:r>
      <w:r w:rsidR="0075475D">
        <w:rPr>
          <w:lang w:val="en-CA"/>
        </w:rPr>
        <w:t>fifth</w:t>
      </w:r>
      <w:r w:rsidR="004F29CD">
        <w:rPr>
          <w:lang w:val="en-CA"/>
        </w:rPr>
        <w:t xml:space="preserve"> tranche</w:t>
      </w:r>
      <w:r w:rsidRPr="004F29CD">
        <w:rPr>
          <w:lang w:val="en-CA"/>
        </w:rPr>
        <w:t xml:space="preserve">, the verification </w:t>
      </w:r>
      <w:r w:rsidR="004F29CD">
        <w:rPr>
          <w:lang w:val="en-CA"/>
        </w:rPr>
        <w:t xml:space="preserve">report on HCFC consumption for </w:t>
      </w:r>
      <w:r w:rsidRPr="004F29CD">
        <w:rPr>
          <w:lang w:val="en-CA"/>
        </w:rPr>
        <w:t>2018</w:t>
      </w:r>
      <w:r w:rsidR="004F29CD">
        <w:rPr>
          <w:lang w:val="en-CA"/>
        </w:rPr>
        <w:t xml:space="preserve"> </w:t>
      </w:r>
      <w:r w:rsidRPr="00FE3307">
        <w:rPr>
          <w:lang w:val="en-CA"/>
        </w:rPr>
        <w:t>and the tranche implementation plan for 2019 to 20</w:t>
      </w:r>
      <w:r w:rsidR="004F29CD">
        <w:rPr>
          <w:lang w:val="en-CA"/>
        </w:rPr>
        <w:t>2</w:t>
      </w:r>
      <w:r w:rsidR="00AA6804">
        <w:rPr>
          <w:lang w:val="en-CA"/>
        </w:rPr>
        <w:t>1</w:t>
      </w:r>
      <w:r w:rsidRPr="00FE3307">
        <w:rPr>
          <w:lang w:val="en-CA"/>
        </w:rPr>
        <w:t>.</w:t>
      </w:r>
    </w:p>
    <w:p w14:paraId="7F5314A4" w14:textId="77777777" w:rsidR="00255CDE" w:rsidRPr="00FE3307" w:rsidRDefault="00255CDE" w:rsidP="00255CDE">
      <w:pPr>
        <w:rPr>
          <w:u w:val="single"/>
          <w:lang w:val="en-CA"/>
        </w:rPr>
      </w:pPr>
      <w:r w:rsidRPr="00FE3307">
        <w:rPr>
          <w:u w:val="single"/>
          <w:lang w:val="en-CA"/>
        </w:rPr>
        <w:t>Report on HCFC consumption</w:t>
      </w:r>
    </w:p>
    <w:p w14:paraId="314BCCFE" w14:textId="77777777" w:rsidR="00255CDE" w:rsidRPr="00FE3307" w:rsidRDefault="00255CDE" w:rsidP="00255CDE">
      <w:pPr>
        <w:rPr>
          <w:lang w:val="en-CA"/>
        </w:rPr>
      </w:pPr>
    </w:p>
    <w:p w14:paraId="4403F807" w14:textId="6E308D8B" w:rsidR="00255CDE" w:rsidRPr="00FE3307" w:rsidRDefault="00255CDE" w:rsidP="00255CDE">
      <w:pPr>
        <w:pStyle w:val="Heading1"/>
        <w:rPr>
          <w:lang w:val="en-CA"/>
        </w:rPr>
      </w:pPr>
      <w:r w:rsidRPr="00FE3307">
        <w:rPr>
          <w:lang w:val="en-CA"/>
        </w:rPr>
        <w:t xml:space="preserve">The Government of </w:t>
      </w:r>
      <w:r w:rsidR="00375A36">
        <w:rPr>
          <w:lang w:val="en-CA"/>
        </w:rPr>
        <w:t>Ghana</w:t>
      </w:r>
      <w:r w:rsidRPr="00FE3307">
        <w:rPr>
          <w:lang w:val="en-CA"/>
        </w:rPr>
        <w:t xml:space="preserve"> reported a consumption of </w:t>
      </w:r>
      <w:r w:rsidR="00B76FFD">
        <w:rPr>
          <w:lang w:val="en-CA"/>
        </w:rPr>
        <w:t>17.84</w:t>
      </w:r>
      <w:r w:rsidRPr="00FE3307">
        <w:rPr>
          <w:lang w:val="en-CA"/>
        </w:rPr>
        <w:t> ODP tonnes of HCFC</w:t>
      </w:r>
      <w:r w:rsidR="007710E4">
        <w:rPr>
          <w:lang w:val="en-CA"/>
        </w:rPr>
        <w:t>s</w:t>
      </w:r>
      <w:r w:rsidRPr="00FE3307">
        <w:rPr>
          <w:lang w:val="en-CA"/>
        </w:rPr>
        <w:t xml:space="preserve"> in </w:t>
      </w:r>
      <w:r w:rsidRPr="00FE6954">
        <w:rPr>
          <w:lang w:val="en-CA"/>
        </w:rPr>
        <w:t>2018</w:t>
      </w:r>
      <w:r w:rsidRPr="00FE3307">
        <w:rPr>
          <w:lang w:val="en-CA"/>
        </w:rPr>
        <w:t xml:space="preserve">, which is </w:t>
      </w:r>
      <w:r w:rsidR="00CD2467">
        <w:rPr>
          <w:lang w:val="en-CA"/>
        </w:rPr>
        <w:t>69</w:t>
      </w:r>
      <w:r w:rsidRPr="00FE3307">
        <w:rPr>
          <w:lang w:val="en-CA"/>
        </w:rPr>
        <w:t xml:space="preserve"> per cent below the HCFC baseline for compliance. The 2014-2018 HCFC consumption is shown in Table 1.  </w:t>
      </w:r>
    </w:p>
    <w:p w14:paraId="674EF085" w14:textId="77777777" w:rsidR="00255CDE" w:rsidRPr="00FE3307" w:rsidRDefault="00255CDE" w:rsidP="00255CDE">
      <w:pPr>
        <w:rPr>
          <w:b/>
          <w:lang w:val="en-CA"/>
        </w:rPr>
      </w:pPr>
      <w:r w:rsidRPr="00FE3307">
        <w:rPr>
          <w:b/>
          <w:lang w:val="en-CA"/>
        </w:rPr>
        <w:t>Table 1. HCFC consumption in</w:t>
      </w:r>
      <w:r w:rsidR="00CD51DF">
        <w:rPr>
          <w:b/>
          <w:lang w:val="en-CA"/>
        </w:rPr>
        <w:t xml:space="preserve"> Ghana</w:t>
      </w:r>
      <w:r w:rsidRPr="00FE3307">
        <w:rPr>
          <w:b/>
          <w:lang w:val="en-CA"/>
        </w:rPr>
        <w:t xml:space="preserve"> (2014-2018 Article 7 data)</w:t>
      </w:r>
    </w:p>
    <w:tbl>
      <w:tblPr>
        <w:tblW w:w="5000" w:type="pct"/>
        <w:tblLayout w:type="fixed"/>
        <w:tblLook w:val="04A0" w:firstRow="1" w:lastRow="0" w:firstColumn="1" w:lastColumn="0" w:noHBand="0" w:noVBand="1"/>
      </w:tblPr>
      <w:tblGrid>
        <w:gridCol w:w="3146"/>
        <w:gridCol w:w="990"/>
        <w:gridCol w:w="990"/>
        <w:gridCol w:w="989"/>
        <w:gridCol w:w="989"/>
        <w:gridCol w:w="991"/>
        <w:gridCol w:w="1255"/>
      </w:tblGrid>
      <w:tr w:rsidR="00255CDE" w:rsidRPr="00FE3307" w14:paraId="46E9BF9B" w14:textId="77777777" w:rsidTr="00F72F44">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A6DFF33" w14:textId="77777777" w:rsidR="00255CDE" w:rsidRPr="00FE3307" w:rsidRDefault="00255CDE" w:rsidP="00F72F44">
            <w:pPr>
              <w:widowControl w:val="0"/>
              <w:jc w:val="left"/>
              <w:rPr>
                <w:b/>
                <w:bCs/>
                <w:color w:val="000000"/>
                <w:sz w:val="20"/>
                <w:szCs w:val="20"/>
                <w:lang w:val="en-CA"/>
              </w:rPr>
            </w:pPr>
            <w:r w:rsidRPr="00FE3307">
              <w:rPr>
                <w:b/>
                <w:bCs/>
                <w:color w:val="000000"/>
                <w:sz w:val="20"/>
                <w:szCs w:val="20"/>
                <w:lang w:val="en-CA"/>
              </w:rPr>
              <w:t>HCFC</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48E41C0C" w14:textId="77777777" w:rsidR="00255CDE" w:rsidRPr="00FE3307" w:rsidRDefault="00255CDE" w:rsidP="00F72F44">
            <w:pPr>
              <w:widowControl w:val="0"/>
              <w:jc w:val="center"/>
              <w:rPr>
                <w:b/>
                <w:bCs/>
                <w:color w:val="000000"/>
                <w:sz w:val="20"/>
                <w:szCs w:val="20"/>
                <w:lang w:val="en-CA"/>
              </w:rPr>
            </w:pPr>
            <w:r w:rsidRPr="00FE3307">
              <w:rPr>
                <w:b/>
                <w:bCs/>
                <w:color w:val="000000"/>
                <w:sz w:val="20"/>
                <w:szCs w:val="20"/>
                <w:lang w:val="en-CA"/>
              </w:rPr>
              <w:t>2014</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7214CE00" w14:textId="77777777" w:rsidR="00255CDE" w:rsidRPr="00FE3307" w:rsidRDefault="00255CDE" w:rsidP="00F72F44">
            <w:pPr>
              <w:widowControl w:val="0"/>
              <w:jc w:val="center"/>
              <w:rPr>
                <w:b/>
                <w:bCs/>
                <w:color w:val="000000"/>
                <w:sz w:val="20"/>
                <w:szCs w:val="20"/>
                <w:lang w:val="en-CA"/>
              </w:rPr>
            </w:pPr>
            <w:r w:rsidRPr="00FE3307">
              <w:rPr>
                <w:b/>
                <w:bCs/>
                <w:color w:val="000000"/>
                <w:sz w:val="20"/>
                <w:szCs w:val="20"/>
                <w:lang w:val="en-CA"/>
              </w:rPr>
              <w:t>2015</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232FC772" w14:textId="77777777" w:rsidR="00255CDE" w:rsidRPr="00FE3307" w:rsidRDefault="00255CDE" w:rsidP="00F72F44">
            <w:pPr>
              <w:widowControl w:val="0"/>
              <w:jc w:val="center"/>
              <w:rPr>
                <w:b/>
                <w:bCs/>
                <w:color w:val="000000"/>
                <w:sz w:val="20"/>
                <w:szCs w:val="20"/>
                <w:lang w:val="en-CA"/>
              </w:rPr>
            </w:pPr>
            <w:r w:rsidRPr="00FE3307">
              <w:rPr>
                <w:b/>
                <w:bCs/>
                <w:color w:val="000000"/>
                <w:sz w:val="20"/>
                <w:szCs w:val="20"/>
                <w:lang w:val="en-CA"/>
              </w:rPr>
              <w:t>2016</w:t>
            </w:r>
          </w:p>
        </w:tc>
        <w:tc>
          <w:tcPr>
            <w:tcW w:w="529" w:type="pct"/>
            <w:tcBorders>
              <w:top w:val="single" w:sz="4" w:space="0" w:color="auto"/>
              <w:left w:val="nil"/>
              <w:bottom w:val="single" w:sz="4" w:space="0" w:color="auto"/>
              <w:right w:val="single" w:sz="4" w:space="0" w:color="auto"/>
            </w:tcBorders>
          </w:tcPr>
          <w:p w14:paraId="7B031430" w14:textId="77777777" w:rsidR="00255CDE" w:rsidRPr="00FE3307" w:rsidRDefault="00255CDE" w:rsidP="00F72F44">
            <w:pPr>
              <w:widowControl w:val="0"/>
              <w:jc w:val="center"/>
              <w:rPr>
                <w:b/>
                <w:bCs/>
                <w:color w:val="000000"/>
                <w:sz w:val="20"/>
                <w:szCs w:val="20"/>
                <w:lang w:val="en-CA"/>
              </w:rPr>
            </w:pPr>
            <w:r w:rsidRPr="00FE3307">
              <w:rPr>
                <w:b/>
                <w:bCs/>
                <w:color w:val="000000"/>
                <w:sz w:val="20"/>
                <w:szCs w:val="20"/>
                <w:lang w:val="en-CA"/>
              </w:rPr>
              <w:t>2017</w:t>
            </w:r>
          </w:p>
        </w:tc>
        <w:tc>
          <w:tcPr>
            <w:tcW w:w="530" w:type="pct"/>
            <w:tcBorders>
              <w:top w:val="single" w:sz="4" w:space="0" w:color="auto"/>
              <w:left w:val="single" w:sz="4" w:space="0" w:color="auto"/>
              <w:bottom w:val="single" w:sz="4" w:space="0" w:color="auto"/>
              <w:right w:val="single" w:sz="4" w:space="0" w:color="auto"/>
            </w:tcBorders>
          </w:tcPr>
          <w:p w14:paraId="402A62FC" w14:textId="77777777" w:rsidR="00255CDE" w:rsidRPr="00FE3307" w:rsidRDefault="00255CDE" w:rsidP="00F72F44">
            <w:pPr>
              <w:widowControl w:val="0"/>
              <w:jc w:val="center"/>
              <w:rPr>
                <w:b/>
                <w:bCs/>
                <w:color w:val="000000"/>
                <w:sz w:val="20"/>
                <w:szCs w:val="20"/>
                <w:lang w:val="en-CA"/>
              </w:rPr>
            </w:pPr>
            <w:r w:rsidRPr="00FE3307">
              <w:rPr>
                <w:b/>
                <w:bCs/>
                <w:color w:val="000000"/>
                <w:sz w:val="20"/>
                <w:szCs w:val="20"/>
                <w:lang w:val="en-CA"/>
              </w:rPr>
              <w:t>2018</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4269A" w14:textId="77777777" w:rsidR="00255CDE" w:rsidRPr="00FE3307" w:rsidRDefault="00255CDE" w:rsidP="00F72F44">
            <w:pPr>
              <w:widowControl w:val="0"/>
              <w:jc w:val="center"/>
              <w:rPr>
                <w:b/>
                <w:bCs/>
                <w:color w:val="000000"/>
                <w:sz w:val="20"/>
                <w:szCs w:val="20"/>
                <w:lang w:val="en-CA"/>
              </w:rPr>
            </w:pPr>
            <w:r w:rsidRPr="00FE3307">
              <w:rPr>
                <w:b/>
                <w:bCs/>
                <w:color w:val="000000"/>
                <w:sz w:val="20"/>
                <w:szCs w:val="20"/>
                <w:lang w:val="en-CA"/>
              </w:rPr>
              <w:t>Baseline</w:t>
            </w:r>
          </w:p>
        </w:tc>
      </w:tr>
      <w:tr w:rsidR="00255CDE" w:rsidRPr="00FE3307" w14:paraId="37DE3D86" w14:textId="77777777" w:rsidTr="00F72F44">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0687919" w14:textId="77777777" w:rsidR="00255CDE" w:rsidRPr="00FE3307" w:rsidRDefault="00255CDE" w:rsidP="00F72F44">
            <w:pPr>
              <w:widowControl w:val="0"/>
              <w:jc w:val="left"/>
              <w:rPr>
                <w:b/>
                <w:bCs/>
                <w:color w:val="000000"/>
                <w:sz w:val="20"/>
                <w:szCs w:val="20"/>
                <w:lang w:val="en-CA"/>
              </w:rPr>
            </w:pPr>
            <w:r w:rsidRPr="00FE3307">
              <w:rPr>
                <w:b/>
                <w:bCs/>
                <w:color w:val="000000"/>
                <w:sz w:val="20"/>
                <w:szCs w:val="20"/>
                <w:lang w:val="en-CA"/>
              </w:rPr>
              <w:t>Metric tonnes</w:t>
            </w:r>
          </w:p>
        </w:tc>
        <w:tc>
          <w:tcPr>
            <w:tcW w:w="529" w:type="pct"/>
            <w:tcBorders>
              <w:top w:val="nil"/>
              <w:left w:val="nil"/>
              <w:bottom w:val="single" w:sz="4" w:space="0" w:color="auto"/>
              <w:right w:val="single" w:sz="4" w:space="0" w:color="auto"/>
            </w:tcBorders>
            <w:shd w:val="clear" w:color="auto" w:fill="auto"/>
            <w:noWrap/>
            <w:vAlign w:val="center"/>
            <w:hideMark/>
          </w:tcPr>
          <w:p w14:paraId="12FA7B1E" w14:textId="77777777" w:rsidR="00255CDE" w:rsidRPr="00FE3307" w:rsidRDefault="00255CDE" w:rsidP="00F72F44">
            <w:pPr>
              <w:widowControl w:val="0"/>
              <w:jc w:val="center"/>
              <w:rPr>
                <w:b/>
                <w:bCs/>
                <w:color w:val="000000"/>
                <w:sz w:val="20"/>
                <w:szCs w:val="20"/>
                <w:lang w:val="en-CA"/>
              </w:rPr>
            </w:pPr>
          </w:p>
        </w:tc>
        <w:tc>
          <w:tcPr>
            <w:tcW w:w="529" w:type="pct"/>
            <w:tcBorders>
              <w:top w:val="nil"/>
              <w:left w:val="nil"/>
              <w:bottom w:val="single" w:sz="4" w:space="0" w:color="auto"/>
              <w:right w:val="single" w:sz="4" w:space="0" w:color="auto"/>
            </w:tcBorders>
            <w:shd w:val="clear" w:color="auto" w:fill="auto"/>
            <w:noWrap/>
            <w:vAlign w:val="center"/>
            <w:hideMark/>
          </w:tcPr>
          <w:p w14:paraId="2E51E8DE" w14:textId="77777777" w:rsidR="00255CDE" w:rsidRPr="00FE3307" w:rsidRDefault="00255CDE" w:rsidP="00F72F44">
            <w:pPr>
              <w:widowControl w:val="0"/>
              <w:jc w:val="center"/>
              <w:rPr>
                <w:b/>
                <w:bCs/>
                <w:color w:val="000000"/>
                <w:sz w:val="20"/>
                <w:szCs w:val="20"/>
                <w:lang w:val="en-CA"/>
              </w:rPr>
            </w:pPr>
          </w:p>
        </w:tc>
        <w:tc>
          <w:tcPr>
            <w:tcW w:w="529" w:type="pct"/>
            <w:tcBorders>
              <w:top w:val="nil"/>
              <w:left w:val="nil"/>
              <w:bottom w:val="single" w:sz="4" w:space="0" w:color="auto"/>
              <w:right w:val="single" w:sz="4" w:space="0" w:color="auto"/>
            </w:tcBorders>
            <w:shd w:val="clear" w:color="auto" w:fill="auto"/>
            <w:noWrap/>
            <w:vAlign w:val="center"/>
            <w:hideMark/>
          </w:tcPr>
          <w:p w14:paraId="175F649E" w14:textId="77777777" w:rsidR="00255CDE" w:rsidRPr="00FE3307" w:rsidRDefault="00255CDE" w:rsidP="00F72F44">
            <w:pPr>
              <w:widowControl w:val="0"/>
              <w:jc w:val="center"/>
              <w:rPr>
                <w:b/>
                <w:bCs/>
                <w:color w:val="000000"/>
                <w:sz w:val="20"/>
                <w:szCs w:val="20"/>
                <w:lang w:val="en-CA"/>
              </w:rPr>
            </w:pPr>
          </w:p>
        </w:tc>
        <w:tc>
          <w:tcPr>
            <w:tcW w:w="529" w:type="pct"/>
            <w:tcBorders>
              <w:top w:val="single" w:sz="4" w:space="0" w:color="auto"/>
              <w:left w:val="nil"/>
              <w:bottom w:val="single" w:sz="4" w:space="0" w:color="auto"/>
              <w:right w:val="single" w:sz="4" w:space="0" w:color="auto"/>
            </w:tcBorders>
          </w:tcPr>
          <w:p w14:paraId="41A3BE51" w14:textId="77777777" w:rsidR="00255CDE" w:rsidRPr="00FE3307" w:rsidRDefault="00255CDE" w:rsidP="00F72F44">
            <w:pPr>
              <w:widowControl w:val="0"/>
              <w:jc w:val="center"/>
              <w:rPr>
                <w:b/>
                <w:bCs/>
                <w:color w:val="000000"/>
                <w:sz w:val="20"/>
                <w:szCs w:val="20"/>
                <w:lang w:val="en-CA"/>
              </w:rPr>
            </w:pPr>
          </w:p>
        </w:tc>
        <w:tc>
          <w:tcPr>
            <w:tcW w:w="530" w:type="pct"/>
            <w:tcBorders>
              <w:top w:val="nil"/>
              <w:left w:val="single" w:sz="4" w:space="0" w:color="auto"/>
              <w:bottom w:val="single" w:sz="4" w:space="0" w:color="auto"/>
              <w:right w:val="single" w:sz="4" w:space="0" w:color="auto"/>
            </w:tcBorders>
          </w:tcPr>
          <w:p w14:paraId="41C8F6C1" w14:textId="77777777" w:rsidR="00255CDE" w:rsidRPr="00FE3307" w:rsidRDefault="00255CDE" w:rsidP="00F72F44">
            <w:pPr>
              <w:widowControl w:val="0"/>
              <w:jc w:val="center"/>
              <w:rPr>
                <w:b/>
                <w:bCs/>
                <w:color w:val="000000"/>
                <w:sz w:val="20"/>
                <w:szCs w:val="20"/>
                <w:lang w:val="en-CA"/>
              </w:rPr>
            </w:pPr>
          </w:p>
        </w:tc>
        <w:tc>
          <w:tcPr>
            <w:tcW w:w="671" w:type="pct"/>
            <w:tcBorders>
              <w:top w:val="nil"/>
              <w:left w:val="single" w:sz="4" w:space="0" w:color="auto"/>
              <w:bottom w:val="single" w:sz="4" w:space="0" w:color="auto"/>
              <w:right w:val="single" w:sz="4" w:space="0" w:color="auto"/>
            </w:tcBorders>
            <w:shd w:val="clear" w:color="auto" w:fill="auto"/>
            <w:noWrap/>
            <w:vAlign w:val="center"/>
            <w:hideMark/>
          </w:tcPr>
          <w:p w14:paraId="55AF0EF9" w14:textId="77777777" w:rsidR="00255CDE" w:rsidRPr="00FE3307" w:rsidRDefault="00255CDE" w:rsidP="00F72F44">
            <w:pPr>
              <w:widowControl w:val="0"/>
              <w:jc w:val="center"/>
              <w:rPr>
                <w:b/>
                <w:bCs/>
                <w:color w:val="000000"/>
                <w:sz w:val="20"/>
                <w:szCs w:val="20"/>
                <w:lang w:val="en-CA"/>
              </w:rPr>
            </w:pPr>
          </w:p>
        </w:tc>
      </w:tr>
      <w:tr w:rsidR="006B683F" w:rsidRPr="00FE3307" w14:paraId="23829600" w14:textId="77777777" w:rsidTr="004842CE">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3EB1A10" w14:textId="77777777" w:rsidR="006B683F" w:rsidRPr="00FE3307" w:rsidRDefault="006B683F" w:rsidP="006B683F">
            <w:pPr>
              <w:widowControl w:val="0"/>
              <w:jc w:val="left"/>
              <w:rPr>
                <w:color w:val="000000"/>
                <w:sz w:val="20"/>
                <w:szCs w:val="20"/>
                <w:lang w:val="en-CA"/>
              </w:rPr>
            </w:pPr>
            <w:r w:rsidRPr="00FE3307">
              <w:rPr>
                <w:color w:val="000000"/>
                <w:sz w:val="20"/>
                <w:szCs w:val="20"/>
                <w:lang w:val="en-CA"/>
              </w:rPr>
              <w:t>HCFC-22</w:t>
            </w:r>
          </w:p>
        </w:tc>
        <w:tc>
          <w:tcPr>
            <w:tcW w:w="529" w:type="pct"/>
            <w:tcBorders>
              <w:top w:val="nil"/>
              <w:left w:val="nil"/>
              <w:bottom w:val="single" w:sz="4" w:space="0" w:color="auto"/>
              <w:right w:val="single" w:sz="4" w:space="0" w:color="auto"/>
            </w:tcBorders>
            <w:shd w:val="clear" w:color="auto" w:fill="auto"/>
            <w:noWrap/>
          </w:tcPr>
          <w:p w14:paraId="4D53D697" w14:textId="77777777" w:rsidR="006B683F" w:rsidRPr="00363740" w:rsidRDefault="006B683F" w:rsidP="006B683F">
            <w:pPr>
              <w:widowControl w:val="0"/>
              <w:jc w:val="right"/>
              <w:rPr>
                <w:sz w:val="20"/>
                <w:szCs w:val="20"/>
                <w:lang w:val="en-CA"/>
              </w:rPr>
            </w:pPr>
            <w:r w:rsidRPr="00363740">
              <w:rPr>
                <w:sz w:val="20"/>
                <w:szCs w:val="20"/>
                <w:lang w:val="en-CA"/>
              </w:rPr>
              <w:t>384.70</w:t>
            </w:r>
          </w:p>
        </w:tc>
        <w:tc>
          <w:tcPr>
            <w:tcW w:w="529" w:type="pct"/>
            <w:tcBorders>
              <w:top w:val="nil"/>
              <w:left w:val="nil"/>
              <w:bottom w:val="single" w:sz="4" w:space="0" w:color="auto"/>
              <w:right w:val="single" w:sz="4" w:space="0" w:color="auto"/>
            </w:tcBorders>
            <w:shd w:val="clear" w:color="auto" w:fill="auto"/>
            <w:noWrap/>
          </w:tcPr>
          <w:p w14:paraId="245C4596" w14:textId="77777777" w:rsidR="006B683F" w:rsidRPr="00363740" w:rsidRDefault="006B683F" w:rsidP="006B683F">
            <w:pPr>
              <w:widowControl w:val="0"/>
              <w:jc w:val="right"/>
              <w:rPr>
                <w:sz w:val="20"/>
                <w:szCs w:val="20"/>
                <w:lang w:val="en-CA"/>
              </w:rPr>
            </w:pPr>
            <w:r w:rsidRPr="00363740">
              <w:rPr>
                <w:sz w:val="20"/>
                <w:szCs w:val="20"/>
                <w:lang w:val="en-CA"/>
              </w:rPr>
              <w:t>384.70</w:t>
            </w:r>
          </w:p>
        </w:tc>
        <w:tc>
          <w:tcPr>
            <w:tcW w:w="529" w:type="pct"/>
            <w:tcBorders>
              <w:top w:val="nil"/>
              <w:left w:val="nil"/>
              <w:bottom w:val="single" w:sz="4" w:space="0" w:color="auto"/>
              <w:right w:val="single" w:sz="4" w:space="0" w:color="auto"/>
            </w:tcBorders>
            <w:shd w:val="clear" w:color="auto" w:fill="auto"/>
            <w:noWrap/>
          </w:tcPr>
          <w:p w14:paraId="02E64019" w14:textId="77777777" w:rsidR="006B683F" w:rsidRPr="00363740" w:rsidRDefault="006B683F" w:rsidP="006B683F">
            <w:pPr>
              <w:widowControl w:val="0"/>
              <w:jc w:val="right"/>
              <w:rPr>
                <w:sz w:val="20"/>
                <w:szCs w:val="20"/>
                <w:lang w:val="en-CA"/>
              </w:rPr>
            </w:pPr>
            <w:r w:rsidRPr="00363740">
              <w:rPr>
                <w:sz w:val="20"/>
                <w:szCs w:val="20"/>
                <w:lang w:val="en-CA"/>
              </w:rPr>
              <w:t>318.37</w:t>
            </w:r>
          </w:p>
        </w:tc>
        <w:tc>
          <w:tcPr>
            <w:tcW w:w="529" w:type="pct"/>
            <w:tcBorders>
              <w:top w:val="single" w:sz="4" w:space="0" w:color="auto"/>
              <w:left w:val="nil"/>
              <w:bottom w:val="single" w:sz="4" w:space="0" w:color="auto"/>
              <w:right w:val="single" w:sz="4" w:space="0" w:color="auto"/>
            </w:tcBorders>
          </w:tcPr>
          <w:p w14:paraId="56359FD3" w14:textId="0E8BD6A3" w:rsidR="006B683F" w:rsidRPr="00363740" w:rsidRDefault="006B683F" w:rsidP="006B683F">
            <w:pPr>
              <w:widowControl w:val="0"/>
              <w:jc w:val="right"/>
              <w:rPr>
                <w:sz w:val="20"/>
                <w:szCs w:val="20"/>
                <w:lang w:val="en-CA"/>
              </w:rPr>
            </w:pPr>
            <w:r w:rsidRPr="00363740">
              <w:rPr>
                <w:sz w:val="20"/>
                <w:szCs w:val="20"/>
                <w:lang w:val="en-CA"/>
              </w:rPr>
              <w:t>311.6</w:t>
            </w:r>
            <w:r w:rsidR="00520B74">
              <w:rPr>
                <w:sz w:val="20"/>
                <w:szCs w:val="20"/>
                <w:lang w:val="en-CA"/>
              </w:rPr>
              <w:t>0</w:t>
            </w:r>
          </w:p>
        </w:tc>
        <w:tc>
          <w:tcPr>
            <w:tcW w:w="530" w:type="pct"/>
            <w:tcBorders>
              <w:top w:val="nil"/>
              <w:left w:val="single" w:sz="4" w:space="0" w:color="auto"/>
              <w:bottom w:val="single" w:sz="4" w:space="0" w:color="auto"/>
              <w:right w:val="single" w:sz="4" w:space="0" w:color="auto"/>
            </w:tcBorders>
          </w:tcPr>
          <w:p w14:paraId="624149F4" w14:textId="10E02442" w:rsidR="006B683F" w:rsidRPr="00FE3307" w:rsidRDefault="001D772F" w:rsidP="006B683F">
            <w:pPr>
              <w:widowControl w:val="0"/>
              <w:jc w:val="right"/>
              <w:rPr>
                <w:color w:val="000000"/>
                <w:sz w:val="20"/>
                <w:szCs w:val="20"/>
                <w:lang w:val="en-CA"/>
              </w:rPr>
            </w:pPr>
            <w:r>
              <w:rPr>
                <w:color w:val="000000"/>
                <w:sz w:val="20"/>
                <w:szCs w:val="20"/>
                <w:lang w:val="en-CA"/>
              </w:rPr>
              <w:t>305.</w:t>
            </w:r>
            <w:r w:rsidR="00284091">
              <w:rPr>
                <w:color w:val="000000"/>
                <w:sz w:val="20"/>
                <w:szCs w:val="20"/>
                <w:lang w:val="en-CA"/>
              </w:rPr>
              <w:t>2</w:t>
            </w:r>
            <w:r w:rsidR="00520B74">
              <w:rPr>
                <w:color w:val="000000"/>
                <w:sz w:val="20"/>
                <w:szCs w:val="20"/>
                <w:lang w:val="en-CA"/>
              </w:rPr>
              <w:t>3</w:t>
            </w:r>
          </w:p>
        </w:tc>
        <w:tc>
          <w:tcPr>
            <w:tcW w:w="671" w:type="pct"/>
            <w:tcBorders>
              <w:top w:val="nil"/>
              <w:left w:val="single" w:sz="4" w:space="0" w:color="auto"/>
              <w:bottom w:val="single" w:sz="4" w:space="0" w:color="auto"/>
              <w:right w:val="single" w:sz="4" w:space="0" w:color="auto"/>
            </w:tcBorders>
            <w:shd w:val="clear" w:color="auto" w:fill="auto"/>
            <w:noWrap/>
            <w:vAlign w:val="bottom"/>
          </w:tcPr>
          <w:p w14:paraId="7DBF007C" w14:textId="77777777" w:rsidR="006B683F" w:rsidRPr="00363740" w:rsidRDefault="006B683F" w:rsidP="006B683F">
            <w:pPr>
              <w:widowControl w:val="0"/>
              <w:jc w:val="right"/>
              <w:rPr>
                <w:sz w:val="20"/>
                <w:szCs w:val="20"/>
                <w:lang w:val="en-CA"/>
              </w:rPr>
            </w:pPr>
            <w:r w:rsidRPr="00363740">
              <w:rPr>
                <w:sz w:val="20"/>
                <w:szCs w:val="20"/>
                <w:lang w:val="en-CA"/>
              </w:rPr>
              <w:t>774.90</w:t>
            </w:r>
          </w:p>
        </w:tc>
      </w:tr>
      <w:tr w:rsidR="006B683F" w:rsidRPr="00FE3307" w14:paraId="53094893" w14:textId="77777777" w:rsidTr="004842CE">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3C148B4" w14:textId="77777777" w:rsidR="006B683F" w:rsidRPr="006B683F" w:rsidRDefault="006B683F" w:rsidP="006B683F">
            <w:pPr>
              <w:widowControl w:val="0"/>
              <w:jc w:val="left"/>
              <w:rPr>
                <w:color w:val="000000"/>
                <w:sz w:val="20"/>
                <w:szCs w:val="20"/>
                <w:lang w:val="en-CA"/>
              </w:rPr>
            </w:pPr>
            <w:r w:rsidRPr="006B683F">
              <w:rPr>
                <w:color w:val="000000"/>
                <w:sz w:val="20"/>
                <w:szCs w:val="20"/>
                <w:lang w:val="en-CA"/>
              </w:rPr>
              <w:t>HCFC-142b*</w:t>
            </w:r>
          </w:p>
        </w:tc>
        <w:tc>
          <w:tcPr>
            <w:tcW w:w="529" w:type="pct"/>
            <w:tcBorders>
              <w:top w:val="nil"/>
              <w:left w:val="nil"/>
              <w:bottom w:val="single" w:sz="4" w:space="0" w:color="auto"/>
              <w:right w:val="single" w:sz="4" w:space="0" w:color="auto"/>
            </w:tcBorders>
            <w:shd w:val="clear" w:color="auto" w:fill="auto"/>
            <w:noWrap/>
          </w:tcPr>
          <w:p w14:paraId="090EFEE8" w14:textId="77777777" w:rsidR="006B683F" w:rsidRPr="00363740" w:rsidRDefault="006B683F" w:rsidP="006B683F">
            <w:pPr>
              <w:widowControl w:val="0"/>
              <w:jc w:val="right"/>
              <w:rPr>
                <w:sz w:val="20"/>
                <w:szCs w:val="20"/>
                <w:lang w:val="en-CA"/>
              </w:rPr>
            </w:pPr>
            <w:r w:rsidRPr="00363740">
              <w:rPr>
                <w:sz w:val="20"/>
                <w:szCs w:val="20"/>
                <w:lang w:val="en-CA"/>
              </w:rPr>
              <w:t>33.58</w:t>
            </w:r>
          </w:p>
        </w:tc>
        <w:tc>
          <w:tcPr>
            <w:tcW w:w="529" w:type="pct"/>
            <w:tcBorders>
              <w:top w:val="nil"/>
              <w:left w:val="nil"/>
              <w:bottom w:val="single" w:sz="4" w:space="0" w:color="auto"/>
              <w:right w:val="single" w:sz="4" w:space="0" w:color="auto"/>
            </w:tcBorders>
            <w:shd w:val="clear" w:color="auto" w:fill="auto"/>
            <w:noWrap/>
          </w:tcPr>
          <w:p w14:paraId="1F55B1C5" w14:textId="77777777" w:rsidR="006B683F" w:rsidRPr="00363740" w:rsidRDefault="006B683F" w:rsidP="006B683F">
            <w:pPr>
              <w:widowControl w:val="0"/>
              <w:jc w:val="right"/>
              <w:rPr>
                <w:sz w:val="20"/>
                <w:szCs w:val="20"/>
                <w:lang w:val="en-CA"/>
              </w:rPr>
            </w:pPr>
            <w:r w:rsidRPr="00363740">
              <w:rPr>
                <w:sz w:val="20"/>
                <w:szCs w:val="20"/>
                <w:lang w:val="en-CA"/>
              </w:rPr>
              <w:t>33.58</w:t>
            </w:r>
          </w:p>
        </w:tc>
        <w:tc>
          <w:tcPr>
            <w:tcW w:w="529" w:type="pct"/>
            <w:tcBorders>
              <w:top w:val="nil"/>
              <w:left w:val="nil"/>
              <w:bottom w:val="single" w:sz="4" w:space="0" w:color="auto"/>
              <w:right w:val="single" w:sz="4" w:space="0" w:color="auto"/>
            </w:tcBorders>
            <w:shd w:val="clear" w:color="auto" w:fill="auto"/>
            <w:noWrap/>
          </w:tcPr>
          <w:p w14:paraId="3591A1D7" w14:textId="13EA6A0E" w:rsidR="006B683F" w:rsidRPr="00363740" w:rsidRDefault="006B683F" w:rsidP="006B683F">
            <w:pPr>
              <w:widowControl w:val="0"/>
              <w:jc w:val="right"/>
              <w:rPr>
                <w:sz w:val="20"/>
                <w:szCs w:val="20"/>
                <w:lang w:val="en-CA"/>
              </w:rPr>
            </w:pPr>
            <w:r w:rsidRPr="00363740">
              <w:rPr>
                <w:sz w:val="20"/>
                <w:szCs w:val="20"/>
                <w:lang w:val="en-CA"/>
              </w:rPr>
              <w:t>15.9</w:t>
            </w:r>
            <w:r w:rsidR="00520B74">
              <w:rPr>
                <w:sz w:val="20"/>
                <w:szCs w:val="20"/>
                <w:lang w:val="en-CA"/>
              </w:rPr>
              <w:t>0</w:t>
            </w:r>
          </w:p>
        </w:tc>
        <w:tc>
          <w:tcPr>
            <w:tcW w:w="529" w:type="pct"/>
            <w:tcBorders>
              <w:top w:val="single" w:sz="4" w:space="0" w:color="auto"/>
              <w:left w:val="nil"/>
              <w:bottom w:val="single" w:sz="4" w:space="0" w:color="auto"/>
              <w:right w:val="single" w:sz="4" w:space="0" w:color="auto"/>
            </w:tcBorders>
          </w:tcPr>
          <w:p w14:paraId="2EFA95B0" w14:textId="3407B059" w:rsidR="006B683F" w:rsidRPr="00363740" w:rsidRDefault="006B683F" w:rsidP="006B683F">
            <w:pPr>
              <w:widowControl w:val="0"/>
              <w:jc w:val="right"/>
              <w:rPr>
                <w:sz w:val="20"/>
                <w:szCs w:val="20"/>
                <w:lang w:val="en-CA"/>
              </w:rPr>
            </w:pPr>
            <w:r w:rsidRPr="00363740">
              <w:rPr>
                <w:sz w:val="20"/>
                <w:szCs w:val="20"/>
                <w:lang w:val="en-CA"/>
              </w:rPr>
              <w:t>36.7</w:t>
            </w:r>
            <w:r w:rsidR="00520B74">
              <w:rPr>
                <w:sz w:val="20"/>
                <w:szCs w:val="20"/>
                <w:lang w:val="en-CA"/>
              </w:rPr>
              <w:t>0</w:t>
            </w:r>
          </w:p>
        </w:tc>
        <w:tc>
          <w:tcPr>
            <w:tcW w:w="530" w:type="pct"/>
            <w:tcBorders>
              <w:top w:val="nil"/>
              <w:left w:val="single" w:sz="4" w:space="0" w:color="auto"/>
              <w:bottom w:val="single" w:sz="4" w:space="0" w:color="auto"/>
              <w:right w:val="single" w:sz="4" w:space="0" w:color="auto"/>
            </w:tcBorders>
          </w:tcPr>
          <w:p w14:paraId="5E4D5FF2" w14:textId="3649896F" w:rsidR="006B683F" w:rsidRPr="00FE3307" w:rsidRDefault="001D772F" w:rsidP="006B683F">
            <w:pPr>
              <w:widowControl w:val="0"/>
              <w:jc w:val="right"/>
              <w:rPr>
                <w:color w:val="000000"/>
                <w:sz w:val="20"/>
                <w:szCs w:val="20"/>
                <w:lang w:val="en-CA"/>
              </w:rPr>
            </w:pPr>
            <w:r>
              <w:rPr>
                <w:color w:val="000000"/>
                <w:sz w:val="20"/>
                <w:szCs w:val="20"/>
                <w:lang w:val="en-CA"/>
              </w:rPr>
              <w:t>16.</w:t>
            </w:r>
            <w:r w:rsidR="00520B74">
              <w:rPr>
                <w:color w:val="000000"/>
                <w:sz w:val="20"/>
                <w:szCs w:val="20"/>
                <w:lang w:val="en-CA"/>
              </w:rPr>
              <w:t>07</w:t>
            </w:r>
          </w:p>
        </w:tc>
        <w:tc>
          <w:tcPr>
            <w:tcW w:w="671" w:type="pct"/>
            <w:tcBorders>
              <w:top w:val="nil"/>
              <w:left w:val="single" w:sz="4" w:space="0" w:color="auto"/>
              <w:bottom w:val="single" w:sz="4" w:space="0" w:color="auto"/>
              <w:right w:val="single" w:sz="4" w:space="0" w:color="auto"/>
            </w:tcBorders>
            <w:shd w:val="clear" w:color="auto" w:fill="auto"/>
            <w:noWrap/>
            <w:vAlign w:val="bottom"/>
          </w:tcPr>
          <w:p w14:paraId="5966AD0A" w14:textId="77777777" w:rsidR="006B683F" w:rsidRPr="00363740" w:rsidRDefault="006B683F" w:rsidP="006B683F">
            <w:pPr>
              <w:widowControl w:val="0"/>
              <w:jc w:val="right"/>
              <w:rPr>
                <w:sz w:val="20"/>
                <w:szCs w:val="20"/>
                <w:lang w:val="en-CA"/>
              </w:rPr>
            </w:pPr>
            <w:r w:rsidRPr="00363740">
              <w:rPr>
                <w:sz w:val="20"/>
                <w:szCs w:val="20"/>
                <w:lang w:val="en-CA"/>
              </w:rPr>
              <w:t>225.05</w:t>
            </w:r>
          </w:p>
        </w:tc>
      </w:tr>
      <w:tr w:rsidR="006B683F" w:rsidRPr="00FE3307" w14:paraId="2F8768E2" w14:textId="77777777" w:rsidTr="004842CE">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2632177B" w14:textId="77777777" w:rsidR="006B683F" w:rsidRPr="006B683F" w:rsidRDefault="006B683F" w:rsidP="006B683F">
            <w:pPr>
              <w:jc w:val="left"/>
              <w:rPr>
                <w:rFonts w:eastAsiaTheme="minorHAnsi"/>
                <w:b/>
                <w:color w:val="000000"/>
                <w:sz w:val="20"/>
                <w:szCs w:val="20"/>
                <w:lang w:val="en-CA"/>
              </w:rPr>
            </w:pPr>
            <w:r w:rsidRPr="006B683F">
              <w:rPr>
                <w:b/>
                <w:color w:val="000000"/>
                <w:sz w:val="20"/>
                <w:szCs w:val="20"/>
                <w:lang w:val="en-CA"/>
              </w:rPr>
              <w:t>Total (</w:t>
            </w:r>
            <w:proofErr w:type="spellStart"/>
            <w:r w:rsidRPr="006B683F">
              <w:rPr>
                <w:b/>
                <w:color w:val="000000"/>
                <w:sz w:val="20"/>
                <w:szCs w:val="20"/>
                <w:lang w:val="en-CA"/>
              </w:rPr>
              <w:t>mt</w:t>
            </w:r>
            <w:proofErr w:type="spellEnd"/>
            <w:r w:rsidRPr="006B683F">
              <w:rPr>
                <w:b/>
                <w:color w:val="000000"/>
                <w:sz w:val="20"/>
                <w:szCs w:val="20"/>
                <w:lang w:val="en-CA"/>
              </w:rPr>
              <w:t>)</w:t>
            </w:r>
          </w:p>
        </w:tc>
        <w:tc>
          <w:tcPr>
            <w:tcW w:w="529" w:type="pct"/>
            <w:tcBorders>
              <w:top w:val="nil"/>
              <w:left w:val="nil"/>
              <w:bottom w:val="single" w:sz="4" w:space="0" w:color="auto"/>
              <w:right w:val="single" w:sz="4" w:space="0" w:color="auto"/>
            </w:tcBorders>
            <w:shd w:val="clear" w:color="auto" w:fill="auto"/>
            <w:noWrap/>
          </w:tcPr>
          <w:p w14:paraId="6ABB889F" w14:textId="77777777" w:rsidR="006B683F" w:rsidRPr="00363740" w:rsidRDefault="006B683F" w:rsidP="006B683F">
            <w:pPr>
              <w:jc w:val="right"/>
              <w:rPr>
                <w:b/>
                <w:sz w:val="20"/>
                <w:szCs w:val="20"/>
                <w:lang w:val="en-CA"/>
              </w:rPr>
            </w:pPr>
            <w:r w:rsidRPr="00363740">
              <w:rPr>
                <w:b/>
                <w:sz w:val="20"/>
                <w:szCs w:val="20"/>
                <w:lang w:val="en-CA"/>
              </w:rPr>
              <w:t>418.28</w:t>
            </w:r>
          </w:p>
        </w:tc>
        <w:tc>
          <w:tcPr>
            <w:tcW w:w="529" w:type="pct"/>
            <w:tcBorders>
              <w:top w:val="nil"/>
              <w:left w:val="nil"/>
              <w:bottom w:val="single" w:sz="4" w:space="0" w:color="auto"/>
              <w:right w:val="single" w:sz="4" w:space="0" w:color="auto"/>
            </w:tcBorders>
            <w:shd w:val="clear" w:color="auto" w:fill="auto"/>
            <w:noWrap/>
          </w:tcPr>
          <w:p w14:paraId="37752BC8" w14:textId="77777777" w:rsidR="006B683F" w:rsidRPr="00363740" w:rsidRDefault="006B683F" w:rsidP="006B683F">
            <w:pPr>
              <w:jc w:val="right"/>
              <w:rPr>
                <w:b/>
                <w:sz w:val="20"/>
                <w:szCs w:val="20"/>
                <w:lang w:val="en-CA"/>
              </w:rPr>
            </w:pPr>
            <w:r w:rsidRPr="00363740">
              <w:rPr>
                <w:b/>
                <w:sz w:val="20"/>
                <w:szCs w:val="20"/>
                <w:lang w:val="en-CA"/>
              </w:rPr>
              <w:t>418.28</w:t>
            </w:r>
          </w:p>
        </w:tc>
        <w:tc>
          <w:tcPr>
            <w:tcW w:w="529" w:type="pct"/>
            <w:tcBorders>
              <w:top w:val="nil"/>
              <w:left w:val="nil"/>
              <w:bottom w:val="single" w:sz="4" w:space="0" w:color="auto"/>
              <w:right w:val="single" w:sz="4" w:space="0" w:color="auto"/>
            </w:tcBorders>
            <w:shd w:val="clear" w:color="auto" w:fill="auto"/>
            <w:noWrap/>
          </w:tcPr>
          <w:p w14:paraId="251D6057" w14:textId="77777777" w:rsidR="006B683F" w:rsidRPr="00363740" w:rsidRDefault="006B683F" w:rsidP="006B683F">
            <w:pPr>
              <w:widowControl w:val="0"/>
              <w:jc w:val="right"/>
              <w:rPr>
                <w:b/>
                <w:sz w:val="20"/>
                <w:szCs w:val="20"/>
                <w:lang w:val="en-CA"/>
              </w:rPr>
            </w:pPr>
            <w:r w:rsidRPr="00363740">
              <w:rPr>
                <w:b/>
                <w:sz w:val="20"/>
                <w:szCs w:val="20"/>
                <w:lang w:val="en-CA"/>
              </w:rPr>
              <w:fldChar w:fldCharType="begin"/>
            </w:r>
            <w:r w:rsidRPr="00363740">
              <w:rPr>
                <w:b/>
                <w:sz w:val="20"/>
                <w:szCs w:val="20"/>
                <w:lang w:val="en-CA"/>
              </w:rPr>
              <w:instrText xml:space="preserve"> =SUM(ABOVE) </w:instrText>
            </w:r>
            <w:r w:rsidRPr="00363740">
              <w:rPr>
                <w:b/>
                <w:sz w:val="20"/>
                <w:szCs w:val="20"/>
                <w:lang w:val="en-CA"/>
              </w:rPr>
              <w:fldChar w:fldCharType="separate"/>
            </w:r>
            <w:r w:rsidRPr="00363740">
              <w:rPr>
                <w:b/>
                <w:noProof/>
                <w:sz w:val="20"/>
                <w:szCs w:val="20"/>
                <w:lang w:val="en-CA"/>
              </w:rPr>
              <w:t>334.27</w:t>
            </w:r>
            <w:r w:rsidRPr="00363740">
              <w:rPr>
                <w:b/>
                <w:sz w:val="20"/>
                <w:szCs w:val="20"/>
                <w:lang w:val="en-CA"/>
              </w:rPr>
              <w:fldChar w:fldCharType="end"/>
            </w:r>
          </w:p>
        </w:tc>
        <w:tc>
          <w:tcPr>
            <w:tcW w:w="529" w:type="pct"/>
            <w:tcBorders>
              <w:top w:val="single" w:sz="4" w:space="0" w:color="auto"/>
              <w:left w:val="nil"/>
              <w:bottom w:val="single" w:sz="4" w:space="0" w:color="auto"/>
              <w:right w:val="single" w:sz="4" w:space="0" w:color="auto"/>
            </w:tcBorders>
          </w:tcPr>
          <w:p w14:paraId="7305A46C" w14:textId="77777777" w:rsidR="006B683F" w:rsidRPr="00363740" w:rsidRDefault="006B683F" w:rsidP="006B683F">
            <w:pPr>
              <w:widowControl w:val="0"/>
              <w:jc w:val="right"/>
              <w:rPr>
                <w:b/>
                <w:sz w:val="20"/>
                <w:szCs w:val="20"/>
                <w:lang w:val="en-CA"/>
              </w:rPr>
            </w:pPr>
            <w:r w:rsidRPr="00363740">
              <w:rPr>
                <w:b/>
                <w:sz w:val="20"/>
                <w:szCs w:val="20"/>
                <w:lang w:val="en-CA"/>
              </w:rPr>
              <w:fldChar w:fldCharType="begin"/>
            </w:r>
            <w:r w:rsidRPr="00363740">
              <w:rPr>
                <w:b/>
                <w:sz w:val="20"/>
                <w:szCs w:val="20"/>
                <w:lang w:val="en-CA"/>
              </w:rPr>
              <w:instrText xml:space="preserve"> =SUM(ABOVE) </w:instrText>
            </w:r>
            <w:r w:rsidRPr="00363740">
              <w:rPr>
                <w:b/>
                <w:sz w:val="20"/>
                <w:szCs w:val="20"/>
                <w:lang w:val="en-CA"/>
              </w:rPr>
              <w:fldChar w:fldCharType="separate"/>
            </w:r>
            <w:r w:rsidRPr="00363740">
              <w:rPr>
                <w:b/>
                <w:noProof/>
                <w:sz w:val="20"/>
                <w:szCs w:val="20"/>
                <w:lang w:val="en-CA"/>
              </w:rPr>
              <w:t>348.3</w:t>
            </w:r>
            <w:r w:rsidRPr="00363740">
              <w:rPr>
                <w:b/>
                <w:sz w:val="20"/>
                <w:szCs w:val="20"/>
                <w:lang w:val="en-CA"/>
              </w:rPr>
              <w:fldChar w:fldCharType="end"/>
            </w:r>
            <w:r w:rsidRPr="00363740">
              <w:rPr>
                <w:b/>
                <w:sz w:val="20"/>
                <w:szCs w:val="20"/>
                <w:lang w:val="en-CA"/>
              </w:rPr>
              <w:t>0</w:t>
            </w:r>
          </w:p>
        </w:tc>
        <w:tc>
          <w:tcPr>
            <w:tcW w:w="530" w:type="pct"/>
            <w:tcBorders>
              <w:top w:val="nil"/>
              <w:left w:val="single" w:sz="4" w:space="0" w:color="auto"/>
              <w:bottom w:val="single" w:sz="4" w:space="0" w:color="auto"/>
              <w:right w:val="single" w:sz="4" w:space="0" w:color="auto"/>
            </w:tcBorders>
          </w:tcPr>
          <w:p w14:paraId="3A81B3A1" w14:textId="721CFC97" w:rsidR="006B683F" w:rsidRPr="00FE3307" w:rsidRDefault="001D772F" w:rsidP="006B683F">
            <w:pPr>
              <w:widowControl w:val="0"/>
              <w:jc w:val="right"/>
              <w:rPr>
                <w:b/>
                <w:color w:val="000000"/>
                <w:sz w:val="20"/>
                <w:szCs w:val="20"/>
                <w:lang w:val="en-CA"/>
              </w:rPr>
            </w:pPr>
            <w:r>
              <w:rPr>
                <w:b/>
                <w:color w:val="000000"/>
                <w:sz w:val="20"/>
                <w:szCs w:val="20"/>
                <w:lang w:val="en-CA"/>
              </w:rPr>
              <w:t>321.</w:t>
            </w:r>
            <w:r w:rsidR="00284091">
              <w:rPr>
                <w:b/>
                <w:color w:val="000000"/>
                <w:sz w:val="20"/>
                <w:szCs w:val="20"/>
                <w:lang w:val="en-CA"/>
              </w:rPr>
              <w:t>3</w:t>
            </w:r>
            <w:r w:rsidR="00520B74">
              <w:rPr>
                <w:b/>
                <w:color w:val="000000"/>
                <w:sz w:val="20"/>
                <w:szCs w:val="20"/>
                <w:lang w:val="en-CA"/>
              </w:rPr>
              <w:t>0</w:t>
            </w:r>
          </w:p>
        </w:tc>
        <w:tc>
          <w:tcPr>
            <w:tcW w:w="671" w:type="pct"/>
            <w:tcBorders>
              <w:top w:val="nil"/>
              <w:left w:val="single" w:sz="4" w:space="0" w:color="auto"/>
              <w:bottom w:val="single" w:sz="4" w:space="0" w:color="auto"/>
              <w:right w:val="single" w:sz="4" w:space="0" w:color="auto"/>
            </w:tcBorders>
            <w:shd w:val="clear" w:color="auto" w:fill="auto"/>
            <w:noWrap/>
          </w:tcPr>
          <w:p w14:paraId="1CD4ECA6" w14:textId="77777777" w:rsidR="006B683F" w:rsidRPr="00363740" w:rsidRDefault="006B683F" w:rsidP="006B683F">
            <w:pPr>
              <w:widowControl w:val="0"/>
              <w:jc w:val="right"/>
              <w:rPr>
                <w:b/>
                <w:sz w:val="20"/>
                <w:szCs w:val="20"/>
                <w:lang w:val="en-CA"/>
              </w:rPr>
            </w:pPr>
            <w:r w:rsidRPr="00363740">
              <w:rPr>
                <w:b/>
                <w:sz w:val="20"/>
                <w:szCs w:val="20"/>
                <w:lang w:val="en-CA"/>
              </w:rPr>
              <w:t>999.95</w:t>
            </w:r>
          </w:p>
        </w:tc>
      </w:tr>
      <w:tr w:rsidR="006B683F" w:rsidRPr="00FE3307" w14:paraId="5A2BC7A0" w14:textId="77777777" w:rsidTr="004842CE">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8CF7200" w14:textId="77777777" w:rsidR="006B683F" w:rsidRPr="006B683F" w:rsidRDefault="006B683F" w:rsidP="006B683F">
            <w:pPr>
              <w:widowControl w:val="0"/>
              <w:jc w:val="left"/>
              <w:rPr>
                <w:b/>
                <w:bCs/>
                <w:color w:val="000000"/>
                <w:sz w:val="20"/>
                <w:szCs w:val="20"/>
                <w:lang w:val="en-CA"/>
              </w:rPr>
            </w:pPr>
            <w:r w:rsidRPr="006B683F">
              <w:rPr>
                <w:b/>
                <w:bCs/>
                <w:color w:val="000000"/>
                <w:sz w:val="20"/>
                <w:szCs w:val="20"/>
                <w:lang w:val="en-CA"/>
              </w:rPr>
              <w:t>ODP tonnes</w:t>
            </w:r>
          </w:p>
        </w:tc>
        <w:tc>
          <w:tcPr>
            <w:tcW w:w="529" w:type="pct"/>
            <w:tcBorders>
              <w:top w:val="single" w:sz="4" w:space="0" w:color="auto"/>
              <w:left w:val="single" w:sz="4" w:space="0" w:color="auto"/>
              <w:bottom w:val="single" w:sz="4" w:space="0" w:color="auto"/>
              <w:right w:val="single" w:sz="4" w:space="0" w:color="auto"/>
            </w:tcBorders>
            <w:shd w:val="clear" w:color="auto" w:fill="auto"/>
            <w:noWrap/>
            <w:hideMark/>
          </w:tcPr>
          <w:p w14:paraId="49556A47" w14:textId="77777777" w:rsidR="006B683F" w:rsidRPr="00363740" w:rsidRDefault="006B683F" w:rsidP="006B683F">
            <w:pPr>
              <w:widowControl w:val="0"/>
              <w:jc w:val="right"/>
              <w:rPr>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hideMark/>
          </w:tcPr>
          <w:p w14:paraId="6CDAFE6E" w14:textId="77777777" w:rsidR="006B683F" w:rsidRPr="00363740" w:rsidRDefault="006B683F" w:rsidP="006B683F">
            <w:pPr>
              <w:widowControl w:val="0"/>
              <w:jc w:val="right"/>
              <w:rPr>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285FBD98" w14:textId="77777777" w:rsidR="006B683F" w:rsidRPr="00363740" w:rsidRDefault="006B683F" w:rsidP="006B683F">
            <w:pPr>
              <w:widowControl w:val="0"/>
              <w:jc w:val="right"/>
              <w:rPr>
                <w:sz w:val="20"/>
                <w:szCs w:val="20"/>
                <w:lang w:val="en-CA"/>
              </w:rPr>
            </w:pPr>
          </w:p>
        </w:tc>
        <w:tc>
          <w:tcPr>
            <w:tcW w:w="529" w:type="pct"/>
            <w:tcBorders>
              <w:top w:val="single" w:sz="4" w:space="0" w:color="auto"/>
              <w:left w:val="single" w:sz="4" w:space="0" w:color="auto"/>
              <w:bottom w:val="single" w:sz="4" w:space="0" w:color="auto"/>
              <w:right w:val="single" w:sz="4" w:space="0" w:color="auto"/>
            </w:tcBorders>
          </w:tcPr>
          <w:p w14:paraId="7BF93EF7" w14:textId="77777777" w:rsidR="006B683F" w:rsidRPr="00363740" w:rsidRDefault="006B683F" w:rsidP="006B683F">
            <w:pPr>
              <w:widowControl w:val="0"/>
              <w:jc w:val="right"/>
              <w:rPr>
                <w:sz w:val="20"/>
                <w:szCs w:val="20"/>
                <w:lang w:val="en-CA"/>
              </w:rPr>
            </w:pPr>
          </w:p>
        </w:tc>
        <w:tc>
          <w:tcPr>
            <w:tcW w:w="530" w:type="pct"/>
            <w:tcBorders>
              <w:top w:val="single" w:sz="4" w:space="0" w:color="auto"/>
              <w:left w:val="single" w:sz="4" w:space="0" w:color="auto"/>
              <w:bottom w:val="single" w:sz="4" w:space="0" w:color="auto"/>
              <w:right w:val="single" w:sz="4" w:space="0" w:color="auto"/>
            </w:tcBorders>
          </w:tcPr>
          <w:p w14:paraId="23F18643" w14:textId="77777777" w:rsidR="006B683F" w:rsidRPr="00FE3307" w:rsidRDefault="006B683F" w:rsidP="006B683F">
            <w:pPr>
              <w:widowControl w:val="0"/>
              <w:jc w:val="right"/>
              <w:rPr>
                <w:color w:val="000000"/>
                <w:sz w:val="20"/>
                <w:szCs w:val="20"/>
                <w:lang w:val="en-CA"/>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88DFD" w14:textId="77777777" w:rsidR="006B683F" w:rsidRPr="00FE3307" w:rsidRDefault="006B683F" w:rsidP="006B683F">
            <w:pPr>
              <w:widowControl w:val="0"/>
              <w:jc w:val="right"/>
              <w:rPr>
                <w:color w:val="000000"/>
                <w:sz w:val="20"/>
                <w:szCs w:val="20"/>
                <w:lang w:val="en-CA"/>
              </w:rPr>
            </w:pPr>
          </w:p>
        </w:tc>
      </w:tr>
      <w:tr w:rsidR="006B683F" w:rsidRPr="00FE3307" w14:paraId="666E4A83" w14:textId="77777777" w:rsidTr="004842CE">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C961F1D" w14:textId="77777777" w:rsidR="006B683F" w:rsidRPr="006B683F" w:rsidRDefault="006B683F" w:rsidP="006B683F">
            <w:pPr>
              <w:widowControl w:val="0"/>
              <w:jc w:val="left"/>
              <w:rPr>
                <w:color w:val="000000"/>
                <w:sz w:val="20"/>
                <w:szCs w:val="20"/>
                <w:lang w:val="en-CA"/>
              </w:rPr>
            </w:pPr>
            <w:r w:rsidRPr="006B683F">
              <w:rPr>
                <w:color w:val="000000"/>
                <w:sz w:val="20"/>
                <w:szCs w:val="20"/>
                <w:lang w:val="en-CA"/>
              </w:rPr>
              <w:t>HCFC-22</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06347B26" w14:textId="77777777" w:rsidR="006B683F" w:rsidRPr="00363740" w:rsidRDefault="006B683F" w:rsidP="006B683F">
            <w:pPr>
              <w:widowControl w:val="0"/>
              <w:jc w:val="right"/>
              <w:rPr>
                <w:sz w:val="20"/>
                <w:szCs w:val="20"/>
                <w:lang w:val="en-CA"/>
              </w:rPr>
            </w:pPr>
            <w:r w:rsidRPr="00363740">
              <w:rPr>
                <w:sz w:val="20"/>
                <w:szCs w:val="20"/>
                <w:lang w:val="en-CA"/>
              </w:rPr>
              <w:t>21.16</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26650B97" w14:textId="77777777" w:rsidR="006B683F" w:rsidRPr="00363740" w:rsidRDefault="006B683F" w:rsidP="006B683F">
            <w:pPr>
              <w:widowControl w:val="0"/>
              <w:jc w:val="right"/>
              <w:rPr>
                <w:sz w:val="20"/>
                <w:szCs w:val="20"/>
                <w:lang w:val="en-CA"/>
              </w:rPr>
            </w:pPr>
            <w:r w:rsidRPr="00363740">
              <w:rPr>
                <w:sz w:val="20"/>
                <w:szCs w:val="20"/>
                <w:lang w:val="en-CA"/>
              </w:rPr>
              <w:t>21.16</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0D7A6ED5" w14:textId="77777777" w:rsidR="006B683F" w:rsidRPr="00363740" w:rsidRDefault="006B683F" w:rsidP="006B683F">
            <w:pPr>
              <w:widowControl w:val="0"/>
              <w:jc w:val="right"/>
              <w:rPr>
                <w:sz w:val="20"/>
                <w:szCs w:val="20"/>
                <w:lang w:val="en-CA"/>
              </w:rPr>
            </w:pPr>
            <w:r w:rsidRPr="00363740">
              <w:rPr>
                <w:sz w:val="20"/>
                <w:szCs w:val="20"/>
                <w:lang w:val="en-CA"/>
              </w:rPr>
              <w:t>17.51</w:t>
            </w:r>
          </w:p>
        </w:tc>
        <w:tc>
          <w:tcPr>
            <w:tcW w:w="529" w:type="pct"/>
            <w:tcBorders>
              <w:top w:val="single" w:sz="4" w:space="0" w:color="auto"/>
              <w:left w:val="single" w:sz="4" w:space="0" w:color="auto"/>
              <w:bottom w:val="single" w:sz="4" w:space="0" w:color="auto"/>
              <w:right w:val="single" w:sz="4" w:space="0" w:color="auto"/>
            </w:tcBorders>
          </w:tcPr>
          <w:p w14:paraId="2CFAA617" w14:textId="77777777" w:rsidR="006B683F" w:rsidRPr="00363740" w:rsidRDefault="006B683F" w:rsidP="006B683F">
            <w:pPr>
              <w:widowControl w:val="0"/>
              <w:jc w:val="right"/>
              <w:rPr>
                <w:sz w:val="20"/>
                <w:szCs w:val="20"/>
                <w:lang w:val="en-CA"/>
              </w:rPr>
            </w:pPr>
            <w:r w:rsidRPr="00363740">
              <w:rPr>
                <w:sz w:val="20"/>
                <w:szCs w:val="20"/>
                <w:lang w:val="en-CA"/>
              </w:rPr>
              <w:t>17.14</w:t>
            </w:r>
          </w:p>
        </w:tc>
        <w:tc>
          <w:tcPr>
            <w:tcW w:w="530" w:type="pct"/>
            <w:tcBorders>
              <w:top w:val="single" w:sz="4" w:space="0" w:color="auto"/>
              <w:left w:val="single" w:sz="4" w:space="0" w:color="auto"/>
              <w:bottom w:val="single" w:sz="4" w:space="0" w:color="auto"/>
              <w:right w:val="single" w:sz="4" w:space="0" w:color="auto"/>
            </w:tcBorders>
          </w:tcPr>
          <w:p w14:paraId="26C2897D" w14:textId="77777777" w:rsidR="006B683F" w:rsidRPr="00FE3307" w:rsidRDefault="006B683F" w:rsidP="006B683F">
            <w:pPr>
              <w:widowControl w:val="0"/>
              <w:jc w:val="right"/>
              <w:rPr>
                <w:color w:val="000000"/>
                <w:sz w:val="20"/>
                <w:szCs w:val="20"/>
                <w:lang w:val="en-CA"/>
              </w:rPr>
            </w:pPr>
            <w:r>
              <w:rPr>
                <w:color w:val="000000"/>
                <w:sz w:val="20"/>
                <w:szCs w:val="20"/>
                <w:lang w:val="en-CA"/>
              </w:rPr>
              <w:t>16.79</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213EAE" w14:textId="77777777" w:rsidR="006B683F" w:rsidRPr="00363740" w:rsidRDefault="006B683F" w:rsidP="006B683F">
            <w:pPr>
              <w:widowControl w:val="0"/>
              <w:jc w:val="right"/>
              <w:rPr>
                <w:sz w:val="20"/>
                <w:szCs w:val="20"/>
                <w:lang w:val="en-CA"/>
              </w:rPr>
            </w:pPr>
            <w:r w:rsidRPr="00363740">
              <w:rPr>
                <w:sz w:val="20"/>
                <w:szCs w:val="20"/>
                <w:lang w:val="en-CA"/>
              </w:rPr>
              <w:t>42.62</w:t>
            </w:r>
          </w:p>
        </w:tc>
      </w:tr>
      <w:tr w:rsidR="006B683F" w:rsidRPr="00FE3307" w14:paraId="20C7770D" w14:textId="77777777" w:rsidTr="004842CE">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02D715C" w14:textId="77777777" w:rsidR="006B683F" w:rsidRPr="006B683F" w:rsidRDefault="006B683F" w:rsidP="006B683F">
            <w:pPr>
              <w:widowControl w:val="0"/>
              <w:jc w:val="left"/>
              <w:rPr>
                <w:color w:val="000000"/>
                <w:sz w:val="20"/>
                <w:szCs w:val="20"/>
                <w:lang w:val="en-CA"/>
              </w:rPr>
            </w:pPr>
            <w:r w:rsidRPr="006B683F">
              <w:rPr>
                <w:color w:val="000000"/>
                <w:sz w:val="20"/>
                <w:szCs w:val="20"/>
                <w:lang w:val="en-CA"/>
              </w:rPr>
              <w:t>HCFC-142b*</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5A62B43B" w14:textId="77777777" w:rsidR="006B683F" w:rsidRPr="00363740" w:rsidRDefault="006B683F" w:rsidP="006B683F">
            <w:pPr>
              <w:widowControl w:val="0"/>
              <w:jc w:val="right"/>
              <w:rPr>
                <w:sz w:val="20"/>
                <w:szCs w:val="20"/>
                <w:lang w:val="en-CA"/>
              </w:rPr>
            </w:pPr>
            <w:r w:rsidRPr="00363740">
              <w:rPr>
                <w:sz w:val="20"/>
                <w:szCs w:val="20"/>
                <w:lang w:val="en-CA"/>
              </w:rPr>
              <w:t>2.18</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17A92529" w14:textId="77777777" w:rsidR="006B683F" w:rsidRPr="00363740" w:rsidRDefault="006B683F" w:rsidP="006B683F">
            <w:pPr>
              <w:widowControl w:val="0"/>
              <w:jc w:val="right"/>
              <w:rPr>
                <w:sz w:val="20"/>
                <w:szCs w:val="20"/>
                <w:lang w:val="en-CA"/>
              </w:rPr>
            </w:pPr>
            <w:r w:rsidRPr="00363740">
              <w:rPr>
                <w:sz w:val="20"/>
                <w:szCs w:val="20"/>
                <w:lang w:val="en-CA"/>
              </w:rPr>
              <w:t>2.18</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4F0354AF" w14:textId="77777777" w:rsidR="006B683F" w:rsidRPr="00363740" w:rsidRDefault="006B683F" w:rsidP="006B683F">
            <w:pPr>
              <w:widowControl w:val="0"/>
              <w:jc w:val="right"/>
              <w:rPr>
                <w:sz w:val="20"/>
                <w:szCs w:val="20"/>
                <w:lang w:val="en-CA"/>
              </w:rPr>
            </w:pPr>
            <w:r w:rsidRPr="00363740">
              <w:rPr>
                <w:sz w:val="20"/>
                <w:szCs w:val="20"/>
                <w:lang w:val="en-CA"/>
              </w:rPr>
              <w:t>1.03</w:t>
            </w:r>
          </w:p>
        </w:tc>
        <w:tc>
          <w:tcPr>
            <w:tcW w:w="529" w:type="pct"/>
            <w:tcBorders>
              <w:top w:val="single" w:sz="4" w:space="0" w:color="auto"/>
              <w:left w:val="single" w:sz="4" w:space="0" w:color="auto"/>
              <w:bottom w:val="single" w:sz="4" w:space="0" w:color="auto"/>
              <w:right w:val="single" w:sz="4" w:space="0" w:color="auto"/>
            </w:tcBorders>
          </w:tcPr>
          <w:p w14:paraId="4DD49FA8" w14:textId="77777777" w:rsidR="006B683F" w:rsidRPr="00363740" w:rsidRDefault="006B683F" w:rsidP="006B683F">
            <w:pPr>
              <w:widowControl w:val="0"/>
              <w:jc w:val="right"/>
              <w:rPr>
                <w:sz w:val="20"/>
                <w:szCs w:val="20"/>
                <w:lang w:val="en-CA"/>
              </w:rPr>
            </w:pPr>
            <w:r w:rsidRPr="00363740">
              <w:rPr>
                <w:sz w:val="20"/>
                <w:szCs w:val="20"/>
                <w:lang w:val="en-CA"/>
              </w:rPr>
              <w:t>2.39</w:t>
            </w:r>
          </w:p>
        </w:tc>
        <w:tc>
          <w:tcPr>
            <w:tcW w:w="530" w:type="pct"/>
            <w:tcBorders>
              <w:top w:val="single" w:sz="4" w:space="0" w:color="auto"/>
              <w:left w:val="single" w:sz="4" w:space="0" w:color="auto"/>
              <w:bottom w:val="single" w:sz="4" w:space="0" w:color="auto"/>
              <w:right w:val="single" w:sz="4" w:space="0" w:color="auto"/>
            </w:tcBorders>
          </w:tcPr>
          <w:p w14:paraId="70FDC0F3" w14:textId="77777777" w:rsidR="006B683F" w:rsidRPr="00FE3307" w:rsidRDefault="006B683F" w:rsidP="006B683F">
            <w:pPr>
              <w:widowControl w:val="0"/>
              <w:jc w:val="right"/>
              <w:rPr>
                <w:color w:val="000000"/>
                <w:sz w:val="20"/>
                <w:szCs w:val="20"/>
                <w:lang w:val="en-CA"/>
              </w:rPr>
            </w:pPr>
            <w:r>
              <w:rPr>
                <w:color w:val="000000"/>
                <w:sz w:val="20"/>
                <w:szCs w:val="20"/>
                <w:lang w:val="en-CA"/>
              </w:rPr>
              <w:t>1.05</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E03113" w14:textId="77777777" w:rsidR="006B683F" w:rsidRPr="00363740" w:rsidRDefault="006B683F" w:rsidP="006B683F">
            <w:pPr>
              <w:widowControl w:val="0"/>
              <w:jc w:val="right"/>
              <w:rPr>
                <w:sz w:val="20"/>
                <w:szCs w:val="20"/>
                <w:lang w:val="en-CA"/>
              </w:rPr>
            </w:pPr>
            <w:r w:rsidRPr="00363740">
              <w:rPr>
                <w:sz w:val="20"/>
                <w:szCs w:val="20"/>
                <w:lang w:val="en-CA"/>
              </w:rPr>
              <w:t>14.63</w:t>
            </w:r>
          </w:p>
        </w:tc>
      </w:tr>
      <w:tr w:rsidR="006B683F" w:rsidRPr="00FE3307" w14:paraId="40432A50" w14:textId="77777777" w:rsidTr="004842CE">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1F2EFCB3" w14:textId="77777777" w:rsidR="006B683F" w:rsidRPr="00FE3307" w:rsidRDefault="006B683F" w:rsidP="006B683F">
            <w:pPr>
              <w:jc w:val="left"/>
              <w:rPr>
                <w:rFonts w:eastAsiaTheme="minorHAnsi"/>
                <w:b/>
                <w:sz w:val="20"/>
                <w:szCs w:val="20"/>
                <w:lang w:val="en-CA"/>
              </w:rPr>
            </w:pPr>
            <w:r w:rsidRPr="00FE3307">
              <w:rPr>
                <w:b/>
                <w:sz w:val="20"/>
                <w:szCs w:val="20"/>
                <w:lang w:val="en-CA"/>
              </w:rPr>
              <w:t>Total (ODP tonnes)</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68A123BC" w14:textId="77777777" w:rsidR="006B683F" w:rsidRPr="00363740" w:rsidRDefault="006B683F" w:rsidP="006B683F">
            <w:pPr>
              <w:widowControl w:val="0"/>
              <w:jc w:val="right"/>
              <w:rPr>
                <w:b/>
                <w:sz w:val="20"/>
                <w:szCs w:val="20"/>
                <w:lang w:val="en-CA"/>
              </w:rPr>
            </w:pPr>
            <w:r w:rsidRPr="00363740">
              <w:rPr>
                <w:b/>
                <w:sz w:val="20"/>
                <w:szCs w:val="20"/>
                <w:lang w:val="en-CA"/>
              </w:rPr>
              <w:t>23.34</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08E4D2CB" w14:textId="77777777" w:rsidR="006B683F" w:rsidRPr="00363740" w:rsidRDefault="006B683F" w:rsidP="006B683F">
            <w:pPr>
              <w:widowControl w:val="0"/>
              <w:jc w:val="right"/>
              <w:rPr>
                <w:b/>
                <w:sz w:val="20"/>
                <w:szCs w:val="20"/>
                <w:lang w:val="en-CA"/>
              </w:rPr>
            </w:pPr>
            <w:r w:rsidRPr="00363740">
              <w:rPr>
                <w:b/>
                <w:sz w:val="20"/>
                <w:szCs w:val="20"/>
                <w:lang w:val="en-CA"/>
              </w:rPr>
              <w:t>23.34</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4D777403" w14:textId="77777777" w:rsidR="006B683F" w:rsidRPr="00363740" w:rsidRDefault="006B683F" w:rsidP="006B683F">
            <w:pPr>
              <w:widowControl w:val="0"/>
              <w:jc w:val="right"/>
              <w:rPr>
                <w:b/>
                <w:sz w:val="20"/>
                <w:szCs w:val="20"/>
                <w:lang w:val="en-CA"/>
              </w:rPr>
            </w:pPr>
            <w:r w:rsidRPr="00363740">
              <w:rPr>
                <w:b/>
                <w:sz w:val="20"/>
                <w:szCs w:val="20"/>
                <w:lang w:val="en-CA"/>
              </w:rPr>
              <w:fldChar w:fldCharType="begin"/>
            </w:r>
            <w:r w:rsidRPr="00363740">
              <w:rPr>
                <w:b/>
                <w:sz w:val="20"/>
                <w:szCs w:val="20"/>
                <w:lang w:val="en-CA"/>
              </w:rPr>
              <w:instrText xml:space="preserve"> =SUM(ABOVE) </w:instrText>
            </w:r>
            <w:r w:rsidRPr="00363740">
              <w:rPr>
                <w:b/>
                <w:sz w:val="20"/>
                <w:szCs w:val="20"/>
                <w:lang w:val="en-CA"/>
              </w:rPr>
              <w:fldChar w:fldCharType="separate"/>
            </w:r>
            <w:r w:rsidRPr="00363740">
              <w:rPr>
                <w:b/>
                <w:noProof/>
                <w:sz w:val="20"/>
                <w:szCs w:val="20"/>
                <w:lang w:val="en-CA"/>
              </w:rPr>
              <w:t>18.54</w:t>
            </w:r>
            <w:r w:rsidRPr="00363740">
              <w:rPr>
                <w:b/>
                <w:sz w:val="20"/>
                <w:szCs w:val="20"/>
                <w:lang w:val="en-CA"/>
              </w:rPr>
              <w:fldChar w:fldCharType="end"/>
            </w:r>
          </w:p>
        </w:tc>
        <w:tc>
          <w:tcPr>
            <w:tcW w:w="529" w:type="pct"/>
            <w:tcBorders>
              <w:top w:val="single" w:sz="4" w:space="0" w:color="auto"/>
              <w:left w:val="single" w:sz="4" w:space="0" w:color="auto"/>
              <w:bottom w:val="single" w:sz="4" w:space="0" w:color="auto"/>
              <w:right w:val="single" w:sz="4" w:space="0" w:color="auto"/>
            </w:tcBorders>
          </w:tcPr>
          <w:p w14:paraId="7AAA6EC1" w14:textId="77777777" w:rsidR="006B683F" w:rsidRPr="00363740" w:rsidRDefault="006B683F" w:rsidP="006B683F">
            <w:pPr>
              <w:widowControl w:val="0"/>
              <w:jc w:val="right"/>
              <w:rPr>
                <w:b/>
                <w:sz w:val="20"/>
                <w:szCs w:val="20"/>
                <w:lang w:val="en-CA"/>
              </w:rPr>
            </w:pPr>
            <w:r w:rsidRPr="00363740">
              <w:rPr>
                <w:b/>
                <w:sz w:val="20"/>
                <w:szCs w:val="20"/>
                <w:lang w:val="en-CA"/>
              </w:rPr>
              <w:fldChar w:fldCharType="begin"/>
            </w:r>
            <w:r w:rsidRPr="00363740">
              <w:rPr>
                <w:b/>
                <w:sz w:val="20"/>
                <w:szCs w:val="20"/>
                <w:lang w:val="en-CA"/>
              </w:rPr>
              <w:instrText xml:space="preserve"> =SUM(ABOVE) </w:instrText>
            </w:r>
            <w:r w:rsidRPr="00363740">
              <w:rPr>
                <w:b/>
                <w:sz w:val="20"/>
                <w:szCs w:val="20"/>
                <w:lang w:val="en-CA"/>
              </w:rPr>
              <w:fldChar w:fldCharType="separate"/>
            </w:r>
            <w:r w:rsidRPr="00363740">
              <w:rPr>
                <w:b/>
                <w:noProof/>
                <w:sz w:val="20"/>
                <w:szCs w:val="20"/>
                <w:lang w:val="en-CA"/>
              </w:rPr>
              <w:t>19.53</w:t>
            </w:r>
            <w:r w:rsidRPr="00363740">
              <w:rPr>
                <w:b/>
                <w:sz w:val="20"/>
                <w:szCs w:val="20"/>
                <w:lang w:val="en-CA"/>
              </w:rPr>
              <w:fldChar w:fldCharType="end"/>
            </w:r>
          </w:p>
        </w:tc>
        <w:tc>
          <w:tcPr>
            <w:tcW w:w="530" w:type="pct"/>
            <w:tcBorders>
              <w:top w:val="single" w:sz="4" w:space="0" w:color="auto"/>
              <w:left w:val="single" w:sz="4" w:space="0" w:color="auto"/>
              <w:bottom w:val="single" w:sz="4" w:space="0" w:color="auto"/>
              <w:right w:val="single" w:sz="4" w:space="0" w:color="auto"/>
            </w:tcBorders>
          </w:tcPr>
          <w:p w14:paraId="7767CFE1" w14:textId="77777777" w:rsidR="006B683F" w:rsidRPr="00FE3307" w:rsidRDefault="006B683F" w:rsidP="006B683F">
            <w:pPr>
              <w:jc w:val="right"/>
              <w:rPr>
                <w:b/>
                <w:color w:val="000000"/>
                <w:sz w:val="20"/>
                <w:szCs w:val="20"/>
                <w:lang w:val="en-CA"/>
              </w:rPr>
            </w:pPr>
            <w:r>
              <w:rPr>
                <w:b/>
                <w:color w:val="000000"/>
                <w:sz w:val="20"/>
                <w:szCs w:val="20"/>
                <w:lang w:val="en-CA"/>
              </w:rPr>
              <w:t>17.84</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9EEEFC" w14:textId="77777777" w:rsidR="006B683F" w:rsidRPr="00363740" w:rsidRDefault="006B683F" w:rsidP="006B683F">
            <w:pPr>
              <w:widowControl w:val="0"/>
              <w:jc w:val="right"/>
              <w:rPr>
                <w:b/>
                <w:sz w:val="20"/>
                <w:szCs w:val="20"/>
                <w:lang w:val="en-CA"/>
              </w:rPr>
            </w:pPr>
            <w:r w:rsidRPr="00363740">
              <w:rPr>
                <w:b/>
                <w:sz w:val="20"/>
                <w:szCs w:val="20"/>
                <w:lang w:val="en-CA"/>
              </w:rPr>
              <w:t>57.30</w:t>
            </w:r>
          </w:p>
        </w:tc>
      </w:tr>
    </w:tbl>
    <w:p w14:paraId="6BBB2710" w14:textId="77777777" w:rsidR="00CD2467" w:rsidRPr="00A30A5C" w:rsidRDefault="006B683F" w:rsidP="00255CDE">
      <w:pPr>
        <w:rPr>
          <w:sz w:val="16"/>
          <w:szCs w:val="16"/>
          <w:lang w:val="en-CA"/>
        </w:rPr>
      </w:pPr>
      <w:r w:rsidRPr="006B683F">
        <w:rPr>
          <w:sz w:val="16"/>
          <w:szCs w:val="16"/>
          <w:lang w:val="en-CA"/>
        </w:rPr>
        <w:t>*</w:t>
      </w:r>
      <w:r w:rsidR="00CD2467">
        <w:rPr>
          <w:sz w:val="16"/>
          <w:szCs w:val="16"/>
          <w:lang w:val="en-CA"/>
        </w:rPr>
        <w:t xml:space="preserve"> </w:t>
      </w:r>
      <w:r w:rsidR="00CD2467" w:rsidRPr="00A30A5C">
        <w:rPr>
          <w:sz w:val="16"/>
          <w:szCs w:val="16"/>
          <w:lang w:val="en-CA"/>
        </w:rPr>
        <w:t>Contained in the blend R-406A, which is 55 per cent HCFC-22, 41 per cent HCFC-142b and 4 per cent R-600a.</w:t>
      </w:r>
    </w:p>
    <w:p w14:paraId="05D66F27" w14:textId="77777777" w:rsidR="00255CDE" w:rsidRPr="00A30A5C" w:rsidRDefault="00255CDE" w:rsidP="00255CDE">
      <w:pPr>
        <w:rPr>
          <w:lang w:val="en-CA"/>
        </w:rPr>
      </w:pPr>
    </w:p>
    <w:p w14:paraId="0E72D2A9" w14:textId="385C0D93" w:rsidR="00255CDE" w:rsidRPr="00A30A5C" w:rsidRDefault="00A30A5C" w:rsidP="00255CDE">
      <w:pPr>
        <w:pStyle w:val="Heading1"/>
        <w:rPr>
          <w:lang w:val="en-CA"/>
        </w:rPr>
      </w:pPr>
      <w:r>
        <w:rPr>
          <w:sz w:val="23"/>
          <w:szCs w:val="23"/>
        </w:rPr>
        <w:t xml:space="preserve">The country consumes only </w:t>
      </w:r>
      <w:r w:rsidRPr="00A30A5C">
        <w:rPr>
          <w:sz w:val="23"/>
          <w:szCs w:val="23"/>
        </w:rPr>
        <w:t>HCFC-22 and HCFC-142b in the servicing of refrigeration and air</w:t>
      </w:r>
      <w:r w:rsidR="005207E9">
        <w:rPr>
          <w:sz w:val="23"/>
          <w:szCs w:val="23"/>
        </w:rPr>
        <w:noBreakHyphen/>
      </w:r>
      <w:r w:rsidRPr="00A30A5C">
        <w:rPr>
          <w:sz w:val="23"/>
          <w:szCs w:val="23"/>
        </w:rPr>
        <w:t xml:space="preserve">conditioning (RAC) equipment, including domestic refrigerators and freezers. </w:t>
      </w:r>
      <w:r w:rsidR="005737DB">
        <w:rPr>
          <w:sz w:val="23"/>
          <w:szCs w:val="23"/>
        </w:rPr>
        <w:t xml:space="preserve">The </w:t>
      </w:r>
      <w:r w:rsidRPr="00A30A5C">
        <w:rPr>
          <w:sz w:val="23"/>
          <w:szCs w:val="23"/>
        </w:rPr>
        <w:t xml:space="preserve">HCFC refrigerant blend R-406a was being used as </w:t>
      </w:r>
      <w:r w:rsidR="005207E9">
        <w:rPr>
          <w:sz w:val="23"/>
          <w:szCs w:val="23"/>
        </w:rPr>
        <w:t xml:space="preserve">a </w:t>
      </w:r>
      <w:r w:rsidRPr="00A30A5C">
        <w:rPr>
          <w:sz w:val="23"/>
          <w:szCs w:val="23"/>
        </w:rPr>
        <w:t>drop-in replacement for CFC-12 during the CFC phase</w:t>
      </w:r>
      <w:r w:rsidR="005207E9">
        <w:rPr>
          <w:sz w:val="23"/>
          <w:szCs w:val="23"/>
        </w:rPr>
        <w:noBreakHyphen/>
      </w:r>
      <w:r w:rsidRPr="00A30A5C">
        <w:rPr>
          <w:sz w:val="23"/>
          <w:szCs w:val="23"/>
        </w:rPr>
        <w:t>out and continues to be used</w:t>
      </w:r>
      <w:r w:rsidR="00B6018A">
        <w:rPr>
          <w:sz w:val="23"/>
          <w:szCs w:val="23"/>
        </w:rPr>
        <w:t xml:space="preserve"> for equipment servicing</w:t>
      </w:r>
      <w:r w:rsidRPr="00A30A5C">
        <w:rPr>
          <w:sz w:val="23"/>
          <w:szCs w:val="23"/>
        </w:rPr>
        <w:t xml:space="preserve">. </w:t>
      </w:r>
      <w:r w:rsidR="00B6018A">
        <w:rPr>
          <w:sz w:val="23"/>
          <w:szCs w:val="23"/>
        </w:rPr>
        <w:t xml:space="preserve">In recent years, the </w:t>
      </w:r>
      <w:r w:rsidRPr="00A30A5C">
        <w:rPr>
          <w:sz w:val="23"/>
          <w:szCs w:val="23"/>
        </w:rPr>
        <w:t>us</w:t>
      </w:r>
      <w:r w:rsidR="00520B74">
        <w:rPr>
          <w:sz w:val="23"/>
          <w:szCs w:val="23"/>
        </w:rPr>
        <w:t>e of R-406A</w:t>
      </w:r>
      <w:r w:rsidRPr="00A30A5C">
        <w:rPr>
          <w:sz w:val="23"/>
          <w:szCs w:val="23"/>
        </w:rPr>
        <w:t xml:space="preserve"> </w:t>
      </w:r>
      <w:r w:rsidR="00B6018A">
        <w:rPr>
          <w:sz w:val="23"/>
          <w:szCs w:val="23"/>
        </w:rPr>
        <w:t xml:space="preserve">and HCFC-22 </w:t>
      </w:r>
      <w:r w:rsidR="005207E9">
        <w:rPr>
          <w:sz w:val="23"/>
          <w:szCs w:val="23"/>
        </w:rPr>
        <w:t xml:space="preserve">is </w:t>
      </w:r>
      <w:r w:rsidR="00B6018A">
        <w:rPr>
          <w:sz w:val="23"/>
          <w:szCs w:val="23"/>
        </w:rPr>
        <w:t xml:space="preserve">gradual decreasing, and the use of </w:t>
      </w:r>
      <w:r w:rsidR="00B6018A" w:rsidRPr="00A30A5C">
        <w:rPr>
          <w:sz w:val="23"/>
          <w:szCs w:val="23"/>
        </w:rPr>
        <w:t>R-600a</w:t>
      </w:r>
      <w:r w:rsidR="00B6018A">
        <w:rPr>
          <w:sz w:val="23"/>
          <w:szCs w:val="23"/>
        </w:rPr>
        <w:t xml:space="preserve"> has been increasing due to the implementation of the HPMP. In 2018, 89 per cent of the refrigerant used </w:t>
      </w:r>
      <w:r w:rsidR="00D913BD">
        <w:rPr>
          <w:sz w:val="23"/>
          <w:szCs w:val="23"/>
        </w:rPr>
        <w:t xml:space="preserve">in the country </w:t>
      </w:r>
      <w:r w:rsidR="00B6018A">
        <w:rPr>
          <w:sz w:val="23"/>
          <w:szCs w:val="23"/>
        </w:rPr>
        <w:t xml:space="preserve">was HCFCs, 10 per cent was HFCs and </w:t>
      </w:r>
      <w:r w:rsidR="00143A2F">
        <w:rPr>
          <w:sz w:val="23"/>
          <w:szCs w:val="23"/>
        </w:rPr>
        <w:t xml:space="preserve">one </w:t>
      </w:r>
      <w:r w:rsidR="00B6018A">
        <w:rPr>
          <w:sz w:val="23"/>
          <w:szCs w:val="23"/>
        </w:rPr>
        <w:t>per cent was hydrocarbons</w:t>
      </w:r>
      <w:r w:rsidR="0008491F">
        <w:rPr>
          <w:sz w:val="23"/>
          <w:szCs w:val="23"/>
        </w:rPr>
        <w:t xml:space="preserve"> (HC)</w:t>
      </w:r>
      <w:r w:rsidR="00B6018A">
        <w:rPr>
          <w:sz w:val="23"/>
          <w:szCs w:val="23"/>
        </w:rPr>
        <w:t xml:space="preserve">. </w:t>
      </w:r>
    </w:p>
    <w:p w14:paraId="6608464E" w14:textId="77777777" w:rsidR="00255CDE" w:rsidRPr="00FE3307" w:rsidRDefault="00255CDE" w:rsidP="00255CDE">
      <w:pPr>
        <w:rPr>
          <w:i/>
          <w:lang w:val="en-CA"/>
        </w:rPr>
      </w:pPr>
      <w:r w:rsidRPr="00FE3307">
        <w:rPr>
          <w:i/>
          <w:lang w:val="en-CA"/>
        </w:rPr>
        <w:t>Country programme (CP) implementation report</w:t>
      </w:r>
    </w:p>
    <w:p w14:paraId="667DFEEB" w14:textId="77777777" w:rsidR="00255CDE" w:rsidRPr="00FE3307" w:rsidRDefault="00255CDE" w:rsidP="00255CDE">
      <w:pPr>
        <w:rPr>
          <w:lang w:val="en-CA"/>
        </w:rPr>
      </w:pPr>
    </w:p>
    <w:p w14:paraId="0AA95C62" w14:textId="4CFFB40B" w:rsidR="00255CDE" w:rsidRDefault="00255CDE" w:rsidP="00255CDE">
      <w:pPr>
        <w:pStyle w:val="Heading1"/>
        <w:rPr>
          <w:lang w:val="en-CA"/>
        </w:rPr>
      </w:pPr>
      <w:r w:rsidRPr="005F6D44">
        <w:rPr>
          <w:lang w:val="en-CA"/>
        </w:rPr>
        <w:t xml:space="preserve">The Government of </w:t>
      </w:r>
      <w:r w:rsidR="00AD50AC" w:rsidRPr="005F6D44">
        <w:rPr>
          <w:lang w:val="en-CA"/>
        </w:rPr>
        <w:t>Ghana</w:t>
      </w:r>
      <w:r w:rsidRPr="005F6D44">
        <w:rPr>
          <w:lang w:val="en-CA"/>
        </w:rPr>
        <w:t xml:space="preserve"> reported HCFC sector consumption data under the 2018</w:t>
      </w:r>
      <w:r w:rsidR="005F6D44" w:rsidRPr="005F6D44">
        <w:rPr>
          <w:lang w:val="en-CA"/>
        </w:rPr>
        <w:t xml:space="preserve"> </w:t>
      </w:r>
      <w:r w:rsidRPr="005F6D44">
        <w:rPr>
          <w:lang w:val="en-CA"/>
        </w:rPr>
        <w:t xml:space="preserve">CP implementation report </w:t>
      </w:r>
      <w:r w:rsidR="00143A2F">
        <w:rPr>
          <w:lang w:val="en-CA"/>
        </w:rPr>
        <w:t>that</w:t>
      </w:r>
      <w:r w:rsidR="00143A2F" w:rsidRPr="005F6D44">
        <w:rPr>
          <w:lang w:val="en-CA"/>
        </w:rPr>
        <w:t xml:space="preserve"> </w:t>
      </w:r>
      <w:r w:rsidRPr="005F6D44">
        <w:rPr>
          <w:lang w:val="en-CA"/>
        </w:rPr>
        <w:t>is consistent with the data reported under Article 7 of the Montreal Protocol.</w:t>
      </w:r>
      <w:r w:rsidRPr="00FE3307">
        <w:rPr>
          <w:lang w:val="en-CA"/>
        </w:rPr>
        <w:t xml:space="preserve"> </w:t>
      </w:r>
    </w:p>
    <w:p w14:paraId="1E49DB5E" w14:textId="77777777" w:rsidR="00255CDE" w:rsidRPr="00FE3307" w:rsidRDefault="00CD2467" w:rsidP="00255CDE">
      <w:pPr>
        <w:rPr>
          <w:i/>
          <w:lang w:val="en-CA"/>
        </w:rPr>
      </w:pPr>
      <w:r>
        <w:rPr>
          <w:i/>
          <w:lang w:val="en-CA"/>
        </w:rPr>
        <w:t>Verification report</w:t>
      </w:r>
    </w:p>
    <w:p w14:paraId="12716EBB" w14:textId="77777777" w:rsidR="00255CDE" w:rsidRPr="00FE3307" w:rsidRDefault="00255CDE" w:rsidP="00255CDE">
      <w:pPr>
        <w:rPr>
          <w:lang w:val="en-CA"/>
        </w:rPr>
      </w:pPr>
    </w:p>
    <w:p w14:paraId="24B1BDA6" w14:textId="08AAE1F7" w:rsidR="00255CDE" w:rsidRPr="00284091" w:rsidRDefault="00255CDE" w:rsidP="00255CDE">
      <w:pPr>
        <w:pStyle w:val="Heading1"/>
        <w:rPr>
          <w:lang w:val="en-CA"/>
        </w:rPr>
      </w:pPr>
      <w:r w:rsidRPr="00FE3307">
        <w:rPr>
          <w:lang w:val="en-CA"/>
        </w:rPr>
        <w:t>The verification report confirmed that the Government is implementing a licensing and quota system for HCFC imports and exports and that th</w:t>
      </w:r>
      <w:r w:rsidR="00520B74">
        <w:rPr>
          <w:lang w:val="en-CA"/>
        </w:rPr>
        <w:t>e HCFC consumption in</w:t>
      </w:r>
      <w:r w:rsidRPr="00FE3307">
        <w:rPr>
          <w:lang w:val="en-CA"/>
        </w:rPr>
        <w:t xml:space="preserve"> </w:t>
      </w:r>
      <w:r w:rsidRPr="00284091">
        <w:rPr>
          <w:lang w:val="en-CA"/>
        </w:rPr>
        <w:t xml:space="preserve">2018 was </w:t>
      </w:r>
      <w:r w:rsidR="00284091">
        <w:rPr>
          <w:lang w:val="en-CA"/>
        </w:rPr>
        <w:t>17.8</w:t>
      </w:r>
      <w:r w:rsidR="00F07892">
        <w:rPr>
          <w:lang w:val="en-CA"/>
        </w:rPr>
        <w:t>3</w:t>
      </w:r>
      <w:r w:rsidRPr="00284091">
        <w:rPr>
          <w:lang w:val="en-CA"/>
        </w:rPr>
        <w:t> ODP tonnes</w:t>
      </w:r>
      <w:r w:rsidR="00143A2F">
        <w:rPr>
          <w:lang w:val="en-CA"/>
        </w:rPr>
        <w:t>,</w:t>
      </w:r>
      <w:r w:rsidR="009E55FE">
        <w:rPr>
          <w:lang w:val="en-CA"/>
        </w:rPr>
        <w:t xml:space="preserve"> which is </w:t>
      </w:r>
      <w:r w:rsidR="00F07892">
        <w:rPr>
          <w:lang w:val="en-CA"/>
        </w:rPr>
        <w:t xml:space="preserve">below the </w:t>
      </w:r>
      <w:r w:rsidR="00520B74">
        <w:rPr>
          <w:lang w:val="en-CA"/>
        </w:rPr>
        <w:t xml:space="preserve">target set in the Agreement with the </w:t>
      </w:r>
      <w:r w:rsidR="00F07892">
        <w:t>Executive Committee</w:t>
      </w:r>
      <w:r w:rsidR="00520B74">
        <w:t>.</w:t>
      </w:r>
      <w:r w:rsidR="00284091" w:rsidRPr="002F7263">
        <w:t xml:space="preserve"> </w:t>
      </w:r>
    </w:p>
    <w:p w14:paraId="51C5483E" w14:textId="77777777" w:rsidR="00255CDE" w:rsidRPr="00FE3307" w:rsidRDefault="00255CDE" w:rsidP="00255CDE">
      <w:pPr>
        <w:rPr>
          <w:u w:val="single"/>
          <w:lang w:val="en-CA"/>
        </w:rPr>
      </w:pPr>
      <w:r w:rsidRPr="00FE3307">
        <w:rPr>
          <w:u w:val="single"/>
          <w:lang w:val="en-CA"/>
        </w:rPr>
        <w:t xml:space="preserve">Progress report on the implementation of the </w:t>
      </w:r>
      <w:r w:rsidR="009445EA">
        <w:rPr>
          <w:u w:val="single"/>
          <w:lang w:val="en-CA"/>
        </w:rPr>
        <w:t>fifth</w:t>
      </w:r>
      <w:r w:rsidRPr="00FE3307">
        <w:rPr>
          <w:u w:val="single"/>
          <w:lang w:val="en-CA"/>
        </w:rPr>
        <w:t xml:space="preserve"> tranche of the HPMP</w:t>
      </w:r>
    </w:p>
    <w:p w14:paraId="1871628B" w14:textId="77777777" w:rsidR="00255CDE" w:rsidRPr="00FE3307" w:rsidRDefault="00255CDE" w:rsidP="00255CDE">
      <w:pPr>
        <w:rPr>
          <w:lang w:val="en-CA"/>
        </w:rPr>
      </w:pPr>
    </w:p>
    <w:p w14:paraId="50DE372D" w14:textId="77777777" w:rsidR="00255CDE" w:rsidRPr="00FE3307" w:rsidRDefault="00255CDE" w:rsidP="00255CDE">
      <w:pPr>
        <w:rPr>
          <w:i/>
          <w:lang w:val="en-CA"/>
        </w:rPr>
      </w:pPr>
      <w:r w:rsidRPr="00FE3307">
        <w:rPr>
          <w:i/>
          <w:lang w:val="en-CA"/>
        </w:rPr>
        <w:t>Legal framework</w:t>
      </w:r>
    </w:p>
    <w:p w14:paraId="77F79A87" w14:textId="77777777" w:rsidR="00255CDE" w:rsidRPr="00FE3307" w:rsidRDefault="00255CDE" w:rsidP="00255CDE">
      <w:pPr>
        <w:rPr>
          <w:lang w:val="en-CA"/>
        </w:rPr>
      </w:pPr>
    </w:p>
    <w:p w14:paraId="72398690" w14:textId="01AD9248" w:rsidR="00B84A58" w:rsidRDefault="005C202B" w:rsidP="00B84A58">
      <w:pPr>
        <w:pStyle w:val="Heading1"/>
        <w:rPr>
          <w:lang w:val="en-CA"/>
        </w:rPr>
      </w:pPr>
      <w:r w:rsidRPr="004842CE">
        <w:rPr>
          <w:lang w:val="en-CA"/>
        </w:rPr>
        <w:t xml:space="preserve">Ghana has established a licensing and quota system for </w:t>
      </w:r>
      <w:r w:rsidR="0008491F">
        <w:rPr>
          <w:lang w:val="en-CA"/>
        </w:rPr>
        <w:t xml:space="preserve">the imports and exports of </w:t>
      </w:r>
      <w:r w:rsidRPr="004842CE">
        <w:rPr>
          <w:lang w:val="en-CA"/>
        </w:rPr>
        <w:t>HCFCs</w:t>
      </w:r>
      <w:r w:rsidR="004842CE">
        <w:rPr>
          <w:lang w:val="en-CA"/>
        </w:rPr>
        <w:t xml:space="preserve"> and HCFC-based equipment</w:t>
      </w:r>
      <w:r w:rsidRPr="004842CE">
        <w:rPr>
          <w:lang w:val="en-CA"/>
        </w:rPr>
        <w:t xml:space="preserve">. </w:t>
      </w:r>
      <w:r w:rsidR="004842CE">
        <w:rPr>
          <w:lang w:val="en-CA"/>
        </w:rPr>
        <w:t>I</w:t>
      </w:r>
      <w:r w:rsidRPr="004842CE">
        <w:rPr>
          <w:lang w:val="en-CA"/>
        </w:rPr>
        <w:t xml:space="preserve">t also banned the import of used </w:t>
      </w:r>
      <w:r w:rsidR="004842CE">
        <w:rPr>
          <w:lang w:val="en-CA"/>
        </w:rPr>
        <w:t xml:space="preserve">refrigeration and RAC equipment under the Energy Efficiency Regulation. </w:t>
      </w:r>
      <w:r w:rsidRPr="00144535">
        <w:rPr>
          <w:lang w:val="en-CA"/>
        </w:rPr>
        <w:t xml:space="preserve">In 2016, the Environment Protection Agency issued guidelines on the use </w:t>
      </w:r>
      <w:r w:rsidRPr="00144535">
        <w:rPr>
          <w:lang w:val="en-CA"/>
        </w:rPr>
        <w:lastRenderedPageBreak/>
        <w:t xml:space="preserve">of HC refrigerants </w:t>
      </w:r>
      <w:r w:rsidR="0008491F">
        <w:rPr>
          <w:lang w:val="en-CA"/>
        </w:rPr>
        <w:t xml:space="preserve">to facilitate their </w:t>
      </w:r>
      <w:r w:rsidRPr="00144535">
        <w:rPr>
          <w:lang w:val="en-CA"/>
        </w:rPr>
        <w:t>safe introduction in the country. Ghana also follows the Harmonized Regulation on ODS management of the Economic Commission of West African States</w:t>
      </w:r>
      <w:r w:rsidR="0008491F">
        <w:rPr>
          <w:lang w:val="en-CA"/>
        </w:rPr>
        <w:t xml:space="preserve"> (ECWAS)</w:t>
      </w:r>
      <w:r w:rsidRPr="00144535">
        <w:rPr>
          <w:lang w:val="en-CA"/>
        </w:rPr>
        <w:t>, collaborating with other countries to control HCFC imports and exports.</w:t>
      </w:r>
      <w:r w:rsidR="00255CDE" w:rsidRPr="00144535">
        <w:rPr>
          <w:lang w:val="en-CA"/>
        </w:rPr>
        <w:t xml:space="preserve"> </w:t>
      </w:r>
    </w:p>
    <w:p w14:paraId="70F01D6F" w14:textId="2F2F987F" w:rsidR="00255CDE" w:rsidRPr="00144535" w:rsidRDefault="00B84A58" w:rsidP="00B84A58">
      <w:pPr>
        <w:pStyle w:val="Heading1"/>
        <w:rPr>
          <w:lang w:val="en-CA"/>
        </w:rPr>
      </w:pPr>
      <w:r>
        <w:rPr>
          <w:lang w:val="en-CA"/>
        </w:rPr>
        <w:t xml:space="preserve">In 2017, the Government launched a project to introduce </w:t>
      </w:r>
      <w:r w:rsidR="00143A2F">
        <w:rPr>
          <w:lang w:val="en-CA"/>
        </w:rPr>
        <w:t xml:space="preserve">a </w:t>
      </w:r>
      <w:r>
        <w:rPr>
          <w:lang w:val="en-CA"/>
        </w:rPr>
        <w:t>computerized import control system, which connects customs with the national ozone units (NOU)</w:t>
      </w:r>
      <w:r w:rsidR="00D913BD">
        <w:rPr>
          <w:lang w:val="en-CA"/>
        </w:rPr>
        <w:t>,</w:t>
      </w:r>
      <w:r>
        <w:rPr>
          <w:lang w:val="en-CA"/>
        </w:rPr>
        <w:t xml:space="preserve"> and </w:t>
      </w:r>
      <w:r w:rsidR="00143A2F">
        <w:rPr>
          <w:lang w:val="en-CA"/>
        </w:rPr>
        <w:t xml:space="preserve">enhances </w:t>
      </w:r>
      <w:r>
        <w:rPr>
          <w:lang w:val="en-CA"/>
        </w:rPr>
        <w:t>communications.</w:t>
      </w:r>
    </w:p>
    <w:p w14:paraId="46A616D9" w14:textId="77777777" w:rsidR="00255CDE" w:rsidRPr="00FE3307" w:rsidRDefault="00255CDE" w:rsidP="00255CDE">
      <w:pPr>
        <w:rPr>
          <w:i/>
          <w:lang w:val="en-CA"/>
        </w:rPr>
      </w:pPr>
      <w:r w:rsidRPr="00FE3307">
        <w:rPr>
          <w:i/>
          <w:lang w:val="en-CA"/>
        </w:rPr>
        <w:t>Refrigeration servicing sector</w:t>
      </w:r>
    </w:p>
    <w:p w14:paraId="6CC74F7B" w14:textId="77777777" w:rsidR="00255CDE" w:rsidRPr="00FE3307" w:rsidRDefault="00255CDE" w:rsidP="00255CDE">
      <w:pPr>
        <w:rPr>
          <w:lang w:val="en-CA"/>
        </w:rPr>
      </w:pPr>
    </w:p>
    <w:p w14:paraId="35411AEB" w14:textId="77777777" w:rsidR="006D0EB4" w:rsidRPr="003A7C8C" w:rsidRDefault="006D0EB4" w:rsidP="006D0EB4">
      <w:pPr>
        <w:pStyle w:val="Heading1"/>
        <w:rPr>
          <w:lang w:val="en-CA"/>
        </w:rPr>
      </w:pPr>
      <w:r w:rsidRPr="003A7C8C">
        <w:rPr>
          <w:lang w:val="en-CA"/>
        </w:rPr>
        <w:t xml:space="preserve">The following activities </w:t>
      </w:r>
      <w:r w:rsidR="003A7C8C" w:rsidRPr="003A7C8C">
        <w:rPr>
          <w:lang w:val="en-CA"/>
        </w:rPr>
        <w:t>were</w:t>
      </w:r>
      <w:r w:rsidRPr="003A7C8C">
        <w:rPr>
          <w:lang w:val="en-CA"/>
        </w:rPr>
        <w:t xml:space="preserve"> implemented </w:t>
      </w:r>
      <w:r w:rsidR="003A7C8C" w:rsidRPr="003A7C8C">
        <w:rPr>
          <w:lang w:val="en-CA"/>
        </w:rPr>
        <w:t>during the fifth tranche</w:t>
      </w:r>
      <w:r w:rsidRPr="003A7C8C">
        <w:rPr>
          <w:lang w:val="en-CA"/>
        </w:rPr>
        <w:t>:</w:t>
      </w:r>
    </w:p>
    <w:p w14:paraId="48F07040" w14:textId="6B643CD2" w:rsidR="005C07CD" w:rsidRPr="005C07CD" w:rsidRDefault="0058136D" w:rsidP="006D0EB4">
      <w:pPr>
        <w:pStyle w:val="Heading2"/>
        <w:rPr>
          <w:lang w:val="en-CA"/>
        </w:rPr>
      </w:pPr>
      <w:r>
        <w:rPr>
          <w:lang w:val="en-CA"/>
        </w:rPr>
        <w:t>D</w:t>
      </w:r>
      <w:r w:rsidR="0008491F" w:rsidRPr="00D772A7">
        <w:rPr>
          <w:lang w:val="en-CA"/>
        </w:rPr>
        <w:t>evelop</w:t>
      </w:r>
      <w:r w:rsidR="002449E7">
        <w:rPr>
          <w:lang w:val="en-CA"/>
        </w:rPr>
        <w:t>ing</w:t>
      </w:r>
      <w:r w:rsidR="0008491F" w:rsidRPr="00D772A7">
        <w:rPr>
          <w:lang w:val="en-CA"/>
        </w:rPr>
        <w:t xml:space="preserve"> a </w:t>
      </w:r>
      <w:r w:rsidR="002449E7">
        <w:rPr>
          <w:lang w:val="en-CA"/>
        </w:rPr>
        <w:t xml:space="preserve">technician </w:t>
      </w:r>
      <w:r w:rsidR="0008491F" w:rsidRPr="00D772A7">
        <w:rPr>
          <w:lang w:val="en-CA"/>
        </w:rPr>
        <w:t xml:space="preserve">certification </w:t>
      </w:r>
      <w:r w:rsidR="002449E7">
        <w:rPr>
          <w:lang w:val="en-CA"/>
        </w:rPr>
        <w:t xml:space="preserve">programme </w:t>
      </w:r>
      <w:r w:rsidR="0008491F" w:rsidRPr="0008491F">
        <w:t xml:space="preserve">for </w:t>
      </w:r>
      <w:r w:rsidR="00143A2F">
        <w:t xml:space="preserve">the </w:t>
      </w:r>
      <w:r w:rsidR="0008491F" w:rsidRPr="0008491F">
        <w:t xml:space="preserve">refrigeration servicing </w:t>
      </w:r>
      <w:r w:rsidR="002449E7">
        <w:t xml:space="preserve">sector </w:t>
      </w:r>
      <w:r w:rsidR="005C07CD">
        <w:t>in collaborat</w:t>
      </w:r>
      <w:r w:rsidR="00D913BD">
        <w:t>ion</w:t>
      </w:r>
      <w:r w:rsidR="005C07CD">
        <w:t xml:space="preserve"> with </w:t>
      </w:r>
      <w:r w:rsidR="005C07CD">
        <w:rPr>
          <w:bCs/>
          <w:lang w:val="en-US"/>
        </w:rPr>
        <w:t>t</w:t>
      </w:r>
      <w:r w:rsidR="005C07CD" w:rsidRPr="005C07CD">
        <w:rPr>
          <w:bCs/>
          <w:lang w:val="en-US"/>
        </w:rPr>
        <w:t>he Energy Commission of Ghana</w:t>
      </w:r>
      <w:r w:rsidR="005C07CD">
        <w:rPr>
          <w:bCs/>
          <w:lang w:val="en-US"/>
        </w:rPr>
        <w:t xml:space="preserve"> and</w:t>
      </w:r>
      <w:r w:rsidR="005C07CD" w:rsidRPr="005C07CD">
        <w:rPr>
          <w:bCs/>
          <w:lang w:val="en-US"/>
        </w:rPr>
        <w:t xml:space="preserve"> </w:t>
      </w:r>
      <w:r w:rsidR="002449E7">
        <w:rPr>
          <w:bCs/>
        </w:rPr>
        <w:t>t</w:t>
      </w:r>
      <w:r w:rsidR="002449E7" w:rsidRPr="002449E7">
        <w:rPr>
          <w:bCs/>
        </w:rPr>
        <w:t xml:space="preserve">he </w:t>
      </w:r>
      <w:r w:rsidR="002449E7">
        <w:rPr>
          <w:bCs/>
        </w:rPr>
        <w:t>C</w:t>
      </w:r>
      <w:r w:rsidR="002449E7" w:rsidRPr="002449E7">
        <w:rPr>
          <w:bCs/>
        </w:rPr>
        <w:t xml:space="preserve">ouncil for </w:t>
      </w:r>
      <w:r w:rsidR="002449E7">
        <w:rPr>
          <w:bCs/>
        </w:rPr>
        <w:t>t</w:t>
      </w:r>
      <w:r w:rsidR="002449E7" w:rsidRPr="002449E7">
        <w:rPr>
          <w:bCs/>
        </w:rPr>
        <w:t xml:space="preserve">echnical and </w:t>
      </w:r>
      <w:r w:rsidR="002449E7">
        <w:rPr>
          <w:bCs/>
        </w:rPr>
        <w:t>v</w:t>
      </w:r>
      <w:r w:rsidR="002449E7" w:rsidRPr="002449E7">
        <w:rPr>
          <w:bCs/>
        </w:rPr>
        <w:t xml:space="preserve">ocational </w:t>
      </w:r>
      <w:r w:rsidR="002449E7">
        <w:rPr>
          <w:bCs/>
        </w:rPr>
        <w:t>e</w:t>
      </w:r>
      <w:r w:rsidR="002449E7" w:rsidRPr="002449E7">
        <w:rPr>
          <w:bCs/>
        </w:rPr>
        <w:t xml:space="preserve">ducation and </w:t>
      </w:r>
      <w:r w:rsidR="002449E7">
        <w:rPr>
          <w:bCs/>
        </w:rPr>
        <w:t>t</w:t>
      </w:r>
      <w:r w:rsidR="002449E7" w:rsidRPr="002449E7">
        <w:rPr>
          <w:bCs/>
        </w:rPr>
        <w:t>raining (COTVET)</w:t>
      </w:r>
      <w:r w:rsidR="005C07CD">
        <w:t xml:space="preserve">; a consultant is being employed </w:t>
      </w:r>
      <w:r w:rsidR="005C07CD" w:rsidRPr="005C07CD">
        <w:rPr>
          <w:bCs/>
          <w:lang w:val="en-US"/>
        </w:rPr>
        <w:t xml:space="preserve">to develop a curriculum for </w:t>
      </w:r>
      <w:r w:rsidR="00D772A7">
        <w:rPr>
          <w:bCs/>
          <w:lang w:val="en-US"/>
        </w:rPr>
        <w:t xml:space="preserve">technician training to be conducted in </w:t>
      </w:r>
      <w:r w:rsidR="005C07CD" w:rsidRPr="005C07CD">
        <w:rPr>
          <w:bCs/>
          <w:lang w:val="en-US"/>
        </w:rPr>
        <w:t xml:space="preserve">technical and vocational education </w:t>
      </w:r>
      <w:r w:rsidR="00D772A7">
        <w:rPr>
          <w:bCs/>
          <w:lang w:val="en-US"/>
        </w:rPr>
        <w:t>institutions;</w:t>
      </w:r>
    </w:p>
    <w:p w14:paraId="5BFD20AF" w14:textId="2A6C75C4" w:rsidR="00FF6483" w:rsidRPr="00FF6483" w:rsidRDefault="00FF6483" w:rsidP="006D0EB4">
      <w:pPr>
        <w:pStyle w:val="Heading2"/>
        <w:rPr>
          <w:lang w:val="en-CA"/>
        </w:rPr>
      </w:pPr>
      <w:r w:rsidRPr="00FF6483">
        <w:rPr>
          <w:lang w:val="en-CA"/>
        </w:rPr>
        <w:t>Seven</w:t>
      </w:r>
      <w:r w:rsidR="0008491F">
        <w:rPr>
          <w:lang w:val="en-CA"/>
        </w:rPr>
        <w:t xml:space="preserve"> workshops were conducted and 77</w:t>
      </w:r>
      <w:r w:rsidRPr="00FF6483">
        <w:rPr>
          <w:lang w:val="en-CA"/>
        </w:rPr>
        <w:t>8 technicians were trained in good serving practices, refrigerant recovery and reuse, and safe use of flammable refrigerants;</w:t>
      </w:r>
    </w:p>
    <w:p w14:paraId="61DC005F" w14:textId="214B41DC" w:rsidR="00FF6483" w:rsidRPr="00FF6483" w:rsidRDefault="00FF6483" w:rsidP="006D0EB4">
      <w:pPr>
        <w:pStyle w:val="Heading2"/>
        <w:rPr>
          <w:lang w:val="en-CA"/>
        </w:rPr>
      </w:pPr>
      <w:r w:rsidRPr="00FF6483">
        <w:rPr>
          <w:lang w:val="en-CA"/>
        </w:rPr>
        <w:t>Pro</w:t>
      </w:r>
      <w:r>
        <w:rPr>
          <w:lang w:val="en-CA"/>
        </w:rPr>
        <w:t xml:space="preserve">curing </w:t>
      </w:r>
      <w:r w:rsidR="00143A2F">
        <w:rPr>
          <w:lang w:val="en-CA"/>
        </w:rPr>
        <w:t xml:space="preserve">of </w:t>
      </w:r>
      <w:r>
        <w:rPr>
          <w:lang w:val="en-CA"/>
        </w:rPr>
        <w:t>one</w:t>
      </w:r>
      <w:r w:rsidRPr="00FF6483">
        <w:rPr>
          <w:lang w:val="en-CA"/>
        </w:rPr>
        <w:t xml:space="preserve"> refr</w:t>
      </w:r>
      <w:r w:rsidR="00464D26">
        <w:rPr>
          <w:lang w:val="en-CA"/>
        </w:rPr>
        <w:t xml:space="preserve">igeration test board for </w:t>
      </w:r>
      <w:r w:rsidR="00143A2F">
        <w:rPr>
          <w:lang w:val="en-CA"/>
        </w:rPr>
        <w:t xml:space="preserve">the </w:t>
      </w:r>
      <w:r w:rsidR="00464D26">
        <w:rPr>
          <w:lang w:val="en-CA"/>
        </w:rPr>
        <w:t>Accra t</w:t>
      </w:r>
      <w:r w:rsidRPr="00FF6483">
        <w:rPr>
          <w:lang w:val="en-CA"/>
        </w:rPr>
        <w:t xml:space="preserve">echnical </w:t>
      </w:r>
      <w:r w:rsidR="00464D26">
        <w:rPr>
          <w:lang w:val="en-CA"/>
        </w:rPr>
        <w:t>t</w:t>
      </w:r>
      <w:r w:rsidRPr="00FF6483">
        <w:rPr>
          <w:lang w:val="en-CA"/>
        </w:rPr>
        <w:t xml:space="preserve">raining </w:t>
      </w:r>
      <w:r w:rsidR="00464D26">
        <w:rPr>
          <w:lang w:val="en-CA"/>
        </w:rPr>
        <w:t>c</w:t>
      </w:r>
      <w:r w:rsidRPr="00FF6483">
        <w:rPr>
          <w:lang w:val="en-CA"/>
        </w:rPr>
        <w:t>entre</w:t>
      </w:r>
      <w:r>
        <w:rPr>
          <w:lang w:val="en-CA"/>
        </w:rPr>
        <w:t xml:space="preserve"> to enhance efficiency</w:t>
      </w:r>
      <w:r w:rsidR="00464D26">
        <w:rPr>
          <w:lang w:val="en-CA"/>
        </w:rPr>
        <w:t xml:space="preserve"> in training</w:t>
      </w:r>
      <w:r w:rsidR="00143A2F">
        <w:rPr>
          <w:lang w:val="en-CA"/>
        </w:rPr>
        <w:t>;</w:t>
      </w:r>
      <w:r w:rsidR="00143A2F" w:rsidRPr="00FF6483">
        <w:rPr>
          <w:lang w:val="en-CA"/>
        </w:rPr>
        <w:t xml:space="preserve"> </w:t>
      </w:r>
      <w:r w:rsidRPr="00FF6483">
        <w:rPr>
          <w:lang w:val="en-CA"/>
        </w:rPr>
        <w:t>the test board is expect</w:t>
      </w:r>
      <w:r>
        <w:rPr>
          <w:lang w:val="en-CA"/>
        </w:rPr>
        <w:t>ed</w:t>
      </w:r>
      <w:r w:rsidRPr="00FF6483">
        <w:rPr>
          <w:lang w:val="en-CA"/>
        </w:rPr>
        <w:t xml:space="preserve"> to be delivered by the end of 2019; </w:t>
      </w:r>
      <w:r w:rsidR="00D913BD">
        <w:rPr>
          <w:lang w:val="en-CA"/>
        </w:rPr>
        <w:t>and</w:t>
      </w:r>
    </w:p>
    <w:p w14:paraId="61A59D07" w14:textId="65E06045" w:rsidR="00DF4245" w:rsidRDefault="00DF4245" w:rsidP="006D0EB4">
      <w:pPr>
        <w:pStyle w:val="Heading2"/>
        <w:rPr>
          <w:lang w:val="en-CA"/>
        </w:rPr>
      </w:pPr>
      <w:r w:rsidRPr="00DF4245">
        <w:rPr>
          <w:lang w:val="en-CA"/>
        </w:rPr>
        <w:t>Pro</w:t>
      </w:r>
      <w:r>
        <w:rPr>
          <w:lang w:val="en-CA"/>
        </w:rPr>
        <w:t xml:space="preserve">vision of </w:t>
      </w:r>
      <w:r w:rsidRPr="00DF4245">
        <w:rPr>
          <w:lang w:val="en-CA"/>
        </w:rPr>
        <w:t xml:space="preserve">equipment and tools </w:t>
      </w:r>
      <w:r>
        <w:rPr>
          <w:lang w:val="en-CA"/>
        </w:rPr>
        <w:t>to selected air-conditioner (AC)</w:t>
      </w:r>
      <w:r w:rsidRPr="00DF4245">
        <w:rPr>
          <w:lang w:val="en-CA"/>
        </w:rPr>
        <w:t xml:space="preserve"> workshops </w:t>
      </w:r>
      <w:r>
        <w:rPr>
          <w:lang w:val="en-CA"/>
        </w:rPr>
        <w:t>to facilitate the conversion of HCFC-22-based ACs to R-290 refrigerant, following strict safety guidelines enforced by the Ministry of Environment</w:t>
      </w:r>
      <w:r w:rsidR="00464D26">
        <w:rPr>
          <w:lang w:val="en-CA"/>
        </w:rPr>
        <w:t>,</w:t>
      </w:r>
      <w:r>
        <w:rPr>
          <w:lang w:val="en-CA"/>
        </w:rPr>
        <w:t xml:space="preserve"> including labeling and registering equipment; and 1</w:t>
      </w:r>
      <w:r w:rsidR="00464D26">
        <w:rPr>
          <w:lang w:val="en-CA"/>
        </w:rPr>
        <w:t>0</w:t>
      </w:r>
      <w:r>
        <w:rPr>
          <w:lang w:val="en-CA"/>
        </w:rPr>
        <w:t>,202 unit</w:t>
      </w:r>
      <w:r w:rsidR="00464D26">
        <w:rPr>
          <w:lang w:val="en-CA"/>
        </w:rPr>
        <w:t>s</w:t>
      </w:r>
      <w:r>
        <w:rPr>
          <w:lang w:val="en-CA"/>
        </w:rPr>
        <w:t xml:space="preserve"> of AC</w:t>
      </w:r>
      <w:r w:rsidR="00464D26">
        <w:rPr>
          <w:lang w:val="en-CA"/>
        </w:rPr>
        <w:t>s</w:t>
      </w:r>
      <w:r>
        <w:rPr>
          <w:lang w:val="en-CA"/>
        </w:rPr>
        <w:t xml:space="preserve"> were </w:t>
      </w:r>
      <w:r w:rsidR="00464D26">
        <w:rPr>
          <w:lang w:val="en-CA"/>
        </w:rPr>
        <w:t>converted</w:t>
      </w:r>
      <w:r w:rsidR="00D913BD">
        <w:rPr>
          <w:lang w:val="en-CA"/>
        </w:rPr>
        <w:t xml:space="preserve"> from HCFC-22 to R-290.</w:t>
      </w:r>
    </w:p>
    <w:p w14:paraId="4FB4B0A3" w14:textId="77777777" w:rsidR="00255CDE" w:rsidRPr="00CD010A" w:rsidRDefault="00255CDE" w:rsidP="00255CDE">
      <w:pPr>
        <w:rPr>
          <w:i/>
          <w:lang w:val="en-CA"/>
        </w:rPr>
      </w:pPr>
      <w:r w:rsidRPr="00CD010A">
        <w:rPr>
          <w:i/>
          <w:lang w:val="en-CA"/>
        </w:rPr>
        <w:t>Project implementation and monitoring unit (PMU)</w:t>
      </w:r>
    </w:p>
    <w:p w14:paraId="61E93A93" w14:textId="77777777" w:rsidR="00255CDE" w:rsidRPr="00CD010A" w:rsidRDefault="00255CDE" w:rsidP="00255CDE">
      <w:pPr>
        <w:rPr>
          <w:lang w:val="en-CA"/>
        </w:rPr>
      </w:pPr>
    </w:p>
    <w:p w14:paraId="602651AD" w14:textId="1E81287A" w:rsidR="00236F3E" w:rsidRDefault="00CD010A" w:rsidP="00236F3E">
      <w:pPr>
        <w:pStyle w:val="Heading1"/>
        <w:rPr>
          <w:lang w:val="en-CA"/>
        </w:rPr>
      </w:pPr>
      <w:r w:rsidRPr="002E1046">
        <w:rPr>
          <w:lang w:val="en-CA"/>
        </w:rPr>
        <w:t>One national and one international consultant</w:t>
      </w:r>
      <w:r w:rsidR="006D0EB4" w:rsidRPr="002E1046">
        <w:rPr>
          <w:lang w:val="en-CA"/>
        </w:rPr>
        <w:t xml:space="preserve"> </w:t>
      </w:r>
      <w:r w:rsidRPr="002E1046">
        <w:rPr>
          <w:lang w:val="en-CA"/>
        </w:rPr>
        <w:t xml:space="preserve">were </w:t>
      </w:r>
      <w:r w:rsidR="006D0EB4" w:rsidRPr="002E1046">
        <w:rPr>
          <w:lang w:val="en-CA"/>
        </w:rPr>
        <w:t xml:space="preserve">employed </w:t>
      </w:r>
      <w:r w:rsidR="00BA146D" w:rsidRPr="002E1046">
        <w:rPr>
          <w:lang w:val="en-CA"/>
        </w:rPr>
        <w:t>under the PMU</w:t>
      </w:r>
      <w:r w:rsidR="00554425">
        <w:rPr>
          <w:lang w:val="en-CA"/>
        </w:rPr>
        <w:t xml:space="preserve">. </w:t>
      </w:r>
      <w:r w:rsidR="00236F3E" w:rsidRPr="00236F3E">
        <w:rPr>
          <w:lang w:val="en-CA"/>
        </w:rPr>
        <w:t xml:space="preserve">The total </w:t>
      </w:r>
      <w:r w:rsidR="00236F3E">
        <w:rPr>
          <w:lang w:val="en-CA"/>
        </w:rPr>
        <w:t xml:space="preserve">accumulative </w:t>
      </w:r>
      <w:r w:rsidR="00236F3E" w:rsidRPr="00236F3E">
        <w:rPr>
          <w:lang w:val="en-CA"/>
        </w:rPr>
        <w:t>expenditure of the PMU was US $280,347</w:t>
      </w:r>
      <w:r w:rsidR="00236F3E">
        <w:rPr>
          <w:lang w:val="en-CA"/>
        </w:rPr>
        <w:t xml:space="preserve">. </w:t>
      </w:r>
    </w:p>
    <w:p w14:paraId="4C5C2C42" w14:textId="34648E8F" w:rsidR="00554425" w:rsidRDefault="00554425" w:rsidP="00E07F91">
      <w:pPr>
        <w:pStyle w:val="Heading1"/>
        <w:rPr>
          <w:lang w:val="en-CA"/>
        </w:rPr>
      </w:pPr>
      <w:r>
        <w:rPr>
          <w:lang w:val="en-CA"/>
        </w:rPr>
        <w:t>T</w:t>
      </w:r>
      <w:r w:rsidR="00CD010A" w:rsidRPr="002E1046">
        <w:rPr>
          <w:lang w:val="en-CA"/>
        </w:rPr>
        <w:t>he national consultant supports t</w:t>
      </w:r>
      <w:r w:rsidR="00BA146D" w:rsidRPr="002E1046">
        <w:rPr>
          <w:lang w:val="en-CA"/>
        </w:rPr>
        <w:t>he NOU in developing programmes</w:t>
      </w:r>
      <w:r w:rsidR="00CD010A" w:rsidRPr="002E1046">
        <w:rPr>
          <w:lang w:val="en-CA"/>
        </w:rPr>
        <w:t xml:space="preserve"> and implementing activities</w:t>
      </w:r>
      <w:r w:rsidR="00D913BD">
        <w:rPr>
          <w:lang w:val="en-CA"/>
        </w:rPr>
        <w:t xml:space="preserve">, </w:t>
      </w:r>
      <w:r w:rsidR="00D913BD" w:rsidRPr="00D913BD">
        <w:rPr>
          <w:i/>
          <w:lang w:val="en-CA"/>
        </w:rPr>
        <w:t>inter alia</w:t>
      </w:r>
      <w:r w:rsidR="00D913BD">
        <w:rPr>
          <w:lang w:val="en-CA"/>
        </w:rPr>
        <w:t>,</w:t>
      </w:r>
      <w:r>
        <w:rPr>
          <w:lang w:val="en-CA"/>
        </w:rPr>
        <w:t xml:space="preserve"> </w:t>
      </w:r>
      <w:r>
        <w:t xml:space="preserve">the </w:t>
      </w:r>
      <w:r w:rsidRPr="00477BAA">
        <w:t xml:space="preserve">memorandum of understanding between </w:t>
      </w:r>
      <w:r>
        <w:t xml:space="preserve">the </w:t>
      </w:r>
      <w:r w:rsidRPr="00477BAA">
        <w:t>Environmental Protection Agency (EPA) and training institutions</w:t>
      </w:r>
      <w:r>
        <w:t xml:space="preserve">; coordinating stakeholders, organizing training workshops, carrying out procurement of goods and services, monitoring activities and preparing progress reports. The </w:t>
      </w:r>
      <w:r>
        <w:rPr>
          <w:lang w:val="en-CA"/>
        </w:rPr>
        <w:t xml:space="preserve">accumulative expenditure of the national consultant </w:t>
      </w:r>
      <w:r w:rsidR="00D913BD">
        <w:rPr>
          <w:lang w:val="en-CA"/>
        </w:rPr>
        <w:t xml:space="preserve">amounts </w:t>
      </w:r>
      <w:r>
        <w:rPr>
          <w:lang w:val="en-CA"/>
        </w:rPr>
        <w:t xml:space="preserve">to US $149,000. </w:t>
      </w:r>
    </w:p>
    <w:p w14:paraId="38DBBD39" w14:textId="0DF2D444" w:rsidR="00554425" w:rsidRPr="00554425" w:rsidRDefault="00477BAA" w:rsidP="00554425">
      <w:pPr>
        <w:pStyle w:val="Heading1"/>
        <w:rPr>
          <w:lang w:val="en-CA"/>
        </w:rPr>
      </w:pPr>
      <w:r w:rsidRPr="00554425">
        <w:rPr>
          <w:lang w:val="en-CA"/>
        </w:rPr>
        <w:t xml:space="preserve">The international consultant is responsible for </w:t>
      </w:r>
      <w:r w:rsidR="00194229" w:rsidRPr="00554425">
        <w:rPr>
          <w:lang w:val="en-CA"/>
        </w:rPr>
        <w:t xml:space="preserve">providing technical advice, </w:t>
      </w:r>
      <w:r w:rsidRPr="00554425">
        <w:rPr>
          <w:lang w:val="en-CA"/>
        </w:rPr>
        <w:t xml:space="preserve">assisting </w:t>
      </w:r>
      <w:r w:rsidR="00143A2F" w:rsidRPr="00554425">
        <w:rPr>
          <w:lang w:val="en-CA"/>
        </w:rPr>
        <w:t xml:space="preserve">the </w:t>
      </w:r>
      <w:r w:rsidRPr="00554425">
        <w:rPr>
          <w:lang w:val="en-CA"/>
        </w:rPr>
        <w:t xml:space="preserve">NOU </w:t>
      </w:r>
      <w:r w:rsidR="00194229" w:rsidRPr="00554425">
        <w:rPr>
          <w:lang w:val="en-CA"/>
        </w:rPr>
        <w:t xml:space="preserve">in the planning of </w:t>
      </w:r>
      <w:r w:rsidRPr="00554425">
        <w:rPr>
          <w:lang w:val="en-CA"/>
        </w:rPr>
        <w:t>training activities</w:t>
      </w:r>
      <w:r w:rsidR="00194229">
        <w:t xml:space="preserve">; </w:t>
      </w:r>
      <w:r w:rsidR="00194229" w:rsidRPr="00554425">
        <w:rPr>
          <w:rFonts w:cstheme="minorHAnsi"/>
          <w:spacing w:val="-2"/>
        </w:rPr>
        <w:t xml:space="preserve">providing guidance </w:t>
      </w:r>
      <w:r w:rsidR="00143A2F" w:rsidRPr="00554425">
        <w:rPr>
          <w:rFonts w:cstheme="minorHAnsi"/>
          <w:spacing w:val="-2"/>
        </w:rPr>
        <w:t xml:space="preserve">on the </w:t>
      </w:r>
      <w:r w:rsidR="00194229" w:rsidRPr="00554425">
        <w:rPr>
          <w:rFonts w:cstheme="minorHAnsi"/>
          <w:spacing w:val="-2"/>
        </w:rPr>
        <w:t xml:space="preserve">refrigerant recovery, recycling and retrofitting programme; </w:t>
      </w:r>
      <w:r w:rsidR="00736979">
        <w:rPr>
          <w:rFonts w:cstheme="minorHAnsi"/>
          <w:spacing w:val="-2"/>
        </w:rPr>
        <w:t>and</w:t>
      </w:r>
      <w:r w:rsidR="00194229" w:rsidRPr="00554425">
        <w:rPr>
          <w:rFonts w:cstheme="minorHAnsi"/>
          <w:spacing w:val="-2"/>
        </w:rPr>
        <w:t xml:space="preserve"> on the end-user programme; and coordinating </w:t>
      </w:r>
      <w:r w:rsidR="00143A2F" w:rsidRPr="00554425">
        <w:rPr>
          <w:rFonts w:cstheme="minorHAnsi"/>
          <w:spacing w:val="-2"/>
        </w:rPr>
        <w:t xml:space="preserve">the </w:t>
      </w:r>
      <w:r w:rsidR="00194229" w:rsidRPr="00554425">
        <w:rPr>
          <w:rFonts w:cstheme="minorHAnsi"/>
          <w:spacing w:val="-2"/>
        </w:rPr>
        <w:t xml:space="preserve">national team. </w:t>
      </w:r>
      <w:r w:rsidR="00554425">
        <w:t xml:space="preserve">The </w:t>
      </w:r>
      <w:r w:rsidR="00554425" w:rsidRPr="00554425">
        <w:rPr>
          <w:lang w:val="en-CA"/>
        </w:rPr>
        <w:t>accumulative expenditure of the international consultant amounts to US $55,000</w:t>
      </w:r>
      <w:r w:rsidRPr="00554425">
        <w:rPr>
          <w:lang w:val="en-CA"/>
        </w:rPr>
        <w:t xml:space="preserve"> </w:t>
      </w:r>
    </w:p>
    <w:p w14:paraId="0374C127" w14:textId="2C1810C8" w:rsidR="002E1046" w:rsidRPr="00236F3E" w:rsidRDefault="00554425" w:rsidP="00236F3E">
      <w:pPr>
        <w:pStyle w:val="Heading1"/>
        <w:rPr>
          <w:lang w:val="en-CA"/>
        </w:rPr>
      </w:pPr>
      <w:r>
        <w:rPr>
          <w:lang w:val="en-CA"/>
        </w:rPr>
        <w:t>The</w:t>
      </w:r>
      <w:r w:rsidR="00236F3E">
        <w:rPr>
          <w:lang w:val="en-CA"/>
        </w:rPr>
        <w:t xml:space="preserve"> additional expenditure of US $76,347 covers </w:t>
      </w:r>
      <w:r w:rsidR="00236F3E" w:rsidRPr="00236F3E">
        <w:rPr>
          <w:rFonts w:ascii="New serif" w:hAnsi="New serif"/>
          <w:sz w:val="24"/>
          <w:szCs w:val="24"/>
        </w:rPr>
        <w:t xml:space="preserve">development of the online HCFC monitoring system and local travels for implementation of the HPMP. </w:t>
      </w:r>
    </w:p>
    <w:p w14:paraId="7BF58DB9" w14:textId="77777777" w:rsidR="00255CDE" w:rsidRPr="00FE3307" w:rsidRDefault="00255CDE" w:rsidP="00255CDE">
      <w:pPr>
        <w:rPr>
          <w:u w:val="single"/>
          <w:lang w:val="en-CA"/>
        </w:rPr>
      </w:pPr>
      <w:r w:rsidRPr="00CD010A">
        <w:rPr>
          <w:u w:val="single"/>
          <w:lang w:val="en-CA"/>
        </w:rPr>
        <w:t>Level of fund disbursement</w:t>
      </w:r>
    </w:p>
    <w:p w14:paraId="164AF868" w14:textId="77777777" w:rsidR="00255CDE" w:rsidRPr="00FE3307" w:rsidRDefault="00255CDE" w:rsidP="00255CDE">
      <w:pPr>
        <w:rPr>
          <w:lang w:val="en-CA"/>
        </w:rPr>
      </w:pPr>
    </w:p>
    <w:p w14:paraId="55286D8B" w14:textId="42425833" w:rsidR="00255CDE" w:rsidRPr="008539E3" w:rsidRDefault="00255CDE" w:rsidP="003B0740">
      <w:pPr>
        <w:pStyle w:val="Heading1"/>
        <w:rPr>
          <w:lang w:val="en-CA"/>
        </w:rPr>
      </w:pPr>
      <w:r w:rsidRPr="008539E3">
        <w:rPr>
          <w:lang w:val="en-CA"/>
        </w:rPr>
        <w:t xml:space="preserve">As of </w:t>
      </w:r>
      <w:r w:rsidR="002342A9" w:rsidRPr="008539E3">
        <w:rPr>
          <w:lang w:val="en-CA"/>
        </w:rPr>
        <w:t>November</w:t>
      </w:r>
      <w:r w:rsidRPr="008539E3">
        <w:rPr>
          <w:lang w:val="en-CA"/>
        </w:rPr>
        <w:t xml:space="preserve"> 2019, of the US $</w:t>
      </w:r>
      <w:r w:rsidR="003B0740" w:rsidRPr="008539E3">
        <w:rPr>
          <w:lang w:val="en-CA"/>
        </w:rPr>
        <w:t>1,235,000</w:t>
      </w:r>
      <w:r w:rsidRPr="008539E3">
        <w:rPr>
          <w:lang w:val="en-CA"/>
        </w:rPr>
        <w:t xml:space="preserve"> approved so far, US $</w:t>
      </w:r>
      <w:r w:rsidR="00987251" w:rsidRPr="008539E3">
        <w:rPr>
          <w:lang w:val="en-CA"/>
        </w:rPr>
        <w:t>1,</w:t>
      </w:r>
      <w:r w:rsidR="00E70F21" w:rsidRPr="008539E3">
        <w:rPr>
          <w:lang w:val="en-CA"/>
        </w:rPr>
        <w:t>0</w:t>
      </w:r>
      <w:r w:rsidR="00987251" w:rsidRPr="008539E3">
        <w:rPr>
          <w:lang w:val="en-CA"/>
        </w:rPr>
        <w:t>93,22</w:t>
      </w:r>
      <w:r w:rsidRPr="008539E3">
        <w:rPr>
          <w:lang w:val="en-CA"/>
        </w:rPr>
        <w:t xml:space="preserve"> had been disbursed (US $</w:t>
      </w:r>
      <w:r w:rsidR="008539E3" w:rsidRPr="008539E3">
        <w:t>813,090</w:t>
      </w:r>
      <w:r w:rsidRPr="008539E3">
        <w:rPr>
          <w:lang w:val="en-CA"/>
        </w:rPr>
        <w:t xml:space="preserve"> for </w:t>
      </w:r>
      <w:r w:rsidR="003B0740" w:rsidRPr="008539E3">
        <w:rPr>
          <w:lang w:val="en-CA"/>
        </w:rPr>
        <w:t>UNDP</w:t>
      </w:r>
      <w:r w:rsidRPr="008539E3">
        <w:rPr>
          <w:lang w:val="en-CA"/>
        </w:rPr>
        <w:t xml:space="preserve"> and US $</w:t>
      </w:r>
      <w:r w:rsidR="008539E3" w:rsidRPr="008539E3">
        <w:t xml:space="preserve">280,132 </w:t>
      </w:r>
      <w:r w:rsidRPr="008539E3">
        <w:rPr>
          <w:lang w:val="en-CA"/>
        </w:rPr>
        <w:t>for</w:t>
      </w:r>
      <w:r w:rsidR="003B0740" w:rsidRPr="008539E3">
        <w:rPr>
          <w:lang w:val="en-CA"/>
        </w:rPr>
        <w:t xml:space="preserve"> the Government of Italy</w:t>
      </w:r>
      <w:r w:rsidRPr="008539E3">
        <w:rPr>
          <w:lang w:val="en-CA"/>
        </w:rPr>
        <w:t>)</w:t>
      </w:r>
      <w:r w:rsidR="00143A2F">
        <w:rPr>
          <w:lang w:val="en-CA"/>
        </w:rPr>
        <w:t>,</w:t>
      </w:r>
      <w:r w:rsidRPr="008539E3">
        <w:rPr>
          <w:lang w:val="en-CA"/>
        </w:rPr>
        <w:t xml:space="preserve"> as shown in Table 2. The balance of US $</w:t>
      </w:r>
      <w:r w:rsidR="008539E3" w:rsidRPr="008539E3">
        <w:rPr>
          <w:lang w:val="en-CA"/>
        </w:rPr>
        <w:t xml:space="preserve">141,778 </w:t>
      </w:r>
      <w:r w:rsidRPr="008539E3">
        <w:rPr>
          <w:lang w:val="en-CA"/>
        </w:rPr>
        <w:t xml:space="preserve">will be disbursed in </w:t>
      </w:r>
      <w:r w:rsidR="008539E3" w:rsidRPr="008539E3">
        <w:rPr>
          <w:lang w:val="en-CA"/>
        </w:rPr>
        <w:t>2020</w:t>
      </w:r>
      <w:r w:rsidR="00736979">
        <w:rPr>
          <w:lang w:val="en-CA"/>
        </w:rPr>
        <w:t>.</w:t>
      </w:r>
    </w:p>
    <w:p w14:paraId="0AFF5D71" w14:textId="77777777" w:rsidR="00255CDE" w:rsidRPr="00FE3307" w:rsidRDefault="00255CDE" w:rsidP="00736979">
      <w:pPr>
        <w:keepNext/>
        <w:rPr>
          <w:b/>
          <w:lang w:val="en-CA"/>
        </w:rPr>
      </w:pPr>
      <w:r w:rsidRPr="00FE3307">
        <w:rPr>
          <w:b/>
          <w:lang w:val="en-CA"/>
        </w:rPr>
        <w:lastRenderedPageBreak/>
        <w:t>Table 2. Financial report of stage I of the HPMP for</w:t>
      </w:r>
      <w:r w:rsidR="003B0740">
        <w:rPr>
          <w:b/>
          <w:lang w:val="en-CA"/>
        </w:rPr>
        <w:t xml:space="preserve"> Ghana</w:t>
      </w:r>
      <w:r w:rsidRPr="00FE3307">
        <w:rPr>
          <w:b/>
          <w:lang w:val="en-CA"/>
        </w:rPr>
        <w:t xml:space="preserve"> (US $)</w:t>
      </w: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134"/>
        <w:gridCol w:w="1417"/>
        <w:gridCol w:w="1417"/>
        <w:gridCol w:w="1418"/>
        <w:gridCol w:w="2410"/>
      </w:tblGrid>
      <w:tr w:rsidR="00255CDE" w:rsidRPr="00F645A3" w14:paraId="53BF49A4" w14:textId="77777777" w:rsidTr="00F72F44">
        <w:trPr>
          <w:trHeight w:val="404"/>
        </w:trPr>
        <w:tc>
          <w:tcPr>
            <w:tcW w:w="2671" w:type="dxa"/>
            <w:gridSpan w:val="2"/>
            <w:shd w:val="clear" w:color="auto" w:fill="auto"/>
            <w:noWrap/>
            <w:vAlign w:val="center"/>
            <w:hideMark/>
          </w:tcPr>
          <w:p w14:paraId="01B079C4" w14:textId="77777777" w:rsidR="00255CDE" w:rsidRPr="00F645A3" w:rsidRDefault="00255CDE" w:rsidP="00736979">
            <w:pPr>
              <w:keepNext/>
              <w:rPr>
                <w:b/>
                <w:bCs/>
                <w:color w:val="000000"/>
                <w:sz w:val="20"/>
                <w:szCs w:val="20"/>
                <w:lang w:val="en-CA" w:eastAsia="en-CA"/>
              </w:rPr>
            </w:pPr>
            <w:r w:rsidRPr="00F645A3">
              <w:rPr>
                <w:b/>
                <w:bCs/>
                <w:color w:val="000000"/>
                <w:sz w:val="20"/>
                <w:szCs w:val="20"/>
                <w:lang w:val="en-CA" w:eastAsia="en-CA"/>
              </w:rPr>
              <w:t>Tranche</w:t>
            </w:r>
          </w:p>
        </w:tc>
        <w:tc>
          <w:tcPr>
            <w:tcW w:w="1417" w:type="dxa"/>
            <w:shd w:val="clear" w:color="auto" w:fill="auto"/>
            <w:noWrap/>
            <w:vAlign w:val="center"/>
            <w:hideMark/>
          </w:tcPr>
          <w:p w14:paraId="6A3C1324" w14:textId="77777777" w:rsidR="00255CDE" w:rsidRPr="00F645A3" w:rsidRDefault="00395798" w:rsidP="00736979">
            <w:pPr>
              <w:keepNext/>
              <w:jc w:val="center"/>
              <w:rPr>
                <w:b/>
                <w:color w:val="000000"/>
                <w:sz w:val="20"/>
                <w:szCs w:val="20"/>
                <w:lang w:val="en-CA" w:eastAsia="en-CA"/>
              </w:rPr>
            </w:pPr>
            <w:r w:rsidRPr="00F645A3">
              <w:rPr>
                <w:b/>
                <w:color w:val="000000"/>
                <w:sz w:val="20"/>
                <w:szCs w:val="20"/>
                <w:lang w:val="en-CA" w:eastAsia="en-CA"/>
              </w:rPr>
              <w:t>UNDP</w:t>
            </w:r>
          </w:p>
        </w:tc>
        <w:tc>
          <w:tcPr>
            <w:tcW w:w="1417" w:type="dxa"/>
            <w:vAlign w:val="center"/>
          </w:tcPr>
          <w:p w14:paraId="1DB73C1A" w14:textId="77777777" w:rsidR="00255CDE" w:rsidRPr="00F645A3" w:rsidRDefault="00395798" w:rsidP="00736979">
            <w:pPr>
              <w:keepNext/>
              <w:jc w:val="center"/>
              <w:rPr>
                <w:b/>
                <w:color w:val="000000"/>
                <w:sz w:val="20"/>
                <w:szCs w:val="20"/>
                <w:lang w:val="en-CA" w:eastAsia="en-CA"/>
              </w:rPr>
            </w:pPr>
            <w:r w:rsidRPr="00F645A3">
              <w:rPr>
                <w:b/>
                <w:color w:val="000000"/>
                <w:sz w:val="20"/>
                <w:szCs w:val="20"/>
                <w:lang w:val="en-CA" w:eastAsia="en-CA"/>
              </w:rPr>
              <w:t>Government of Italy</w:t>
            </w:r>
          </w:p>
        </w:tc>
        <w:tc>
          <w:tcPr>
            <w:tcW w:w="1418" w:type="dxa"/>
            <w:shd w:val="clear" w:color="auto" w:fill="auto"/>
            <w:noWrap/>
            <w:vAlign w:val="center"/>
            <w:hideMark/>
          </w:tcPr>
          <w:p w14:paraId="19896AC5" w14:textId="77777777" w:rsidR="00255CDE" w:rsidRPr="00F645A3" w:rsidRDefault="00255CDE" w:rsidP="00736979">
            <w:pPr>
              <w:keepNext/>
              <w:jc w:val="center"/>
              <w:rPr>
                <w:b/>
                <w:color w:val="000000"/>
                <w:sz w:val="20"/>
                <w:szCs w:val="20"/>
                <w:lang w:val="en-CA" w:eastAsia="en-CA"/>
              </w:rPr>
            </w:pPr>
            <w:r w:rsidRPr="00F645A3">
              <w:rPr>
                <w:b/>
                <w:color w:val="000000"/>
                <w:sz w:val="20"/>
                <w:szCs w:val="20"/>
                <w:lang w:val="en-CA" w:eastAsia="en-CA"/>
              </w:rPr>
              <w:t>Total</w:t>
            </w:r>
          </w:p>
        </w:tc>
        <w:tc>
          <w:tcPr>
            <w:tcW w:w="2410" w:type="dxa"/>
            <w:shd w:val="clear" w:color="auto" w:fill="auto"/>
            <w:noWrap/>
            <w:vAlign w:val="center"/>
            <w:hideMark/>
          </w:tcPr>
          <w:p w14:paraId="47D1B952" w14:textId="77777777" w:rsidR="00255CDE" w:rsidRPr="00F645A3" w:rsidRDefault="00255CDE" w:rsidP="00736979">
            <w:pPr>
              <w:keepNext/>
              <w:jc w:val="center"/>
              <w:rPr>
                <w:b/>
                <w:color w:val="000000"/>
                <w:sz w:val="20"/>
                <w:szCs w:val="20"/>
                <w:lang w:val="en-CA" w:eastAsia="en-CA"/>
              </w:rPr>
            </w:pPr>
            <w:r w:rsidRPr="00F645A3">
              <w:rPr>
                <w:b/>
                <w:color w:val="000000"/>
                <w:sz w:val="20"/>
                <w:szCs w:val="20"/>
                <w:lang w:val="en-CA" w:eastAsia="en-CA"/>
              </w:rPr>
              <w:t>Disbursement rate (%)</w:t>
            </w:r>
          </w:p>
        </w:tc>
      </w:tr>
      <w:tr w:rsidR="00E07F91" w:rsidRPr="00E07F91" w14:paraId="32709A75" w14:textId="77777777" w:rsidTr="00A8187D">
        <w:trPr>
          <w:trHeight w:val="179"/>
        </w:trPr>
        <w:tc>
          <w:tcPr>
            <w:tcW w:w="1537" w:type="dxa"/>
            <w:vMerge w:val="restart"/>
            <w:shd w:val="clear" w:color="auto" w:fill="auto"/>
            <w:noWrap/>
            <w:vAlign w:val="center"/>
            <w:hideMark/>
          </w:tcPr>
          <w:p w14:paraId="6C790406" w14:textId="77777777" w:rsidR="00E07F91" w:rsidRPr="00E07F91" w:rsidRDefault="00E07F91" w:rsidP="00E07F91">
            <w:pPr>
              <w:jc w:val="left"/>
              <w:rPr>
                <w:bCs/>
                <w:sz w:val="20"/>
                <w:szCs w:val="20"/>
                <w:lang w:val="en-CA" w:eastAsia="en-CA"/>
              </w:rPr>
            </w:pPr>
            <w:r w:rsidRPr="00E07F91">
              <w:rPr>
                <w:bCs/>
                <w:sz w:val="20"/>
                <w:szCs w:val="20"/>
                <w:lang w:val="en-CA" w:eastAsia="en-CA"/>
              </w:rPr>
              <w:t>First tranche</w:t>
            </w:r>
          </w:p>
        </w:tc>
        <w:tc>
          <w:tcPr>
            <w:tcW w:w="1134" w:type="dxa"/>
            <w:shd w:val="clear" w:color="auto" w:fill="auto"/>
            <w:noWrap/>
            <w:vAlign w:val="center"/>
            <w:hideMark/>
          </w:tcPr>
          <w:p w14:paraId="799C4626" w14:textId="77777777" w:rsidR="00E07F91" w:rsidRPr="00E07F91" w:rsidRDefault="00E07F91" w:rsidP="00E07F91">
            <w:pPr>
              <w:rPr>
                <w:bCs/>
                <w:sz w:val="20"/>
                <w:szCs w:val="20"/>
                <w:lang w:val="en-CA" w:eastAsia="en-CA"/>
              </w:rPr>
            </w:pPr>
            <w:r w:rsidRPr="00E07F91">
              <w:rPr>
                <w:bCs/>
                <w:sz w:val="20"/>
                <w:szCs w:val="20"/>
                <w:lang w:val="en-CA" w:eastAsia="en-CA"/>
              </w:rPr>
              <w:t xml:space="preserve">Approved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C1643" w14:textId="1D6B192E" w:rsidR="00E07F91" w:rsidRPr="00E07F91" w:rsidRDefault="00E07F91" w:rsidP="00E07F91">
            <w:pPr>
              <w:jc w:val="right"/>
              <w:rPr>
                <w:sz w:val="20"/>
                <w:szCs w:val="20"/>
                <w:lang w:val="en-CA" w:eastAsia="en-CA"/>
              </w:rPr>
            </w:pPr>
            <w:r w:rsidRPr="00E07F91">
              <w:rPr>
                <w:sz w:val="20"/>
                <w:szCs w:val="20"/>
                <w:lang w:eastAsia="en-CA"/>
              </w:rPr>
              <w:t>200,000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2F0F49" w14:textId="2C678F70" w:rsidR="00E07F91" w:rsidRPr="00E07F91" w:rsidRDefault="00E07F91" w:rsidP="00E07F91">
            <w:pPr>
              <w:jc w:val="right"/>
              <w:rPr>
                <w:sz w:val="20"/>
                <w:szCs w:val="20"/>
                <w:lang w:val="en-CA" w:eastAsia="en-CA"/>
              </w:rPr>
            </w:pPr>
            <w:r w:rsidRPr="00E07F91">
              <w:rPr>
                <w:sz w:val="20"/>
                <w:szCs w:val="20"/>
                <w:lang w:eastAsia="en-CA"/>
              </w:rPr>
              <w:t>70,000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76A429A" w14:textId="5AB9D168" w:rsidR="00E07F91" w:rsidRPr="00E07F91" w:rsidRDefault="00E07F91" w:rsidP="00E07F91">
            <w:pPr>
              <w:jc w:val="right"/>
              <w:rPr>
                <w:sz w:val="20"/>
                <w:szCs w:val="20"/>
                <w:lang w:val="en-CA" w:eastAsia="en-CA"/>
              </w:rPr>
            </w:pPr>
            <w:r w:rsidRPr="00E07F91">
              <w:rPr>
                <w:sz w:val="20"/>
                <w:szCs w:val="20"/>
                <w:lang w:eastAsia="en-CA"/>
              </w:rPr>
              <w:t>270,000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89FB0A" w14:textId="0ACE2747" w:rsidR="00E07F91" w:rsidRPr="00E07F91" w:rsidRDefault="00E07F91" w:rsidP="00E07F91">
            <w:pPr>
              <w:jc w:val="center"/>
              <w:rPr>
                <w:sz w:val="20"/>
                <w:szCs w:val="20"/>
                <w:lang w:val="en-CA" w:eastAsia="en-CA"/>
              </w:rPr>
            </w:pPr>
            <w:r w:rsidRPr="00E07F91">
              <w:rPr>
                <w:sz w:val="20"/>
                <w:szCs w:val="20"/>
                <w:lang w:eastAsia="en-CA"/>
              </w:rPr>
              <w:t>100</w:t>
            </w:r>
          </w:p>
        </w:tc>
      </w:tr>
      <w:tr w:rsidR="00E07F91" w:rsidRPr="00E07F91" w14:paraId="2E9273E7" w14:textId="77777777" w:rsidTr="00A8187D">
        <w:trPr>
          <w:trHeight w:val="215"/>
        </w:trPr>
        <w:tc>
          <w:tcPr>
            <w:tcW w:w="1537" w:type="dxa"/>
            <w:vMerge/>
            <w:vAlign w:val="center"/>
            <w:hideMark/>
          </w:tcPr>
          <w:p w14:paraId="24E23CAB" w14:textId="77777777" w:rsidR="00E07F91" w:rsidRPr="00E07F91" w:rsidRDefault="00E07F91" w:rsidP="00E07F91">
            <w:pPr>
              <w:jc w:val="left"/>
              <w:rPr>
                <w:bCs/>
                <w:sz w:val="20"/>
                <w:szCs w:val="20"/>
                <w:lang w:val="en-CA" w:eastAsia="en-CA"/>
              </w:rPr>
            </w:pPr>
          </w:p>
        </w:tc>
        <w:tc>
          <w:tcPr>
            <w:tcW w:w="1134" w:type="dxa"/>
            <w:shd w:val="clear" w:color="auto" w:fill="auto"/>
            <w:noWrap/>
            <w:vAlign w:val="center"/>
            <w:hideMark/>
          </w:tcPr>
          <w:p w14:paraId="163E2E83" w14:textId="77777777" w:rsidR="00E07F91" w:rsidRPr="00E07F91" w:rsidRDefault="00E07F91" w:rsidP="00E07F91">
            <w:pPr>
              <w:rPr>
                <w:bCs/>
                <w:sz w:val="20"/>
                <w:szCs w:val="20"/>
                <w:lang w:val="en-CA" w:eastAsia="en-CA"/>
              </w:rPr>
            </w:pPr>
            <w:r w:rsidRPr="00E07F91">
              <w:rPr>
                <w:bCs/>
                <w:sz w:val="20"/>
                <w:szCs w:val="20"/>
                <w:lang w:val="en-CA" w:eastAsia="en-CA"/>
              </w:rPr>
              <w:t xml:space="preserve">Disbursed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A8B0884" w14:textId="30F564CF" w:rsidR="00E07F91" w:rsidRPr="00E07F91" w:rsidRDefault="00E07F91" w:rsidP="00E07F91">
            <w:pPr>
              <w:jc w:val="right"/>
              <w:rPr>
                <w:sz w:val="20"/>
                <w:szCs w:val="20"/>
                <w:lang w:val="en-CA" w:eastAsia="en-CA"/>
              </w:rPr>
            </w:pPr>
            <w:r w:rsidRPr="00E07F91">
              <w:rPr>
                <w:sz w:val="20"/>
                <w:szCs w:val="20"/>
                <w:lang w:eastAsia="en-CA"/>
              </w:rPr>
              <w:t>200,000</w:t>
            </w:r>
          </w:p>
        </w:tc>
        <w:tc>
          <w:tcPr>
            <w:tcW w:w="1417" w:type="dxa"/>
            <w:tcBorders>
              <w:top w:val="nil"/>
              <w:left w:val="nil"/>
              <w:bottom w:val="single" w:sz="4" w:space="0" w:color="auto"/>
              <w:right w:val="single" w:sz="4" w:space="0" w:color="auto"/>
            </w:tcBorders>
            <w:shd w:val="clear" w:color="auto" w:fill="auto"/>
            <w:vAlign w:val="center"/>
          </w:tcPr>
          <w:p w14:paraId="72D2A13E" w14:textId="32E8ABB4" w:rsidR="00E07F91" w:rsidRPr="00E07F91" w:rsidRDefault="00E07F91" w:rsidP="00E07F91">
            <w:pPr>
              <w:jc w:val="right"/>
              <w:rPr>
                <w:sz w:val="20"/>
                <w:szCs w:val="20"/>
                <w:lang w:val="en-CA" w:eastAsia="en-CA"/>
              </w:rPr>
            </w:pPr>
            <w:r w:rsidRPr="00E07F91">
              <w:rPr>
                <w:sz w:val="20"/>
                <w:szCs w:val="20"/>
                <w:lang w:eastAsia="en-CA"/>
              </w:rPr>
              <w:t>70,000</w:t>
            </w:r>
          </w:p>
        </w:tc>
        <w:tc>
          <w:tcPr>
            <w:tcW w:w="1418" w:type="dxa"/>
            <w:tcBorders>
              <w:top w:val="nil"/>
              <w:left w:val="nil"/>
              <w:bottom w:val="single" w:sz="4" w:space="0" w:color="auto"/>
              <w:right w:val="single" w:sz="4" w:space="0" w:color="auto"/>
            </w:tcBorders>
            <w:shd w:val="clear" w:color="auto" w:fill="auto"/>
            <w:noWrap/>
            <w:vAlign w:val="center"/>
          </w:tcPr>
          <w:p w14:paraId="1580B9F1" w14:textId="36620C62" w:rsidR="00E07F91" w:rsidRPr="00E07F91" w:rsidRDefault="00E07F91" w:rsidP="00E07F91">
            <w:pPr>
              <w:jc w:val="right"/>
              <w:rPr>
                <w:sz w:val="20"/>
                <w:szCs w:val="20"/>
                <w:lang w:val="en-CA" w:eastAsia="en-CA"/>
              </w:rPr>
            </w:pPr>
            <w:r w:rsidRPr="00E07F91">
              <w:rPr>
                <w:sz w:val="20"/>
                <w:szCs w:val="20"/>
                <w:lang w:eastAsia="en-CA"/>
              </w:rPr>
              <w:t>270,000</w:t>
            </w:r>
          </w:p>
        </w:tc>
        <w:tc>
          <w:tcPr>
            <w:tcW w:w="2410" w:type="dxa"/>
            <w:vMerge/>
            <w:tcBorders>
              <w:top w:val="single" w:sz="4" w:space="0" w:color="auto"/>
              <w:left w:val="single" w:sz="4" w:space="0" w:color="auto"/>
              <w:bottom w:val="single" w:sz="4" w:space="0" w:color="auto"/>
              <w:right w:val="single" w:sz="4" w:space="0" w:color="auto"/>
            </w:tcBorders>
            <w:vAlign w:val="center"/>
          </w:tcPr>
          <w:p w14:paraId="066A141E" w14:textId="77777777" w:rsidR="00E07F91" w:rsidRPr="00E07F91" w:rsidRDefault="00E07F91" w:rsidP="00E07F91">
            <w:pPr>
              <w:jc w:val="center"/>
              <w:rPr>
                <w:sz w:val="20"/>
                <w:szCs w:val="20"/>
                <w:lang w:val="en-CA" w:eastAsia="en-CA"/>
              </w:rPr>
            </w:pPr>
          </w:p>
        </w:tc>
      </w:tr>
      <w:tr w:rsidR="00E07F91" w:rsidRPr="00E07F91" w14:paraId="7FE73540" w14:textId="77777777" w:rsidTr="00A8187D">
        <w:trPr>
          <w:trHeight w:val="152"/>
        </w:trPr>
        <w:tc>
          <w:tcPr>
            <w:tcW w:w="1537" w:type="dxa"/>
            <w:vMerge w:val="restart"/>
            <w:shd w:val="clear" w:color="auto" w:fill="auto"/>
            <w:noWrap/>
            <w:vAlign w:val="center"/>
            <w:hideMark/>
          </w:tcPr>
          <w:p w14:paraId="437536D1" w14:textId="77777777" w:rsidR="00E07F91" w:rsidRPr="00E07F91" w:rsidRDefault="00E07F91" w:rsidP="00E07F91">
            <w:pPr>
              <w:jc w:val="left"/>
              <w:rPr>
                <w:bCs/>
                <w:sz w:val="20"/>
                <w:szCs w:val="20"/>
                <w:lang w:val="en-CA" w:eastAsia="en-CA"/>
              </w:rPr>
            </w:pPr>
            <w:r w:rsidRPr="00E07F91">
              <w:rPr>
                <w:bCs/>
                <w:sz w:val="20"/>
                <w:szCs w:val="20"/>
                <w:lang w:val="en-CA" w:eastAsia="en-CA"/>
              </w:rPr>
              <w:t>Second tranche</w:t>
            </w:r>
          </w:p>
        </w:tc>
        <w:tc>
          <w:tcPr>
            <w:tcW w:w="1134" w:type="dxa"/>
            <w:shd w:val="clear" w:color="auto" w:fill="auto"/>
            <w:noWrap/>
            <w:vAlign w:val="center"/>
            <w:hideMark/>
          </w:tcPr>
          <w:p w14:paraId="02C4B7DC" w14:textId="77777777" w:rsidR="00E07F91" w:rsidRPr="00E07F91" w:rsidRDefault="00E07F91" w:rsidP="00E07F91">
            <w:pPr>
              <w:rPr>
                <w:bCs/>
                <w:sz w:val="20"/>
                <w:szCs w:val="20"/>
                <w:lang w:val="en-CA" w:eastAsia="en-CA"/>
              </w:rPr>
            </w:pPr>
            <w:r w:rsidRPr="00E07F91">
              <w:rPr>
                <w:bCs/>
                <w:sz w:val="20"/>
                <w:szCs w:val="20"/>
                <w:lang w:val="en-CA" w:eastAsia="en-CA"/>
              </w:rPr>
              <w:t xml:space="preserve">Approved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FCE34C9" w14:textId="10DC594D" w:rsidR="00E07F91" w:rsidRPr="00E07F91" w:rsidRDefault="00E07F91" w:rsidP="00E07F91">
            <w:pPr>
              <w:jc w:val="right"/>
              <w:rPr>
                <w:sz w:val="20"/>
                <w:szCs w:val="20"/>
                <w:lang w:val="en-CA" w:eastAsia="en-CA"/>
              </w:rPr>
            </w:pPr>
            <w:r w:rsidRPr="00E07F91">
              <w:rPr>
                <w:sz w:val="20"/>
                <w:szCs w:val="20"/>
                <w:lang w:eastAsia="en-CA"/>
              </w:rPr>
              <w:t>200,000</w:t>
            </w:r>
          </w:p>
        </w:tc>
        <w:tc>
          <w:tcPr>
            <w:tcW w:w="1417" w:type="dxa"/>
            <w:tcBorders>
              <w:top w:val="nil"/>
              <w:left w:val="nil"/>
              <w:bottom w:val="single" w:sz="4" w:space="0" w:color="auto"/>
              <w:right w:val="single" w:sz="4" w:space="0" w:color="auto"/>
            </w:tcBorders>
            <w:shd w:val="clear" w:color="auto" w:fill="auto"/>
            <w:vAlign w:val="center"/>
          </w:tcPr>
          <w:p w14:paraId="34CBCFE6" w14:textId="5CE220C2" w:rsidR="00E07F91" w:rsidRPr="00E07F91" w:rsidRDefault="00E07F91" w:rsidP="00E07F91">
            <w:pPr>
              <w:jc w:val="right"/>
              <w:rPr>
                <w:sz w:val="20"/>
                <w:szCs w:val="20"/>
                <w:lang w:val="en-CA" w:eastAsia="en-CA"/>
              </w:rPr>
            </w:pPr>
            <w:r w:rsidRPr="00E07F91">
              <w:rPr>
                <w:sz w:val="20"/>
                <w:szCs w:val="20"/>
                <w:lang w:eastAsia="en-CA"/>
              </w:rPr>
              <w:t>60,000</w:t>
            </w:r>
          </w:p>
        </w:tc>
        <w:tc>
          <w:tcPr>
            <w:tcW w:w="1418" w:type="dxa"/>
            <w:tcBorders>
              <w:top w:val="nil"/>
              <w:left w:val="nil"/>
              <w:bottom w:val="single" w:sz="4" w:space="0" w:color="auto"/>
              <w:right w:val="single" w:sz="4" w:space="0" w:color="auto"/>
            </w:tcBorders>
            <w:shd w:val="clear" w:color="auto" w:fill="auto"/>
            <w:noWrap/>
            <w:vAlign w:val="center"/>
          </w:tcPr>
          <w:p w14:paraId="09F382F9" w14:textId="75B420FC" w:rsidR="00E07F91" w:rsidRPr="00E07F91" w:rsidRDefault="00E07F91" w:rsidP="00E07F91">
            <w:pPr>
              <w:jc w:val="right"/>
              <w:rPr>
                <w:sz w:val="20"/>
                <w:szCs w:val="20"/>
                <w:lang w:val="en-CA" w:eastAsia="en-CA"/>
              </w:rPr>
            </w:pPr>
            <w:r w:rsidRPr="00E07F91">
              <w:rPr>
                <w:sz w:val="20"/>
                <w:szCs w:val="20"/>
                <w:lang w:eastAsia="en-CA"/>
              </w:rPr>
              <w:t>260,000</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14:paraId="5DF44AD2" w14:textId="4BC1CCB0" w:rsidR="00E07F91" w:rsidRPr="00E07F91" w:rsidRDefault="00E07F91" w:rsidP="00E07F91">
            <w:pPr>
              <w:jc w:val="center"/>
              <w:rPr>
                <w:sz w:val="20"/>
                <w:szCs w:val="20"/>
                <w:lang w:val="en-CA" w:eastAsia="en-CA"/>
              </w:rPr>
            </w:pPr>
            <w:r w:rsidRPr="00E07F91">
              <w:rPr>
                <w:sz w:val="20"/>
                <w:szCs w:val="20"/>
                <w:lang w:eastAsia="en-CA"/>
              </w:rPr>
              <w:t>100</w:t>
            </w:r>
          </w:p>
        </w:tc>
      </w:tr>
      <w:tr w:rsidR="00E07F91" w:rsidRPr="00E07F91" w14:paraId="38CF07DE" w14:textId="77777777" w:rsidTr="00A8187D">
        <w:trPr>
          <w:trHeight w:val="179"/>
        </w:trPr>
        <w:tc>
          <w:tcPr>
            <w:tcW w:w="1537" w:type="dxa"/>
            <w:vMerge/>
            <w:vAlign w:val="center"/>
            <w:hideMark/>
          </w:tcPr>
          <w:p w14:paraId="63F2C5B8" w14:textId="77777777" w:rsidR="00E07F91" w:rsidRPr="00E07F91" w:rsidRDefault="00E07F91" w:rsidP="00E07F91">
            <w:pPr>
              <w:jc w:val="left"/>
              <w:rPr>
                <w:bCs/>
                <w:sz w:val="20"/>
                <w:szCs w:val="20"/>
                <w:lang w:val="en-CA" w:eastAsia="en-CA"/>
              </w:rPr>
            </w:pPr>
          </w:p>
        </w:tc>
        <w:tc>
          <w:tcPr>
            <w:tcW w:w="1134" w:type="dxa"/>
            <w:shd w:val="clear" w:color="auto" w:fill="auto"/>
            <w:noWrap/>
            <w:vAlign w:val="center"/>
            <w:hideMark/>
          </w:tcPr>
          <w:p w14:paraId="73980C37" w14:textId="77777777" w:rsidR="00E07F91" w:rsidRPr="00E07F91" w:rsidRDefault="00E07F91" w:rsidP="00E07F91">
            <w:pPr>
              <w:rPr>
                <w:bCs/>
                <w:sz w:val="20"/>
                <w:szCs w:val="20"/>
                <w:lang w:val="en-CA" w:eastAsia="en-CA"/>
              </w:rPr>
            </w:pPr>
            <w:r w:rsidRPr="00E07F91">
              <w:rPr>
                <w:bCs/>
                <w:sz w:val="20"/>
                <w:szCs w:val="20"/>
                <w:lang w:val="en-CA" w:eastAsia="en-CA"/>
              </w:rPr>
              <w:t xml:space="preserve">Disbursed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B199B29" w14:textId="0BB9FB15" w:rsidR="00E07F91" w:rsidRPr="00E07F91" w:rsidRDefault="00E07F91" w:rsidP="00E07F91">
            <w:pPr>
              <w:jc w:val="right"/>
              <w:rPr>
                <w:sz w:val="20"/>
                <w:szCs w:val="20"/>
                <w:lang w:val="en-CA" w:eastAsia="en-CA"/>
              </w:rPr>
            </w:pPr>
            <w:r w:rsidRPr="00E07F91">
              <w:rPr>
                <w:sz w:val="20"/>
                <w:szCs w:val="20"/>
                <w:lang w:eastAsia="en-CA"/>
              </w:rPr>
              <w:t>200,000</w:t>
            </w:r>
          </w:p>
        </w:tc>
        <w:tc>
          <w:tcPr>
            <w:tcW w:w="1417" w:type="dxa"/>
            <w:tcBorders>
              <w:top w:val="nil"/>
              <w:left w:val="nil"/>
              <w:bottom w:val="single" w:sz="4" w:space="0" w:color="auto"/>
              <w:right w:val="single" w:sz="4" w:space="0" w:color="auto"/>
            </w:tcBorders>
            <w:shd w:val="clear" w:color="auto" w:fill="auto"/>
            <w:vAlign w:val="center"/>
          </w:tcPr>
          <w:p w14:paraId="10622D11" w14:textId="146BCDD1" w:rsidR="00E07F91" w:rsidRPr="00E07F91" w:rsidRDefault="00E07F91" w:rsidP="00E07F91">
            <w:pPr>
              <w:jc w:val="right"/>
              <w:rPr>
                <w:sz w:val="20"/>
                <w:szCs w:val="20"/>
                <w:lang w:val="en-CA" w:eastAsia="en-CA"/>
              </w:rPr>
            </w:pPr>
            <w:r w:rsidRPr="00E07F91">
              <w:rPr>
                <w:sz w:val="20"/>
                <w:szCs w:val="20"/>
                <w:lang w:eastAsia="en-CA"/>
              </w:rPr>
              <w:t>60,000</w:t>
            </w:r>
          </w:p>
        </w:tc>
        <w:tc>
          <w:tcPr>
            <w:tcW w:w="1418" w:type="dxa"/>
            <w:tcBorders>
              <w:top w:val="nil"/>
              <w:left w:val="nil"/>
              <w:bottom w:val="single" w:sz="4" w:space="0" w:color="auto"/>
              <w:right w:val="single" w:sz="4" w:space="0" w:color="auto"/>
            </w:tcBorders>
            <w:shd w:val="clear" w:color="auto" w:fill="auto"/>
            <w:noWrap/>
            <w:vAlign w:val="center"/>
          </w:tcPr>
          <w:p w14:paraId="2167AF5B" w14:textId="16BDB11B" w:rsidR="00E07F91" w:rsidRPr="00E07F91" w:rsidRDefault="00E07F91" w:rsidP="00E07F91">
            <w:pPr>
              <w:jc w:val="right"/>
              <w:rPr>
                <w:sz w:val="20"/>
                <w:szCs w:val="20"/>
                <w:lang w:val="en-CA" w:eastAsia="en-CA"/>
              </w:rPr>
            </w:pPr>
            <w:r w:rsidRPr="00E07F91">
              <w:rPr>
                <w:sz w:val="20"/>
                <w:szCs w:val="20"/>
                <w:lang w:eastAsia="en-CA"/>
              </w:rPr>
              <w:t>260,000</w:t>
            </w:r>
          </w:p>
        </w:tc>
        <w:tc>
          <w:tcPr>
            <w:tcW w:w="2410" w:type="dxa"/>
            <w:vMerge/>
            <w:tcBorders>
              <w:top w:val="nil"/>
              <w:left w:val="single" w:sz="4" w:space="0" w:color="auto"/>
              <w:bottom w:val="single" w:sz="4" w:space="0" w:color="auto"/>
              <w:right w:val="single" w:sz="4" w:space="0" w:color="auto"/>
            </w:tcBorders>
            <w:vAlign w:val="center"/>
          </w:tcPr>
          <w:p w14:paraId="21BF0928" w14:textId="77777777" w:rsidR="00E07F91" w:rsidRPr="00E07F91" w:rsidRDefault="00E07F91" w:rsidP="00E07F91">
            <w:pPr>
              <w:jc w:val="center"/>
              <w:rPr>
                <w:sz w:val="20"/>
                <w:szCs w:val="20"/>
                <w:lang w:val="en-CA" w:eastAsia="en-CA"/>
              </w:rPr>
            </w:pPr>
          </w:p>
        </w:tc>
      </w:tr>
      <w:tr w:rsidR="00E07F91" w:rsidRPr="00E07F91" w14:paraId="3D790936" w14:textId="77777777" w:rsidTr="00A8187D">
        <w:trPr>
          <w:trHeight w:val="125"/>
        </w:trPr>
        <w:tc>
          <w:tcPr>
            <w:tcW w:w="1537" w:type="dxa"/>
            <w:vMerge w:val="restart"/>
            <w:shd w:val="clear" w:color="auto" w:fill="auto"/>
            <w:noWrap/>
            <w:vAlign w:val="center"/>
            <w:hideMark/>
          </w:tcPr>
          <w:p w14:paraId="796D9C4C" w14:textId="77777777" w:rsidR="00E07F91" w:rsidRPr="00E07F91" w:rsidRDefault="00E07F91" w:rsidP="00E07F91">
            <w:pPr>
              <w:jc w:val="left"/>
              <w:rPr>
                <w:bCs/>
                <w:sz w:val="20"/>
                <w:szCs w:val="20"/>
                <w:lang w:val="en-CA" w:eastAsia="en-CA"/>
              </w:rPr>
            </w:pPr>
            <w:r w:rsidRPr="00E07F91">
              <w:rPr>
                <w:bCs/>
                <w:sz w:val="20"/>
                <w:szCs w:val="20"/>
                <w:lang w:val="en-CA" w:eastAsia="en-CA"/>
              </w:rPr>
              <w:t>Third tranche</w:t>
            </w:r>
          </w:p>
        </w:tc>
        <w:tc>
          <w:tcPr>
            <w:tcW w:w="1134" w:type="dxa"/>
            <w:shd w:val="clear" w:color="auto" w:fill="auto"/>
            <w:noWrap/>
            <w:vAlign w:val="center"/>
            <w:hideMark/>
          </w:tcPr>
          <w:p w14:paraId="7D1208D7" w14:textId="77777777" w:rsidR="00E07F91" w:rsidRPr="00E07F91" w:rsidRDefault="00E07F91" w:rsidP="00E07F91">
            <w:pPr>
              <w:rPr>
                <w:bCs/>
                <w:sz w:val="20"/>
                <w:szCs w:val="20"/>
                <w:lang w:val="en-CA" w:eastAsia="en-CA"/>
              </w:rPr>
            </w:pPr>
            <w:r w:rsidRPr="00E07F91">
              <w:rPr>
                <w:bCs/>
                <w:sz w:val="20"/>
                <w:szCs w:val="20"/>
                <w:lang w:val="en-CA" w:eastAsia="en-CA"/>
              </w:rPr>
              <w:t xml:space="preserve">Approved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7EA1C6A" w14:textId="66516E15" w:rsidR="00E07F91" w:rsidRPr="00E07F91" w:rsidRDefault="00E07F91" w:rsidP="00E07F91">
            <w:pPr>
              <w:jc w:val="right"/>
              <w:rPr>
                <w:sz w:val="20"/>
                <w:szCs w:val="20"/>
                <w:lang w:val="en-CA" w:eastAsia="en-CA"/>
              </w:rPr>
            </w:pPr>
            <w:r w:rsidRPr="00E07F91">
              <w:rPr>
                <w:sz w:val="20"/>
                <w:szCs w:val="20"/>
                <w:lang w:eastAsia="en-CA"/>
              </w:rPr>
              <w:t>190,000</w:t>
            </w:r>
          </w:p>
        </w:tc>
        <w:tc>
          <w:tcPr>
            <w:tcW w:w="1417" w:type="dxa"/>
            <w:tcBorders>
              <w:top w:val="nil"/>
              <w:left w:val="nil"/>
              <w:bottom w:val="single" w:sz="4" w:space="0" w:color="auto"/>
              <w:right w:val="single" w:sz="4" w:space="0" w:color="auto"/>
            </w:tcBorders>
            <w:shd w:val="clear" w:color="auto" w:fill="auto"/>
            <w:vAlign w:val="center"/>
          </w:tcPr>
          <w:p w14:paraId="2B50CF2C" w14:textId="56160C74" w:rsidR="00E07F91" w:rsidRPr="00E07F91" w:rsidRDefault="00E07F91" w:rsidP="00E07F91">
            <w:pPr>
              <w:jc w:val="right"/>
              <w:rPr>
                <w:sz w:val="20"/>
                <w:szCs w:val="20"/>
                <w:lang w:val="en-CA" w:eastAsia="en-CA"/>
              </w:rPr>
            </w:pPr>
            <w:r w:rsidRPr="00E07F91">
              <w:rPr>
                <w:sz w:val="20"/>
                <w:szCs w:val="20"/>
                <w:lang w:eastAsia="en-CA"/>
              </w:rPr>
              <w:t>70,000</w:t>
            </w:r>
          </w:p>
        </w:tc>
        <w:tc>
          <w:tcPr>
            <w:tcW w:w="1418" w:type="dxa"/>
            <w:tcBorders>
              <w:top w:val="nil"/>
              <w:left w:val="nil"/>
              <w:bottom w:val="single" w:sz="4" w:space="0" w:color="auto"/>
              <w:right w:val="single" w:sz="4" w:space="0" w:color="auto"/>
            </w:tcBorders>
            <w:shd w:val="clear" w:color="auto" w:fill="auto"/>
            <w:noWrap/>
            <w:vAlign w:val="center"/>
          </w:tcPr>
          <w:p w14:paraId="56289B75" w14:textId="46E429C8" w:rsidR="00E07F91" w:rsidRPr="00E07F91" w:rsidRDefault="00E07F91" w:rsidP="00E07F91">
            <w:pPr>
              <w:jc w:val="right"/>
              <w:rPr>
                <w:sz w:val="20"/>
                <w:szCs w:val="20"/>
                <w:lang w:val="en-CA" w:eastAsia="en-CA"/>
              </w:rPr>
            </w:pPr>
            <w:r w:rsidRPr="00E07F91">
              <w:rPr>
                <w:sz w:val="20"/>
                <w:szCs w:val="20"/>
                <w:lang w:eastAsia="en-CA"/>
              </w:rPr>
              <w:t>260,000</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14:paraId="6EE0B47D" w14:textId="0942FDCB" w:rsidR="00E07F91" w:rsidRPr="00E07F91" w:rsidRDefault="00E07F91" w:rsidP="00E07F91">
            <w:pPr>
              <w:jc w:val="center"/>
              <w:rPr>
                <w:sz w:val="20"/>
                <w:szCs w:val="20"/>
                <w:lang w:val="en-CA" w:eastAsia="en-CA"/>
              </w:rPr>
            </w:pPr>
            <w:r w:rsidRPr="00E07F91">
              <w:rPr>
                <w:sz w:val="20"/>
                <w:szCs w:val="20"/>
              </w:rPr>
              <w:t>100</w:t>
            </w:r>
          </w:p>
        </w:tc>
      </w:tr>
      <w:tr w:rsidR="00E07F91" w:rsidRPr="00E07F91" w14:paraId="0DD24048" w14:textId="77777777" w:rsidTr="00A8187D">
        <w:trPr>
          <w:trHeight w:val="58"/>
        </w:trPr>
        <w:tc>
          <w:tcPr>
            <w:tcW w:w="1537" w:type="dxa"/>
            <w:vMerge/>
            <w:vAlign w:val="center"/>
            <w:hideMark/>
          </w:tcPr>
          <w:p w14:paraId="67632260" w14:textId="77777777" w:rsidR="00E07F91" w:rsidRPr="00E07F91" w:rsidRDefault="00E07F91" w:rsidP="00E07F91">
            <w:pPr>
              <w:jc w:val="left"/>
              <w:rPr>
                <w:bCs/>
                <w:sz w:val="20"/>
                <w:szCs w:val="20"/>
                <w:lang w:val="en-CA" w:eastAsia="en-CA"/>
              </w:rPr>
            </w:pPr>
          </w:p>
        </w:tc>
        <w:tc>
          <w:tcPr>
            <w:tcW w:w="1134" w:type="dxa"/>
            <w:shd w:val="clear" w:color="auto" w:fill="auto"/>
            <w:noWrap/>
            <w:vAlign w:val="center"/>
            <w:hideMark/>
          </w:tcPr>
          <w:p w14:paraId="612A9AD5" w14:textId="77777777" w:rsidR="00E07F91" w:rsidRPr="00E07F91" w:rsidRDefault="00E07F91" w:rsidP="00E07F91">
            <w:pPr>
              <w:rPr>
                <w:bCs/>
                <w:sz w:val="20"/>
                <w:szCs w:val="20"/>
                <w:lang w:val="en-CA" w:eastAsia="en-CA"/>
              </w:rPr>
            </w:pPr>
            <w:r w:rsidRPr="00E07F91">
              <w:rPr>
                <w:bCs/>
                <w:sz w:val="20"/>
                <w:szCs w:val="20"/>
                <w:lang w:val="en-CA" w:eastAsia="en-CA"/>
              </w:rPr>
              <w:t xml:space="preserve">Disbursed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A82D50A" w14:textId="5CF7CD2C" w:rsidR="00E07F91" w:rsidRPr="00E07F91" w:rsidRDefault="00E07F91" w:rsidP="00E07F91">
            <w:pPr>
              <w:jc w:val="right"/>
              <w:rPr>
                <w:sz w:val="20"/>
                <w:szCs w:val="20"/>
                <w:lang w:val="en-CA" w:eastAsia="en-CA"/>
              </w:rPr>
            </w:pPr>
            <w:r w:rsidRPr="00E07F91">
              <w:rPr>
                <w:sz w:val="20"/>
                <w:szCs w:val="20"/>
                <w:lang w:eastAsia="en-CA"/>
              </w:rPr>
              <w:t>190,000</w:t>
            </w:r>
          </w:p>
        </w:tc>
        <w:tc>
          <w:tcPr>
            <w:tcW w:w="1417" w:type="dxa"/>
            <w:tcBorders>
              <w:top w:val="nil"/>
              <w:left w:val="nil"/>
              <w:bottom w:val="single" w:sz="4" w:space="0" w:color="auto"/>
              <w:right w:val="single" w:sz="4" w:space="0" w:color="auto"/>
            </w:tcBorders>
            <w:shd w:val="clear" w:color="auto" w:fill="auto"/>
            <w:vAlign w:val="center"/>
          </w:tcPr>
          <w:p w14:paraId="4833BD8B" w14:textId="399A9EED" w:rsidR="00E07F91" w:rsidRPr="00E07F91" w:rsidRDefault="00E07F91" w:rsidP="00E07F91">
            <w:pPr>
              <w:jc w:val="right"/>
              <w:rPr>
                <w:sz w:val="20"/>
                <w:szCs w:val="20"/>
                <w:lang w:val="en-CA" w:eastAsia="en-CA"/>
              </w:rPr>
            </w:pPr>
            <w:r w:rsidRPr="00E07F91">
              <w:rPr>
                <w:sz w:val="20"/>
                <w:szCs w:val="20"/>
                <w:lang w:eastAsia="en-CA"/>
              </w:rPr>
              <w:t>70,000</w:t>
            </w:r>
          </w:p>
        </w:tc>
        <w:tc>
          <w:tcPr>
            <w:tcW w:w="1418" w:type="dxa"/>
            <w:tcBorders>
              <w:top w:val="nil"/>
              <w:left w:val="nil"/>
              <w:bottom w:val="single" w:sz="4" w:space="0" w:color="auto"/>
              <w:right w:val="single" w:sz="4" w:space="0" w:color="auto"/>
            </w:tcBorders>
            <w:shd w:val="clear" w:color="auto" w:fill="auto"/>
            <w:noWrap/>
            <w:vAlign w:val="center"/>
          </w:tcPr>
          <w:p w14:paraId="03FB6055" w14:textId="6BE4A822" w:rsidR="00E07F91" w:rsidRPr="00E07F91" w:rsidRDefault="00E07F91" w:rsidP="00E07F91">
            <w:pPr>
              <w:jc w:val="right"/>
              <w:rPr>
                <w:sz w:val="20"/>
                <w:szCs w:val="20"/>
                <w:lang w:val="en-CA" w:eastAsia="en-CA"/>
              </w:rPr>
            </w:pPr>
            <w:r w:rsidRPr="00E07F91">
              <w:rPr>
                <w:sz w:val="20"/>
                <w:szCs w:val="20"/>
              </w:rPr>
              <w:t>260,000</w:t>
            </w:r>
          </w:p>
        </w:tc>
        <w:tc>
          <w:tcPr>
            <w:tcW w:w="2410" w:type="dxa"/>
            <w:vMerge/>
            <w:tcBorders>
              <w:top w:val="nil"/>
              <w:left w:val="single" w:sz="4" w:space="0" w:color="auto"/>
              <w:bottom w:val="single" w:sz="4" w:space="0" w:color="auto"/>
              <w:right w:val="single" w:sz="4" w:space="0" w:color="auto"/>
            </w:tcBorders>
            <w:vAlign w:val="center"/>
          </w:tcPr>
          <w:p w14:paraId="5DAB4065" w14:textId="77777777" w:rsidR="00E07F91" w:rsidRPr="00E07F91" w:rsidRDefault="00E07F91" w:rsidP="00E07F91">
            <w:pPr>
              <w:jc w:val="center"/>
              <w:rPr>
                <w:sz w:val="20"/>
                <w:szCs w:val="20"/>
                <w:lang w:val="en-CA" w:eastAsia="en-CA"/>
              </w:rPr>
            </w:pPr>
          </w:p>
        </w:tc>
      </w:tr>
      <w:tr w:rsidR="00E07F91" w:rsidRPr="00E07F91" w14:paraId="11ECE2B8" w14:textId="77777777" w:rsidTr="00A8187D">
        <w:trPr>
          <w:trHeight w:val="58"/>
        </w:trPr>
        <w:tc>
          <w:tcPr>
            <w:tcW w:w="1537" w:type="dxa"/>
            <w:vMerge w:val="restart"/>
            <w:shd w:val="clear" w:color="auto" w:fill="auto"/>
            <w:noWrap/>
            <w:vAlign w:val="center"/>
            <w:hideMark/>
          </w:tcPr>
          <w:p w14:paraId="55F8B89C" w14:textId="77777777" w:rsidR="00E07F91" w:rsidRPr="00E07F91" w:rsidRDefault="00E07F91" w:rsidP="00E07F91">
            <w:pPr>
              <w:jc w:val="left"/>
              <w:rPr>
                <w:bCs/>
                <w:sz w:val="20"/>
                <w:szCs w:val="20"/>
                <w:lang w:val="en-CA" w:eastAsia="en-CA"/>
              </w:rPr>
            </w:pPr>
            <w:r w:rsidRPr="00E07F91">
              <w:rPr>
                <w:bCs/>
                <w:sz w:val="20"/>
                <w:szCs w:val="20"/>
                <w:lang w:val="en-CA" w:eastAsia="en-CA"/>
              </w:rPr>
              <w:t>Fourth tranche</w:t>
            </w:r>
          </w:p>
        </w:tc>
        <w:tc>
          <w:tcPr>
            <w:tcW w:w="1134" w:type="dxa"/>
            <w:shd w:val="clear" w:color="auto" w:fill="auto"/>
            <w:noWrap/>
            <w:vAlign w:val="center"/>
            <w:hideMark/>
          </w:tcPr>
          <w:p w14:paraId="41CF2A30" w14:textId="77777777" w:rsidR="00E07F91" w:rsidRPr="00E07F91" w:rsidRDefault="00E07F91" w:rsidP="00E07F91">
            <w:pPr>
              <w:rPr>
                <w:bCs/>
                <w:sz w:val="20"/>
                <w:szCs w:val="20"/>
                <w:lang w:val="en-CA" w:eastAsia="en-CA"/>
              </w:rPr>
            </w:pPr>
            <w:r w:rsidRPr="00E07F91">
              <w:rPr>
                <w:bCs/>
                <w:sz w:val="20"/>
                <w:szCs w:val="20"/>
                <w:lang w:val="en-CA" w:eastAsia="en-CA"/>
              </w:rPr>
              <w:t xml:space="preserve">Approved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3925465" w14:textId="7E114220" w:rsidR="00E07F91" w:rsidRPr="00E07F91" w:rsidRDefault="00E07F91" w:rsidP="00E07F91">
            <w:pPr>
              <w:jc w:val="right"/>
              <w:rPr>
                <w:sz w:val="20"/>
                <w:szCs w:val="20"/>
                <w:lang w:val="en-CA" w:eastAsia="en-CA"/>
              </w:rPr>
            </w:pPr>
            <w:r w:rsidRPr="00E07F91">
              <w:rPr>
                <w:sz w:val="20"/>
                <w:szCs w:val="20"/>
                <w:lang w:eastAsia="en-CA"/>
              </w:rPr>
              <w:t>195,000</w:t>
            </w:r>
          </w:p>
        </w:tc>
        <w:tc>
          <w:tcPr>
            <w:tcW w:w="1417" w:type="dxa"/>
            <w:tcBorders>
              <w:top w:val="nil"/>
              <w:left w:val="nil"/>
              <w:bottom w:val="single" w:sz="4" w:space="0" w:color="auto"/>
              <w:right w:val="single" w:sz="4" w:space="0" w:color="auto"/>
            </w:tcBorders>
            <w:shd w:val="clear" w:color="auto" w:fill="auto"/>
            <w:vAlign w:val="center"/>
          </w:tcPr>
          <w:p w14:paraId="5FBC822D" w14:textId="0906EAA1" w:rsidR="00E07F91" w:rsidRPr="00E07F91" w:rsidRDefault="00E07F91" w:rsidP="00E07F91">
            <w:pPr>
              <w:jc w:val="right"/>
              <w:rPr>
                <w:sz w:val="20"/>
                <w:szCs w:val="20"/>
                <w:lang w:val="en-CA" w:eastAsia="en-CA"/>
              </w:rPr>
            </w:pPr>
            <w:r w:rsidRPr="00E07F91">
              <w:rPr>
                <w:sz w:val="20"/>
                <w:szCs w:val="20"/>
                <w:lang w:eastAsia="en-CA"/>
              </w:rPr>
              <w:t>65,000</w:t>
            </w:r>
          </w:p>
        </w:tc>
        <w:tc>
          <w:tcPr>
            <w:tcW w:w="1418" w:type="dxa"/>
            <w:tcBorders>
              <w:top w:val="nil"/>
              <w:left w:val="nil"/>
              <w:bottom w:val="single" w:sz="4" w:space="0" w:color="auto"/>
              <w:right w:val="single" w:sz="4" w:space="0" w:color="auto"/>
            </w:tcBorders>
            <w:shd w:val="clear" w:color="auto" w:fill="auto"/>
            <w:noWrap/>
            <w:vAlign w:val="center"/>
          </w:tcPr>
          <w:p w14:paraId="5DDAF03B" w14:textId="378425D9" w:rsidR="00E07F91" w:rsidRPr="00E07F91" w:rsidRDefault="00E07F91" w:rsidP="00E07F91">
            <w:pPr>
              <w:jc w:val="right"/>
              <w:rPr>
                <w:sz w:val="20"/>
                <w:szCs w:val="20"/>
                <w:lang w:val="en-CA" w:eastAsia="en-CA"/>
              </w:rPr>
            </w:pPr>
            <w:r w:rsidRPr="00E07F91">
              <w:rPr>
                <w:sz w:val="20"/>
                <w:szCs w:val="20"/>
                <w:lang w:eastAsia="en-CA"/>
              </w:rPr>
              <w:t>260,000</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14:paraId="333EF940" w14:textId="79067B60" w:rsidR="00E07F91" w:rsidRPr="00E07F91" w:rsidRDefault="00E07F91" w:rsidP="00E07F91">
            <w:pPr>
              <w:jc w:val="center"/>
              <w:rPr>
                <w:sz w:val="20"/>
                <w:szCs w:val="20"/>
                <w:lang w:val="en-CA" w:eastAsia="en-CA"/>
              </w:rPr>
            </w:pPr>
            <w:r w:rsidRPr="00E07F91">
              <w:rPr>
                <w:sz w:val="20"/>
                <w:szCs w:val="20"/>
              </w:rPr>
              <w:t>96</w:t>
            </w:r>
          </w:p>
        </w:tc>
      </w:tr>
      <w:tr w:rsidR="00E07F91" w:rsidRPr="00E07F91" w14:paraId="761EC0C0" w14:textId="77777777" w:rsidTr="00A8187D">
        <w:trPr>
          <w:trHeight w:val="125"/>
        </w:trPr>
        <w:tc>
          <w:tcPr>
            <w:tcW w:w="1537" w:type="dxa"/>
            <w:vMerge/>
            <w:vAlign w:val="center"/>
            <w:hideMark/>
          </w:tcPr>
          <w:p w14:paraId="47C277D9" w14:textId="77777777" w:rsidR="00E07F91" w:rsidRPr="00E07F91" w:rsidRDefault="00E07F91" w:rsidP="00E07F91">
            <w:pPr>
              <w:jc w:val="left"/>
              <w:rPr>
                <w:bCs/>
                <w:sz w:val="20"/>
                <w:szCs w:val="20"/>
                <w:lang w:val="en-CA" w:eastAsia="en-CA"/>
              </w:rPr>
            </w:pPr>
          </w:p>
        </w:tc>
        <w:tc>
          <w:tcPr>
            <w:tcW w:w="1134" w:type="dxa"/>
            <w:shd w:val="clear" w:color="auto" w:fill="auto"/>
            <w:noWrap/>
            <w:vAlign w:val="center"/>
            <w:hideMark/>
          </w:tcPr>
          <w:p w14:paraId="0A7C92DB" w14:textId="77777777" w:rsidR="00E07F91" w:rsidRPr="00E07F91" w:rsidRDefault="00E07F91" w:rsidP="00E07F91">
            <w:pPr>
              <w:rPr>
                <w:bCs/>
                <w:sz w:val="20"/>
                <w:szCs w:val="20"/>
                <w:lang w:val="en-CA" w:eastAsia="en-CA"/>
              </w:rPr>
            </w:pPr>
            <w:r w:rsidRPr="00E07F91">
              <w:rPr>
                <w:bCs/>
                <w:sz w:val="20"/>
                <w:szCs w:val="20"/>
                <w:lang w:val="en-CA" w:eastAsia="en-CA"/>
              </w:rPr>
              <w:t xml:space="preserve">Disbursed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81A98EC" w14:textId="17EDE2C6" w:rsidR="00E07F91" w:rsidRPr="00E07F91" w:rsidRDefault="00E07F91" w:rsidP="00E07F91">
            <w:pPr>
              <w:jc w:val="right"/>
              <w:rPr>
                <w:sz w:val="20"/>
                <w:szCs w:val="20"/>
                <w:lang w:val="en-CA" w:eastAsia="en-CA"/>
              </w:rPr>
            </w:pPr>
            <w:r w:rsidRPr="00E07F91">
              <w:rPr>
                <w:sz w:val="20"/>
                <w:szCs w:val="20"/>
              </w:rPr>
              <w:t>195,000</w:t>
            </w:r>
          </w:p>
        </w:tc>
        <w:tc>
          <w:tcPr>
            <w:tcW w:w="1417" w:type="dxa"/>
            <w:tcBorders>
              <w:top w:val="nil"/>
              <w:left w:val="nil"/>
              <w:bottom w:val="single" w:sz="4" w:space="0" w:color="auto"/>
              <w:right w:val="single" w:sz="4" w:space="0" w:color="auto"/>
            </w:tcBorders>
            <w:shd w:val="clear" w:color="auto" w:fill="auto"/>
            <w:vAlign w:val="center"/>
          </w:tcPr>
          <w:p w14:paraId="5F698CDE" w14:textId="4EC4D3B7" w:rsidR="00E07F91" w:rsidRPr="00E07F91" w:rsidRDefault="00E07F91" w:rsidP="00E07F91">
            <w:pPr>
              <w:jc w:val="right"/>
              <w:rPr>
                <w:sz w:val="20"/>
                <w:szCs w:val="20"/>
                <w:lang w:val="en-CA" w:eastAsia="en-CA"/>
              </w:rPr>
            </w:pPr>
            <w:r w:rsidRPr="00E07F91">
              <w:rPr>
                <w:sz w:val="20"/>
                <w:szCs w:val="20"/>
              </w:rPr>
              <w:t>55,000</w:t>
            </w:r>
          </w:p>
        </w:tc>
        <w:tc>
          <w:tcPr>
            <w:tcW w:w="1418" w:type="dxa"/>
            <w:tcBorders>
              <w:top w:val="nil"/>
              <w:left w:val="nil"/>
              <w:bottom w:val="single" w:sz="4" w:space="0" w:color="auto"/>
              <w:right w:val="single" w:sz="4" w:space="0" w:color="auto"/>
            </w:tcBorders>
            <w:shd w:val="clear" w:color="auto" w:fill="auto"/>
            <w:noWrap/>
            <w:vAlign w:val="center"/>
          </w:tcPr>
          <w:p w14:paraId="6F4E1981" w14:textId="094C8A82" w:rsidR="00E07F91" w:rsidRPr="00E07F91" w:rsidRDefault="00E07F91" w:rsidP="00E07F91">
            <w:pPr>
              <w:jc w:val="right"/>
              <w:rPr>
                <w:sz w:val="20"/>
                <w:szCs w:val="20"/>
                <w:lang w:val="en-CA" w:eastAsia="en-CA"/>
              </w:rPr>
            </w:pPr>
            <w:r w:rsidRPr="00E07F91">
              <w:rPr>
                <w:sz w:val="20"/>
                <w:szCs w:val="20"/>
              </w:rPr>
              <w:t>250,000</w:t>
            </w:r>
          </w:p>
        </w:tc>
        <w:tc>
          <w:tcPr>
            <w:tcW w:w="2410" w:type="dxa"/>
            <w:vMerge/>
            <w:tcBorders>
              <w:top w:val="nil"/>
              <w:left w:val="single" w:sz="4" w:space="0" w:color="auto"/>
              <w:bottom w:val="single" w:sz="4" w:space="0" w:color="auto"/>
              <w:right w:val="single" w:sz="4" w:space="0" w:color="auto"/>
            </w:tcBorders>
            <w:vAlign w:val="center"/>
          </w:tcPr>
          <w:p w14:paraId="2235698B" w14:textId="77777777" w:rsidR="00E07F91" w:rsidRPr="00E07F91" w:rsidRDefault="00E07F91" w:rsidP="00E07F91">
            <w:pPr>
              <w:jc w:val="center"/>
              <w:rPr>
                <w:sz w:val="20"/>
                <w:szCs w:val="20"/>
                <w:lang w:val="en-CA" w:eastAsia="en-CA"/>
              </w:rPr>
            </w:pPr>
          </w:p>
        </w:tc>
      </w:tr>
      <w:tr w:rsidR="00E07F91" w:rsidRPr="00E07F91" w14:paraId="584C0E58" w14:textId="77777777" w:rsidTr="00A8187D">
        <w:trPr>
          <w:trHeight w:val="58"/>
        </w:trPr>
        <w:tc>
          <w:tcPr>
            <w:tcW w:w="1537" w:type="dxa"/>
            <w:vMerge w:val="restart"/>
            <w:shd w:val="clear" w:color="auto" w:fill="auto"/>
            <w:noWrap/>
            <w:vAlign w:val="center"/>
            <w:hideMark/>
          </w:tcPr>
          <w:p w14:paraId="14D57BFD" w14:textId="77777777" w:rsidR="00E07F91" w:rsidRPr="00E07F91" w:rsidRDefault="00E07F91" w:rsidP="00E07F91">
            <w:pPr>
              <w:jc w:val="left"/>
              <w:rPr>
                <w:bCs/>
                <w:sz w:val="20"/>
                <w:szCs w:val="20"/>
                <w:lang w:val="en-CA" w:eastAsia="en-CA"/>
              </w:rPr>
            </w:pPr>
            <w:r w:rsidRPr="00E07F91">
              <w:rPr>
                <w:bCs/>
                <w:sz w:val="20"/>
                <w:szCs w:val="20"/>
                <w:lang w:val="en-CA" w:eastAsia="en-CA"/>
              </w:rPr>
              <w:t>Fifth tranche</w:t>
            </w:r>
          </w:p>
        </w:tc>
        <w:tc>
          <w:tcPr>
            <w:tcW w:w="1134" w:type="dxa"/>
            <w:shd w:val="clear" w:color="auto" w:fill="auto"/>
            <w:noWrap/>
            <w:vAlign w:val="center"/>
            <w:hideMark/>
          </w:tcPr>
          <w:p w14:paraId="5D0264A9" w14:textId="77777777" w:rsidR="00E07F91" w:rsidRPr="00E07F91" w:rsidRDefault="00E07F91" w:rsidP="00E07F91">
            <w:pPr>
              <w:rPr>
                <w:bCs/>
                <w:sz w:val="20"/>
                <w:szCs w:val="20"/>
                <w:lang w:val="en-CA" w:eastAsia="en-CA"/>
              </w:rPr>
            </w:pPr>
            <w:r w:rsidRPr="00E07F91">
              <w:rPr>
                <w:bCs/>
                <w:sz w:val="20"/>
                <w:szCs w:val="20"/>
                <w:lang w:val="en-CA" w:eastAsia="en-CA"/>
              </w:rPr>
              <w:t xml:space="preserve">Approved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FDC99BC" w14:textId="0008EDB1" w:rsidR="00E07F91" w:rsidRPr="00E07F91" w:rsidRDefault="00E07F91" w:rsidP="00E07F91">
            <w:pPr>
              <w:jc w:val="right"/>
              <w:rPr>
                <w:sz w:val="20"/>
                <w:szCs w:val="20"/>
                <w:lang w:val="en-CA" w:eastAsia="en-CA"/>
              </w:rPr>
            </w:pPr>
            <w:r w:rsidRPr="00E07F91">
              <w:rPr>
                <w:sz w:val="20"/>
                <w:szCs w:val="20"/>
                <w:lang w:eastAsia="en-CA"/>
              </w:rPr>
              <w:t>125,000</w:t>
            </w:r>
          </w:p>
        </w:tc>
        <w:tc>
          <w:tcPr>
            <w:tcW w:w="1417" w:type="dxa"/>
            <w:tcBorders>
              <w:top w:val="nil"/>
              <w:left w:val="nil"/>
              <w:bottom w:val="single" w:sz="4" w:space="0" w:color="auto"/>
              <w:right w:val="single" w:sz="4" w:space="0" w:color="auto"/>
            </w:tcBorders>
            <w:shd w:val="clear" w:color="auto" w:fill="auto"/>
            <w:vAlign w:val="center"/>
          </w:tcPr>
          <w:p w14:paraId="0D02A22F" w14:textId="38BC51EB" w:rsidR="00E07F91" w:rsidRPr="00E07F91" w:rsidRDefault="00E07F91" w:rsidP="00E07F91">
            <w:pPr>
              <w:jc w:val="right"/>
              <w:rPr>
                <w:sz w:val="20"/>
                <w:szCs w:val="20"/>
                <w:lang w:val="en-CA" w:eastAsia="en-CA"/>
              </w:rPr>
            </w:pPr>
            <w:r w:rsidRPr="00E07F91">
              <w:rPr>
                <w:sz w:val="20"/>
                <w:szCs w:val="20"/>
                <w:lang w:eastAsia="en-CA"/>
              </w:rPr>
              <w:t>60,000</w:t>
            </w:r>
          </w:p>
        </w:tc>
        <w:tc>
          <w:tcPr>
            <w:tcW w:w="1418" w:type="dxa"/>
            <w:tcBorders>
              <w:top w:val="nil"/>
              <w:left w:val="nil"/>
              <w:bottom w:val="single" w:sz="4" w:space="0" w:color="auto"/>
              <w:right w:val="single" w:sz="4" w:space="0" w:color="auto"/>
            </w:tcBorders>
            <w:shd w:val="clear" w:color="auto" w:fill="auto"/>
            <w:noWrap/>
            <w:vAlign w:val="center"/>
          </w:tcPr>
          <w:p w14:paraId="3914933B" w14:textId="21F02153" w:rsidR="00E07F91" w:rsidRPr="00E07F91" w:rsidRDefault="00E07F91" w:rsidP="00E07F91">
            <w:pPr>
              <w:jc w:val="right"/>
              <w:rPr>
                <w:sz w:val="20"/>
                <w:szCs w:val="20"/>
                <w:lang w:val="en-CA" w:eastAsia="en-CA"/>
              </w:rPr>
            </w:pPr>
            <w:r w:rsidRPr="00E07F91">
              <w:rPr>
                <w:sz w:val="20"/>
                <w:szCs w:val="20"/>
                <w:lang w:eastAsia="en-CA"/>
              </w:rPr>
              <w:t>185,000</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tcPr>
          <w:p w14:paraId="65611413" w14:textId="3D98B88E" w:rsidR="00E07F91" w:rsidRPr="00E07F91" w:rsidRDefault="00E07F91" w:rsidP="00E07F91">
            <w:pPr>
              <w:jc w:val="center"/>
              <w:rPr>
                <w:sz w:val="20"/>
                <w:szCs w:val="20"/>
                <w:lang w:val="en-CA" w:eastAsia="en-CA"/>
              </w:rPr>
            </w:pPr>
            <w:r w:rsidRPr="00E07F91">
              <w:rPr>
                <w:sz w:val="20"/>
                <w:szCs w:val="20"/>
              </w:rPr>
              <w:t>29</w:t>
            </w:r>
          </w:p>
        </w:tc>
      </w:tr>
      <w:tr w:rsidR="00E07F91" w:rsidRPr="00E07F91" w14:paraId="329CB3B7" w14:textId="77777777" w:rsidTr="00A8187D">
        <w:trPr>
          <w:trHeight w:val="125"/>
        </w:trPr>
        <w:tc>
          <w:tcPr>
            <w:tcW w:w="1537" w:type="dxa"/>
            <w:vMerge/>
            <w:vAlign w:val="center"/>
            <w:hideMark/>
          </w:tcPr>
          <w:p w14:paraId="78CF1FF4" w14:textId="77777777" w:rsidR="00E07F91" w:rsidRPr="00E07F91" w:rsidRDefault="00E07F91" w:rsidP="00E07F91">
            <w:pPr>
              <w:jc w:val="left"/>
              <w:rPr>
                <w:bCs/>
                <w:sz w:val="20"/>
                <w:szCs w:val="20"/>
                <w:lang w:val="en-CA" w:eastAsia="en-CA"/>
              </w:rPr>
            </w:pPr>
          </w:p>
        </w:tc>
        <w:tc>
          <w:tcPr>
            <w:tcW w:w="1134" w:type="dxa"/>
            <w:shd w:val="clear" w:color="auto" w:fill="auto"/>
            <w:noWrap/>
            <w:vAlign w:val="center"/>
            <w:hideMark/>
          </w:tcPr>
          <w:p w14:paraId="3D09D99D" w14:textId="77777777" w:rsidR="00E07F91" w:rsidRPr="00E07F91" w:rsidRDefault="00E07F91" w:rsidP="00E07F91">
            <w:pPr>
              <w:rPr>
                <w:bCs/>
                <w:sz w:val="20"/>
                <w:szCs w:val="20"/>
                <w:lang w:val="en-CA" w:eastAsia="en-CA"/>
              </w:rPr>
            </w:pPr>
            <w:r w:rsidRPr="00E07F91">
              <w:rPr>
                <w:bCs/>
                <w:sz w:val="20"/>
                <w:szCs w:val="20"/>
                <w:lang w:val="en-CA" w:eastAsia="en-CA"/>
              </w:rPr>
              <w:t xml:space="preserve">Disbursed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DEE2D2F" w14:textId="6A8BAEE4" w:rsidR="00E07F91" w:rsidRPr="00E07F91" w:rsidRDefault="00E07F91" w:rsidP="00E07F91">
            <w:pPr>
              <w:jc w:val="right"/>
              <w:rPr>
                <w:sz w:val="20"/>
                <w:szCs w:val="20"/>
                <w:lang w:val="en-CA" w:eastAsia="en-CA"/>
              </w:rPr>
            </w:pPr>
            <w:r w:rsidRPr="00E07F91">
              <w:rPr>
                <w:sz w:val="20"/>
                <w:szCs w:val="20"/>
              </w:rPr>
              <w:t>28,090</w:t>
            </w:r>
          </w:p>
        </w:tc>
        <w:tc>
          <w:tcPr>
            <w:tcW w:w="1417" w:type="dxa"/>
            <w:tcBorders>
              <w:top w:val="nil"/>
              <w:left w:val="nil"/>
              <w:bottom w:val="single" w:sz="4" w:space="0" w:color="auto"/>
              <w:right w:val="single" w:sz="4" w:space="0" w:color="auto"/>
            </w:tcBorders>
            <w:shd w:val="clear" w:color="auto" w:fill="auto"/>
            <w:vAlign w:val="center"/>
          </w:tcPr>
          <w:p w14:paraId="7548330C" w14:textId="11952589" w:rsidR="00E07F91" w:rsidRPr="00E07F91" w:rsidRDefault="00E07F91" w:rsidP="00E07F91">
            <w:pPr>
              <w:jc w:val="right"/>
              <w:rPr>
                <w:sz w:val="20"/>
                <w:szCs w:val="20"/>
                <w:lang w:val="en-CA" w:eastAsia="en-CA"/>
              </w:rPr>
            </w:pPr>
            <w:r w:rsidRPr="00E07F91">
              <w:rPr>
                <w:sz w:val="20"/>
                <w:szCs w:val="20"/>
              </w:rPr>
              <w:t>25,192</w:t>
            </w:r>
          </w:p>
        </w:tc>
        <w:tc>
          <w:tcPr>
            <w:tcW w:w="1418" w:type="dxa"/>
            <w:tcBorders>
              <w:top w:val="nil"/>
              <w:left w:val="nil"/>
              <w:bottom w:val="single" w:sz="4" w:space="0" w:color="auto"/>
              <w:right w:val="single" w:sz="4" w:space="0" w:color="auto"/>
            </w:tcBorders>
            <w:shd w:val="clear" w:color="auto" w:fill="auto"/>
            <w:noWrap/>
            <w:vAlign w:val="center"/>
          </w:tcPr>
          <w:p w14:paraId="6DDB3E6E" w14:textId="697B4863" w:rsidR="00E07F91" w:rsidRPr="00E07F91" w:rsidRDefault="00E07F91" w:rsidP="00E07F91">
            <w:pPr>
              <w:jc w:val="right"/>
              <w:rPr>
                <w:sz w:val="20"/>
                <w:szCs w:val="20"/>
                <w:lang w:val="en-CA" w:eastAsia="en-CA"/>
              </w:rPr>
            </w:pPr>
            <w:r w:rsidRPr="00E07F91">
              <w:rPr>
                <w:sz w:val="20"/>
                <w:szCs w:val="20"/>
              </w:rPr>
              <w:t>53,282</w:t>
            </w:r>
          </w:p>
        </w:tc>
        <w:tc>
          <w:tcPr>
            <w:tcW w:w="2410" w:type="dxa"/>
            <w:vMerge/>
            <w:tcBorders>
              <w:top w:val="nil"/>
              <w:left w:val="single" w:sz="4" w:space="0" w:color="auto"/>
              <w:bottom w:val="single" w:sz="4" w:space="0" w:color="auto"/>
              <w:right w:val="single" w:sz="4" w:space="0" w:color="auto"/>
            </w:tcBorders>
            <w:vAlign w:val="center"/>
          </w:tcPr>
          <w:p w14:paraId="0EF6F188" w14:textId="77777777" w:rsidR="00E07F91" w:rsidRPr="00E07F91" w:rsidRDefault="00E07F91" w:rsidP="00E07F91">
            <w:pPr>
              <w:jc w:val="center"/>
              <w:rPr>
                <w:sz w:val="20"/>
                <w:szCs w:val="20"/>
                <w:lang w:val="en-CA" w:eastAsia="en-CA"/>
              </w:rPr>
            </w:pPr>
          </w:p>
        </w:tc>
      </w:tr>
      <w:tr w:rsidR="00E07F91" w:rsidRPr="00E07F91" w14:paraId="48EF56DD" w14:textId="77777777" w:rsidTr="00A8187D">
        <w:trPr>
          <w:trHeight w:val="58"/>
        </w:trPr>
        <w:tc>
          <w:tcPr>
            <w:tcW w:w="1537" w:type="dxa"/>
            <w:vMerge w:val="restart"/>
            <w:shd w:val="clear" w:color="auto" w:fill="auto"/>
            <w:vAlign w:val="center"/>
            <w:hideMark/>
          </w:tcPr>
          <w:p w14:paraId="40A74DFE" w14:textId="77777777" w:rsidR="00E07F91" w:rsidRPr="00E07F91" w:rsidRDefault="00E07F91" w:rsidP="00E07F91">
            <w:pPr>
              <w:jc w:val="left"/>
              <w:rPr>
                <w:bCs/>
                <w:sz w:val="20"/>
                <w:szCs w:val="20"/>
                <w:lang w:val="en-CA" w:eastAsia="en-CA"/>
              </w:rPr>
            </w:pPr>
            <w:r w:rsidRPr="00E07F91">
              <w:rPr>
                <w:bCs/>
                <w:sz w:val="20"/>
                <w:szCs w:val="20"/>
                <w:lang w:val="en-CA" w:eastAsia="en-CA"/>
              </w:rPr>
              <w:t>Total</w:t>
            </w:r>
          </w:p>
        </w:tc>
        <w:tc>
          <w:tcPr>
            <w:tcW w:w="1134" w:type="dxa"/>
            <w:shd w:val="clear" w:color="auto" w:fill="auto"/>
            <w:vAlign w:val="center"/>
            <w:hideMark/>
          </w:tcPr>
          <w:p w14:paraId="6D67F34B" w14:textId="77777777" w:rsidR="00E07F91" w:rsidRPr="00E07F91" w:rsidRDefault="00E07F91" w:rsidP="00E07F91">
            <w:pPr>
              <w:rPr>
                <w:bCs/>
                <w:sz w:val="20"/>
                <w:szCs w:val="20"/>
                <w:lang w:val="en-CA" w:eastAsia="en-CA"/>
              </w:rPr>
            </w:pPr>
            <w:r w:rsidRPr="00E07F91">
              <w:rPr>
                <w:bCs/>
                <w:sz w:val="20"/>
                <w:szCs w:val="20"/>
                <w:lang w:val="en-CA" w:eastAsia="en-CA"/>
              </w:rPr>
              <w:t xml:space="preserve">Approved </w:t>
            </w:r>
          </w:p>
        </w:tc>
        <w:tc>
          <w:tcPr>
            <w:tcW w:w="1417" w:type="dxa"/>
            <w:tcBorders>
              <w:top w:val="nil"/>
              <w:left w:val="single" w:sz="4" w:space="0" w:color="auto"/>
              <w:bottom w:val="single" w:sz="4" w:space="0" w:color="auto"/>
              <w:right w:val="single" w:sz="4" w:space="0" w:color="auto"/>
            </w:tcBorders>
            <w:shd w:val="clear" w:color="auto" w:fill="auto"/>
            <w:vAlign w:val="center"/>
          </w:tcPr>
          <w:p w14:paraId="47ED8546" w14:textId="1F08016C" w:rsidR="00E07F91" w:rsidRPr="00E07F91" w:rsidRDefault="00E07F91" w:rsidP="00E07F91">
            <w:pPr>
              <w:jc w:val="right"/>
              <w:rPr>
                <w:sz w:val="20"/>
                <w:szCs w:val="20"/>
                <w:lang w:val="en-CA" w:eastAsia="en-CA"/>
              </w:rPr>
            </w:pPr>
            <w:r w:rsidRPr="00E07F91">
              <w:rPr>
                <w:sz w:val="20"/>
                <w:szCs w:val="20"/>
                <w:lang w:eastAsia="en-CA"/>
              </w:rPr>
              <w:t>910,000</w:t>
            </w:r>
          </w:p>
        </w:tc>
        <w:tc>
          <w:tcPr>
            <w:tcW w:w="1417" w:type="dxa"/>
            <w:tcBorders>
              <w:top w:val="nil"/>
              <w:left w:val="nil"/>
              <w:bottom w:val="single" w:sz="4" w:space="0" w:color="auto"/>
              <w:right w:val="single" w:sz="4" w:space="0" w:color="auto"/>
            </w:tcBorders>
            <w:shd w:val="clear" w:color="auto" w:fill="auto"/>
            <w:vAlign w:val="center"/>
          </w:tcPr>
          <w:p w14:paraId="7E1EA02C" w14:textId="46B8D270" w:rsidR="00E07F91" w:rsidRPr="00E07F91" w:rsidRDefault="00E07F91" w:rsidP="00E07F91">
            <w:pPr>
              <w:jc w:val="right"/>
              <w:rPr>
                <w:sz w:val="20"/>
                <w:szCs w:val="20"/>
                <w:lang w:val="en-CA" w:eastAsia="en-CA"/>
              </w:rPr>
            </w:pPr>
            <w:r w:rsidRPr="00E07F91">
              <w:rPr>
                <w:sz w:val="20"/>
                <w:szCs w:val="20"/>
                <w:lang w:eastAsia="en-CA"/>
              </w:rPr>
              <w:t>325,000</w:t>
            </w:r>
          </w:p>
        </w:tc>
        <w:tc>
          <w:tcPr>
            <w:tcW w:w="1418" w:type="dxa"/>
            <w:tcBorders>
              <w:top w:val="nil"/>
              <w:left w:val="nil"/>
              <w:bottom w:val="single" w:sz="4" w:space="0" w:color="auto"/>
              <w:right w:val="single" w:sz="4" w:space="0" w:color="auto"/>
            </w:tcBorders>
            <w:shd w:val="clear" w:color="auto" w:fill="auto"/>
            <w:vAlign w:val="center"/>
          </w:tcPr>
          <w:p w14:paraId="77F3BEB4" w14:textId="05CF696C" w:rsidR="00E07F91" w:rsidRPr="00E07F91" w:rsidRDefault="00E07F91" w:rsidP="00E07F91">
            <w:pPr>
              <w:jc w:val="right"/>
              <w:rPr>
                <w:sz w:val="20"/>
                <w:szCs w:val="20"/>
                <w:lang w:val="en-CA" w:eastAsia="en-CA"/>
              </w:rPr>
            </w:pPr>
            <w:r w:rsidRPr="00E07F91">
              <w:rPr>
                <w:sz w:val="20"/>
                <w:szCs w:val="20"/>
                <w:lang w:eastAsia="en-CA"/>
              </w:rPr>
              <w:t>1,235,000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14:paraId="5CE7F002" w14:textId="4585234E" w:rsidR="00E07F91" w:rsidRPr="00E07F91" w:rsidRDefault="00E07F91" w:rsidP="00E07F91">
            <w:pPr>
              <w:jc w:val="center"/>
              <w:rPr>
                <w:sz w:val="20"/>
                <w:szCs w:val="20"/>
                <w:lang w:val="en-CA" w:eastAsia="en-CA"/>
              </w:rPr>
            </w:pPr>
            <w:r w:rsidRPr="00E07F91">
              <w:rPr>
                <w:sz w:val="20"/>
                <w:szCs w:val="20"/>
              </w:rPr>
              <w:t>89</w:t>
            </w:r>
          </w:p>
        </w:tc>
      </w:tr>
      <w:tr w:rsidR="00E07F91" w:rsidRPr="00E07F91" w14:paraId="4D4E2408" w14:textId="77777777" w:rsidTr="00A8187D">
        <w:trPr>
          <w:trHeight w:val="179"/>
        </w:trPr>
        <w:tc>
          <w:tcPr>
            <w:tcW w:w="1537" w:type="dxa"/>
            <w:vMerge/>
            <w:shd w:val="clear" w:color="auto" w:fill="auto"/>
            <w:vAlign w:val="center"/>
          </w:tcPr>
          <w:p w14:paraId="20E449D5" w14:textId="77777777" w:rsidR="00E07F91" w:rsidRPr="00E07F91" w:rsidRDefault="00E07F91" w:rsidP="00E07F91">
            <w:pPr>
              <w:jc w:val="left"/>
              <w:rPr>
                <w:b/>
                <w:bCs/>
                <w:sz w:val="20"/>
                <w:szCs w:val="20"/>
                <w:lang w:val="en-CA" w:eastAsia="en-CA"/>
              </w:rPr>
            </w:pPr>
          </w:p>
        </w:tc>
        <w:tc>
          <w:tcPr>
            <w:tcW w:w="1134" w:type="dxa"/>
            <w:shd w:val="clear" w:color="auto" w:fill="auto"/>
            <w:vAlign w:val="center"/>
          </w:tcPr>
          <w:p w14:paraId="70F13948" w14:textId="77777777" w:rsidR="00E07F91" w:rsidRPr="00E07F91" w:rsidRDefault="00E07F91" w:rsidP="00E07F91">
            <w:pPr>
              <w:rPr>
                <w:bCs/>
                <w:sz w:val="20"/>
                <w:szCs w:val="20"/>
                <w:lang w:val="en-CA" w:eastAsia="en-CA"/>
              </w:rPr>
            </w:pPr>
            <w:r w:rsidRPr="00E07F91">
              <w:rPr>
                <w:bCs/>
                <w:sz w:val="20"/>
                <w:szCs w:val="20"/>
                <w:lang w:val="en-CA" w:eastAsia="en-CA"/>
              </w:rPr>
              <w:t xml:space="preserve">Disbursed </w:t>
            </w:r>
          </w:p>
        </w:tc>
        <w:tc>
          <w:tcPr>
            <w:tcW w:w="1417" w:type="dxa"/>
            <w:tcBorders>
              <w:top w:val="nil"/>
              <w:left w:val="single" w:sz="4" w:space="0" w:color="auto"/>
              <w:bottom w:val="single" w:sz="4" w:space="0" w:color="auto"/>
              <w:right w:val="single" w:sz="4" w:space="0" w:color="auto"/>
            </w:tcBorders>
            <w:shd w:val="clear" w:color="auto" w:fill="auto"/>
            <w:vAlign w:val="center"/>
          </w:tcPr>
          <w:p w14:paraId="712F753E" w14:textId="17405CD0" w:rsidR="00E07F91" w:rsidRPr="00E07F91" w:rsidRDefault="00E07F91" w:rsidP="00E07F91">
            <w:pPr>
              <w:jc w:val="right"/>
              <w:rPr>
                <w:sz w:val="20"/>
                <w:szCs w:val="20"/>
                <w:lang w:val="en-CA" w:eastAsia="en-CA"/>
              </w:rPr>
            </w:pPr>
            <w:r w:rsidRPr="00E07F91">
              <w:rPr>
                <w:sz w:val="20"/>
                <w:szCs w:val="20"/>
              </w:rPr>
              <w:t>813,090</w:t>
            </w:r>
          </w:p>
        </w:tc>
        <w:tc>
          <w:tcPr>
            <w:tcW w:w="1417" w:type="dxa"/>
            <w:tcBorders>
              <w:top w:val="nil"/>
              <w:left w:val="nil"/>
              <w:bottom w:val="single" w:sz="4" w:space="0" w:color="auto"/>
              <w:right w:val="single" w:sz="4" w:space="0" w:color="auto"/>
            </w:tcBorders>
            <w:shd w:val="clear" w:color="auto" w:fill="auto"/>
            <w:vAlign w:val="center"/>
          </w:tcPr>
          <w:p w14:paraId="44B1AF8E" w14:textId="6558FE24" w:rsidR="00E07F91" w:rsidRPr="00E07F91" w:rsidRDefault="00E07F91" w:rsidP="00E07F91">
            <w:pPr>
              <w:jc w:val="right"/>
              <w:rPr>
                <w:sz w:val="20"/>
                <w:szCs w:val="20"/>
                <w:lang w:val="en-CA" w:eastAsia="en-CA"/>
              </w:rPr>
            </w:pPr>
            <w:r w:rsidRPr="00E07F91">
              <w:rPr>
                <w:sz w:val="20"/>
                <w:szCs w:val="20"/>
              </w:rPr>
              <w:t>280,132</w:t>
            </w:r>
          </w:p>
        </w:tc>
        <w:tc>
          <w:tcPr>
            <w:tcW w:w="1418" w:type="dxa"/>
            <w:tcBorders>
              <w:top w:val="nil"/>
              <w:left w:val="nil"/>
              <w:bottom w:val="single" w:sz="4" w:space="0" w:color="auto"/>
              <w:right w:val="single" w:sz="4" w:space="0" w:color="auto"/>
            </w:tcBorders>
            <w:shd w:val="clear" w:color="auto" w:fill="auto"/>
            <w:vAlign w:val="center"/>
          </w:tcPr>
          <w:p w14:paraId="6FA8A0F1" w14:textId="712FFD19" w:rsidR="00E07F91" w:rsidRPr="00E07F91" w:rsidRDefault="00E07F91" w:rsidP="00E07F91">
            <w:pPr>
              <w:jc w:val="right"/>
              <w:rPr>
                <w:sz w:val="20"/>
                <w:szCs w:val="20"/>
                <w:lang w:val="en-CA" w:eastAsia="en-CA"/>
              </w:rPr>
            </w:pPr>
            <w:r w:rsidRPr="00E07F91">
              <w:rPr>
                <w:sz w:val="20"/>
                <w:szCs w:val="20"/>
              </w:rPr>
              <w:t>1,093,222</w:t>
            </w:r>
          </w:p>
        </w:tc>
        <w:tc>
          <w:tcPr>
            <w:tcW w:w="2410" w:type="dxa"/>
            <w:vMerge/>
            <w:tcBorders>
              <w:top w:val="nil"/>
              <w:left w:val="single" w:sz="4" w:space="0" w:color="auto"/>
              <w:bottom w:val="single" w:sz="4" w:space="0" w:color="auto"/>
              <w:right w:val="single" w:sz="4" w:space="0" w:color="auto"/>
            </w:tcBorders>
            <w:vAlign w:val="center"/>
          </w:tcPr>
          <w:p w14:paraId="33332CE5" w14:textId="77777777" w:rsidR="00E07F91" w:rsidRPr="00E07F91" w:rsidRDefault="00E07F91" w:rsidP="00E07F91">
            <w:pPr>
              <w:jc w:val="center"/>
              <w:rPr>
                <w:sz w:val="20"/>
                <w:szCs w:val="20"/>
                <w:lang w:val="en-CA" w:eastAsia="en-CA"/>
              </w:rPr>
            </w:pPr>
          </w:p>
        </w:tc>
      </w:tr>
    </w:tbl>
    <w:p w14:paraId="49C934C0" w14:textId="77777777" w:rsidR="00255CDE" w:rsidRPr="00E07F91" w:rsidRDefault="00255CDE" w:rsidP="00255CDE">
      <w:pPr>
        <w:rPr>
          <w:lang w:val="en-CA"/>
        </w:rPr>
      </w:pPr>
    </w:p>
    <w:p w14:paraId="46F98E87" w14:textId="77777777" w:rsidR="00255CDE" w:rsidRPr="00FE3307" w:rsidRDefault="00255CDE" w:rsidP="00255CDE">
      <w:pPr>
        <w:rPr>
          <w:u w:val="single"/>
          <w:lang w:val="en-CA"/>
        </w:rPr>
      </w:pPr>
      <w:r w:rsidRPr="0020314B">
        <w:rPr>
          <w:u w:val="single"/>
          <w:lang w:val="en-CA"/>
        </w:rPr>
        <w:t xml:space="preserve">Implementation plan for the </w:t>
      </w:r>
      <w:r w:rsidR="00491C3E" w:rsidRPr="0020314B">
        <w:rPr>
          <w:u w:val="single"/>
          <w:lang w:val="en-CA"/>
        </w:rPr>
        <w:t>sixth</w:t>
      </w:r>
      <w:r w:rsidRPr="0020314B">
        <w:rPr>
          <w:u w:val="single"/>
          <w:lang w:val="en-CA"/>
        </w:rPr>
        <w:t xml:space="preserve"> and final tranche of the HPMP</w:t>
      </w:r>
    </w:p>
    <w:p w14:paraId="6EDDB6A5" w14:textId="77777777" w:rsidR="00255CDE" w:rsidRPr="00FE3307" w:rsidRDefault="00255CDE" w:rsidP="00255CDE">
      <w:pPr>
        <w:rPr>
          <w:lang w:val="en-CA"/>
        </w:rPr>
      </w:pPr>
    </w:p>
    <w:p w14:paraId="4AB4BD78" w14:textId="45DD80EE" w:rsidR="00255CDE" w:rsidRPr="00FE3307" w:rsidRDefault="00255CDE" w:rsidP="00255CDE">
      <w:pPr>
        <w:pStyle w:val="Heading1"/>
        <w:rPr>
          <w:lang w:val="en-CA"/>
        </w:rPr>
      </w:pPr>
      <w:r w:rsidRPr="00FE3307">
        <w:rPr>
          <w:lang w:val="en-CA"/>
        </w:rPr>
        <w:t xml:space="preserve">The following activities will be implemented </w:t>
      </w:r>
      <w:r w:rsidR="00736979">
        <w:rPr>
          <w:lang w:val="en-CA"/>
        </w:rPr>
        <w:t>during the sixth and final tranche</w:t>
      </w:r>
      <w:r w:rsidRPr="00FE3307">
        <w:rPr>
          <w:lang w:val="en-CA"/>
        </w:rPr>
        <w:t>:</w:t>
      </w:r>
    </w:p>
    <w:p w14:paraId="107953B6" w14:textId="56319762" w:rsidR="0021467A" w:rsidRPr="0058136D" w:rsidRDefault="0021467A" w:rsidP="00255CDE">
      <w:pPr>
        <w:pStyle w:val="Heading2"/>
        <w:numPr>
          <w:ilvl w:val="1"/>
          <w:numId w:val="1"/>
        </w:numPr>
        <w:rPr>
          <w:lang w:val="en-CA"/>
        </w:rPr>
      </w:pPr>
      <w:r w:rsidRPr="0058136D">
        <w:t xml:space="preserve">Continuing </w:t>
      </w:r>
      <w:r w:rsidR="00143A2F">
        <w:t xml:space="preserve">the </w:t>
      </w:r>
      <w:r w:rsidRPr="0058136D">
        <w:t xml:space="preserve">development of </w:t>
      </w:r>
      <w:r w:rsidR="00143A2F">
        <w:t xml:space="preserve">the </w:t>
      </w:r>
      <w:r w:rsidR="00716908">
        <w:t>legal framework for the management of HCFCs</w:t>
      </w:r>
      <w:r w:rsidR="004506EE">
        <w:t xml:space="preserve"> </w:t>
      </w:r>
      <w:r w:rsidR="007A5770">
        <w:t xml:space="preserve">including </w:t>
      </w:r>
      <w:r w:rsidR="00143A2F">
        <w:t xml:space="preserve">the </w:t>
      </w:r>
      <w:r w:rsidR="007A5770">
        <w:t>technicia</w:t>
      </w:r>
      <w:r w:rsidR="00143A2F">
        <w:t>n</w:t>
      </w:r>
      <w:r w:rsidR="007A5770">
        <w:t xml:space="preserve"> certification system </w:t>
      </w:r>
      <w:r w:rsidR="004506EE">
        <w:t xml:space="preserve">in collaboration with </w:t>
      </w:r>
      <w:r w:rsidR="00736979">
        <w:t>COTVET</w:t>
      </w:r>
      <w:r w:rsidR="007A5770">
        <w:t>;</w:t>
      </w:r>
      <w:r w:rsidR="00716908">
        <w:t xml:space="preserve"> </w:t>
      </w:r>
      <w:r w:rsidR="0058136D">
        <w:t>consultation workshop on legislations</w:t>
      </w:r>
      <w:r w:rsidR="00716908">
        <w:t xml:space="preserve">; </w:t>
      </w:r>
      <w:r w:rsidR="007A5770">
        <w:t xml:space="preserve">training of </w:t>
      </w:r>
      <w:r w:rsidR="00236F3E">
        <w:t>200</w:t>
      </w:r>
      <w:r w:rsidR="007A5770">
        <w:t xml:space="preserve"> customs officers; </w:t>
      </w:r>
      <w:r w:rsidR="00716908">
        <w:t>awareness raising</w:t>
      </w:r>
      <w:r w:rsidR="007A5770">
        <w:t xml:space="preserve"> </w:t>
      </w:r>
      <w:r w:rsidR="00374D29">
        <w:t>and information dissemination</w:t>
      </w:r>
      <w:r w:rsidR="00716908">
        <w:t xml:space="preserve">; </w:t>
      </w:r>
      <w:r w:rsidR="008B2519" w:rsidRPr="0058136D">
        <w:t>(</w:t>
      </w:r>
      <w:r w:rsidR="00887ECB" w:rsidRPr="0058136D">
        <w:t xml:space="preserve">Government of </w:t>
      </w:r>
      <w:r w:rsidR="008B2519" w:rsidRPr="0058136D">
        <w:t>Italy</w:t>
      </w:r>
      <w:r w:rsidR="00887ECB" w:rsidRPr="0058136D">
        <w:t>)</w:t>
      </w:r>
      <w:r w:rsidR="008B2519" w:rsidRPr="0058136D">
        <w:t xml:space="preserve"> </w:t>
      </w:r>
      <w:r w:rsidR="00887ECB" w:rsidRPr="0058136D">
        <w:t>(</w:t>
      </w:r>
      <w:r w:rsidR="008B2519" w:rsidRPr="0058136D">
        <w:t>US $</w:t>
      </w:r>
      <w:r w:rsidR="00887ECB" w:rsidRPr="0058136D">
        <w:t> 18,226</w:t>
      </w:r>
      <w:r w:rsidR="00F645A3" w:rsidRPr="0058136D">
        <w:t xml:space="preserve"> </w:t>
      </w:r>
      <w:r w:rsidR="008B2519" w:rsidRPr="0058136D">
        <w:t>from the fifth tranche);</w:t>
      </w:r>
      <w:r w:rsidR="007A5770" w:rsidRPr="007A5770">
        <w:t xml:space="preserve"> </w:t>
      </w:r>
    </w:p>
    <w:p w14:paraId="77A6A007" w14:textId="593F5E46" w:rsidR="00317155" w:rsidRPr="00317155" w:rsidRDefault="00317155" w:rsidP="00317155">
      <w:pPr>
        <w:pStyle w:val="Heading2"/>
        <w:numPr>
          <w:ilvl w:val="1"/>
          <w:numId w:val="1"/>
        </w:numPr>
        <w:rPr>
          <w:lang w:val="en-CA"/>
        </w:rPr>
      </w:pPr>
      <w:r>
        <w:t>Provi</w:t>
      </w:r>
      <w:r w:rsidR="00143A2F">
        <w:t>ding</w:t>
      </w:r>
      <w:r>
        <w:t xml:space="preserve"> training equipment and </w:t>
      </w:r>
      <w:r w:rsidR="00143A2F">
        <w:t xml:space="preserve">upgrading </w:t>
      </w:r>
      <w:r>
        <w:t>two existing refrigeration training c</w:t>
      </w:r>
      <w:r w:rsidR="00736979">
        <w:t>entres to centres of excellence</w:t>
      </w:r>
      <w:r>
        <w:t xml:space="preserve"> (UNDP)</w:t>
      </w:r>
      <w:r w:rsidR="00736979">
        <w:t xml:space="preserve"> </w:t>
      </w:r>
      <w:r>
        <w:t>(US $4,800)</w:t>
      </w:r>
      <w:r w:rsidR="00736979">
        <w:t>;</w:t>
      </w:r>
    </w:p>
    <w:p w14:paraId="3C6F46B3" w14:textId="4E1B18F4" w:rsidR="008F1A5E" w:rsidRPr="0058136D" w:rsidRDefault="00716908" w:rsidP="00255CDE">
      <w:pPr>
        <w:pStyle w:val="Heading2"/>
        <w:numPr>
          <w:ilvl w:val="1"/>
          <w:numId w:val="1"/>
        </w:numPr>
        <w:rPr>
          <w:lang w:val="en-CA"/>
        </w:rPr>
      </w:pPr>
      <w:r>
        <w:t xml:space="preserve">Training and certification </w:t>
      </w:r>
      <w:r w:rsidR="00374D29">
        <w:t xml:space="preserve">activities </w:t>
      </w:r>
      <w:r>
        <w:t xml:space="preserve">for </w:t>
      </w:r>
      <w:r w:rsidR="00143A2F">
        <w:t xml:space="preserve">the </w:t>
      </w:r>
      <w:r>
        <w:t xml:space="preserve">refrigeration servicing sector: </w:t>
      </w:r>
      <w:r w:rsidR="00143A2F">
        <w:t xml:space="preserve">upgrading </w:t>
      </w:r>
      <w:r w:rsidR="00374D29">
        <w:t xml:space="preserve">a quick reference guide; </w:t>
      </w:r>
      <w:r w:rsidR="00143A2F">
        <w:t xml:space="preserve">training </w:t>
      </w:r>
      <w:r w:rsidR="00236F3E">
        <w:t>225</w:t>
      </w:r>
      <w:r w:rsidR="00374D29">
        <w:t xml:space="preserve"> inspectors, national fire service staff, distributers, importers and sales personnel </w:t>
      </w:r>
      <w:r w:rsidR="00143A2F">
        <w:t>i</w:t>
      </w:r>
      <w:r w:rsidR="00374D29">
        <w:t xml:space="preserve">n </w:t>
      </w:r>
      <w:r w:rsidR="00143A2F">
        <w:t xml:space="preserve">the </w:t>
      </w:r>
      <w:r w:rsidR="00374D29">
        <w:t>safe handling of HC</w:t>
      </w:r>
      <w:r w:rsidR="00736979">
        <w:t xml:space="preserve"> refrigerants</w:t>
      </w:r>
      <w:r w:rsidR="00374D29">
        <w:t xml:space="preserve">; training </w:t>
      </w:r>
      <w:r w:rsidR="00236F3E">
        <w:t>100</w:t>
      </w:r>
      <w:r w:rsidR="00374D29">
        <w:t xml:space="preserve"> technicians</w:t>
      </w:r>
      <w:r w:rsidR="004506EE">
        <w:t xml:space="preserve"> in good servicing practice and </w:t>
      </w:r>
      <w:r w:rsidR="009C3903">
        <w:t xml:space="preserve">the </w:t>
      </w:r>
      <w:r w:rsidR="004506EE">
        <w:t>safe handling HCs</w:t>
      </w:r>
      <w:r w:rsidR="00374D29">
        <w:t xml:space="preserve"> </w:t>
      </w:r>
      <w:r w:rsidR="00317155">
        <w:t>(UNDP) (US $33</w:t>
      </w:r>
      <w:r w:rsidR="008F1A5E" w:rsidRPr="0058136D">
        <w:t>,</w:t>
      </w:r>
      <w:r w:rsidR="00317155">
        <w:t>00</w:t>
      </w:r>
      <w:r w:rsidR="008F1A5E" w:rsidRPr="0058136D">
        <w:t>0);</w:t>
      </w:r>
    </w:p>
    <w:p w14:paraId="75B6C3A4" w14:textId="0593BFE0" w:rsidR="00317155" w:rsidRPr="00317155" w:rsidRDefault="00317155" w:rsidP="00EB53D8">
      <w:pPr>
        <w:pStyle w:val="Heading2"/>
        <w:numPr>
          <w:ilvl w:val="1"/>
          <w:numId w:val="1"/>
        </w:numPr>
        <w:rPr>
          <w:lang w:val="en-CA"/>
        </w:rPr>
      </w:pPr>
      <w:r>
        <w:t>Provi</w:t>
      </w:r>
      <w:r w:rsidR="009C3903">
        <w:t xml:space="preserve">ding </w:t>
      </w:r>
      <w:r>
        <w:t xml:space="preserve">equipment and support to 11 service centres for refrigerant recovery, recycling and conversion of air-conditioning </w:t>
      </w:r>
      <w:r w:rsidR="00E76F78">
        <w:t xml:space="preserve">(UNDP) </w:t>
      </w:r>
      <w:r>
        <w:t>(US $7,883)</w:t>
      </w:r>
      <w:r w:rsidR="00736979">
        <w:t>; and</w:t>
      </w:r>
    </w:p>
    <w:p w14:paraId="4F383E07" w14:textId="2538A6F3" w:rsidR="00255CDE" w:rsidRPr="0058136D" w:rsidRDefault="008F1A5E" w:rsidP="00255CDE">
      <w:pPr>
        <w:pStyle w:val="Heading2"/>
        <w:numPr>
          <w:ilvl w:val="1"/>
          <w:numId w:val="1"/>
        </w:numPr>
        <w:rPr>
          <w:lang w:val="en-CA"/>
        </w:rPr>
      </w:pPr>
      <w:r w:rsidRPr="0058136D">
        <w:t>End-</w:t>
      </w:r>
      <w:r w:rsidR="009C3903">
        <w:t>u</w:t>
      </w:r>
      <w:r w:rsidRPr="0058136D">
        <w:t>ser i</w:t>
      </w:r>
      <w:r w:rsidR="006F3E35" w:rsidRPr="0058136D">
        <w:t xml:space="preserve">ncentive </w:t>
      </w:r>
      <w:r w:rsidRPr="0058136D">
        <w:t>programme to assist the transformation of the commercial refrigeration and c</w:t>
      </w:r>
      <w:r w:rsidR="006F3E35" w:rsidRPr="0058136D">
        <w:t>old store sector</w:t>
      </w:r>
      <w:r w:rsidR="00255CDE" w:rsidRPr="0058136D">
        <w:rPr>
          <w:lang w:val="en-CA"/>
        </w:rPr>
        <w:t xml:space="preserve"> (</w:t>
      </w:r>
      <w:r w:rsidR="006F3E35" w:rsidRPr="0058136D">
        <w:rPr>
          <w:lang w:val="en-CA"/>
        </w:rPr>
        <w:t>UNDP</w:t>
      </w:r>
      <w:r w:rsidR="00255CDE" w:rsidRPr="0058136D">
        <w:rPr>
          <w:lang w:val="en-CA"/>
        </w:rPr>
        <w:t>) (US $</w:t>
      </w:r>
      <w:r w:rsidR="006F3E35" w:rsidRPr="0058136D">
        <w:rPr>
          <w:lang w:val="en-CA"/>
        </w:rPr>
        <w:t>37,128</w:t>
      </w:r>
      <w:r w:rsidR="00CE682A" w:rsidRPr="0058136D">
        <w:rPr>
          <w:lang w:val="en-CA"/>
        </w:rPr>
        <w:t xml:space="preserve"> with additional </w:t>
      </w:r>
      <w:r w:rsidR="00736979">
        <w:rPr>
          <w:lang w:val="en-CA"/>
        </w:rPr>
        <w:t xml:space="preserve">funding of </w:t>
      </w:r>
      <w:r w:rsidR="00CE682A" w:rsidRPr="0058136D">
        <w:rPr>
          <w:lang w:val="en-CA"/>
        </w:rPr>
        <w:t>US $40,000 from the fifth tranche</w:t>
      </w:r>
      <w:r w:rsidR="00736979">
        <w:rPr>
          <w:lang w:val="en-CA"/>
        </w:rPr>
        <w:t>).</w:t>
      </w:r>
    </w:p>
    <w:p w14:paraId="3B1C3F83" w14:textId="77777777" w:rsidR="00E76F78" w:rsidRPr="00FE3307" w:rsidRDefault="00E76F78" w:rsidP="00E76F78">
      <w:pPr>
        <w:keepNext/>
        <w:rPr>
          <w:i/>
          <w:lang w:val="en-CA"/>
        </w:rPr>
      </w:pPr>
      <w:r w:rsidRPr="00FE3307">
        <w:rPr>
          <w:i/>
          <w:lang w:val="en-CA"/>
        </w:rPr>
        <w:t>Project implementation and monitoring unit (PMU)</w:t>
      </w:r>
    </w:p>
    <w:p w14:paraId="45BD6998" w14:textId="77777777" w:rsidR="00E76F78" w:rsidRPr="00FE3307" w:rsidRDefault="00E76F78" w:rsidP="00E76F78">
      <w:pPr>
        <w:keepNext/>
        <w:rPr>
          <w:lang w:val="en-CA"/>
        </w:rPr>
      </w:pPr>
    </w:p>
    <w:p w14:paraId="0E88C05E" w14:textId="77777777" w:rsidR="00E76F78" w:rsidRPr="00773B66" w:rsidRDefault="00E76F78" w:rsidP="00E76F78">
      <w:pPr>
        <w:pStyle w:val="Heading1"/>
        <w:rPr>
          <w:lang w:val="en-CA"/>
        </w:rPr>
      </w:pPr>
      <w:r>
        <w:rPr>
          <w:lang w:val="en-CA"/>
        </w:rPr>
        <w:t>O</w:t>
      </w:r>
      <w:r w:rsidRPr="00773B66">
        <w:rPr>
          <w:lang w:val="en-CA"/>
        </w:rPr>
        <w:t>ne national and one international consultant will be employed under the PMU</w:t>
      </w:r>
      <w:r>
        <w:rPr>
          <w:lang w:val="en-CA"/>
        </w:rPr>
        <w:t xml:space="preserve"> (US $38,500)</w:t>
      </w:r>
      <w:r w:rsidRPr="00773B66">
        <w:rPr>
          <w:lang w:val="en-CA"/>
        </w:rPr>
        <w:t xml:space="preserve">. The national consultant </w:t>
      </w:r>
      <w:r>
        <w:rPr>
          <w:lang w:val="en-CA"/>
        </w:rPr>
        <w:t>(</w:t>
      </w:r>
      <w:r w:rsidRPr="00773B66">
        <w:rPr>
          <w:lang w:val="en-CA"/>
        </w:rPr>
        <w:t>US $21,546</w:t>
      </w:r>
      <w:r>
        <w:rPr>
          <w:lang w:val="en-CA"/>
        </w:rPr>
        <w:t xml:space="preserve">) </w:t>
      </w:r>
      <w:r w:rsidRPr="00773B66">
        <w:rPr>
          <w:lang w:val="en-CA"/>
        </w:rPr>
        <w:t xml:space="preserve">will support the NOU in developing programmes and implementing activities. The international consultant </w:t>
      </w:r>
      <w:r>
        <w:rPr>
          <w:lang w:val="en-CA"/>
        </w:rPr>
        <w:t>(US $15,216) will provide</w:t>
      </w:r>
      <w:r w:rsidRPr="00773B66">
        <w:rPr>
          <w:lang w:val="en-CA"/>
        </w:rPr>
        <w:t xml:space="preserve"> technical advice, assisting </w:t>
      </w:r>
      <w:r>
        <w:rPr>
          <w:lang w:val="en-CA"/>
        </w:rPr>
        <w:t xml:space="preserve">the </w:t>
      </w:r>
      <w:r w:rsidRPr="00773B66">
        <w:rPr>
          <w:lang w:val="en-CA"/>
        </w:rPr>
        <w:t xml:space="preserve">NOU in </w:t>
      </w:r>
      <w:r>
        <w:rPr>
          <w:lang w:val="en-CA"/>
        </w:rPr>
        <w:t xml:space="preserve">identifying training needs, developing </w:t>
      </w:r>
      <w:r w:rsidRPr="00773B66">
        <w:rPr>
          <w:lang w:val="en-CA"/>
        </w:rPr>
        <w:t xml:space="preserve">training </w:t>
      </w:r>
      <w:r>
        <w:rPr>
          <w:lang w:val="en-CA"/>
        </w:rPr>
        <w:t>programmes</w:t>
      </w:r>
      <w:r>
        <w:t xml:space="preserve">; </w:t>
      </w:r>
      <w:r w:rsidRPr="00773B66">
        <w:rPr>
          <w:rFonts w:cstheme="minorHAnsi"/>
          <w:spacing w:val="-2"/>
        </w:rPr>
        <w:t xml:space="preserve">providing guidance on the end-user programme; and coordinating </w:t>
      </w:r>
      <w:r>
        <w:rPr>
          <w:rFonts w:cstheme="minorHAnsi"/>
          <w:spacing w:val="-2"/>
        </w:rPr>
        <w:t xml:space="preserve">the </w:t>
      </w:r>
      <w:r w:rsidRPr="00773B66">
        <w:rPr>
          <w:rFonts w:cstheme="minorHAnsi"/>
          <w:spacing w:val="-2"/>
        </w:rPr>
        <w:t>national team.</w:t>
      </w:r>
      <w:r>
        <w:rPr>
          <w:rFonts w:cstheme="minorHAnsi"/>
          <w:spacing w:val="-2"/>
        </w:rPr>
        <w:t xml:space="preserve"> An additional US $1,738 has also been planned for local travel. </w:t>
      </w:r>
    </w:p>
    <w:p w14:paraId="62419B1E" w14:textId="77777777" w:rsidR="00255CDE" w:rsidRPr="00FE3307" w:rsidRDefault="00255CDE" w:rsidP="00E76F78">
      <w:pPr>
        <w:keepNext/>
        <w:jc w:val="center"/>
        <w:rPr>
          <w:b/>
          <w:lang w:val="en-CA"/>
        </w:rPr>
      </w:pPr>
      <w:r w:rsidRPr="00FE3307">
        <w:rPr>
          <w:b/>
          <w:lang w:val="en-CA"/>
        </w:rPr>
        <w:t>SECRETARIAT’S COMMENTS AND RECOMMENDATION</w:t>
      </w:r>
    </w:p>
    <w:p w14:paraId="09E8C856" w14:textId="77777777" w:rsidR="00255CDE" w:rsidRPr="00FE3307" w:rsidRDefault="00255CDE" w:rsidP="00E76F78">
      <w:pPr>
        <w:keepNext/>
        <w:rPr>
          <w:lang w:val="en-CA"/>
        </w:rPr>
      </w:pPr>
    </w:p>
    <w:p w14:paraId="425A3713" w14:textId="77777777" w:rsidR="00255CDE" w:rsidRPr="00FE3307" w:rsidRDefault="00255CDE" w:rsidP="00E76F78">
      <w:pPr>
        <w:keepNext/>
        <w:rPr>
          <w:b/>
          <w:lang w:val="en-CA"/>
        </w:rPr>
      </w:pPr>
      <w:r w:rsidRPr="00FE3307">
        <w:rPr>
          <w:b/>
          <w:lang w:val="en-CA"/>
        </w:rPr>
        <w:t>COMMENTS</w:t>
      </w:r>
    </w:p>
    <w:p w14:paraId="19FFB7B6" w14:textId="77777777" w:rsidR="00255CDE" w:rsidRPr="00FE3307" w:rsidRDefault="00255CDE" w:rsidP="00E76F78">
      <w:pPr>
        <w:keepNext/>
        <w:rPr>
          <w:lang w:val="en-CA"/>
        </w:rPr>
      </w:pPr>
    </w:p>
    <w:p w14:paraId="285E90C2" w14:textId="77777777" w:rsidR="00255CDE" w:rsidRPr="00FE3307" w:rsidRDefault="00255CDE" w:rsidP="00E76F78">
      <w:pPr>
        <w:keepNext/>
        <w:rPr>
          <w:u w:val="single"/>
          <w:lang w:val="en-CA"/>
        </w:rPr>
      </w:pPr>
      <w:r w:rsidRPr="00FE3307">
        <w:rPr>
          <w:u w:val="single"/>
          <w:lang w:val="en-CA"/>
        </w:rPr>
        <w:t xml:space="preserve">Progress report on the implementation of the </w:t>
      </w:r>
      <w:r w:rsidR="00F935C9">
        <w:rPr>
          <w:u w:val="single"/>
          <w:lang w:val="en-CA"/>
        </w:rPr>
        <w:t>fifth</w:t>
      </w:r>
      <w:r w:rsidRPr="00FE3307">
        <w:rPr>
          <w:u w:val="single"/>
          <w:lang w:val="en-CA"/>
        </w:rPr>
        <w:t xml:space="preserve"> tranche of the HPMP</w:t>
      </w:r>
    </w:p>
    <w:p w14:paraId="4EE430C7" w14:textId="2B142B8E" w:rsidR="00255CDE" w:rsidRDefault="00255CDE" w:rsidP="00E76F78">
      <w:pPr>
        <w:keepNext/>
        <w:rPr>
          <w:lang w:val="en-CA"/>
        </w:rPr>
      </w:pPr>
    </w:p>
    <w:p w14:paraId="23301504" w14:textId="77777777" w:rsidR="00255CDE" w:rsidRPr="001B61C2" w:rsidRDefault="00255CDE" w:rsidP="00E76F78">
      <w:pPr>
        <w:keepNext/>
        <w:rPr>
          <w:i/>
          <w:lang w:val="en-CA"/>
        </w:rPr>
      </w:pPr>
      <w:r w:rsidRPr="001B61C2">
        <w:rPr>
          <w:i/>
          <w:lang w:val="en-CA"/>
        </w:rPr>
        <w:t>Legal framework</w:t>
      </w:r>
    </w:p>
    <w:p w14:paraId="06A30250" w14:textId="77777777" w:rsidR="00255CDE" w:rsidRPr="00FE3307" w:rsidRDefault="00255CDE" w:rsidP="00E76F78">
      <w:pPr>
        <w:keepNext/>
        <w:rPr>
          <w:lang w:val="en-CA"/>
        </w:rPr>
      </w:pPr>
    </w:p>
    <w:p w14:paraId="150FE447" w14:textId="02B3F3AF" w:rsidR="001B61C2" w:rsidRPr="00123D29" w:rsidRDefault="001B61C2" w:rsidP="001B61C2">
      <w:pPr>
        <w:pStyle w:val="Heading1"/>
        <w:tabs>
          <w:tab w:val="clear" w:pos="0"/>
          <w:tab w:val="num" w:pos="568"/>
        </w:tabs>
        <w:rPr>
          <w:lang w:val="en-CA"/>
        </w:rPr>
      </w:pPr>
      <w:r w:rsidRPr="00123D29">
        <w:rPr>
          <w:lang w:val="en-CA"/>
        </w:rPr>
        <w:t xml:space="preserve">The Secretariat noted that </w:t>
      </w:r>
      <w:r w:rsidR="00736979">
        <w:rPr>
          <w:lang w:val="en-CA"/>
        </w:rPr>
        <w:t xml:space="preserve">the Government of </w:t>
      </w:r>
      <w:r w:rsidR="005807FC">
        <w:rPr>
          <w:lang w:val="en-CA"/>
        </w:rPr>
        <w:t xml:space="preserve">Ghana </w:t>
      </w:r>
      <w:r w:rsidRPr="00123D29">
        <w:rPr>
          <w:lang w:val="en-CA"/>
        </w:rPr>
        <w:t>has established a licensing and quota system for control of HCFC import</w:t>
      </w:r>
      <w:r w:rsidR="005807FC">
        <w:rPr>
          <w:lang w:val="en-CA"/>
        </w:rPr>
        <w:t>s</w:t>
      </w:r>
      <w:r w:rsidRPr="00123D29">
        <w:rPr>
          <w:lang w:val="en-CA"/>
        </w:rPr>
        <w:t xml:space="preserve"> and export</w:t>
      </w:r>
      <w:r w:rsidR="005807FC">
        <w:rPr>
          <w:lang w:val="en-CA"/>
        </w:rPr>
        <w:t>s</w:t>
      </w:r>
      <w:r w:rsidRPr="00123D29">
        <w:rPr>
          <w:lang w:val="en-CA"/>
        </w:rPr>
        <w:t xml:space="preserve"> and</w:t>
      </w:r>
      <w:r w:rsidR="009C3903">
        <w:rPr>
          <w:lang w:val="en-CA"/>
        </w:rPr>
        <w:t xml:space="preserve"> that</w:t>
      </w:r>
      <w:r w:rsidRPr="00123D29">
        <w:rPr>
          <w:lang w:val="en-CA"/>
        </w:rPr>
        <w:t xml:space="preserve"> the system </w:t>
      </w:r>
      <w:r w:rsidR="005807FC">
        <w:rPr>
          <w:lang w:val="en-CA"/>
        </w:rPr>
        <w:t>has been operationalized</w:t>
      </w:r>
      <w:r>
        <w:rPr>
          <w:lang w:val="en-CA"/>
        </w:rPr>
        <w:t xml:space="preserve">. </w:t>
      </w:r>
      <w:r w:rsidRPr="00123D29">
        <w:rPr>
          <w:lang w:val="en-CA"/>
        </w:rPr>
        <w:t xml:space="preserve">The Government has already issued HCFC import quotas for 2019 at </w:t>
      </w:r>
      <w:r w:rsidR="005807FC">
        <w:rPr>
          <w:lang w:val="en-CA"/>
        </w:rPr>
        <w:t>17.06 ODP tonnes (783</w:t>
      </w:r>
      <w:r w:rsidR="00736979">
        <w:rPr>
          <w:lang w:val="en-CA"/>
        </w:rPr>
        <w:t>.00</w:t>
      </w:r>
      <w:r w:rsidR="005807FC">
        <w:rPr>
          <w:lang w:val="en-CA"/>
        </w:rPr>
        <w:t xml:space="preserve"> </w:t>
      </w:r>
      <w:proofErr w:type="spellStart"/>
      <w:r w:rsidR="005807FC">
        <w:rPr>
          <w:lang w:val="en-CA"/>
        </w:rPr>
        <w:t>mt</w:t>
      </w:r>
      <w:proofErr w:type="spellEnd"/>
      <w:r w:rsidR="005807FC">
        <w:rPr>
          <w:lang w:val="en-CA"/>
        </w:rPr>
        <w:t>)</w:t>
      </w:r>
      <w:r w:rsidR="00736979">
        <w:rPr>
          <w:lang w:val="en-CA"/>
        </w:rPr>
        <w:t>;</w:t>
      </w:r>
      <w:r w:rsidRPr="00123D29">
        <w:rPr>
          <w:lang w:val="en-CA"/>
        </w:rPr>
        <w:t xml:space="preserve"> quota</w:t>
      </w:r>
      <w:r w:rsidR="009C3903">
        <w:rPr>
          <w:lang w:val="en-CA"/>
        </w:rPr>
        <w:t>s</w:t>
      </w:r>
      <w:r w:rsidRPr="00123D29">
        <w:rPr>
          <w:lang w:val="en-CA"/>
        </w:rPr>
        <w:t xml:space="preserve"> </w:t>
      </w:r>
      <w:r w:rsidR="00736979">
        <w:rPr>
          <w:lang w:val="en-CA"/>
        </w:rPr>
        <w:t xml:space="preserve">for 2020 </w:t>
      </w:r>
      <w:r w:rsidR="00236F3E">
        <w:rPr>
          <w:lang w:val="en-CA"/>
        </w:rPr>
        <w:t>will be issued in accordance with the</w:t>
      </w:r>
      <w:r w:rsidRPr="00123D29">
        <w:rPr>
          <w:lang w:val="en-CA"/>
        </w:rPr>
        <w:t xml:space="preserve"> M</w:t>
      </w:r>
      <w:r w:rsidR="00236F3E">
        <w:rPr>
          <w:lang w:val="en-CA"/>
        </w:rPr>
        <w:t>ontreal Protocol control target</w:t>
      </w:r>
      <w:r w:rsidRPr="00123D29">
        <w:rPr>
          <w:lang w:val="en-CA"/>
        </w:rPr>
        <w:t>.</w:t>
      </w:r>
    </w:p>
    <w:p w14:paraId="057D0868" w14:textId="5A48CE12" w:rsidR="00255CDE" w:rsidRPr="00B610D9" w:rsidRDefault="00B610D9" w:rsidP="00255CDE">
      <w:pPr>
        <w:rPr>
          <w:i/>
          <w:lang w:val="en-CA"/>
        </w:rPr>
      </w:pPr>
      <w:r w:rsidRPr="00B610D9">
        <w:rPr>
          <w:i/>
          <w:lang w:val="en-CA"/>
        </w:rPr>
        <w:t xml:space="preserve">Introduction of HC-290 refrigerant </w:t>
      </w:r>
    </w:p>
    <w:p w14:paraId="36165DCF" w14:textId="77777777" w:rsidR="00B610D9" w:rsidRPr="00FE3307" w:rsidRDefault="00B610D9" w:rsidP="00255CDE">
      <w:pPr>
        <w:rPr>
          <w:lang w:val="en-CA"/>
        </w:rPr>
      </w:pPr>
    </w:p>
    <w:p w14:paraId="35C0B4BE" w14:textId="3A555C0E" w:rsidR="00F64B72" w:rsidRDefault="00F64B72" w:rsidP="00255CDE">
      <w:pPr>
        <w:pStyle w:val="Heading1"/>
        <w:rPr>
          <w:color w:val="000000" w:themeColor="text1"/>
          <w:lang w:val="en-CA"/>
        </w:rPr>
      </w:pPr>
      <w:r>
        <w:rPr>
          <w:color w:val="000000" w:themeColor="text1"/>
          <w:lang w:val="en-CA"/>
        </w:rPr>
        <w:t xml:space="preserve">As reported to the Executive Committee </w:t>
      </w:r>
      <w:r w:rsidR="009C3903">
        <w:rPr>
          <w:color w:val="000000" w:themeColor="text1"/>
          <w:lang w:val="en-CA"/>
        </w:rPr>
        <w:t xml:space="preserve">at </w:t>
      </w:r>
      <w:r w:rsidR="00736979">
        <w:rPr>
          <w:color w:val="000000" w:themeColor="text1"/>
          <w:lang w:val="en-CA"/>
        </w:rPr>
        <w:t>the 72</w:t>
      </w:r>
      <w:r w:rsidR="00736979" w:rsidRPr="00736979">
        <w:rPr>
          <w:color w:val="000000" w:themeColor="text1"/>
          <w:vertAlign w:val="superscript"/>
          <w:lang w:val="en-CA"/>
        </w:rPr>
        <w:t>nd</w:t>
      </w:r>
      <w:r w:rsidR="00736979">
        <w:rPr>
          <w:color w:val="000000" w:themeColor="text1"/>
          <w:lang w:val="en-CA"/>
        </w:rPr>
        <w:t xml:space="preserve"> meeting</w:t>
      </w:r>
      <w:r>
        <w:rPr>
          <w:rStyle w:val="FootnoteReference"/>
          <w:color w:val="000000" w:themeColor="text1"/>
          <w:lang w:val="en-CA"/>
        </w:rPr>
        <w:footnoteReference w:id="2"/>
      </w:r>
      <w:r>
        <w:rPr>
          <w:color w:val="000000" w:themeColor="text1"/>
          <w:lang w:val="en-CA"/>
        </w:rPr>
        <w:t xml:space="preserve">, </w:t>
      </w:r>
      <w:r w:rsidR="009C3903">
        <w:rPr>
          <w:color w:val="000000" w:themeColor="text1"/>
          <w:lang w:val="en-CA"/>
        </w:rPr>
        <w:t>converting</w:t>
      </w:r>
      <w:r w:rsidR="00E66B37">
        <w:rPr>
          <w:color w:val="000000" w:themeColor="text1"/>
          <w:lang w:val="en-CA"/>
        </w:rPr>
        <w:t>/retrofitting HCFC-22 based equipment to R-290 has been a national strategy to phase out HCFCs</w:t>
      </w:r>
      <w:r w:rsidR="00296D5B">
        <w:rPr>
          <w:color w:val="000000" w:themeColor="text1"/>
          <w:lang w:val="en-CA"/>
        </w:rPr>
        <w:t>. The relevant safety guidelines, legal and institutional framework, and certification system have been developed to ensure safety. Training has been provided to technicians and the conversion is performed in 11 designated servicing centers only under strict supervision.</w:t>
      </w:r>
      <w:r w:rsidR="00E66B37">
        <w:rPr>
          <w:color w:val="000000" w:themeColor="text1"/>
          <w:lang w:val="en-CA"/>
        </w:rPr>
        <w:t xml:space="preserve"> </w:t>
      </w:r>
      <w:r>
        <w:rPr>
          <w:color w:val="000000" w:themeColor="text1"/>
          <w:lang w:val="en-CA"/>
        </w:rPr>
        <w:t>So far, a total of 10,202 units have been converted to HC</w:t>
      </w:r>
      <w:r w:rsidR="00C51564">
        <w:rPr>
          <w:color w:val="000000" w:themeColor="text1"/>
          <w:lang w:val="en-CA"/>
        </w:rPr>
        <w:noBreakHyphen/>
      </w:r>
      <w:r>
        <w:rPr>
          <w:color w:val="000000" w:themeColor="text1"/>
          <w:lang w:val="en-CA"/>
        </w:rPr>
        <w:t xml:space="preserve">290 and there has been no safety incident. </w:t>
      </w:r>
      <w:r w:rsidR="00736979">
        <w:rPr>
          <w:color w:val="000000" w:themeColor="text1"/>
          <w:lang w:val="en-US"/>
        </w:rPr>
        <w:t>The G</w:t>
      </w:r>
      <w:r w:rsidR="00C51564" w:rsidRPr="00C51564">
        <w:rPr>
          <w:color w:val="000000" w:themeColor="text1"/>
          <w:lang w:val="en-US"/>
        </w:rPr>
        <w:t>overnment of Ghana is committed to transform</w:t>
      </w:r>
      <w:r w:rsidR="009C3903">
        <w:rPr>
          <w:color w:val="000000" w:themeColor="text1"/>
          <w:lang w:val="en-US"/>
        </w:rPr>
        <w:t>ing</w:t>
      </w:r>
      <w:r w:rsidR="00C51564" w:rsidRPr="00C51564">
        <w:rPr>
          <w:color w:val="000000" w:themeColor="text1"/>
          <w:lang w:val="en-US"/>
        </w:rPr>
        <w:t xml:space="preserve"> </w:t>
      </w:r>
      <w:r w:rsidR="00C51564">
        <w:rPr>
          <w:color w:val="000000" w:themeColor="text1"/>
          <w:lang w:val="en-US"/>
        </w:rPr>
        <w:t>its</w:t>
      </w:r>
      <w:r w:rsidR="00C51564" w:rsidRPr="00C51564">
        <w:rPr>
          <w:color w:val="000000" w:themeColor="text1"/>
          <w:lang w:val="en-US"/>
        </w:rPr>
        <w:t xml:space="preserve"> AC </w:t>
      </w:r>
      <w:r w:rsidR="00C51564">
        <w:rPr>
          <w:color w:val="000000" w:themeColor="text1"/>
          <w:lang w:val="en-US"/>
        </w:rPr>
        <w:t xml:space="preserve">sector </w:t>
      </w:r>
      <w:r w:rsidR="00C51564" w:rsidRPr="00C51564">
        <w:rPr>
          <w:color w:val="000000" w:themeColor="text1"/>
          <w:lang w:val="en-US"/>
        </w:rPr>
        <w:t>to 70</w:t>
      </w:r>
      <w:r w:rsidR="00C51564">
        <w:rPr>
          <w:color w:val="000000" w:themeColor="text1"/>
          <w:lang w:val="en-US"/>
        </w:rPr>
        <w:t xml:space="preserve"> per cent HC-</w:t>
      </w:r>
      <w:r w:rsidR="00C51564" w:rsidRPr="00C51564">
        <w:rPr>
          <w:color w:val="000000" w:themeColor="text1"/>
          <w:lang w:val="en-US"/>
        </w:rPr>
        <w:t xml:space="preserve">290 by 2030 as enshrined in its National Determined Contributions (NDC) submitted to the </w:t>
      </w:r>
      <w:r w:rsidR="00736979">
        <w:rPr>
          <w:color w:val="000000" w:themeColor="text1"/>
          <w:lang w:val="en-US"/>
        </w:rPr>
        <w:t>United Nations Framework Convention on Climate Change</w:t>
      </w:r>
      <w:r w:rsidR="00C51564" w:rsidRPr="00C51564">
        <w:rPr>
          <w:color w:val="000000" w:themeColor="text1"/>
          <w:lang w:val="en-US"/>
        </w:rPr>
        <w:t>.</w:t>
      </w:r>
    </w:p>
    <w:p w14:paraId="447A16E8" w14:textId="5233BC6D" w:rsidR="00BA7FD9" w:rsidRDefault="00C51564" w:rsidP="00255CDE">
      <w:pPr>
        <w:pStyle w:val="Heading1"/>
        <w:rPr>
          <w:color w:val="000000" w:themeColor="text1"/>
          <w:lang w:val="en-US"/>
        </w:rPr>
      </w:pPr>
      <w:r>
        <w:rPr>
          <w:color w:val="000000" w:themeColor="text1"/>
          <w:lang w:val="en-CA"/>
        </w:rPr>
        <w:t xml:space="preserve">The Secretariat inquired about </w:t>
      </w:r>
      <w:r w:rsidR="00BA7FD9">
        <w:rPr>
          <w:color w:val="000000" w:themeColor="text1"/>
          <w:lang w:val="en-CA"/>
        </w:rPr>
        <w:t>the introduction of new AC units based on HC-290</w:t>
      </w:r>
      <w:r w:rsidR="005F604A">
        <w:rPr>
          <w:color w:val="000000" w:themeColor="text1"/>
          <w:lang w:val="en-CA"/>
        </w:rPr>
        <w:t xml:space="preserve"> since </w:t>
      </w:r>
      <w:r>
        <w:rPr>
          <w:color w:val="000000" w:themeColor="text1"/>
          <w:lang w:val="en-CA"/>
        </w:rPr>
        <w:t xml:space="preserve">the product is available </w:t>
      </w:r>
      <w:r w:rsidR="009C3903">
        <w:rPr>
          <w:color w:val="000000" w:themeColor="text1"/>
          <w:lang w:val="en-CA"/>
        </w:rPr>
        <w:t xml:space="preserve">on </w:t>
      </w:r>
      <w:r>
        <w:rPr>
          <w:color w:val="000000" w:themeColor="text1"/>
          <w:lang w:val="en-CA"/>
        </w:rPr>
        <w:t>the market.</w:t>
      </w:r>
      <w:r w:rsidR="00BA7FD9">
        <w:rPr>
          <w:color w:val="000000" w:themeColor="text1"/>
          <w:lang w:val="en-CA"/>
        </w:rPr>
        <w:t xml:space="preserve"> </w:t>
      </w:r>
      <w:r w:rsidR="00296D5B">
        <w:rPr>
          <w:color w:val="000000" w:themeColor="text1"/>
          <w:lang w:val="en-CA"/>
        </w:rPr>
        <w:t>UNDP reported that</w:t>
      </w:r>
      <w:r w:rsidR="00BA7FD9">
        <w:rPr>
          <w:color w:val="000000" w:themeColor="text1"/>
          <w:lang w:val="en-CA"/>
        </w:rPr>
        <w:t>,</w:t>
      </w:r>
      <w:r w:rsidR="00296D5B">
        <w:rPr>
          <w:color w:val="000000" w:themeColor="text1"/>
          <w:lang w:val="en-CA"/>
        </w:rPr>
        <w:t xml:space="preserve"> </w:t>
      </w:r>
      <w:r w:rsidR="00BA7FD9">
        <w:rPr>
          <w:color w:val="000000" w:themeColor="text1"/>
          <w:lang w:val="en-US"/>
        </w:rPr>
        <w:t xml:space="preserve">under </w:t>
      </w:r>
      <w:r w:rsidR="00BA7FD9" w:rsidRPr="00296D5B">
        <w:rPr>
          <w:color w:val="000000" w:themeColor="text1"/>
          <w:lang w:val="en-US"/>
        </w:rPr>
        <w:t>the Green Cooling Initiative</w:t>
      </w:r>
      <w:r w:rsidR="00BA7FD9">
        <w:rPr>
          <w:color w:val="000000" w:themeColor="text1"/>
          <w:lang w:val="en-US"/>
        </w:rPr>
        <w:t xml:space="preserve">, 410 </w:t>
      </w:r>
      <w:r w:rsidR="00736979">
        <w:rPr>
          <w:color w:val="000000" w:themeColor="text1"/>
          <w:lang w:val="en-US"/>
        </w:rPr>
        <w:t xml:space="preserve">new </w:t>
      </w:r>
      <w:r w:rsidR="005F604A">
        <w:rPr>
          <w:color w:val="000000" w:themeColor="text1"/>
          <w:lang w:val="en-US"/>
        </w:rPr>
        <w:t>HC</w:t>
      </w:r>
      <w:r w:rsidR="005F604A">
        <w:rPr>
          <w:color w:val="000000" w:themeColor="text1"/>
          <w:lang w:val="en-US"/>
        </w:rPr>
        <w:noBreakHyphen/>
      </w:r>
      <w:r w:rsidR="00BA7FD9">
        <w:rPr>
          <w:color w:val="000000" w:themeColor="text1"/>
          <w:lang w:val="en-US"/>
        </w:rPr>
        <w:t>290</w:t>
      </w:r>
      <w:r w:rsidR="005F604A">
        <w:rPr>
          <w:color w:val="000000" w:themeColor="text1"/>
          <w:lang w:val="en-US"/>
        </w:rPr>
        <w:noBreakHyphen/>
      </w:r>
      <w:r w:rsidR="00BA7FD9">
        <w:rPr>
          <w:color w:val="000000" w:themeColor="text1"/>
          <w:lang w:val="en-US"/>
        </w:rPr>
        <w:t xml:space="preserve">based AC </w:t>
      </w:r>
      <w:r w:rsidR="009C3903">
        <w:rPr>
          <w:color w:val="000000" w:themeColor="text1"/>
          <w:lang w:val="en-US"/>
        </w:rPr>
        <w:t xml:space="preserve">units </w:t>
      </w:r>
      <w:r w:rsidR="00BA7FD9">
        <w:rPr>
          <w:color w:val="000000" w:themeColor="text1"/>
          <w:lang w:val="en-US"/>
        </w:rPr>
        <w:t xml:space="preserve">have been provided </w:t>
      </w:r>
      <w:r w:rsidR="00BA7FD9" w:rsidRPr="00296D5B">
        <w:rPr>
          <w:color w:val="000000" w:themeColor="text1"/>
          <w:lang w:val="en-US"/>
        </w:rPr>
        <w:t xml:space="preserve">at no cost </w:t>
      </w:r>
      <w:r w:rsidR="00BA7FD9">
        <w:rPr>
          <w:color w:val="000000" w:themeColor="text1"/>
          <w:lang w:val="en-US"/>
        </w:rPr>
        <w:t xml:space="preserve">to Ghana by </w:t>
      </w:r>
      <w:proofErr w:type="spellStart"/>
      <w:r w:rsidR="00BA7FD9" w:rsidRPr="00296D5B">
        <w:rPr>
          <w:color w:val="000000" w:themeColor="text1"/>
          <w:lang w:val="en-US"/>
        </w:rPr>
        <w:t>Midea</w:t>
      </w:r>
      <w:proofErr w:type="spellEnd"/>
      <w:r w:rsidR="00BA7FD9" w:rsidRPr="00296D5B">
        <w:rPr>
          <w:color w:val="000000" w:themeColor="text1"/>
          <w:lang w:val="en-US"/>
        </w:rPr>
        <w:t xml:space="preserve"> (China</w:t>
      </w:r>
      <w:r w:rsidR="00BA7FD9">
        <w:rPr>
          <w:color w:val="000000" w:themeColor="text1"/>
          <w:lang w:val="en-US"/>
        </w:rPr>
        <w:t>, 380 units</w:t>
      </w:r>
      <w:r w:rsidR="00BA7FD9" w:rsidRPr="00296D5B">
        <w:rPr>
          <w:color w:val="000000" w:themeColor="text1"/>
          <w:lang w:val="en-US"/>
        </w:rPr>
        <w:t xml:space="preserve">) </w:t>
      </w:r>
      <w:r w:rsidR="00BA7FD9">
        <w:rPr>
          <w:color w:val="000000" w:themeColor="text1"/>
          <w:lang w:val="en-US"/>
        </w:rPr>
        <w:t xml:space="preserve">and </w:t>
      </w:r>
      <w:r w:rsidR="00BA7FD9" w:rsidRPr="00296D5B">
        <w:rPr>
          <w:color w:val="000000" w:themeColor="text1"/>
          <w:lang w:val="en-US"/>
        </w:rPr>
        <w:t>Godrej (India</w:t>
      </w:r>
      <w:r w:rsidR="00BA7FD9">
        <w:rPr>
          <w:color w:val="000000" w:themeColor="text1"/>
          <w:lang w:val="en-US"/>
        </w:rPr>
        <w:t xml:space="preserve">, </w:t>
      </w:r>
      <w:r w:rsidR="00BA7FD9" w:rsidRPr="00296D5B">
        <w:rPr>
          <w:color w:val="000000" w:themeColor="text1"/>
          <w:lang w:val="en-US"/>
        </w:rPr>
        <w:t>30 units</w:t>
      </w:r>
      <w:r w:rsidR="00BA7FD9">
        <w:rPr>
          <w:color w:val="000000" w:themeColor="text1"/>
          <w:lang w:val="en-US"/>
        </w:rPr>
        <w:t>)</w:t>
      </w:r>
      <w:r w:rsidR="00BA7FD9" w:rsidRPr="00296D5B">
        <w:rPr>
          <w:color w:val="000000" w:themeColor="text1"/>
          <w:lang w:val="en-US"/>
        </w:rPr>
        <w:t xml:space="preserve"> </w:t>
      </w:r>
      <w:r w:rsidR="00BA7FD9">
        <w:rPr>
          <w:color w:val="000000" w:themeColor="text1"/>
          <w:lang w:val="en-US"/>
        </w:rPr>
        <w:t>to encourage</w:t>
      </w:r>
      <w:r w:rsidR="00BA7FD9" w:rsidRPr="00296D5B">
        <w:rPr>
          <w:color w:val="000000" w:themeColor="text1"/>
          <w:lang w:val="en-US"/>
        </w:rPr>
        <w:t xml:space="preserve"> the introduction of </w:t>
      </w:r>
      <w:r w:rsidR="00BA7FD9">
        <w:rPr>
          <w:color w:val="000000" w:themeColor="text1"/>
          <w:lang w:val="en-US"/>
        </w:rPr>
        <w:t>HC-</w:t>
      </w:r>
      <w:r w:rsidR="00BA7FD9" w:rsidRPr="00296D5B">
        <w:rPr>
          <w:color w:val="000000" w:themeColor="text1"/>
          <w:lang w:val="en-US"/>
        </w:rPr>
        <w:t>290</w:t>
      </w:r>
      <w:r w:rsidR="005F604A">
        <w:rPr>
          <w:color w:val="000000" w:themeColor="text1"/>
          <w:lang w:val="en-US"/>
        </w:rPr>
        <w:t xml:space="preserve"> technology in </w:t>
      </w:r>
      <w:r w:rsidR="00BA7FD9">
        <w:rPr>
          <w:color w:val="000000" w:themeColor="text1"/>
          <w:lang w:val="en-US"/>
        </w:rPr>
        <w:t xml:space="preserve">Ghana. </w:t>
      </w:r>
      <w:r w:rsidR="00BA7FD9" w:rsidRPr="00296D5B">
        <w:rPr>
          <w:color w:val="000000" w:themeColor="text1"/>
          <w:lang w:val="en-US"/>
        </w:rPr>
        <w:t xml:space="preserve">The cost of customs clearance was borne by two </w:t>
      </w:r>
      <w:r w:rsidR="00A51435">
        <w:rPr>
          <w:color w:val="000000" w:themeColor="text1"/>
          <w:lang w:val="en-US"/>
        </w:rPr>
        <w:t>locally owned</w:t>
      </w:r>
      <w:r w:rsidR="00BA7FD9" w:rsidRPr="00296D5B">
        <w:rPr>
          <w:color w:val="000000" w:themeColor="text1"/>
          <w:lang w:val="en-US"/>
        </w:rPr>
        <w:t xml:space="preserve"> </w:t>
      </w:r>
      <w:r w:rsidR="00BA7FD9">
        <w:rPr>
          <w:color w:val="000000" w:themeColor="text1"/>
          <w:lang w:val="en-US"/>
        </w:rPr>
        <w:t xml:space="preserve">companies </w:t>
      </w:r>
      <w:r w:rsidR="00BA7FD9" w:rsidRPr="00296D5B">
        <w:rPr>
          <w:color w:val="000000" w:themeColor="text1"/>
          <w:lang w:val="en-US"/>
        </w:rPr>
        <w:t>wh</w:t>
      </w:r>
      <w:r w:rsidR="001110C9">
        <w:rPr>
          <w:color w:val="000000" w:themeColor="text1"/>
          <w:lang w:val="en-US"/>
        </w:rPr>
        <w:t>o will sell</w:t>
      </w:r>
      <w:r w:rsidR="00BA7FD9" w:rsidRPr="00296D5B">
        <w:rPr>
          <w:color w:val="000000" w:themeColor="text1"/>
          <w:lang w:val="en-US"/>
        </w:rPr>
        <w:t>, install and maint</w:t>
      </w:r>
      <w:r w:rsidR="001110C9">
        <w:rPr>
          <w:color w:val="000000" w:themeColor="text1"/>
          <w:lang w:val="en-US"/>
        </w:rPr>
        <w:t>ain</w:t>
      </w:r>
      <w:r w:rsidR="00BA7FD9" w:rsidRPr="00296D5B">
        <w:rPr>
          <w:color w:val="000000" w:themeColor="text1"/>
          <w:lang w:val="en-US"/>
        </w:rPr>
        <w:t xml:space="preserve"> </w:t>
      </w:r>
      <w:r w:rsidR="001110C9" w:rsidRPr="00296D5B">
        <w:rPr>
          <w:color w:val="000000" w:themeColor="text1"/>
          <w:lang w:val="en-US"/>
        </w:rPr>
        <w:t xml:space="preserve">these units </w:t>
      </w:r>
      <w:r w:rsidR="00BA7FD9" w:rsidRPr="00296D5B">
        <w:rPr>
          <w:color w:val="000000" w:themeColor="text1"/>
          <w:lang w:val="en-US"/>
        </w:rPr>
        <w:t xml:space="preserve">for </w:t>
      </w:r>
      <w:r w:rsidR="001110C9">
        <w:rPr>
          <w:color w:val="000000" w:themeColor="text1"/>
          <w:lang w:val="en-US"/>
        </w:rPr>
        <w:t>one year at discounted price</w:t>
      </w:r>
      <w:r w:rsidR="009C3903">
        <w:rPr>
          <w:color w:val="000000" w:themeColor="text1"/>
          <w:lang w:val="en-US"/>
        </w:rPr>
        <w:t>s</w:t>
      </w:r>
      <w:r w:rsidR="001110C9">
        <w:rPr>
          <w:color w:val="000000" w:themeColor="text1"/>
          <w:lang w:val="en-US"/>
        </w:rPr>
        <w:t>. The</w:t>
      </w:r>
      <w:r w:rsidR="006C556C">
        <w:rPr>
          <w:color w:val="000000" w:themeColor="text1"/>
          <w:lang w:val="en-US"/>
        </w:rPr>
        <w:t>se</w:t>
      </w:r>
      <w:r w:rsidR="001110C9">
        <w:rPr>
          <w:color w:val="000000" w:themeColor="text1"/>
          <w:lang w:val="en-US"/>
        </w:rPr>
        <w:t xml:space="preserve"> two </w:t>
      </w:r>
      <w:r w:rsidR="00A51435">
        <w:rPr>
          <w:color w:val="000000" w:themeColor="text1"/>
          <w:lang w:val="en-US"/>
        </w:rPr>
        <w:t>companies</w:t>
      </w:r>
      <w:r w:rsidR="001110C9">
        <w:rPr>
          <w:color w:val="000000" w:themeColor="text1"/>
          <w:lang w:val="en-US"/>
        </w:rPr>
        <w:t xml:space="preserve"> </w:t>
      </w:r>
      <w:r w:rsidR="00373EA2">
        <w:rPr>
          <w:color w:val="000000" w:themeColor="text1"/>
          <w:lang w:val="en-US"/>
        </w:rPr>
        <w:t xml:space="preserve">plan </w:t>
      </w:r>
      <w:r w:rsidR="00BA7FD9" w:rsidRPr="00296D5B">
        <w:rPr>
          <w:color w:val="000000" w:themeColor="text1"/>
          <w:lang w:val="en-US"/>
        </w:rPr>
        <w:t xml:space="preserve">to </w:t>
      </w:r>
      <w:r w:rsidR="001110C9">
        <w:rPr>
          <w:color w:val="000000" w:themeColor="text1"/>
          <w:lang w:val="en-US"/>
        </w:rPr>
        <w:t xml:space="preserve">initiate </w:t>
      </w:r>
      <w:r w:rsidR="009C3903">
        <w:rPr>
          <w:color w:val="000000" w:themeColor="text1"/>
          <w:lang w:val="en-US"/>
        </w:rPr>
        <w:t xml:space="preserve">the </w:t>
      </w:r>
      <w:r w:rsidR="001110C9">
        <w:rPr>
          <w:color w:val="000000" w:themeColor="text1"/>
          <w:lang w:val="en-US"/>
        </w:rPr>
        <w:t xml:space="preserve">importation </w:t>
      </w:r>
      <w:r w:rsidR="00373EA2">
        <w:rPr>
          <w:color w:val="000000" w:themeColor="text1"/>
          <w:lang w:val="en-US"/>
        </w:rPr>
        <w:t xml:space="preserve">of HC-290-based ACs </w:t>
      </w:r>
      <w:r w:rsidR="001110C9">
        <w:rPr>
          <w:color w:val="000000" w:themeColor="text1"/>
          <w:lang w:val="en-US"/>
        </w:rPr>
        <w:t xml:space="preserve">and </w:t>
      </w:r>
      <w:r w:rsidR="006C556C">
        <w:rPr>
          <w:color w:val="000000" w:themeColor="text1"/>
          <w:lang w:val="en-US"/>
        </w:rPr>
        <w:t>expand the use of HC-</w:t>
      </w:r>
      <w:r w:rsidR="00BA7FD9" w:rsidRPr="00296D5B">
        <w:rPr>
          <w:color w:val="000000" w:themeColor="text1"/>
          <w:lang w:val="en-US"/>
        </w:rPr>
        <w:t xml:space="preserve">290 units in the country. </w:t>
      </w:r>
    </w:p>
    <w:p w14:paraId="60AD0587" w14:textId="3BE26ED1" w:rsidR="00373EA2" w:rsidRPr="00373EA2" w:rsidRDefault="00373EA2" w:rsidP="00373EA2">
      <w:pPr>
        <w:rPr>
          <w:i/>
          <w:lang w:val="en-US"/>
        </w:rPr>
      </w:pPr>
      <w:r>
        <w:rPr>
          <w:i/>
          <w:lang w:val="en-US"/>
        </w:rPr>
        <w:t>Refrigerat</w:t>
      </w:r>
      <w:r w:rsidRPr="00373EA2">
        <w:rPr>
          <w:i/>
          <w:lang w:val="en-US"/>
        </w:rPr>
        <w:t>i</w:t>
      </w:r>
      <w:r>
        <w:rPr>
          <w:i/>
          <w:lang w:val="en-US"/>
        </w:rPr>
        <w:t>o</w:t>
      </w:r>
      <w:r w:rsidRPr="00373EA2">
        <w:rPr>
          <w:i/>
          <w:lang w:val="en-US"/>
        </w:rPr>
        <w:t>n servicing sector</w:t>
      </w:r>
    </w:p>
    <w:p w14:paraId="25343BA8" w14:textId="77777777" w:rsidR="00373EA2" w:rsidRPr="00373EA2" w:rsidRDefault="00373EA2" w:rsidP="00373EA2">
      <w:pPr>
        <w:rPr>
          <w:lang w:val="en-US"/>
        </w:rPr>
      </w:pPr>
    </w:p>
    <w:p w14:paraId="359971FB" w14:textId="33503F74" w:rsidR="00114789" w:rsidRPr="00114789" w:rsidRDefault="00A51435" w:rsidP="000C47B6">
      <w:pPr>
        <w:pStyle w:val="Heading1"/>
        <w:rPr>
          <w:bCs/>
          <w:color w:val="000000" w:themeColor="text1"/>
          <w:lang w:val="en-US"/>
        </w:rPr>
      </w:pPr>
      <w:r>
        <w:rPr>
          <w:color w:val="000000" w:themeColor="text1"/>
          <w:lang w:val="en-CA"/>
        </w:rPr>
        <w:t>A total</w:t>
      </w:r>
      <w:r w:rsidR="007F228F">
        <w:rPr>
          <w:color w:val="000000" w:themeColor="text1"/>
          <w:lang w:val="en-CA"/>
        </w:rPr>
        <w:t xml:space="preserve"> of </w:t>
      </w:r>
      <w:r w:rsidR="006C556C" w:rsidRPr="00373EA2">
        <w:rPr>
          <w:color w:val="000000" w:themeColor="text1"/>
          <w:lang w:val="en-CA"/>
        </w:rPr>
        <w:t xml:space="preserve">US $79,128 has been budgeted for </w:t>
      </w:r>
      <w:r w:rsidR="00373EA2" w:rsidRPr="00373EA2">
        <w:rPr>
          <w:color w:val="000000" w:themeColor="text1"/>
          <w:lang w:val="en-CA"/>
        </w:rPr>
        <w:t xml:space="preserve">an </w:t>
      </w:r>
      <w:r w:rsidR="006C556C" w:rsidRPr="00373EA2">
        <w:rPr>
          <w:color w:val="000000" w:themeColor="text1"/>
          <w:lang w:val="en-CA"/>
        </w:rPr>
        <w:t xml:space="preserve">end-user programme. </w:t>
      </w:r>
      <w:r w:rsidR="007F228F">
        <w:rPr>
          <w:color w:val="000000" w:themeColor="text1"/>
          <w:lang w:val="en-CA"/>
        </w:rPr>
        <w:t>As</w:t>
      </w:r>
      <w:r w:rsidR="009C3903">
        <w:rPr>
          <w:color w:val="000000" w:themeColor="text1"/>
          <w:lang w:val="en-CA"/>
        </w:rPr>
        <w:t xml:space="preserve"> the</w:t>
      </w:r>
      <w:r w:rsidR="006C556C" w:rsidRPr="00373EA2">
        <w:rPr>
          <w:color w:val="000000" w:themeColor="text1"/>
          <w:lang w:val="en-CA"/>
        </w:rPr>
        <w:t xml:space="preserve"> detailed design of the programme</w:t>
      </w:r>
      <w:r w:rsidR="00B4403B">
        <w:rPr>
          <w:color w:val="000000" w:themeColor="text1"/>
          <w:lang w:val="en-CA"/>
        </w:rPr>
        <w:t xml:space="preserve"> has not been </w:t>
      </w:r>
      <w:r w:rsidR="007F228F">
        <w:rPr>
          <w:color w:val="000000" w:themeColor="text1"/>
          <w:lang w:val="en-CA"/>
        </w:rPr>
        <w:t>delivered, t</w:t>
      </w:r>
      <w:r w:rsidR="00B4403B">
        <w:rPr>
          <w:color w:val="000000" w:themeColor="text1"/>
          <w:lang w:val="en-CA"/>
        </w:rPr>
        <w:t xml:space="preserve">he Secretariat requested UNDP to provide </w:t>
      </w:r>
      <w:r w:rsidR="009C3903">
        <w:rPr>
          <w:color w:val="000000" w:themeColor="text1"/>
          <w:lang w:val="en-CA"/>
        </w:rPr>
        <w:t xml:space="preserve">a </w:t>
      </w:r>
      <w:r w:rsidR="00B4403B">
        <w:rPr>
          <w:color w:val="000000" w:themeColor="text1"/>
          <w:lang w:val="en-CA"/>
        </w:rPr>
        <w:t>detailed plan on the incentive programme, includ</w:t>
      </w:r>
      <w:r w:rsidR="009C3903">
        <w:rPr>
          <w:color w:val="000000" w:themeColor="text1"/>
          <w:lang w:val="en-CA"/>
        </w:rPr>
        <w:t>ing</w:t>
      </w:r>
      <w:r w:rsidR="006C556C" w:rsidRPr="00373EA2">
        <w:rPr>
          <w:color w:val="000000" w:themeColor="text1"/>
          <w:lang w:val="en-CA"/>
        </w:rPr>
        <w:t xml:space="preserve"> the level of incentive </w:t>
      </w:r>
      <w:r w:rsidR="00B4403B">
        <w:rPr>
          <w:color w:val="000000" w:themeColor="text1"/>
          <w:lang w:val="en-CA"/>
        </w:rPr>
        <w:t>funding</w:t>
      </w:r>
      <w:r w:rsidR="006C556C" w:rsidRPr="00373EA2">
        <w:rPr>
          <w:color w:val="000000" w:themeColor="text1"/>
          <w:lang w:val="en-CA"/>
        </w:rPr>
        <w:t xml:space="preserve">, </w:t>
      </w:r>
      <w:r w:rsidR="00373EA2" w:rsidRPr="00373EA2">
        <w:rPr>
          <w:color w:val="000000" w:themeColor="text1"/>
          <w:lang w:val="en-CA"/>
        </w:rPr>
        <w:t xml:space="preserve">the number of units to be converted, </w:t>
      </w:r>
      <w:r w:rsidR="006C556C" w:rsidRPr="00373EA2">
        <w:rPr>
          <w:color w:val="000000" w:themeColor="text1"/>
          <w:lang w:val="en-CA"/>
        </w:rPr>
        <w:t xml:space="preserve">the targeted end-users, and the alternative </w:t>
      </w:r>
      <w:r w:rsidR="00373EA2" w:rsidRPr="00373EA2">
        <w:rPr>
          <w:color w:val="000000" w:themeColor="text1"/>
          <w:lang w:val="en-CA"/>
        </w:rPr>
        <w:t>technologies</w:t>
      </w:r>
      <w:r w:rsidR="00B4403B">
        <w:rPr>
          <w:color w:val="000000" w:themeColor="text1"/>
          <w:lang w:val="en-CA"/>
        </w:rPr>
        <w:t xml:space="preserve"> selected.</w:t>
      </w:r>
      <w:r w:rsidR="006F67C0" w:rsidRPr="00373EA2">
        <w:rPr>
          <w:color w:val="000000" w:themeColor="text1"/>
          <w:lang w:val="en-CA"/>
        </w:rPr>
        <w:t xml:space="preserve"> UNDP </w:t>
      </w:r>
      <w:r w:rsidR="00373EA2" w:rsidRPr="00373EA2">
        <w:rPr>
          <w:color w:val="000000" w:themeColor="text1"/>
          <w:lang w:val="en-CA"/>
        </w:rPr>
        <w:t>advised that</w:t>
      </w:r>
      <w:r w:rsidR="00373EA2">
        <w:rPr>
          <w:color w:val="000000" w:themeColor="text1"/>
          <w:lang w:val="en-CA"/>
        </w:rPr>
        <w:t xml:space="preserve"> </w:t>
      </w:r>
      <w:r w:rsidR="00B4403B">
        <w:rPr>
          <w:color w:val="000000" w:themeColor="text1"/>
          <w:lang w:val="en-CA"/>
        </w:rPr>
        <w:t xml:space="preserve">the programme </w:t>
      </w:r>
      <w:r w:rsidR="009C3903">
        <w:rPr>
          <w:color w:val="000000" w:themeColor="text1"/>
          <w:lang w:val="en-CA"/>
        </w:rPr>
        <w:t xml:space="preserve">had </w:t>
      </w:r>
      <w:r w:rsidR="00B4403B">
        <w:rPr>
          <w:color w:val="000000" w:themeColor="text1"/>
          <w:lang w:val="en-CA"/>
        </w:rPr>
        <w:t xml:space="preserve">originally </w:t>
      </w:r>
      <w:r w:rsidR="009C3903">
        <w:rPr>
          <w:color w:val="000000" w:themeColor="text1"/>
          <w:lang w:val="en-CA"/>
        </w:rPr>
        <w:t xml:space="preserve">been </w:t>
      </w:r>
      <w:r w:rsidR="00B4403B">
        <w:rPr>
          <w:color w:val="000000" w:themeColor="text1"/>
          <w:lang w:val="en-CA"/>
        </w:rPr>
        <w:t xml:space="preserve">planned </w:t>
      </w:r>
      <w:r w:rsidR="009C3903">
        <w:rPr>
          <w:color w:val="000000" w:themeColor="text1"/>
          <w:lang w:val="en-CA"/>
        </w:rPr>
        <w:t xml:space="preserve">to </w:t>
      </w:r>
      <w:r w:rsidR="00B4403B">
        <w:rPr>
          <w:color w:val="000000" w:themeColor="text1"/>
          <w:lang w:val="en-CA"/>
        </w:rPr>
        <w:t xml:space="preserve">address consumption in </w:t>
      </w:r>
      <w:r w:rsidR="009C3903">
        <w:rPr>
          <w:color w:val="000000" w:themeColor="text1"/>
          <w:lang w:val="en-CA"/>
        </w:rPr>
        <w:t xml:space="preserve">the </w:t>
      </w:r>
      <w:r w:rsidR="00B4403B">
        <w:rPr>
          <w:color w:val="000000" w:themeColor="text1"/>
          <w:lang w:val="en-CA"/>
        </w:rPr>
        <w:t xml:space="preserve">commercial refrigeration </w:t>
      </w:r>
      <w:r w:rsidR="00D62BB1">
        <w:rPr>
          <w:color w:val="000000" w:themeColor="text1"/>
          <w:lang w:val="en-CA"/>
        </w:rPr>
        <w:t xml:space="preserve">(cold storage) </w:t>
      </w:r>
      <w:r w:rsidR="00B4403B">
        <w:rPr>
          <w:color w:val="000000" w:themeColor="text1"/>
          <w:lang w:val="en-CA"/>
        </w:rPr>
        <w:t>sector</w:t>
      </w:r>
      <w:r w:rsidR="007F228F">
        <w:rPr>
          <w:color w:val="000000" w:themeColor="text1"/>
          <w:lang w:val="en-CA"/>
        </w:rPr>
        <w:t xml:space="preserve">, </w:t>
      </w:r>
      <w:proofErr w:type="spellStart"/>
      <w:r w:rsidR="007F228F">
        <w:rPr>
          <w:color w:val="000000" w:themeColor="text1"/>
          <w:lang w:val="en-CA"/>
        </w:rPr>
        <w:t>i</w:t>
      </w:r>
      <w:proofErr w:type="spellEnd"/>
      <w:r w:rsidR="00E17D2B" w:rsidRPr="00373EA2">
        <w:rPr>
          <w:bCs/>
          <w:color w:val="000000" w:themeColor="text1"/>
        </w:rPr>
        <w:t xml:space="preserve">n </w:t>
      </w:r>
      <w:r w:rsidR="006F67C0" w:rsidRPr="00373EA2">
        <w:rPr>
          <w:bCs/>
          <w:color w:val="000000" w:themeColor="text1"/>
        </w:rPr>
        <w:t xml:space="preserve">view of the </w:t>
      </w:r>
      <w:r w:rsidR="00B4403B">
        <w:rPr>
          <w:bCs/>
          <w:color w:val="000000" w:themeColor="text1"/>
        </w:rPr>
        <w:t xml:space="preserve">challenges </w:t>
      </w:r>
      <w:r w:rsidR="00373EA2">
        <w:rPr>
          <w:bCs/>
          <w:color w:val="000000" w:themeColor="text1"/>
        </w:rPr>
        <w:t xml:space="preserve">in </w:t>
      </w:r>
      <w:r w:rsidR="006F67C0" w:rsidRPr="00373EA2">
        <w:rPr>
          <w:bCs/>
          <w:color w:val="000000" w:themeColor="text1"/>
        </w:rPr>
        <w:t xml:space="preserve">finding </w:t>
      </w:r>
      <w:r w:rsidR="009A7587">
        <w:rPr>
          <w:bCs/>
          <w:color w:val="000000" w:themeColor="text1"/>
        </w:rPr>
        <w:t xml:space="preserve">suitable </w:t>
      </w:r>
      <w:r w:rsidR="006F67C0" w:rsidRPr="00373EA2">
        <w:rPr>
          <w:bCs/>
          <w:color w:val="000000" w:themeColor="text1"/>
        </w:rPr>
        <w:t xml:space="preserve">low-GWP </w:t>
      </w:r>
      <w:r w:rsidR="009A7587">
        <w:rPr>
          <w:bCs/>
          <w:color w:val="000000" w:themeColor="text1"/>
        </w:rPr>
        <w:t xml:space="preserve">alternatives that </w:t>
      </w:r>
      <w:r w:rsidR="00E17D2B">
        <w:rPr>
          <w:bCs/>
          <w:color w:val="000000" w:themeColor="text1"/>
        </w:rPr>
        <w:t xml:space="preserve">are </w:t>
      </w:r>
      <w:r w:rsidR="009A7587" w:rsidRPr="00373EA2">
        <w:rPr>
          <w:bCs/>
          <w:color w:val="000000" w:themeColor="text1"/>
        </w:rPr>
        <w:t>cost</w:t>
      </w:r>
      <w:r w:rsidR="00E17D2B">
        <w:rPr>
          <w:bCs/>
          <w:color w:val="000000" w:themeColor="text1"/>
        </w:rPr>
        <w:t xml:space="preserve"> </w:t>
      </w:r>
      <w:r w:rsidR="009A7587">
        <w:rPr>
          <w:bCs/>
          <w:color w:val="000000" w:themeColor="text1"/>
        </w:rPr>
        <w:t xml:space="preserve">effective and </w:t>
      </w:r>
      <w:r w:rsidR="009A7587" w:rsidRPr="00373EA2">
        <w:rPr>
          <w:bCs/>
          <w:color w:val="000000" w:themeColor="text1"/>
        </w:rPr>
        <w:t>commercial</w:t>
      </w:r>
      <w:r w:rsidR="009A7587">
        <w:rPr>
          <w:bCs/>
          <w:color w:val="000000" w:themeColor="text1"/>
        </w:rPr>
        <w:t>ly</w:t>
      </w:r>
      <w:r w:rsidR="009A7587" w:rsidRPr="00373EA2">
        <w:rPr>
          <w:bCs/>
          <w:color w:val="000000" w:themeColor="text1"/>
        </w:rPr>
        <w:t xml:space="preserve"> availab</w:t>
      </w:r>
      <w:r w:rsidR="009A7587">
        <w:rPr>
          <w:bCs/>
          <w:color w:val="000000" w:themeColor="text1"/>
        </w:rPr>
        <w:t>le</w:t>
      </w:r>
      <w:r w:rsidR="006F67C0" w:rsidRPr="00373EA2">
        <w:rPr>
          <w:bCs/>
          <w:color w:val="000000" w:themeColor="text1"/>
        </w:rPr>
        <w:t>, it is proposed to</w:t>
      </w:r>
      <w:r w:rsidR="009A7587">
        <w:rPr>
          <w:bCs/>
          <w:color w:val="000000" w:themeColor="text1"/>
        </w:rPr>
        <w:t xml:space="preserve"> </w:t>
      </w:r>
      <w:r w:rsidR="00D62BB1">
        <w:rPr>
          <w:bCs/>
          <w:color w:val="000000" w:themeColor="text1"/>
        </w:rPr>
        <w:t xml:space="preserve">re-programme the funding </w:t>
      </w:r>
      <w:r w:rsidR="009A7587">
        <w:rPr>
          <w:bCs/>
          <w:color w:val="000000" w:themeColor="text1"/>
        </w:rPr>
        <w:t xml:space="preserve">partially </w:t>
      </w:r>
      <w:r w:rsidR="00E17D2B">
        <w:rPr>
          <w:bCs/>
          <w:color w:val="000000" w:themeColor="text1"/>
        </w:rPr>
        <w:t>to train</w:t>
      </w:r>
      <w:r w:rsidR="009A7587">
        <w:rPr>
          <w:bCs/>
          <w:color w:val="000000" w:themeColor="text1"/>
        </w:rPr>
        <w:t xml:space="preserve"> end-users in </w:t>
      </w:r>
      <w:r w:rsidR="00E17D2B">
        <w:rPr>
          <w:bCs/>
          <w:color w:val="000000" w:themeColor="text1"/>
        </w:rPr>
        <w:t xml:space="preserve">the </w:t>
      </w:r>
      <w:r w:rsidR="009A7587">
        <w:rPr>
          <w:bCs/>
          <w:color w:val="000000" w:themeColor="text1"/>
        </w:rPr>
        <w:t>adopti</w:t>
      </w:r>
      <w:r w:rsidR="00E17D2B">
        <w:rPr>
          <w:bCs/>
          <w:color w:val="000000" w:themeColor="text1"/>
        </w:rPr>
        <w:t>on of</w:t>
      </w:r>
      <w:r w:rsidR="009A7587">
        <w:rPr>
          <w:bCs/>
          <w:color w:val="000000" w:themeColor="text1"/>
        </w:rPr>
        <w:t xml:space="preserve"> low</w:t>
      </w:r>
      <w:r w:rsidR="007F228F">
        <w:rPr>
          <w:bCs/>
          <w:color w:val="000000" w:themeColor="text1"/>
        </w:rPr>
        <w:noBreakHyphen/>
      </w:r>
      <w:r w:rsidR="009A7587">
        <w:rPr>
          <w:bCs/>
          <w:color w:val="000000" w:themeColor="text1"/>
        </w:rPr>
        <w:t xml:space="preserve">GWP technologies </w:t>
      </w:r>
      <w:r w:rsidR="00D62BB1">
        <w:rPr>
          <w:bCs/>
          <w:color w:val="000000" w:themeColor="text1"/>
        </w:rPr>
        <w:t>and to use the remaining US $</w:t>
      </w:r>
      <w:r w:rsidR="00F25E31">
        <w:rPr>
          <w:bCs/>
          <w:color w:val="000000" w:themeColor="text1"/>
        </w:rPr>
        <w:t>60,000</w:t>
      </w:r>
      <w:r w:rsidR="00D62BB1">
        <w:rPr>
          <w:bCs/>
          <w:color w:val="000000" w:themeColor="text1"/>
        </w:rPr>
        <w:t xml:space="preserve"> for an end-user programme promoting HC-290 technology in </w:t>
      </w:r>
      <w:r w:rsidR="00D62BB1" w:rsidRPr="00373EA2">
        <w:rPr>
          <w:bCs/>
          <w:color w:val="000000" w:themeColor="text1"/>
        </w:rPr>
        <w:t>the residential sector</w:t>
      </w:r>
      <w:r w:rsidR="00D62BB1">
        <w:rPr>
          <w:bCs/>
          <w:color w:val="000000" w:themeColor="text1"/>
        </w:rPr>
        <w:t xml:space="preserve">. </w:t>
      </w:r>
    </w:p>
    <w:p w14:paraId="7BB33FFB" w14:textId="33A1C073" w:rsidR="00114789" w:rsidRPr="00114789" w:rsidRDefault="00E17D2B" w:rsidP="000C47B6">
      <w:pPr>
        <w:pStyle w:val="Heading1"/>
        <w:rPr>
          <w:bCs/>
          <w:color w:val="000000" w:themeColor="text1"/>
          <w:lang w:val="en-US"/>
        </w:rPr>
      </w:pPr>
      <w:r>
        <w:rPr>
          <w:bCs/>
          <w:color w:val="000000" w:themeColor="text1"/>
        </w:rPr>
        <w:t>The organization of</w:t>
      </w:r>
      <w:r w:rsidR="00D62BB1">
        <w:rPr>
          <w:bCs/>
          <w:color w:val="000000" w:themeColor="text1"/>
        </w:rPr>
        <w:t xml:space="preserve"> </w:t>
      </w:r>
      <w:r w:rsidR="00114789">
        <w:rPr>
          <w:bCs/>
          <w:color w:val="000000" w:themeColor="text1"/>
        </w:rPr>
        <w:t xml:space="preserve">10 </w:t>
      </w:r>
      <w:r w:rsidR="00D62BB1">
        <w:rPr>
          <w:bCs/>
          <w:color w:val="000000" w:themeColor="text1"/>
        </w:rPr>
        <w:t xml:space="preserve">training workshops </w:t>
      </w:r>
      <w:r>
        <w:rPr>
          <w:bCs/>
          <w:color w:val="000000" w:themeColor="text1"/>
        </w:rPr>
        <w:t xml:space="preserve">is planned </w:t>
      </w:r>
      <w:r w:rsidR="00114789">
        <w:rPr>
          <w:bCs/>
          <w:color w:val="000000" w:themeColor="text1"/>
        </w:rPr>
        <w:t xml:space="preserve">to train 300 technicians covering all the end-users in cold storage facilities with a focus on </w:t>
      </w:r>
      <w:r w:rsidR="00C16E81">
        <w:rPr>
          <w:bCs/>
          <w:color w:val="000000" w:themeColor="text1"/>
        </w:rPr>
        <w:t>reducing</w:t>
      </w:r>
      <w:r>
        <w:rPr>
          <w:bCs/>
          <w:color w:val="000000" w:themeColor="text1"/>
        </w:rPr>
        <w:t xml:space="preserve"> </w:t>
      </w:r>
      <w:r w:rsidR="00114789">
        <w:rPr>
          <w:bCs/>
          <w:color w:val="000000" w:themeColor="text1"/>
        </w:rPr>
        <w:t>leakage</w:t>
      </w:r>
      <w:r>
        <w:rPr>
          <w:bCs/>
          <w:color w:val="000000" w:themeColor="text1"/>
        </w:rPr>
        <w:t>,</w:t>
      </w:r>
      <w:r w:rsidR="00114789">
        <w:rPr>
          <w:bCs/>
          <w:color w:val="000000" w:themeColor="text1"/>
        </w:rPr>
        <w:t xml:space="preserve"> improving maintenance</w:t>
      </w:r>
      <w:r>
        <w:rPr>
          <w:bCs/>
          <w:color w:val="000000" w:themeColor="text1"/>
        </w:rPr>
        <w:t>,</w:t>
      </w:r>
      <w:r w:rsidR="00114789">
        <w:rPr>
          <w:bCs/>
          <w:color w:val="000000" w:themeColor="text1"/>
        </w:rPr>
        <w:t xml:space="preserve"> </w:t>
      </w:r>
      <w:r w:rsidR="00656575" w:rsidRPr="006F67C0">
        <w:rPr>
          <w:bCs/>
          <w:color w:val="000000" w:themeColor="text1"/>
        </w:rPr>
        <w:t>introduc</w:t>
      </w:r>
      <w:r>
        <w:rPr>
          <w:bCs/>
          <w:color w:val="000000" w:themeColor="text1"/>
        </w:rPr>
        <w:t>ing</w:t>
      </w:r>
      <w:r w:rsidR="007F228F">
        <w:rPr>
          <w:bCs/>
          <w:color w:val="000000" w:themeColor="text1"/>
        </w:rPr>
        <w:t xml:space="preserve"> controls on HFCs, in addition to HCFCs</w:t>
      </w:r>
      <w:r w:rsidR="00656575">
        <w:rPr>
          <w:bCs/>
          <w:color w:val="000000" w:themeColor="text1"/>
        </w:rPr>
        <w:t>,</w:t>
      </w:r>
      <w:r w:rsidR="00656575" w:rsidRPr="006F67C0">
        <w:rPr>
          <w:bCs/>
          <w:color w:val="000000" w:themeColor="text1"/>
        </w:rPr>
        <w:t xml:space="preserve"> inform</w:t>
      </w:r>
      <w:r w:rsidR="00656575">
        <w:rPr>
          <w:bCs/>
          <w:color w:val="000000" w:themeColor="text1"/>
        </w:rPr>
        <w:t>ing</w:t>
      </w:r>
      <w:r w:rsidR="00656575" w:rsidRPr="006F67C0">
        <w:rPr>
          <w:bCs/>
          <w:color w:val="000000" w:themeColor="text1"/>
        </w:rPr>
        <w:t xml:space="preserve"> </w:t>
      </w:r>
      <w:r w:rsidR="00656575">
        <w:rPr>
          <w:bCs/>
          <w:color w:val="000000" w:themeColor="text1"/>
        </w:rPr>
        <w:t xml:space="preserve">future technology options and </w:t>
      </w:r>
      <w:r>
        <w:rPr>
          <w:bCs/>
          <w:color w:val="000000" w:themeColor="text1"/>
        </w:rPr>
        <w:t xml:space="preserve">preparing </w:t>
      </w:r>
      <w:r w:rsidR="00114789">
        <w:rPr>
          <w:bCs/>
          <w:color w:val="000000" w:themeColor="text1"/>
        </w:rPr>
        <w:t xml:space="preserve">for </w:t>
      </w:r>
      <w:r>
        <w:rPr>
          <w:bCs/>
          <w:color w:val="000000" w:themeColor="text1"/>
        </w:rPr>
        <w:t xml:space="preserve">the </w:t>
      </w:r>
      <w:r w:rsidR="00114789">
        <w:rPr>
          <w:bCs/>
          <w:color w:val="000000" w:themeColor="text1"/>
        </w:rPr>
        <w:t>transition to low-GWP technologies</w:t>
      </w:r>
      <w:r w:rsidR="0034115E">
        <w:rPr>
          <w:bCs/>
          <w:color w:val="000000" w:themeColor="text1"/>
        </w:rPr>
        <w:t xml:space="preserve"> (US $19,628)</w:t>
      </w:r>
      <w:r w:rsidR="00114789">
        <w:rPr>
          <w:bCs/>
          <w:color w:val="000000" w:themeColor="text1"/>
        </w:rPr>
        <w:t xml:space="preserve">. </w:t>
      </w:r>
    </w:p>
    <w:p w14:paraId="718779FB" w14:textId="2446B2D5" w:rsidR="00296D5B" w:rsidRDefault="00114789" w:rsidP="00F25E31">
      <w:pPr>
        <w:pStyle w:val="Heading1"/>
        <w:rPr>
          <w:bCs/>
          <w:color w:val="000000" w:themeColor="text1"/>
          <w:lang w:val="en-US"/>
        </w:rPr>
      </w:pPr>
      <w:r>
        <w:rPr>
          <w:bCs/>
          <w:color w:val="000000" w:themeColor="text1"/>
        </w:rPr>
        <w:t xml:space="preserve">For the end-user incentive programme in </w:t>
      </w:r>
      <w:r w:rsidR="00E17D2B">
        <w:rPr>
          <w:bCs/>
          <w:color w:val="000000" w:themeColor="text1"/>
        </w:rPr>
        <w:t xml:space="preserve">the </w:t>
      </w:r>
      <w:r>
        <w:rPr>
          <w:bCs/>
          <w:color w:val="000000" w:themeColor="text1"/>
        </w:rPr>
        <w:t>residential sector, i</w:t>
      </w:r>
      <w:r w:rsidR="000C47B6" w:rsidRPr="00114789">
        <w:rPr>
          <w:bCs/>
          <w:color w:val="000000" w:themeColor="text1"/>
        </w:rPr>
        <w:t xml:space="preserve">t is planned to cooperate with </w:t>
      </w:r>
      <w:r w:rsidR="00E17D2B">
        <w:rPr>
          <w:bCs/>
          <w:color w:val="000000" w:themeColor="text1"/>
        </w:rPr>
        <w:t xml:space="preserve">the </w:t>
      </w:r>
      <w:r w:rsidR="000C47B6" w:rsidRPr="00114789">
        <w:rPr>
          <w:bCs/>
          <w:color w:val="000000" w:themeColor="text1"/>
          <w:lang w:val="en-US"/>
        </w:rPr>
        <w:t xml:space="preserve">Kigali cooling efficiency </w:t>
      </w:r>
      <w:proofErr w:type="spellStart"/>
      <w:r w:rsidR="000C47B6" w:rsidRPr="00114789">
        <w:rPr>
          <w:bCs/>
          <w:color w:val="000000" w:themeColor="text1"/>
          <w:lang w:val="en-US"/>
        </w:rPr>
        <w:t>programme</w:t>
      </w:r>
      <w:proofErr w:type="spellEnd"/>
      <w:r w:rsidR="000C47B6" w:rsidRPr="00114789">
        <w:rPr>
          <w:bCs/>
          <w:color w:val="000000" w:themeColor="text1"/>
          <w:lang w:val="en-US"/>
        </w:rPr>
        <w:t xml:space="preserve"> (KCEP) to procure up to 1,000 </w:t>
      </w:r>
      <w:r w:rsidR="00B4403B" w:rsidRPr="00114789">
        <w:rPr>
          <w:bCs/>
          <w:color w:val="000000" w:themeColor="text1"/>
          <w:lang w:val="en-US"/>
        </w:rPr>
        <w:t xml:space="preserve">units of </w:t>
      </w:r>
      <w:r w:rsidR="000C47B6" w:rsidRPr="00114789">
        <w:rPr>
          <w:bCs/>
          <w:color w:val="000000" w:themeColor="text1"/>
          <w:lang w:val="en-US"/>
        </w:rPr>
        <w:t>ACs with US $50 incentive per unit</w:t>
      </w:r>
      <w:r w:rsidR="00B4403B" w:rsidRPr="00114789">
        <w:rPr>
          <w:bCs/>
          <w:color w:val="000000" w:themeColor="text1"/>
          <w:lang w:val="en-US"/>
        </w:rPr>
        <w:t xml:space="preserve"> shared by </w:t>
      </w:r>
      <w:r w:rsidR="00E17D2B">
        <w:rPr>
          <w:bCs/>
          <w:color w:val="000000" w:themeColor="text1"/>
          <w:lang w:val="en-US"/>
        </w:rPr>
        <w:t xml:space="preserve">the </w:t>
      </w:r>
      <w:r w:rsidR="007F228F">
        <w:rPr>
          <w:bCs/>
          <w:color w:val="000000" w:themeColor="text1"/>
          <w:lang w:val="en-US"/>
        </w:rPr>
        <w:t>Multilateral Fund</w:t>
      </w:r>
      <w:r w:rsidR="00B4403B" w:rsidRPr="00114789">
        <w:rPr>
          <w:bCs/>
          <w:color w:val="000000" w:themeColor="text1"/>
          <w:lang w:val="en-US"/>
        </w:rPr>
        <w:t xml:space="preserve"> a</w:t>
      </w:r>
      <w:r w:rsidR="00656575">
        <w:rPr>
          <w:bCs/>
          <w:color w:val="000000" w:themeColor="text1"/>
          <w:lang w:val="en-US"/>
        </w:rPr>
        <w:t>nd KCEP</w:t>
      </w:r>
      <w:r w:rsidR="00E17D2B">
        <w:rPr>
          <w:bCs/>
          <w:color w:val="000000" w:themeColor="text1"/>
          <w:lang w:val="en-US"/>
        </w:rPr>
        <w:t xml:space="preserve">, aimed at </w:t>
      </w:r>
      <w:r w:rsidR="00656575">
        <w:rPr>
          <w:bCs/>
          <w:color w:val="000000" w:themeColor="text1"/>
          <w:lang w:val="en-US"/>
        </w:rPr>
        <w:t>increas</w:t>
      </w:r>
      <w:r w:rsidR="00E17D2B">
        <w:rPr>
          <w:bCs/>
          <w:color w:val="000000" w:themeColor="text1"/>
          <w:lang w:val="en-US"/>
        </w:rPr>
        <w:t>ing</w:t>
      </w:r>
      <w:r w:rsidR="00656575">
        <w:rPr>
          <w:bCs/>
          <w:color w:val="000000" w:themeColor="text1"/>
          <w:lang w:val="en-US"/>
        </w:rPr>
        <w:t xml:space="preserve"> the market penetration of HC-290 technology</w:t>
      </w:r>
      <w:r w:rsidR="0034115E">
        <w:rPr>
          <w:bCs/>
          <w:color w:val="000000" w:themeColor="text1"/>
          <w:lang w:val="en-US"/>
        </w:rPr>
        <w:t xml:space="preserve"> (US $60,000)</w:t>
      </w:r>
      <w:r w:rsidR="00656575">
        <w:rPr>
          <w:bCs/>
          <w:color w:val="000000" w:themeColor="text1"/>
          <w:lang w:val="en-US"/>
        </w:rPr>
        <w:t>.</w:t>
      </w:r>
    </w:p>
    <w:p w14:paraId="7A70C5B3" w14:textId="77777777" w:rsidR="00255CDE" w:rsidRPr="00157991" w:rsidRDefault="00255CDE" w:rsidP="00255CDE">
      <w:pPr>
        <w:keepNext/>
        <w:keepLines/>
        <w:rPr>
          <w:u w:val="single"/>
          <w:lang w:val="en-CA"/>
        </w:rPr>
      </w:pPr>
      <w:r w:rsidRPr="00157991">
        <w:rPr>
          <w:u w:val="single"/>
          <w:lang w:val="en-CA"/>
        </w:rPr>
        <w:lastRenderedPageBreak/>
        <w:t xml:space="preserve">Sustainability of the HCFC phase-out </w:t>
      </w:r>
    </w:p>
    <w:p w14:paraId="535D6C05" w14:textId="77777777" w:rsidR="00255CDE" w:rsidRDefault="00255CDE" w:rsidP="00255CDE">
      <w:pPr>
        <w:rPr>
          <w:u w:val="single"/>
          <w:lang w:val="en-CA"/>
        </w:rPr>
      </w:pPr>
    </w:p>
    <w:p w14:paraId="1521C7EC" w14:textId="042FAF40" w:rsidR="007A5770" w:rsidRDefault="001504B4" w:rsidP="00255CDE">
      <w:pPr>
        <w:pStyle w:val="Heading1"/>
        <w:rPr>
          <w:lang w:val="en-CA"/>
        </w:rPr>
      </w:pPr>
      <w:r>
        <w:rPr>
          <w:lang w:val="en-CA"/>
        </w:rPr>
        <w:t xml:space="preserve">Ghana has established two </w:t>
      </w:r>
      <w:r w:rsidR="00402641">
        <w:rPr>
          <w:lang w:val="en-CA"/>
        </w:rPr>
        <w:t xml:space="preserve">professional </w:t>
      </w:r>
      <w:r>
        <w:rPr>
          <w:lang w:val="en-CA"/>
        </w:rPr>
        <w:t xml:space="preserve">training institutions and three centers of excellence to provide </w:t>
      </w:r>
      <w:r w:rsidR="00773B66">
        <w:rPr>
          <w:lang w:val="en-CA"/>
        </w:rPr>
        <w:t xml:space="preserve">systematic </w:t>
      </w:r>
      <w:r>
        <w:rPr>
          <w:lang w:val="en-CA"/>
        </w:rPr>
        <w:t xml:space="preserve">training and technical support </w:t>
      </w:r>
      <w:r w:rsidR="00402641">
        <w:rPr>
          <w:lang w:val="en-CA"/>
        </w:rPr>
        <w:t>to</w:t>
      </w:r>
      <w:r>
        <w:rPr>
          <w:lang w:val="en-CA"/>
        </w:rPr>
        <w:t xml:space="preserve"> technicians. </w:t>
      </w:r>
      <w:r w:rsidR="00773B66">
        <w:rPr>
          <w:lang w:val="en-CA"/>
        </w:rPr>
        <w:t>A</w:t>
      </w:r>
      <w:r>
        <w:rPr>
          <w:lang w:val="en-CA"/>
        </w:rPr>
        <w:t xml:space="preserve"> certification system for servicing technicians </w:t>
      </w:r>
      <w:r w:rsidR="00773B66">
        <w:rPr>
          <w:lang w:val="en-CA"/>
        </w:rPr>
        <w:t xml:space="preserve">is being developed </w:t>
      </w:r>
      <w:r w:rsidR="00402641">
        <w:rPr>
          <w:lang w:val="en-CA"/>
        </w:rPr>
        <w:t xml:space="preserve">based on the current practice in </w:t>
      </w:r>
      <w:r w:rsidR="003E2F73">
        <w:rPr>
          <w:lang w:val="en-CA"/>
        </w:rPr>
        <w:t xml:space="preserve">managing </w:t>
      </w:r>
      <w:r w:rsidR="00E17D2B">
        <w:rPr>
          <w:lang w:val="en-CA"/>
        </w:rPr>
        <w:t xml:space="preserve">the </w:t>
      </w:r>
      <w:r w:rsidR="003E2F73">
        <w:rPr>
          <w:lang w:val="en-CA"/>
        </w:rPr>
        <w:t>conversion to HCs. The ozone issue has been integrated into the training of customs officers</w:t>
      </w:r>
      <w:r w:rsidR="00773B66">
        <w:rPr>
          <w:lang w:val="en-CA"/>
        </w:rPr>
        <w:t xml:space="preserve"> to ensure the sustainability of training</w:t>
      </w:r>
      <w:r w:rsidR="003E2F73">
        <w:rPr>
          <w:lang w:val="en-CA"/>
        </w:rPr>
        <w:t>. Training and equipment have been provided to technicians</w:t>
      </w:r>
      <w:r w:rsidR="00773B66">
        <w:rPr>
          <w:lang w:val="en-CA"/>
        </w:rPr>
        <w:t xml:space="preserve"> to enable good servicing practices to sustain leakage reduction</w:t>
      </w:r>
      <w:r w:rsidR="003E2F73">
        <w:rPr>
          <w:lang w:val="en-CA"/>
        </w:rPr>
        <w:t xml:space="preserve">; and refrigerant identifiers </w:t>
      </w:r>
      <w:r w:rsidR="00E17D2B">
        <w:rPr>
          <w:lang w:val="en-CA"/>
        </w:rPr>
        <w:t xml:space="preserve">have been </w:t>
      </w:r>
      <w:r w:rsidR="003E2F73">
        <w:rPr>
          <w:lang w:val="en-CA"/>
        </w:rPr>
        <w:t>provided to customs officers</w:t>
      </w:r>
      <w:r w:rsidR="00773B66">
        <w:rPr>
          <w:lang w:val="en-CA"/>
        </w:rPr>
        <w:t xml:space="preserve"> to facilitate </w:t>
      </w:r>
      <w:r w:rsidR="00E17D2B">
        <w:rPr>
          <w:lang w:val="en-CA"/>
        </w:rPr>
        <w:t xml:space="preserve">the </w:t>
      </w:r>
      <w:r w:rsidR="00773B66">
        <w:rPr>
          <w:lang w:val="en-CA"/>
        </w:rPr>
        <w:t xml:space="preserve">identification of refrigerant to enhance import control. The activities to be implemented in the six tranche, including training </w:t>
      </w:r>
      <w:r w:rsidR="00E17D2B">
        <w:rPr>
          <w:lang w:val="en-CA"/>
        </w:rPr>
        <w:t xml:space="preserve">the </w:t>
      </w:r>
      <w:r w:rsidR="00773B66">
        <w:rPr>
          <w:lang w:val="en-CA"/>
        </w:rPr>
        <w:t xml:space="preserve">end-users in cold storage subsector for </w:t>
      </w:r>
      <w:r w:rsidR="00E17D2B">
        <w:rPr>
          <w:lang w:val="en-CA"/>
        </w:rPr>
        <w:t xml:space="preserve">the </w:t>
      </w:r>
      <w:r w:rsidR="00773B66">
        <w:rPr>
          <w:lang w:val="en-CA"/>
        </w:rPr>
        <w:t xml:space="preserve">adoption of low-GWP alternatives and the promotion of HC in </w:t>
      </w:r>
      <w:r w:rsidR="00E17D2B">
        <w:rPr>
          <w:lang w:val="en-CA"/>
        </w:rPr>
        <w:t xml:space="preserve">the </w:t>
      </w:r>
      <w:r w:rsidR="00773B66">
        <w:rPr>
          <w:lang w:val="en-CA"/>
        </w:rPr>
        <w:t>residential AC sector, will ensure long-term sustainability of HCFC phase-out</w:t>
      </w:r>
      <w:r w:rsidR="003E2F73">
        <w:rPr>
          <w:lang w:val="en-CA"/>
        </w:rPr>
        <w:t xml:space="preserve">. </w:t>
      </w:r>
    </w:p>
    <w:p w14:paraId="78CAB2B2" w14:textId="77777777" w:rsidR="00255CDE" w:rsidRPr="00FE3307" w:rsidRDefault="00255CDE" w:rsidP="00255CDE">
      <w:pPr>
        <w:rPr>
          <w:u w:val="single"/>
          <w:lang w:val="en-CA"/>
        </w:rPr>
      </w:pPr>
      <w:r w:rsidRPr="00FE3307">
        <w:rPr>
          <w:u w:val="single"/>
          <w:lang w:val="en-CA"/>
        </w:rPr>
        <w:t xml:space="preserve">Conclusion </w:t>
      </w:r>
    </w:p>
    <w:p w14:paraId="133647BC" w14:textId="77777777" w:rsidR="00255CDE" w:rsidRPr="00FE3307" w:rsidRDefault="00255CDE" w:rsidP="00255CDE">
      <w:pPr>
        <w:rPr>
          <w:lang w:val="en-CA"/>
        </w:rPr>
      </w:pPr>
    </w:p>
    <w:p w14:paraId="2D6CBE3B" w14:textId="26A9055C" w:rsidR="000D304B" w:rsidRPr="001504B4" w:rsidRDefault="000D304B" w:rsidP="00143A2F">
      <w:pPr>
        <w:pStyle w:val="Heading1"/>
        <w:rPr>
          <w:lang w:val="en-CA"/>
        </w:rPr>
      </w:pPr>
      <w:r w:rsidRPr="001504B4">
        <w:rPr>
          <w:lang w:val="en-CA"/>
        </w:rPr>
        <w:t xml:space="preserve">The Government is enforcing a licensing and quota system for the import and export of HCFCs, and consumption in 2018 is below the control targets of the Montreal Protocol and those stipulated in the Agreement with the Executive Committee. A large number of customs officers have been trained and refrigerant identifiers have been provided to enable close monitoring of imports. The Government is further developing a comprehensive certification system for servicing technicians based on existing practice in managing technicians who </w:t>
      </w:r>
      <w:r w:rsidR="00E17D2B" w:rsidRPr="001504B4">
        <w:rPr>
          <w:lang w:val="en-CA"/>
        </w:rPr>
        <w:t>ha</w:t>
      </w:r>
      <w:r w:rsidR="00E17D2B">
        <w:rPr>
          <w:lang w:val="en-CA"/>
        </w:rPr>
        <w:t>ve</w:t>
      </w:r>
      <w:r w:rsidR="00E17D2B" w:rsidRPr="001504B4">
        <w:rPr>
          <w:lang w:val="en-CA"/>
        </w:rPr>
        <w:t xml:space="preserve"> </w:t>
      </w:r>
      <w:r w:rsidRPr="001504B4">
        <w:rPr>
          <w:lang w:val="en-CA"/>
        </w:rPr>
        <w:t>been certified for handling hydrocarbons</w:t>
      </w:r>
      <w:r w:rsidR="00C205AF">
        <w:rPr>
          <w:lang w:val="en-CA"/>
        </w:rPr>
        <w:t xml:space="preserve"> requirements.</w:t>
      </w:r>
      <w:r w:rsidRPr="001504B4">
        <w:rPr>
          <w:lang w:val="en-CA"/>
        </w:rPr>
        <w:t xml:space="preserve"> Training and equipment has been provided to facilitate good servicing practices. Guidelines for the use of HC refrigerants have been </w:t>
      </w:r>
      <w:r w:rsidR="001504B4">
        <w:rPr>
          <w:lang w:val="en-CA"/>
        </w:rPr>
        <w:t xml:space="preserve">issued </w:t>
      </w:r>
      <w:r w:rsidRPr="001504B4">
        <w:rPr>
          <w:lang w:val="en-CA"/>
        </w:rPr>
        <w:t xml:space="preserve">and conversions of residential ACs to R-290 are being safely implemented. The disbursement of funding for the </w:t>
      </w:r>
      <w:r w:rsidR="001504B4">
        <w:rPr>
          <w:lang w:val="en-CA"/>
        </w:rPr>
        <w:t xml:space="preserve">fifth </w:t>
      </w:r>
      <w:r w:rsidRPr="001504B4">
        <w:rPr>
          <w:lang w:val="en-CA"/>
        </w:rPr>
        <w:t xml:space="preserve">tranche reached </w:t>
      </w:r>
      <w:r w:rsidR="001504B4">
        <w:rPr>
          <w:lang w:val="en-CA"/>
        </w:rPr>
        <w:t>29</w:t>
      </w:r>
      <w:r w:rsidRPr="001504B4">
        <w:rPr>
          <w:lang w:val="en-CA"/>
        </w:rPr>
        <w:t> per cent. The progress achieved so far and the activities implemented under the f</w:t>
      </w:r>
      <w:r w:rsidR="001504B4">
        <w:rPr>
          <w:lang w:val="en-CA"/>
        </w:rPr>
        <w:t>if</w:t>
      </w:r>
      <w:r w:rsidRPr="001504B4">
        <w:rPr>
          <w:lang w:val="en-CA"/>
        </w:rPr>
        <w:t>th tranche will ensure the long-term sustainability of the achievements under stage I of the HPMP.</w:t>
      </w:r>
    </w:p>
    <w:p w14:paraId="7F237EDD" w14:textId="77777777" w:rsidR="00255CDE" w:rsidRPr="00FE3307" w:rsidRDefault="00255CDE" w:rsidP="00255CDE">
      <w:pPr>
        <w:rPr>
          <w:lang w:val="en-CA"/>
        </w:rPr>
      </w:pPr>
      <w:r w:rsidRPr="00FE3307">
        <w:rPr>
          <w:b/>
          <w:lang w:val="en-CA"/>
        </w:rPr>
        <w:t xml:space="preserve">RECOMMENDATION </w:t>
      </w:r>
    </w:p>
    <w:p w14:paraId="0FC6EB9C" w14:textId="77777777" w:rsidR="00255CDE" w:rsidRPr="00FE3307" w:rsidRDefault="00255CDE" w:rsidP="00255CDE">
      <w:pPr>
        <w:rPr>
          <w:lang w:val="en-CA"/>
        </w:rPr>
      </w:pPr>
    </w:p>
    <w:p w14:paraId="5D4974F2" w14:textId="638C17AE" w:rsidR="00255CDE" w:rsidRPr="00FE3307" w:rsidRDefault="00E76F78" w:rsidP="00255CDE">
      <w:pPr>
        <w:pStyle w:val="Heading1"/>
        <w:rPr>
          <w:lang w:val="en-CA"/>
        </w:rPr>
      </w:pPr>
      <w:r>
        <w:rPr>
          <w:lang w:val="en-CA"/>
        </w:rPr>
        <w:t>The Fund Secretariat recommends that th</w:t>
      </w:r>
      <w:r w:rsidR="00255CDE" w:rsidRPr="00FE3307">
        <w:rPr>
          <w:lang w:val="en-CA"/>
        </w:rPr>
        <w:t xml:space="preserve">e Executive Committee: </w:t>
      </w:r>
    </w:p>
    <w:p w14:paraId="6618475F" w14:textId="58C9A795" w:rsidR="00255CDE" w:rsidRPr="000258E6" w:rsidRDefault="00E76F78" w:rsidP="00255CDE">
      <w:pPr>
        <w:pStyle w:val="Heading2"/>
        <w:numPr>
          <w:ilvl w:val="1"/>
          <w:numId w:val="1"/>
        </w:numPr>
        <w:rPr>
          <w:lang w:val="en-CA"/>
        </w:rPr>
      </w:pPr>
      <w:r>
        <w:rPr>
          <w:lang w:val="en-CA"/>
        </w:rPr>
        <w:t>T</w:t>
      </w:r>
      <w:r w:rsidR="00255CDE" w:rsidRPr="00FE3307">
        <w:rPr>
          <w:lang w:val="en-CA"/>
        </w:rPr>
        <w:t>ake</w:t>
      </w:r>
      <w:r>
        <w:rPr>
          <w:lang w:val="en-CA"/>
        </w:rPr>
        <w:t>s</w:t>
      </w:r>
      <w:r w:rsidR="00255CDE" w:rsidRPr="00FE3307">
        <w:rPr>
          <w:lang w:val="en-CA"/>
        </w:rPr>
        <w:t xml:space="preserve"> note of the progress report on the implementation of the </w:t>
      </w:r>
      <w:r w:rsidR="000258E6">
        <w:rPr>
          <w:lang w:val="en-CA"/>
        </w:rPr>
        <w:t>fifth</w:t>
      </w:r>
      <w:r w:rsidR="00255CDE" w:rsidRPr="00FE3307">
        <w:rPr>
          <w:lang w:val="en-CA"/>
        </w:rPr>
        <w:t xml:space="preserve"> tranche of stage I of the HCFC phase-out management plan of (HPMP) </w:t>
      </w:r>
      <w:r w:rsidR="00255CDE" w:rsidRPr="000258E6">
        <w:rPr>
          <w:lang w:val="en-CA"/>
        </w:rPr>
        <w:t xml:space="preserve">for </w:t>
      </w:r>
      <w:r w:rsidR="000258E6" w:rsidRPr="000258E6">
        <w:rPr>
          <w:lang w:val="en-CA"/>
        </w:rPr>
        <w:t>Ghana</w:t>
      </w:r>
      <w:r w:rsidR="00255CDE" w:rsidRPr="000258E6">
        <w:rPr>
          <w:lang w:val="en-CA"/>
        </w:rPr>
        <w:t>; and</w:t>
      </w:r>
    </w:p>
    <w:p w14:paraId="4C76F116" w14:textId="6EBAA3D3" w:rsidR="00255CDE" w:rsidRPr="00FE3307" w:rsidRDefault="00E76F78" w:rsidP="00255CDE">
      <w:pPr>
        <w:pStyle w:val="Heading2"/>
        <w:numPr>
          <w:ilvl w:val="1"/>
          <w:numId w:val="1"/>
        </w:numPr>
        <w:rPr>
          <w:lang w:val="en-CA"/>
        </w:rPr>
      </w:pPr>
      <w:r>
        <w:rPr>
          <w:lang w:val="en-CA"/>
        </w:rPr>
        <w:t>R</w:t>
      </w:r>
      <w:r w:rsidR="009C3903" w:rsidRPr="00FE3307">
        <w:rPr>
          <w:lang w:val="en-CA"/>
        </w:rPr>
        <w:t>equest</w:t>
      </w:r>
      <w:r>
        <w:rPr>
          <w:lang w:val="en-CA"/>
        </w:rPr>
        <w:t>s</w:t>
      </w:r>
      <w:r w:rsidR="009C3903" w:rsidRPr="00FE3307">
        <w:rPr>
          <w:lang w:val="en-CA"/>
        </w:rPr>
        <w:t xml:space="preserve"> </w:t>
      </w:r>
      <w:r w:rsidR="00255CDE" w:rsidRPr="00FE3307">
        <w:rPr>
          <w:lang w:val="en-CA"/>
        </w:rPr>
        <w:t>the Government of</w:t>
      </w:r>
      <w:r w:rsidR="000258E6">
        <w:rPr>
          <w:lang w:val="en-CA"/>
        </w:rPr>
        <w:t xml:space="preserve"> </w:t>
      </w:r>
      <w:r w:rsidR="000258E6" w:rsidRPr="000258E6">
        <w:rPr>
          <w:lang w:val="en-CA"/>
        </w:rPr>
        <w:t>Ghana</w:t>
      </w:r>
      <w:r w:rsidR="00255CDE" w:rsidRPr="000258E6">
        <w:rPr>
          <w:lang w:val="en-CA"/>
        </w:rPr>
        <w:t>,</w:t>
      </w:r>
      <w:r w:rsidR="000258E6" w:rsidRPr="000258E6">
        <w:rPr>
          <w:lang w:val="en-CA"/>
        </w:rPr>
        <w:t xml:space="preserve"> UNDP</w:t>
      </w:r>
      <w:r w:rsidR="00255CDE" w:rsidRPr="00FE3307">
        <w:rPr>
          <w:lang w:val="en-CA"/>
        </w:rPr>
        <w:t xml:space="preserve"> and </w:t>
      </w:r>
      <w:r w:rsidR="000258E6">
        <w:rPr>
          <w:lang w:val="en-CA"/>
        </w:rPr>
        <w:t>the Government of Italy</w:t>
      </w:r>
      <w:r w:rsidR="00255CDE" w:rsidRPr="00FE3307">
        <w:rPr>
          <w:lang w:val="en-CA"/>
        </w:rPr>
        <w:t xml:space="preserve"> to submit progress reports on a yearly basis on the implementation of the work programme associated with the final tranche until the completion of the project, verification reports until approval of stage II, and the project completion report to the </w:t>
      </w:r>
      <w:r w:rsidR="00255CDE" w:rsidRPr="004258A9">
        <w:rPr>
          <w:lang w:val="en-CA"/>
        </w:rPr>
        <w:t>first meeting</w:t>
      </w:r>
      <w:r w:rsidR="00255CDE" w:rsidRPr="00FE3307">
        <w:rPr>
          <w:lang w:val="en-CA"/>
        </w:rPr>
        <w:t xml:space="preserve"> of the Executive Committee </w:t>
      </w:r>
      <w:r w:rsidR="00255CDE" w:rsidRPr="00EF2490">
        <w:rPr>
          <w:lang w:val="en-CA"/>
        </w:rPr>
        <w:t>in 20</w:t>
      </w:r>
      <w:r w:rsidR="004258A9" w:rsidRPr="00EF2490">
        <w:rPr>
          <w:lang w:val="en-CA"/>
        </w:rPr>
        <w:t>21</w:t>
      </w:r>
      <w:r w:rsidR="00255CDE" w:rsidRPr="00EF2490">
        <w:rPr>
          <w:lang w:val="en-CA"/>
        </w:rPr>
        <w:t>.</w:t>
      </w:r>
      <w:r w:rsidR="004258A9">
        <w:rPr>
          <w:lang w:val="en-CA"/>
        </w:rPr>
        <w:t xml:space="preserve"> </w:t>
      </w:r>
      <w:r w:rsidR="00255CDE" w:rsidRPr="00FE3307">
        <w:rPr>
          <w:lang w:val="en-CA"/>
        </w:rPr>
        <w:t xml:space="preserve"> </w:t>
      </w:r>
    </w:p>
    <w:p w14:paraId="0A0BB036" w14:textId="2658F941" w:rsidR="00255CDE" w:rsidRPr="00FE3307" w:rsidRDefault="00255CDE" w:rsidP="00255CDE">
      <w:pPr>
        <w:pStyle w:val="Heading1"/>
        <w:rPr>
          <w:lang w:val="en-CA"/>
        </w:rPr>
      </w:pPr>
      <w:r w:rsidRPr="000258E6">
        <w:rPr>
          <w:lang w:val="en-CA"/>
        </w:rPr>
        <w:t xml:space="preserve">The Fund Secretariat further recommends blanket approval of the </w:t>
      </w:r>
      <w:r w:rsidR="000258E6" w:rsidRPr="000258E6">
        <w:rPr>
          <w:lang w:val="en-CA"/>
        </w:rPr>
        <w:t>sixth</w:t>
      </w:r>
      <w:r w:rsidRPr="000258E6">
        <w:rPr>
          <w:lang w:val="en-CA"/>
        </w:rPr>
        <w:t xml:space="preserve"> </w:t>
      </w:r>
      <w:r w:rsidR="000258E6" w:rsidRPr="000258E6">
        <w:rPr>
          <w:lang w:val="en-CA"/>
        </w:rPr>
        <w:t xml:space="preserve">and final </w:t>
      </w:r>
      <w:r w:rsidRPr="000258E6">
        <w:rPr>
          <w:lang w:val="en-CA"/>
        </w:rPr>
        <w:t xml:space="preserve">tranche of stage I of the HPMP for </w:t>
      </w:r>
      <w:r w:rsidR="000258E6" w:rsidRPr="000258E6">
        <w:rPr>
          <w:lang w:val="en-CA"/>
        </w:rPr>
        <w:t>Ghana</w:t>
      </w:r>
      <w:r w:rsidRPr="000258E6">
        <w:rPr>
          <w:lang w:val="en-CA"/>
        </w:rPr>
        <w:t>, and the corresponding 2019-20</w:t>
      </w:r>
      <w:r w:rsidR="000258E6" w:rsidRPr="000258E6">
        <w:rPr>
          <w:lang w:val="en-CA"/>
        </w:rPr>
        <w:t>21</w:t>
      </w:r>
      <w:r w:rsidR="000258E6">
        <w:rPr>
          <w:lang w:val="en-CA"/>
        </w:rPr>
        <w:t xml:space="preserve"> </w:t>
      </w:r>
      <w:r w:rsidRPr="000258E6">
        <w:rPr>
          <w:lang w:val="en-CA"/>
        </w:rPr>
        <w:t>tranche</w:t>
      </w:r>
      <w:r w:rsidRPr="00FE3307">
        <w:rPr>
          <w:lang w:val="en-CA"/>
        </w:rPr>
        <w:t xml:space="preserve"> implementation plan, at the funding level shown in the table </w:t>
      </w:r>
      <w:r w:rsidRPr="0064626C">
        <w:rPr>
          <w:lang w:val="en-CA"/>
        </w:rPr>
        <w:t xml:space="preserve">below, on the understanding that </w:t>
      </w:r>
      <w:r w:rsidR="007064BB" w:rsidRPr="0064626C">
        <w:rPr>
          <w:lang w:val="en-CA"/>
        </w:rPr>
        <w:t xml:space="preserve">the Government of Ghana </w:t>
      </w:r>
      <w:r w:rsidR="004258A9" w:rsidRPr="0064626C">
        <w:rPr>
          <w:lang w:val="en-CA"/>
        </w:rPr>
        <w:t>is</w:t>
      </w:r>
      <w:r w:rsidR="004258A9">
        <w:rPr>
          <w:lang w:val="en-CA"/>
        </w:rPr>
        <w:t xml:space="preserve"> implementing </w:t>
      </w:r>
      <w:r w:rsidR="009C3903">
        <w:rPr>
          <w:lang w:val="en-CA"/>
        </w:rPr>
        <w:t xml:space="preserve">the </w:t>
      </w:r>
      <w:r w:rsidR="004258A9">
        <w:rPr>
          <w:lang w:val="en-CA"/>
        </w:rPr>
        <w:t xml:space="preserve">retrofitting </w:t>
      </w:r>
      <w:r w:rsidR="009C3903">
        <w:rPr>
          <w:lang w:val="en-CA"/>
        </w:rPr>
        <w:t xml:space="preserve">of </w:t>
      </w:r>
      <w:r w:rsidR="004258A9">
        <w:rPr>
          <w:lang w:val="en-CA"/>
        </w:rPr>
        <w:t>HCFC-22</w:t>
      </w:r>
      <w:r w:rsidR="009C3903">
        <w:rPr>
          <w:lang w:val="en-CA"/>
        </w:rPr>
        <w:t>-</w:t>
      </w:r>
      <w:r w:rsidR="004258A9">
        <w:rPr>
          <w:lang w:val="en-CA"/>
        </w:rPr>
        <w:t>based air-condition</w:t>
      </w:r>
      <w:r w:rsidR="009C3903">
        <w:rPr>
          <w:lang w:val="en-CA"/>
        </w:rPr>
        <w:t>ing</w:t>
      </w:r>
      <w:r w:rsidR="004258A9">
        <w:rPr>
          <w:lang w:val="en-CA"/>
        </w:rPr>
        <w:t xml:space="preserve"> units </w:t>
      </w:r>
      <w:r w:rsidR="0064626C">
        <w:rPr>
          <w:lang w:val="en-CA"/>
        </w:rPr>
        <w:t xml:space="preserve">to hydrocarbon, </w:t>
      </w:r>
      <w:r w:rsidR="009C3903">
        <w:rPr>
          <w:lang w:val="en-CA"/>
        </w:rPr>
        <w:t xml:space="preserve">that </w:t>
      </w:r>
      <w:r w:rsidR="0064626C">
        <w:rPr>
          <w:lang w:val="en-CA"/>
        </w:rPr>
        <w:t xml:space="preserve">it </w:t>
      </w:r>
      <w:r w:rsidR="007064BB" w:rsidRPr="00FE3307">
        <w:rPr>
          <w:lang w:val="en-CA"/>
        </w:rPr>
        <w:t>would assum</w:t>
      </w:r>
      <w:r w:rsidR="0064626C">
        <w:rPr>
          <w:lang w:val="en-CA"/>
        </w:rPr>
        <w:t>e</w:t>
      </w:r>
      <w:r w:rsidR="007064BB" w:rsidRPr="00FE3307">
        <w:rPr>
          <w:lang w:val="en-CA"/>
        </w:rPr>
        <w:t xml:space="preserve"> all associated responsibilities and risks</w:t>
      </w:r>
      <w:r w:rsidR="009C3903">
        <w:rPr>
          <w:lang w:val="en-CA"/>
        </w:rPr>
        <w:t>,</w:t>
      </w:r>
      <w:r w:rsidR="007064BB" w:rsidRPr="00FE3307">
        <w:rPr>
          <w:lang w:val="en-CA"/>
        </w:rPr>
        <w:t xml:space="preserve"> and </w:t>
      </w:r>
      <w:r w:rsidR="009C3903">
        <w:rPr>
          <w:lang w:val="en-CA"/>
        </w:rPr>
        <w:t xml:space="preserve">would </w:t>
      </w:r>
      <w:r w:rsidR="007064BB" w:rsidRPr="00FE3307">
        <w:rPr>
          <w:lang w:val="en-CA"/>
        </w:rPr>
        <w:t xml:space="preserve">only </w:t>
      </w:r>
      <w:r w:rsidR="009C3903">
        <w:rPr>
          <w:lang w:val="en-CA"/>
        </w:rPr>
        <w:t xml:space="preserve">do so </w:t>
      </w:r>
      <w:r w:rsidR="007064BB" w:rsidRPr="00FE3307">
        <w:rPr>
          <w:lang w:val="en-CA"/>
        </w:rPr>
        <w:t>in accordance with the r</w:t>
      </w:r>
      <w:r w:rsidR="007064BB">
        <w:rPr>
          <w:lang w:val="en-CA"/>
        </w:rPr>
        <w:t>elevant standards and protocols</w:t>
      </w:r>
      <w:r w:rsidR="0064626C">
        <w:rPr>
          <w:lang w:val="en-CA"/>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255CDE" w:rsidRPr="00FE3307" w14:paraId="7FAFEA0B" w14:textId="77777777" w:rsidTr="00F72F44">
        <w:tc>
          <w:tcPr>
            <w:tcW w:w="540" w:type="dxa"/>
          </w:tcPr>
          <w:p w14:paraId="7D73CB93" w14:textId="77777777" w:rsidR="00255CDE" w:rsidRPr="00FE3307" w:rsidRDefault="00255CDE" w:rsidP="00F72F44">
            <w:pPr>
              <w:jc w:val="center"/>
              <w:rPr>
                <w:b/>
                <w:bCs/>
                <w:sz w:val="20"/>
                <w:szCs w:val="20"/>
                <w:lang w:val="en-CA"/>
              </w:rPr>
            </w:pPr>
          </w:p>
        </w:tc>
        <w:tc>
          <w:tcPr>
            <w:tcW w:w="4320" w:type="dxa"/>
          </w:tcPr>
          <w:p w14:paraId="5E55BCF0" w14:textId="77777777" w:rsidR="00255CDE" w:rsidRPr="00FE3307" w:rsidRDefault="00255CDE" w:rsidP="00F72F44">
            <w:pPr>
              <w:jc w:val="center"/>
              <w:rPr>
                <w:b/>
                <w:bCs/>
                <w:sz w:val="20"/>
                <w:szCs w:val="20"/>
                <w:lang w:val="en-CA"/>
              </w:rPr>
            </w:pPr>
            <w:r w:rsidRPr="00FE3307">
              <w:rPr>
                <w:b/>
                <w:bCs/>
                <w:sz w:val="20"/>
                <w:szCs w:val="20"/>
                <w:lang w:val="en-CA"/>
              </w:rPr>
              <w:t>Project title</w:t>
            </w:r>
          </w:p>
        </w:tc>
        <w:tc>
          <w:tcPr>
            <w:tcW w:w="1461" w:type="dxa"/>
            <w:tcMar>
              <w:left w:w="29" w:type="dxa"/>
              <w:right w:w="29" w:type="dxa"/>
            </w:tcMar>
          </w:tcPr>
          <w:p w14:paraId="1A3E2AD1" w14:textId="77777777" w:rsidR="00255CDE" w:rsidRPr="00FE3307" w:rsidRDefault="00255CDE" w:rsidP="00F72F44">
            <w:pPr>
              <w:jc w:val="center"/>
              <w:rPr>
                <w:b/>
                <w:bCs/>
                <w:sz w:val="20"/>
                <w:szCs w:val="20"/>
                <w:lang w:val="en-CA"/>
              </w:rPr>
            </w:pPr>
            <w:r w:rsidRPr="00FE3307">
              <w:rPr>
                <w:b/>
                <w:bCs/>
                <w:sz w:val="20"/>
                <w:szCs w:val="20"/>
                <w:lang w:val="en-CA"/>
              </w:rPr>
              <w:t>Project funding (US $)</w:t>
            </w:r>
          </w:p>
        </w:tc>
        <w:tc>
          <w:tcPr>
            <w:tcW w:w="1461" w:type="dxa"/>
            <w:tcMar>
              <w:left w:w="29" w:type="dxa"/>
              <w:right w:w="29" w:type="dxa"/>
            </w:tcMar>
          </w:tcPr>
          <w:p w14:paraId="5DFD4F6B" w14:textId="77777777" w:rsidR="00255CDE" w:rsidRPr="00FE3307" w:rsidRDefault="00255CDE" w:rsidP="00F72F44">
            <w:pPr>
              <w:jc w:val="center"/>
              <w:rPr>
                <w:b/>
                <w:bCs/>
                <w:sz w:val="20"/>
                <w:szCs w:val="20"/>
                <w:lang w:val="en-CA"/>
              </w:rPr>
            </w:pPr>
            <w:r w:rsidRPr="00FE3307">
              <w:rPr>
                <w:b/>
                <w:bCs/>
                <w:sz w:val="20"/>
                <w:szCs w:val="20"/>
                <w:lang w:val="en-CA"/>
              </w:rPr>
              <w:t>Support cost (US $)</w:t>
            </w:r>
          </w:p>
        </w:tc>
        <w:tc>
          <w:tcPr>
            <w:tcW w:w="1461" w:type="dxa"/>
            <w:tcMar>
              <w:left w:w="29" w:type="dxa"/>
              <w:right w:w="29" w:type="dxa"/>
            </w:tcMar>
          </w:tcPr>
          <w:p w14:paraId="59DC9E40" w14:textId="77777777" w:rsidR="00255CDE" w:rsidRPr="00FE3307" w:rsidRDefault="00255CDE" w:rsidP="00F72F44">
            <w:pPr>
              <w:jc w:val="center"/>
              <w:rPr>
                <w:b/>
                <w:bCs/>
                <w:sz w:val="20"/>
                <w:szCs w:val="20"/>
                <w:lang w:val="en-CA"/>
              </w:rPr>
            </w:pPr>
            <w:r w:rsidRPr="00FE3307">
              <w:rPr>
                <w:b/>
                <w:bCs/>
                <w:sz w:val="20"/>
                <w:szCs w:val="20"/>
                <w:lang w:val="en-CA"/>
              </w:rPr>
              <w:t>Implementing agency</w:t>
            </w:r>
          </w:p>
        </w:tc>
      </w:tr>
      <w:tr w:rsidR="00255CDE" w:rsidRPr="00FE3307" w14:paraId="3FD777F0" w14:textId="77777777" w:rsidTr="00F72F44">
        <w:tc>
          <w:tcPr>
            <w:tcW w:w="540" w:type="dxa"/>
          </w:tcPr>
          <w:p w14:paraId="1AB29E4F" w14:textId="77777777" w:rsidR="00255CDE" w:rsidRPr="00FE3307" w:rsidRDefault="00255CDE" w:rsidP="00F72F44">
            <w:pPr>
              <w:rPr>
                <w:sz w:val="20"/>
                <w:szCs w:val="20"/>
                <w:lang w:val="en-CA"/>
              </w:rPr>
            </w:pPr>
            <w:r w:rsidRPr="00FE3307">
              <w:rPr>
                <w:sz w:val="20"/>
                <w:szCs w:val="20"/>
                <w:lang w:val="en-CA"/>
              </w:rPr>
              <w:t>(a)</w:t>
            </w:r>
          </w:p>
        </w:tc>
        <w:tc>
          <w:tcPr>
            <w:tcW w:w="4320" w:type="dxa"/>
          </w:tcPr>
          <w:p w14:paraId="51700F58" w14:textId="77777777" w:rsidR="00255CDE" w:rsidRPr="00FE3307" w:rsidRDefault="00255CDE" w:rsidP="000258E6">
            <w:pPr>
              <w:rPr>
                <w:sz w:val="20"/>
                <w:szCs w:val="20"/>
                <w:lang w:val="en-CA"/>
              </w:rPr>
            </w:pPr>
            <w:r w:rsidRPr="00FE3307">
              <w:rPr>
                <w:sz w:val="20"/>
                <w:szCs w:val="20"/>
                <w:lang w:val="en-CA"/>
              </w:rPr>
              <w:t xml:space="preserve">HCFC phase-out management plan (stage I, </w:t>
            </w:r>
            <w:r w:rsidR="000258E6">
              <w:rPr>
                <w:sz w:val="20"/>
                <w:szCs w:val="20"/>
                <w:lang w:val="en-CA"/>
              </w:rPr>
              <w:t>sixth</w:t>
            </w:r>
            <w:r w:rsidRPr="00FE3307">
              <w:rPr>
                <w:sz w:val="20"/>
                <w:szCs w:val="20"/>
                <w:lang w:val="en-CA"/>
              </w:rPr>
              <w:t xml:space="preserve"> tranche)</w:t>
            </w:r>
          </w:p>
        </w:tc>
        <w:tc>
          <w:tcPr>
            <w:tcW w:w="1461" w:type="dxa"/>
          </w:tcPr>
          <w:p w14:paraId="53098A38" w14:textId="77777777" w:rsidR="00255CDE" w:rsidRPr="00FE3307" w:rsidRDefault="000258E6" w:rsidP="00F72F44">
            <w:pPr>
              <w:jc w:val="right"/>
              <w:rPr>
                <w:sz w:val="20"/>
                <w:szCs w:val="20"/>
                <w:highlight w:val="cyan"/>
                <w:lang w:val="en-CA"/>
              </w:rPr>
            </w:pPr>
            <w:r w:rsidRPr="0075475D">
              <w:rPr>
                <w:lang w:val="en-CA"/>
              </w:rPr>
              <w:t>121,311</w:t>
            </w:r>
          </w:p>
        </w:tc>
        <w:tc>
          <w:tcPr>
            <w:tcW w:w="1461" w:type="dxa"/>
          </w:tcPr>
          <w:p w14:paraId="30086BB9" w14:textId="77777777" w:rsidR="00255CDE" w:rsidRPr="00FE3307" w:rsidRDefault="000258E6" w:rsidP="00F72F44">
            <w:pPr>
              <w:jc w:val="right"/>
              <w:rPr>
                <w:lang w:val="en-CA"/>
              </w:rPr>
            </w:pPr>
            <w:r w:rsidRPr="0075475D">
              <w:rPr>
                <w:lang w:val="en-CA"/>
              </w:rPr>
              <w:t>9,098</w:t>
            </w:r>
          </w:p>
        </w:tc>
        <w:tc>
          <w:tcPr>
            <w:tcW w:w="1461" w:type="dxa"/>
          </w:tcPr>
          <w:p w14:paraId="4E1968D4" w14:textId="77777777" w:rsidR="00255CDE" w:rsidRPr="00FE3307" w:rsidRDefault="000258E6" w:rsidP="00F72F44">
            <w:pPr>
              <w:jc w:val="center"/>
              <w:rPr>
                <w:sz w:val="20"/>
                <w:szCs w:val="20"/>
                <w:lang w:val="en-CA"/>
              </w:rPr>
            </w:pPr>
            <w:r>
              <w:rPr>
                <w:sz w:val="20"/>
                <w:szCs w:val="20"/>
                <w:lang w:val="en-CA"/>
              </w:rPr>
              <w:t>UNDP</w:t>
            </w:r>
          </w:p>
        </w:tc>
      </w:tr>
    </w:tbl>
    <w:p w14:paraId="482113BE" w14:textId="77777777" w:rsidR="00255CDE" w:rsidRDefault="00255CDE" w:rsidP="00255CDE">
      <w:pPr>
        <w:pStyle w:val="Title1"/>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255CDE" w14:paraId="01C8B202" w14:textId="77777777" w:rsidTr="00F72F44">
        <w:tc>
          <w:tcPr>
            <w:tcW w:w="1871" w:type="dxa"/>
          </w:tcPr>
          <w:p w14:paraId="21B134A0" w14:textId="77777777" w:rsidR="00255CDE" w:rsidRDefault="00255CDE" w:rsidP="00F72F44"/>
        </w:tc>
        <w:tc>
          <w:tcPr>
            <w:tcW w:w="1872" w:type="dxa"/>
          </w:tcPr>
          <w:p w14:paraId="263C986C" w14:textId="77777777" w:rsidR="00255CDE" w:rsidRDefault="00255CDE" w:rsidP="00F72F44"/>
        </w:tc>
        <w:tc>
          <w:tcPr>
            <w:tcW w:w="1872" w:type="dxa"/>
            <w:tcBorders>
              <w:bottom w:val="single" w:sz="4" w:space="0" w:color="auto"/>
            </w:tcBorders>
          </w:tcPr>
          <w:p w14:paraId="7DB026D8" w14:textId="77777777" w:rsidR="00255CDE" w:rsidRDefault="00255CDE" w:rsidP="00F72F44"/>
        </w:tc>
        <w:tc>
          <w:tcPr>
            <w:tcW w:w="1872" w:type="dxa"/>
          </w:tcPr>
          <w:p w14:paraId="69CF34D6" w14:textId="77777777" w:rsidR="00255CDE" w:rsidRDefault="00255CDE" w:rsidP="00F72F44"/>
        </w:tc>
        <w:tc>
          <w:tcPr>
            <w:tcW w:w="1873" w:type="dxa"/>
          </w:tcPr>
          <w:p w14:paraId="4D2AE60F" w14:textId="77777777" w:rsidR="00255CDE" w:rsidRDefault="00255CDE" w:rsidP="00F72F44"/>
        </w:tc>
      </w:tr>
    </w:tbl>
    <w:p w14:paraId="0B61A111" w14:textId="77777777" w:rsidR="00052C5C" w:rsidRPr="001C3C80" w:rsidRDefault="00052C5C" w:rsidP="001C3C80">
      <w:pPr>
        <w:tabs>
          <w:tab w:val="left" w:pos="8280"/>
        </w:tabs>
      </w:pPr>
    </w:p>
    <w:sectPr w:rsidR="00052C5C" w:rsidRPr="001C3C80" w:rsidSect="00521370">
      <w:headerReference w:type="even" r:id="rId9"/>
      <w:headerReference w:type="default" r:id="rId10"/>
      <w:footerReference w:type="even" r:id="rId11"/>
      <w:footerReference w:type="default" r:id="rId12"/>
      <w:footerReference w:type="first" r:id="rId13"/>
      <w:pgSz w:w="12240" w:h="15840" w:code="1"/>
      <w:pgMar w:top="600" w:right="1440" w:bottom="600"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8150A" w14:textId="77777777" w:rsidR="00736979" w:rsidRDefault="00736979" w:rsidP="004A504B">
      <w:r>
        <w:separator/>
      </w:r>
    </w:p>
  </w:endnote>
  <w:endnote w:type="continuationSeparator" w:id="0">
    <w:p w14:paraId="381BA564" w14:textId="77777777" w:rsidR="00736979" w:rsidRDefault="0073697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6785" w14:textId="6DF4A814" w:rsidR="00736979" w:rsidRPr="0033525D" w:rsidRDefault="00736979">
    <w:pPr>
      <w:jc w:val="center"/>
    </w:pPr>
    <w:r>
      <w:fldChar w:fldCharType="begin"/>
    </w:r>
    <w:r>
      <w:instrText xml:space="preserve"> PAGE </w:instrText>
    </w:r>
    <w:r>
      <w:fldChar w:fldCharType="separate"/>
    </w:r>
    <w:r w:rsidR="00B87415">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F5C8" w14:textId="1D68136C" w:rsidR="00736979" w:rsidRPr="0033525D" w:rsidRDefault="00736979">
    <w:pPr>
      <w:jc w:val="center"/>
    </w:pPr>
    <w:r>
      <w:fldChar w:fldCharType="begin"/>
    </w:r>
    <w:r>
      <w:instrText xml:space="preserve"> PAGE </w:instrText>
    </w:r>
    <w:r>
      <w:fldChar w:fldCharType="separate"/>
    </w:r>
    <w:r w:rsidR="00B87415">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6ED9C" w14:textId="77777777" w:rsidR="00736979" w:rsidRDefault="00736979"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4B566B6A" w14:textId="77777777" w:rsidR="00736979" w:rsidRDefault="00736979"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2405E" w14:textId="77777777" w:rsidR="00736979" w:rsidRDefault="00736979" w:rsidP="004A504B">
      <w:r>
        <w:separator/>
      </w:r>
    </w:p>
  </w:footnote>
  <w:footnote w:type="continuationSeparator" w:id="0">
    <w:p w14:paraId="004B3512" w14:textId="77777777" w:rsidR="00736979" w:rsidRDefault="00736979" w:rsidP="004A504B">
      <w:r>
        <w:continuationSeparator/>
      </w:r>
    </w:p>
  </w:footnote>
  <w:footnote w:id="1">
    <w:p w14:paraId="552C25D7" w14:textId="77777777" w:rsidR="00736979" w:rsidRPr="00FE3307" w:rsidRDefault="00736979" w:rsidP="00255CDE">
      <w:pPr>
        <w:pStyle w:val="FootnoteText"/>
        <w:rPr>
          <w:lang w:val="en-CA"/>
        </w:rPr>
      </w:pPr>
      <w:r w:rsidRPr="00FE3307">
        <w:rPr>
          <w:rStyle w:val="FootnoteReference"/>
        </w:rPr>
        <w:footnoteRef/>
      </w:r>
      <w:r w:rsidRPr="00FE3307">
        <w:t xml:space="preserve"> </w:t>
      </w:r>
      <w:r w:rsidRPr="00FE3307">
        <w:rPr>
          <w:lang w:val="en-CA"/>
        </w:rPr>
        <w:t xml:space="preserve">As per the letter of </w:t>
      </w:r>
      <w:r>
        <w:rPr>
          <w:lang w:val="en-CA"/>
        </w:rPr>
        <w:t>9 October</w:t>
      </w:r>
      <w:r w:rsidRPr="00FE3307">
        <w:rPr>
          <w:lang w:val="en-CA"/>
        </w:rPr>
        <w:t xml:space="preserve"> 2019 from the </w:t>
      </w:r>
      <w:r w:rsidRPr="004F29CD">
        <w:rPr>
          <w:lang w:val="en-CA"/>
        </w:rPr>
        <w:t>Environmental Protection Agency</w:t>
      </w:r>
      <w:r w:rsidRPr="00865597">
        <w:rPr>
          <w:lang w:val="en-CA"/>
        </w:rPr>
        <w:t xml:space="preserve"> of Ghana </w:t>
      </w:r>
      <w:r w:rsidRPr="00FE3307">
        <w:rPr>
          <w:lang w:val="en-CA"/>
        </w:rPr>
        <w:t xml:space="preserve">to </w:t>
      </w:r>
      <w:r>
        <w:rPr>
          <w:lang w:val="en-CA"/>
        </w:rPr>
        <w:t>the Secretariat</w:t>
      </w:r>
      <w:r w:rsidRPr="004F29CD">
        <w:rPr>
          <w:lang w:val="en-CA"/>
        </w:rPr>
        <w:t>.</w:t>
      </w:r>
    </w:p>
  </w:footnote>
  <w:footnote w:id="2">
    <w:p w14:paraId="2CC9B0DE" w14:textId="6C5E9E6C" w:rsidR="00736979" w:rsidRPr="00F64B72" w:rsidRDefault="00736979" w:rsidP="00F64B72">
      <w:pPr>
        <w:pStyle w:val="FootnoteText"/>
      </w:pPr>
      <w:r>
        <w:rPr>
          <w:rStyle w:val="FootnoteReference"/>
        </w:rPr>
        <w:footnoteRef/>
      </w:r>
      <w:r>
        <w:t xml:space="preserve"> </w:t>
      </w:r>
      <w:r w:rsidR="007F228F">
        <w:t xml:space="preserve">Of document </w:t>
      </w:r>
      <w:r>
        <w:fldChar w:fldCharType="begin"/>
      </w:r>
      <w:r>
        <w:instrText xml:space="preserve"> DOCPROPERTY "Document number"  \* MERGEFORMAT </w:instrText>
      </w:r>
      <w:r>
        <w:fldChar w:fldCharType="separate"/>
      </w:r>
      <w:r w:rsidRPr="00F64B72">
        <w:t>UNEP/</w:t>
      </w:r>
      <w:proofErr w:type="spellStart"/>
      <w:r w:rsidRPr="00F64B72">
        <w:t>OzL.Pro</w:t>
      </w:r>
      <w:proofErr w:type="spellEnd"/>
      <w:r w:rsidRPr="00F64B72">
        <w:t>/</w:t>
      </w:r>
      <w:proofErr w:type="spellStart"/>
      <w:r w:rsidRPr="00F64B72">
        <w:t>ExCom</w:t>
      </w:r>
      <w:proofErr w:type="spellEnd"/>
      <w:r w:rsidRPr="00F64B72">
        <w:t>/72/27</w:t>
      </w:r>
      <w:r>
        <w:fldChar w:fldCharType="end"/>
      </w:r>
      <w:r w:rsidR="007F228F">
        <w:t>, P</w:t>
      </w:r>
      <w:r>
        <w:t>aragraph</w:t>
      </w:r>
      <w:r w:rsidR="007F228F">
        <w:t>s</w:t>
      </w:r>
      <w:r>
        <w:t xml:space="preserve"> 10-12.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27D4" w14:textId="4A758611" w:rsidR="00736979" w:rsidRPr="0033525D" w:rsidRDefault="00736979">
    <w:r>
      <w:fldChar w:fldCharType="begin"/>
    </w:r>
    <w:r>
      <w:instrText xml:space="preserve"> DOCPROPERTY "Document number"  \* MERGEFORMAT </w:instrText>
    </w:r>
    <w:r>
      <w:fldChar w:fldCharType="separate"/>
    </w:r>
    <w:r w:rsidR="005E44F1">
      <w:t>UNEP/</w:t>
    </w:r>
    <w:proofErr w:type="spellStart"/>
    <w:r w:rsidR="005E44F1">
      <w:t>OzL.Pro</w:t>
    </w:r>
    <w:proofErr w:type="spellEnd"/>
    <w:r w:rsidR="005E44F1">
      <w:t>/</w:t>
    </w:r>
    <w:proofErr w:type="spellStart"/>
    <w:r w:rsidR="005E44F1">
      <w:t>ExCom</w:t>
    </w:r>
    <w:proofErr w:type="spellEnd"/>
    <w:r w:rsidR="005E44F1">
      <w:t>/84/50</w:t>
    </w:r>
    <w:r>
      <w:fldChar w:fldCharType="end"/>
    </w:r>
  </w:p>
  <w:p w14:paraId="6F42E846" w14:textId="77777777" w:rsidR="00736979" w:rsidRPr="0033525D" w:rsidRDefault="00736979"/>
  <w:p w14:paraId="74D5B3B9" w14:textId="77777777" w:rsidR="00736979" w:rsidRPr="0033525D" w:rsidRDefault="0073697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7747" w14:textId="6A9F2A69" w:rsidR="00736979" w:rsidRPr="0033525D" w:rsidRDefault="00736979">
    <w:pPr>
      <w:jc w:val="right"/>
    </w:pPr>
    <w:r>
      <w:fldChar w:fldCharType="begin"/>
    </w:r>
    <w:r>
      <w:instrText xml:space="preserve"> DOCPROPERTY "Document number"  \* MERGEFORMAT </w:instrText>
    </w:r>
    <w:r>
      <w:fldChar w:fldCharType="separate"/>
    </w:r>
    <w:r w:rsidR="005E44F1">
      <w:t>UNEP/</w:t>
    </w:r>
    <w:proofErr w:type="spellStart"/>
    <w:r w:rsidR="005E44F1">
      <w:t>OzL.Pro</w:t>
    </w:r>
    <w:proofErr w:type="spellEnd"/>
    <w:r w:rsidR="005E44F1">
      <w:t>/</w:t>
    </w:r>
    <w:proofErr w:type="spellStart"/>
    <w:r w:rsidR="005E44F1">
      <w:t>ExCom</w:t>
    </w:r>
    <w:proofErr w:type="spellEnd"/>
    <w:r w:rsidR="005E44F1">
      <w:t>/84/50</w:t>
    </w:r>
    <w:r>
      <w:fldChar w:fldCharType="end"/>
    </w:r>
  </w:p>
  <w:p w14:paraId="090AA72D" w14:textId="77777777" w:rsidR="00736979" w:rsidRPr="0033525D" w:rsidRDefault="00736979"/>
  <w:p w14:paraId="78BC2EA7" w14:textId="77777777" w:rsidR="00736979" w:rsidRPr="0033525D" w:rsidRDefault="007369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5766860"/>
    <w:lvl w:ilvl="0">
      <w:start w:val="1"/>
      <w:numFmt w:val="decimal"/>
      <w:pStyle w:val="Heading1"/>
      <w:lvlText w:val="%1."/>
      <w:lvlJc w:val="left"/>
      <w:pPr>
        <w:tabs>
          <w:tab w:val="num" w:pos="0"/>
        </w:tabs>
        <w:ind w:left="0" w:firstLine="0"/>
      </w:pPr>
      <w:rPr>
        <w:sz w:val="22"/>
        <w:szCs w:val="22"/>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255CDE"/>
    <w:rsid w:val="00000FED"/>
    <w:rsid w:val="0000434E"/>
    <w:rsid w:val="00007030"/>
    <w:rsid w:val="00017C3F"/>
    <w:rsid w:val="000211A9"/>
    <w:rsid w:val="0002513A"/>
    <w:rsid w:val="000258E6"/>
    <w:rsid w:val="00031260"/>
    <w:rsid w:val="0003681A"/>
    <w:rsid w:val="00052C5C"/>
    <w:rsid w:val="00061EC2"/>
    <w:rsid w:val="00063091"/>
    <w:rsid w:val="00080ED0"/>
    <w:rsid w:val="0008491F"/>
    <w:rsid w:val="00085B8F"/>
    <w:rsid w:val="00090481"/>
    <w:rsid w:val="00092009"/>
    <w:rsid w:val="000A2424"/>
    <w:rsid w:val="000A6C26"/>
    <w:rsid w:val="000C47B6"/>
    <w:rsid w:val="000D304B"/>
    <w:rsid w:val="000D52A4"/>
    <w:rsid w:val="000E07BC"/>
    <w:rsid w:val="000E59CB"/>
    <w:rsid w:val="000F1CD4"/>
    <w:rsid w:val="000F4103"/>
    <w:rsid w:val="000F70A7"/>
    <w:rsid w:val="001079C8"/>
    <w:rsid w:val="001110C9"/>
    <w:rsid w:val="00113CCA"/>
    <w:rsid w:val="00114789"/>
    <w:rsid w:val="00122F25"/>
    <w:rsid w:val="00135980"/>
    <w:rsid w:val="00143A2F"/>
    <w:rsid w:val="00144535"/>
    <w:rsid w:val="001504B4"/>
    <w:rsid w:val="001541F6"/>
    <w:rsid w:val="00164719"/>
    <w:rsid w:val="00166FC4"/>
    <w:rsid w:val="001677AC"/>
    <w:rsid w:val="00172977"/>
    <w:rsid w:val="001804EA"/>
    <w:rsid w:val="00190A61"/>
    <w:rsid w:val="00194229"/>
    <w:rsid w:val="001A3342"/>
    <w:rsid w:val="001A3E3D"/>
    <w:rsid w:val="001A7049"/>
    <w:rsid w:val="001B1D88"/>
    <w:rsid w:val="001B1E40"/>
    <w:rsid w:val="001B2856"/>
    <w:rsid w:val="001B61C2"/>
    <w:rsid w:val="001B6487"/>
    <w:rsid w:val="001C1D59"/>
    <w:rsid w:val="001C3C80"/>
    <w:rsid w:val="001C5CC9"/>
    <w:rsid w:val="001C6F9B"/>
    <w:rsid w:val="001C764E"/>
    <w:rsid w:val="001D772F"/>
    <w:rsid w:val="001E1052"/>
    <w:rsid w:val="001E21B1"/>
    <w:rsid w:val="001E2F93"/>
    <w:rsid w:val="001E61E5"/>
    <w:rsid w:val="001F2159"/>
    <w:rsid w:val="0020314B"/>
    <w:rsid w:val="00210C8C"/>
    <w:rsid w:val="00213B82"/>
    <w:rsid w:val="0021467A"/>
    <w:rsid w:val="00214863"/>
    <w:rsid w:val="002156B4"/>
    <w:rsid w:val="00226075"/>
    <w:rsid w:val="002342A9"/>
    <w:rsid w:val="00236F3E"/>
    <w:rsid w:val="002431C5"/>
    <w:rsid w:val="002449E7"/>
    <w:rsid w:val="00253222"/>
    <w:rsid w:val="00255CDE"/>
    <w:rsid w:val="00262847"/>
    <w:rsid w:val="00264ACF"/>
    <w:rsid w:val="00281BB2"/>
    <w:rsid w:val="00283CCA"/>
    <w:rsid w:val="00284091"/>
    <w:rsid w:val="0029023D"/>
    <w:rsid w:val="0029539C"/>
    <w:rsid w:val="00295CFC"/>
    <w:rsid w:val="00296D5B"/>
    <w:rsid w:val="002B08D9"/>
    <w:rsid w:val="002B72E9"/>
    <w:rsid w:val="002C7998"/>
    <w:rsid w:val="002D6687"/>
    <w:rsid w:val="002E0F1E"/>
    <w:rsid w:val="002E1046"/>
    <w:rsid w:val="002F1E53"/>
    <w:rsid w:val="002F263D"/>
    <w:rsid w:val="002F2CAA"/>
    <w:rsid w:val="0030052C"/>
    <w:rsid w:val="00317155"/>
    <w:rsid w:val="0032118A"/>
    <w:rsid w:val="003306E1"/>
    <w:rsid w:val="003320E4"/>
    <w:rsid w:val="00332F69"/>
    <w:rsid w:val="0033525D"/>
    <w:rsid w:val="0034115E"/>
    <w:rsid w:val="003414F3"/>
    <w:rsid w:val="00346674"/>
    <w:rsid w:val="003512CB"/>
    <w:rsid w:val="0035613E"/>
    <w:rsid w:val="00363EE9"/>
    <w:rsid w:val="0036427C"/>
    <w:rsid w:val="00366505"/>
    <w:rsid w:val="00373EA2"/>
    <w:rsid w:val="00374D29"/>
    <w:rsid w:val="00375A36"/>
    <w:rsid w:val="00376128"/>
    <w:rsid w:val="0037742E"/>
    <w:rsid w:val="00377D56"/>
    <w:rsid w:val="0038245A"/>
    <w:rsid w:val="003840E6"/>
    <w:rsid w:val="00385613"/>
    <w:rsid w:val="00385CFC"/>
    <w:rsid w:val="003919B9"/>
    <w:rsid w:val="0039337A"/>
    <w:rsid w:val="003939AD"/>
    <w:rsid w:val="00395798"/>
    <w:rsid w:val="003A3189"/>
    <w:rsid w:val="003A3CA7"/>
    <w:rsid w:val="003A7C8C"/>
    <w:rsid w:val="003B0740"/>
    <w:rsid w:val="003B33BD"/>
    <w:rsid w:val="003B569D"/>
    <w:rsid w:val="003B5BC6"/>
    <w:rsid w:val="003C061F"/>
    <w:rsid w:val="003C0C29"/>
    <w:rsid w:val="003C3C0E"/>
    <w:rsid w:val="003D4FAC"/>
    <w:rsid w:val="003D6865"/>
    <w:rsid w:val="003E2F73"/>
    <w:rsid w:val="003E7906"/>
    <w:rsid w:val="003F3C50"/>
    <w:rsid w:val="003F5FBE"/>
    <w:rsid w:val="00402641"/>
    <w:rsid w:val="00406A6A"/>
    <w:rsid w:val="00406B22"/>
    <w:rsid w:val="004174B4"/>
    <w:rsid w:val="004258A9"/>
    <w:rsid w:val="00426A90"/>
    <w:rsid w:val="00431784"/>
    <w:rsid w:val="004328A7"/>
    <w:rsid w:val="00434C74"/>
    <w:rsid w:val="00447B3B"/>
    <w:rsid w:val="004506EE"/>
    <w:rsid w:val="00456EB4"/>
    <w:rsid w:val="00464D26"/>
    <w:rsid w:val="004718F3"/>
    <w:rsid w:val="004731B8"/>
    <w:rsid w:val="00475040"/>
    <w:rsid w:val="00477BAA"/>
    <w:rsid w:val="004842CE"/>
    <w:rsid w:val="00491C3E"/>
    <w:rsid w:val="00493D40"/>
    <w:rsid w:val="004967B6"/>
    <w:rsid w:val="004A504B"/>
    <w:rsid w:val="004A6911"/>
    <w:rsid w:val="004B54E0"/>
    <w:rsid w:val="004B7384"/>
    <w:rsid w:val="004C4269"/>
    <w:rsid w:val="004D6236"/>
    <w:rsid w:val="004D7F90"/>
    <w:rsid w:val="004E4DBB"/>
    <w:rsid w:val="004E4E41"/>
    <w:rsid w:val="004E7F9C"/>
    <w:rsid w:val="004F14FE"/>
    <w:rsid w:val="004F18A7"/>
    <w:rsid w:val="004F29CD"/>
    <w:rsid w:val="004F3493"/>
    <w:rsid w:val="004F5143"/>
    <w:rsid w:val="00507E9C"/>
    <w:rsid w:val="00512B09"/>
    <w:rsid w:val="00515B2F"/>
    <w:rsid w:val="005207E9"/>
    <w:rsid w:val="00520B74"/>
    <w:rsid w:val="00521370"/>
    <w:rsid w:val="00533796"/>
    <w:rsid w:val="00547027"/>
    <w:rsid w:val="005512A3"/>
    <w:rsid w:val="00554425"/>
    <w:rsid w:val="00555D75"/>
    <w:rsid w:val="00560DF0"/>
    <w:rsid w:val="0056759C"/>
    <w:rsid w:val="00570FF3"/>
    <w:rsid w:val="005737DB"/>
    <w:rsid w:val="00576FAE"/>
    <w:rsid w:val="005807FC"/>
    <w:rsid w:val="0058136D"/>
    <w:rsid w:val="0059513E"/>
    <w:rsid w:val="005A4390"/>
    <w:rsid w:val="005B48FF"/>
    <w:rsid w:val="005C07CD"/>
    <w:rsid w:val="005C202B"/>
    <w:rsid w:val="005D35A9"/>
    <w:rsid w:val="005E44F1"/>
    <w:rsid w:val="005F604A"/>
    <w:rsid w:val="005F6D44"/>
    <w:rsid w:val="00604C15"/>
    <w:rsid w:val="00614BE0"/>
    <w:rsid w:val="006158D5"/>
    <w:rsid w:val="00625D83"/>
    <w:rsid w:val="0064626C"/>
    <w:rsid w:val="006514C5"/>
    <w:rsid w:val="00656575"/>
    <w:rsid w:val="006623E7"/>
    <w:rsid w:val="00662B80"/>
    <w:rsid w:val="00670F6C"/>
    <w:rsid w:val="00675795"/>
    <w:rsid w:val="006852C7"/>
    <w:rsid w:val="006852CE"/>
    <w:rsid w:val="006B683F"/>
    <w:rsid w:val="006B7A3F"/>
    <w:rsid w:val="006C1727"/>
    <w:rsid w:val="006C32FD"/>
    <w:rsid w:val="006C39CE"/>
    <w:rsid w:val="006C556C"/>
    <w:rsid w:val="006D0EB4"/>
    <w:rsid w:val="006D0FCC"/>
    <w:rsid w:val="006D1D2D"/>
    <w:rsid w:val="006D54FC"/>
    <w:rsid w:val="006E1FC3"/>
    <w:rsid w:val="006E3BBB"/>
    <w:rsid w:val="006F3E35"/>
    <w:rsid w:val="006F67C0"/>
    <w:rsid w:val="0070616B"/>
    <w:rsid w:val="007064BB"/>
    <w:rsid w:val="00706FDA"/>
    <w:rsid w:val="00711F9A"/>
    <w:rsid w:val="00713810"/>
    <w:rsid w:val="00716908"/>
    <w:rsid w:val="00723BFA"/>
    <w:rsid w:val="007303A5"/>
    <w:rsid w:val="00730B3E"/>
    <w:rsid w:val="0073420B"/>
    <w:rsid w:val="00736979"/>
    <w:rsid w:val="0074760E"/>
    <w:rsid w:val="00751E2E"/>
    <w:rsid w:val="0075475D"/>
    <w:rsid w:val="00754ABA"/>
    <w:rsid w:val="007710E4"/>
    <w:rsid w:val="00773B66"/>
    <w:rsid w:val="00782CEF"/>
    <w:rsid w:val="007A1546"/>
    <w:rsid w:val="007A228C"/>
    <w:rsid w:val="007A368E"/>
    <w:rsid w:val="007A5770"/>
    <w:rsid w:val="007A5868"/>
    <w:rsid w:val="007B04CE"/>
    <w:rsid w:val="007B6871"/>
    <w:rsid w:val="007B7A2F"/>
    <w:rsid w:val="007C227C"/>
    <w:rsid w:val="007C3D33"/>
    <w:rsid w:val="007D294A"/>
    <w:rsid w:val="007D47D2"/>
    <w:rsid w:val="007D6EC0"/>
    <w:rsid w:val="007D7E1D"/>
    <w:rsid w:val="007F228F"/>
    <w:rsid w:val="007F3FCF"/>
    <w:rsid w:val="00805D4F"/>
    <w:rsid w:val="00831979"/>
    <w:rsid w:val="00845E08"/>
    <w:rsid w:val="00851352"/>
    <w:rsid w:val="008539E3"/>
    <w:rsid w:val="00863230"/>
    <w:rsid w:val="00865597"/>
    <w:rsid w:val="008717D8"/>
    <w:rsid w:val="0087215C"/>
    <w:rsid w:val="00880E35"/>
    <w:rsid w:val="008862D9"/>
    <w:rsid w:val="008875FE"/>
    <w:rsid w:val="00887ECB"/>
    <w:rsid w:val="00887F8E"/>
    <w:rsid w:val="00896234"/>
    <w:rsid w:val="00897E43"/>
    <w:rsid w:val="008B2519"/>
    <w:rsid w:val="008C4557"/>
    <w:rsid w:val="008C5738"/>
    <w:rsid w:val="008C7EAD"/>
    <w:rsid w:val="008D0CFE"/>
    <w:rsid w:val="008D3375"/>
    <w:rsid w:val="008D54C2"/>
    <w:rsid w:val="008D6152"/>
    <w:rsid w:val="008F0F81"/>
    <w:rsid w:val="008F1A5E"/>
    <w:rsid w:val="008F27BF"/>
    <w:rsid w:val="009142EC"/>
    <w:rsid w:val="009154C3"/>
    <w:rsid w:val="00921F36"/>
    <w:rsid w:val="00923540"/>
    <w:rsid w:val="00926767"/>
    <w:rsid w:val="00926C14"/>
    <w:rsid w:val="009361D5"/>
    <w:rsid w:val="009428A4"/>
    <w:rsid w:val="009445EA"/>
    <w:rsid w:val="009659F4"/>
    <w:rsid w:val="00967B7E"/>
    <w:rsid w:val="009709B0"/>
    <w:rsid w:val="00970D60"/>
    <w:rsid w:val="00973B10"/>
    <w:rsid w:val="00987251"/>
    <w:rsid w:val="009960E5"/>
    <w:rsid w:val="009A7587"/>
    <w:rsid w:val="009A7ADC"/>
    <w:rsid w:val="009C19B7"/>
    <w:rsid w:val="009C3903"/>
    <w:rsid w:val="009D7C51"/>
    <w:rsid w:val="009E196C"/>
    <w:rsid w:val="009E55FE"/>
    <w:rsid w:val="009F36BF"/>
    <w:rsid w:val="00A111B6"/>
    <w:rsid w:val="00A21D4A"/>
    <w:rsid w:val="00A2547B"/>
    <w:rsid w:val="00A26D27"/>
    <w:rsid w:val="00A30A5C"/>
    <w:rsid w:val="00A376EE"/>
    <w:rsid w:val="00A42A99"/>
    <w:rsid w:val="00A475E7"/>
    <w:rsid w:val="00A51435"/>
    <w:rsid w:val="00A5151A"/>
    <w:rsid w:val="00A56465"/>
    <w:rsid w:val="00A57E0A"/>
    <w:rsid w:val="00A8187D"/>
    <w:rsid w:val="00A823F6"/>
    <w:rsid w:val="00A93BBA"/>
    <w:rsid w:val="00AA0A89"/>
    <w:rsid w:val="00AA6429"/>
    <w:rsid w:val="00AA6804"/>
    <w:rsid w:val="00AC01AA"/>
    <w:rsid w:val="00AC4F72"/>
    <w:rsid w:val="00AD0B19"/>
    <w:rsid w:val="00AD50AC"/>
    <w:rsid w:val="00AE77AA"/>
    <w:rsid w:val="00AF741A"/>
    <w:rsid w:val="00B01ADB"/>
    <w:rsid w:val="00B04161"/>
    <w:rsid w:val="00B056F9"/>
    <w:rsid w:val="00B11E3D"/>
    <w:rsid w:val="00B15103"/>
    <w:rsid w:val="00B16F58"/>
    <w:rsid w:val="00B17E82"/>
    <w:rsid w:val="00B22966"/>
    <w:rsid w:val="00B24C00"/>
    <w:rsid w:val="00B32EAB"/>
    <w:rsid w:val="00B4403B"/>
    <w:rsid w:val="00B4575A"/>
    <w:rsid w:val="00B552C9"/>
    <w:rsid w:val="00B575BA"/>
    <w:rsid w:val="00B6018A"/>
    <w:rsid w:val="00B610D9"/>
    <w:rsid w:val="00B76429"/>
    <w:rsid w:val="00B76FFD"/>
    <w:rsid w:val="00B84A58"/>
    <w:rsid w:val="00B87415"/>
    <w:rsid w:val="00B956D4"/>
    <w:rsid w:val="00B960A2"/>
    <w:rsid w:val="00B97446"/>
    <w:rsid w:val="00BA0937"/>
    <w:rsid w:val="00BA146D"/>
    <w:rsid w:val="00BA7432"/>
    <w:rsid w:val="00BA7FD9"/>
    <w:rsid w:val="00BC1AA0"/>
    <w:rsid w:val="00BC2495"/>
    <w:rsid w:val="00BC7EB9"/>
    <w:rsid w:val="00BD2643"/>
    <w:rsid w:val="00BD427D"/>
    <w:rsid w:val="00BD56B1"/>
    <w:rsid w:val="00BD6558"/>
    <w:rsid w:val="00BE419F"/>
    <w:rsid w:val="00BF3022"/>
    <w:rsid w:val="00BF3214"/>
    <w:rsid w:val="00BF5573"/>
    <w:rsid w:val="00C104A8"/>
    <w:rsid w:val="00C15867"/>
    <w:rsid w:val="00C16E81"/>
    <w:rsid w:val="00C205AF"/>
    <w:rsid w:val="00C2296D"/>
    <w:rsid w:val="00C23155"/>
    <w:rsid w:val="00C40C41"/>
    <w:rsid w:val="00C45885"/>
    <w:rsid w:val="00C50F22"/>
    <w:rsid w:val="00C51564"/>
    <w:rsid w:val="00C55303"/>
    <w:rsid w:val="00C57971"/>
    <w:rsid w:val="00C65BD7"/>
    <w:rsid w:val="00C76BA4"/>
    <w:rsid w:val="00C83A48"/>
    <w:rsid w:val="00C841AF"/>
    <w:rsid w:val="00C85865"/>
    <w:rsid w:val="00C85E85"/>
    <w:rsid w:val="00CA2EAE"/>
    <w:rsid w:val="00CA4AC1"/>
    <w:rsid w:val="00CB0316"/>
    <w:rsid w:val="00CB0B11"/>
    <w:rsid w:val="00CB5354"/>
    <w:rsid w:val="00CC299E"/>
    <w:rsid w:val="00CC6236"/>
    <w:rsid w:val="00CC6A14"/>
    <w:rsid w:val="00CC70A3"/>
    <w:rsid w:val="00CD010A"/>
    <w:rsid w:val="00CD2467"/>
    <w:rsid w:val="00CD4442"/>
    <w:rsid w:val="00CD51DF"/>
    <w:rsid w:val="00CD53C3"/>
    <w:rsid w:val="00CD574E"/>
    <w:rsid w:val="00CE4C22"/>
    <w:rsid w:val="00CE682A"/>
    <w:rsid w:val="00CF41EC"/>
    <w:rsid w:val="00CF5D04"/>
    <w:rsid w:val="00D04DE4"/>
    <w:rsid w:val="00D0546C"/>
    <w:rsid w:val="00D063F1"/>
    <w:rsid w:val="00D13CD0"/>
    <w:rsid w:val="00D14F22"/>
    <w:rsid w:val="00D22563"/>
    <w:rsid w:val="00D31303"/>
    <w:rsid w:val="00D4741C"/>
    <w:rsid w:val="00D51B89"/>
    <w:rsid w:val="00D57918"/>
    <w:rsid w:val="00D602FC"/>
    <w:rsid w:val="00D62899"/>
    <w:rsid w:val="00D62BB1"/>
    <w:rsid w:val="00D66982"/>
    <w:rsid w:val="00D73DC6"/>
    <w:rsid w:val="00D74C1A"/>
    <w:rsid w:val="00D754C1"/>
    <w:rsid w:val="00D772A7"/>
    <w:rsid w:val="00D77393"/>
    <w:rsid w:val="00D77A35"/>
    <w:rsid w:val="00D81B3E"/>
    <w:rsid w:val="00D86455"/>
    <w:rsid w:val="00D90C70"/>
    <w:rsid w:val="00D90E49"/>
    <w:rsid w:val="00D913BD"/>
    <w:rsid w:val="00D96ADE"/>
    <w:rsid w:val="00DA0CE2"/>
    <w:rsid w:val="00DC6A10"/>
    <w:rsid w:val="00DE657E"/>
    <w:rsid w:val="00DF100E"/>
    <w:rsid w:val="00DF4245"/>
    <w:rsid w:val="00DF4704"/>
    <w:rsid w:val="00E024AA"/>
    <w:rsid w:val="00E07F91"/>
    <w:rsid w:val="00E12D99"/>
    <w:rsid w:val="00E17D2B"/>
    <w:rsid w:val="00E212F5"/>
    <w:rsid w:val="00E250F1"/>
    <w:rsid w:val="00E3550D"/>
    <w:rsid w:val="00E40441"/>
    <w:rsid w:val="00E41335"/>
    <w:rsid w:val="00E5752B"/>
    <w:rsid w:val="00E614E0"/>
    <w:rsid w:val="00E66B37"/>
    <w:rsid w:val="00E70F21"/>
    <w:rsid w:val="00E73F7F"/>
    <w:rsid w:val="00E76F78"/>
    <w:rsid w:val="00E85409"/>
    <w:rsid w:val="00EA429F"/>
    <w:rsid w:val="00EA4F9E"/>
    <w:rsid w:val="00EA63CA"/>
    <w:rsid w:val="00EA6D3B"/>
    <w:rsid w:val="00EB00AD"/>
    <w:rsid w:val="00EB136C"/>
    <w:rsid w:val="00EB480E"/>
    <w:rsid w:val="00EB53D8"/>
    <w:rsid w:val="00EB5EC6"/>
    <w:rsid w:val="00EB7FC9"/>
    <w:rsid w:val="00EC561B"/>
    <w:rsid w:val="00ED27E8"/>
    <w:rsid w:val="00ED7137"/>
    <w:rsid w:val="00EE66BA"/>
    <w:rsid w:val="00EF2490"/>
    <w:rsid w:val="00EF76CB"/>
    <w:rsid w:val="00F07892"/>
    <w:rsid w:val="00F07A58"/>
    <w:rsid w:val="00F21088"/>
    <w:rsid w:val="00F24E98"/>
    <w:rsid w:val="00F25E31"/>
    <w:rsid w:val="00F268BE"/>
    <w:rsid w:val="00F26E2B"/>
    <w:rsid w:val="00F30703"/>
    <w:rsid w:val="00F327E7"/>
    <w:rsid w:val="00F35746"/>
    <w:rsid w:val="00F447C7"/>
    <w:rsid w:val="00F5211B"/>
    <w:rsid w:val="00F554A9"/>
    <w:rsid w:val="00F645A3"/>
    <w:rsid w:val="00F64B72"/>
    <w:rsid w:val="00F716FD"/>
    <w:rsid w:val="00F72F44"/>
    <w:rsid w:val="00F74E1A"/>
    <w:rsid w:val="00F80355"/>
    <w:rsid w:val="00F87C43"/>
    <w:rsid w:val="00F935C9"/>
    <w:rsid w:val="00FA3190"/>
    <w:rsid w:val="00FB0C81"/>
    <w:rsid w:val="00FC2200"/>
    <w:rsid w:val="00FC2540"/>
    <w:rsid w:val="00FC6248"/>
    <w:rsid w:val="00FF0204"/>
    <w:rsid w:val="00FF3AED"/>
    <w:rsid w:val="00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3ED2"/>
  <w15:docId w15:val="{00BB9072-E65C-4EA3-8A49-6485D6DF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 Char"/>
    <w:basedOn w:val="Normal"/>
    <w:next w:val="Normal"/>
    <w:uiPriority w:val="9"/>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255CDE"/>
    <w:pPr>
      <w:ind w:left="720"/>
      <w:contextualSpacing/>
    </w:pPr>
  </w:style>
  <w:style w:type="paragraph" w:styleId="FootnoteText">
    <w:name w:val="footnote text"/>
    <w:basedOn w:val="Normal"/>
    <w:link w:val="FootnoteTextChar"/>
    <w:uiPriority w:val="99"/>
    <w:semiHidden/>
    <w:unhideWhenUsed/>
    <w:rsid w:val="00255CDE"/>
    <w:rPr>
      <w:sz w:val="20"/>
      <w:szCs w:val="20"/>
    </w:rPr>
  </w:style>
  <w:style w:type="character" w:customStyle="1" w:styleId="FootnoteTextChar">
    <w:name w:val="Footnote Text Char"/>
    <w:basedOn w:val="DefaultParagraphFont"/>
    <w:link w:val="FootnoteText"/>
    <w:uiPriority w:val="99"/>
    <w:semiHidden/>
    <w:rsid w:val="00255CDE"/>
    <w:rPr>
      <w:lang w:val="en-GB"/>
    </w:rPr>
  </w:style>
  <w:style w:type="character" w:styleId="FootnoteReference">
    <w:name w:val="footnote reference"/>
    <w:basedOn w:val="DefaultParagraphFont"/>
    <w:uiPriority w:val="99"/>
    <w:semiHidden/>
    <w:unhideWhenUsed/>
    <w:rsid w:val="00255CDE"/>
    <w:rPr>
      <w:vertAlign w:val="superscript"/>
    </w:rPr>
  </w:style>
  <w:style w:type="paragraph" w:styleId="Revision">
    <w:name w:val="Revision"/>
    <w:hidden/>
    <w:uiPriority w:val="99"/>
    <w:semiHidden/>
    <w:rsid w:val="00782CEF"/>
    <w:rPr>
      <w:sz w:val="22"/>
      <w:szCs w:val="22"/>
      <w:lang w:val="en-GB"/>
    </w:rPr>
  </w:style>
  <w:style w:type="paragraph" w:styleId="NormalWeb">
    <w:name w:val="Normal (Web)"/>
    <w:basedOn w:val="Normal"/>
    <w:uiPriority w:val="99"/>
    <w:semiHidden/>
    <w:unhideWhenUsed/>
    <w:rsid w:val="00987251"/>
    <w:pPr>
      <w:spacing w:before="100" w:beforeAutospacing="1" w:after="100" w:afterAutospacing="1"/>
      <w:jc w:val="left"/>
    </w:pPr>
    <w:rPr>
      <w:rFonts w:eastAsiaTheme="minorHAnsi"/>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34037">
      <w:bodyDiv w:val="1"/>
      <w:marLeft w:val="0"/>
      <w:marRight w:val="0"/>
      <w:marTop w:val="0"/>
      <w:marBottom w:val="0"/>
      <w:divBdr>
        <w:top w:val="none" w:sz="0" w:space="0" w:color="auto"/>
        <w:left w:val="none" w:sz="0" w:space="0" w:color="auto"/>
        <w:bottom w:val="none" w:sz="0" w:space="0" w:color="auto"/>
        <w:right w:val="none" w:sz="0" w:space="0" w:color="auto"/>
      </w:divBdr>
    </w:div>
    <w:div w:id="242178779">
      <w:bodyDiv w:val="1"/>
      <w:marLeft w:val="0"/>
      <w:marRight w:val="0"/>
      <w:marTop w:val="0"/>
      <w:marBottom w:val="0"/>
      <w:divBdr>
        <w:top w:val="none" w:sz="0" w:space="0" w:color="auto"/>
        <w:left w:val="none" w:sz="0" w:space="0" w:color="auto"/>
        <w:bottom w:val="none" w:sz="0" w:space="0" w:color="auto"/>
        <w:right w:val="none" w:sz="0" w:space="0" w:color="auto"/>
      </w:divBdr>
    </w:div>
    <w:div w:id="178160790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2912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UNEP/OzL.Pro/ExCom/84/50</Document_x0020_Number>
    <DocumentType xmlns="64e33b30-101d-41de-b951-961aab25ea29">Pre-session</DocumentType>
  </documentManagement>
</p:properties>
</file>

<file path=customXml/itemProps1.xml><?xml version="1.0" encoding="utf-8"?>
<ds:datastoreItem xmlns:ds="http://schemas.openxmlformats.org/officeDocument/2006/customXml" ds:itemID="{ACC41786-0F80-4541-B806-C7561DD52E06}"/>
</file>

<file path=customXml/itemProps2.xml><?xml version="1.0" encoding="utf-8"?>
<ds:datastoreItem xmlns:ds="http://schemas.openxmlformats.org/officeDocument/2006/customXml" ds:itemID="{E3A9CB16-05D4-4D2C-A146-B08D958387FC}"/>
</file>

<file path=customXml/itemProps3.xml><?xml version="1.0" encoding="utf-8"?>
<ds:datastoreItem xmlns:ds="http://schemas.openxmlformats.org/officeDocument/2006/customXml" ds:itemID="{D2F9E8FC-2A1B-4796-B4D1-7E82122F0D2D}"/>
</file>

<file path=customXml/itemProps4.xml><?xml version="1.0" encoding="utf-8"?>
<ds:datastoreItem xmlns:ds="http://schemas.openxmlformats.org/officeDocument/2006/customXml" ds:itemID="{6D47E0F9-F7D2-4191-9F3B-36E68FD00E57}"/>
</file>

<file path=docProps/app.xml><?xml version="1.0" encoding="utf-8"?>
<Properties xmlns="http://schemas.openxmlformats.org/officeDocument/2006/extended-properties" xmlns:vt="http://schemas.openxmlformats.org/officeDocument/2006/docPropsVTypes">
  <Template>Eec84G</Template>
  <TotalTime>8</TotalTime>
  <Pages>8</Pages>
  <Words>2663</Words>
  <Characters>14835</Characters>
  <Application>Microsoft Office Word</Application>
  <DocSecurity>0</DocSecurity>
  <Lines>645</Lines>
  <Paragraphs>437</Paragraphs>
  <ScaleCrop>false</ScaleCrop>
  <HeadingPairs>
    <vt:vector size="2" baseType="variant">
      <vt:variant>
        <vt:lpstr>Title</vt:lpstr>
      </vt:variant>
      <vt:variant>
        <vt:i4>1</vt:i4>
      </vt:variant>
    </vt:vector>
  </HeadingPairs>
  <TitlesOfParts>
    <vt:vector size="1" baseType="lpstr">
      <vt:lpstr>Project Proposal: Ghana</vt:lpstr>
    </vt:vector>
  </TitlesOfParts>
  <Company>UNMFS</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Ghana</dc:title>
  <dc:subject/>
  <dc:creator>Nanette Guerin</dc:creator>
  <cp:keywords/>
  <dc:description/>
  <cp:lastModifiedBy>Despina Psillou</cp:lastModifiedBy>
  <cp:revision>4</cp:revision>
  <cp:lastPrinted>2019-11-23T00:46:00Z</cp:lastPrinted>
  <dcterms:created xsi:type="dcterms:W3CDTF">2019-11-23T01:03:00Z</dcterms:created>
  <dcterms:modified xsi:type="dcterms:W3CDTF">2019-11-23T01:10:00Z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UNEP/OzL.Pro/ExCom/84/50</vt:lpwstr>
  </property>
  <property fmtid="{D5CDD505-2E9C-101B-9397-08002B2CF9AE}" pid="3" name="Revision date">
    <vt:lpwstr>22/11/2019</vt:lpwstr>
  </property>
  <property fmtid="{D5CDD505-2E9C-101B-9397-08002B2CF9AE}" pid="4" name="ContentTypeId">
    <vt:lpwstr>0x010100D1FC51483EAF9547AF5405F34A68D8CF</vt:lpwstr>
  </property>
</Properties>
</file>