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85618" w14:textId="77777777" w:rsidR="00EE66BA" w:rsidRDefault="00264ACF" w:rsidP="00860103">
      <w:r>
        <w:rPr>
          <w:noProof/>
          <w:lang w:val="en-CA" w:eastAsia="en-CA"/>
        </w:rPr>
        <w:drawing>
          <wp:anchor distT="0" distB="0" distL="114300" distR="114300" simplePos="0" relativeHeight="251658240" behindDoc="1" locked="0" layoutInCell="1" allowOverlap="1" wp14:anchorId="2126BDC4" wp14:editId="664AD6E0">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14:paraId="611B9A14" w14:textId="77777777" w:rsidR="00D0546C" w:rsidRDefault="00D0546C" w:rsidP="00860103">
      <w:pPr>
        <w:tabs>
          <w:tab w:val="left" w:pos="1410"/>
        </w:tabs>
      </w:pPr>
    </w:p>
    <w:p w14:paraId="7AF2D66A" w14:textId="77777777" w:rsidR="00D0546C" w:rsidRDefault="00D0546C" w:rsidP="00860103">
      <w:pPr>
        <w:ind w:left="5040"/>
      </w:pPr>
    </w:p>
    <w:p w14:paraId="5118A8F4" w14:textId="357BE49E" w:rsidR="003919B9" w:rsidRDefault="005A4390" w:rsidP="00860103">
      <w:pPr>
        <w:ind w:left="5040"/>
      </w:pPr>
      <w:r>
        <w:t xml:space="preserve"> </w:t>
      </w:r>
      <w:r>
        <w:br/>
        <w:t xml:space="preserve">   </w:t>
      </w:r>
      <w:r w:rsidR="00D0546C">
        <w:br/>
      </w:r>
      <w:r w:rsidR="00D0546C">
        <w:br/>
      </w:r>
      <w:r w:rsidR="00D0546C">
        <w:br/>
      </w:r>
      <w:r w:rsidR="00264ACF">
        <w:t xml:space="preserve">   </w:t>
      </w:r>
      <w:r w:rsidR="00042CAE">
        <w:fldChar w:fldCharType="begin"/>
      </w:r>
      <w:r w:rsidR="00042CAE">
        <w:instrText xml:space="preserve"> DOCPROPERTY "Document number"  \* MERGEFORMAT </w:instrText>
      </w:r>
      <w:r w:rsidR="00042CAE">
        <w:fldChar w:fldCharType="separate"/>
      </w:r>
      <w:r w:rsidR="00944C4D">
        <w:t>UNEP/</w:t>
      </w:r>
      <w:proofErr w:type="spellStart"/>
      <w:r w:rsidR="00944C4D">
        <w:t>OzL.Pro</w:t>
      </w:r>
      <w:proofErr w:type="spellEnd"/>
      <w:r w:rsidR="00944C4D">
        <w:t>/</w:t>
      </w:r>
      <w:proofErr w:type="spellStart"/>
      <w:r w:rsidR="00944C4D">
        <w:t>ExCom</w:t>
      </w:r>
      <w:proofErr w:type="spellEnd"/>
      <w:r w:rsidR="00944C4D">
        <w:t>/84/57</w:t>
      </w:r>
      <w:r w:rsidR="00042CAE">
        <w:fldChar w:fldCharType="end"/>
      </w:r>
      <w:r w:rsidR="00842104">
        <w:t>*</w:t>
      </w:r>
      <w:r w:rsidR="003919B9">
        <w:br/>
        <w:t xml:space="preserve">   </w:t>
      </w:r>
      <w:r w:rsidR="003919B9">
        <w:fldChar w:fldCharType="begin"/>
      </w:r>
      <w:r w:rsidR="003919B9">
        <w:instrText xml:space="preserve"> DOCPROPERTY "Revision date" \@ "d MMMM YYYY"  \* MERGEFORMAT </w:instrText>
      </w:r>
      <w:r w:rsidR="003919B9">
        <w:fldChar w:fldCharType="separate"/>
      </w:r>
      <w:r w:rsidR="00F63D11">
        <w:t>14 November 2019</w:t>
      </w:r>
      <w:r w:rsidR="003919B9">
        <w:fldChar w:fldCharType="end"/>
      </w:r>
    </w:p>
    <w:p w14:paraId="3A1669A4" w14:textId="77777777" w:rsidR="003919B9" w:rsidRPr="003F73BA" w:rsidRDefault="003919B9" w:rsidP="00860103"/>
    <w:p w14:paraId="08DF799F" w14:textId="77777777" w:rsidR="00EE66BA" w:rsidRDefault="00EE66BA" w:rsidP="00860103">
      <w:pPr>
        <w:tabs>
          <w:tab w:val="left" w:pos="8280"/>
        </w:tabs>
      </w:pPr>
    </w:p>
    <w:p w14:paraId="00496F5B" w14:textId="77777777" w:rsidR="003919B9" w:rsidRDefault="003919B9" w:rsidP="00860103">
      <w:pPr>
        <w:tabs>
          <w:tab w:val="left" w:pos="8280"/>
        </w:tabs>
      </w:pPr>
    </w:p>
    <w:p w14:paraId="1C419814" w14:textId="77777777" w:rsidR="003919B9" w:rsidRDefault="00D66982" w:rsidP="00860103">
      <w:pPr>
        <w:tabs>
          <w:tab w:val="left" w:pos="3940"/>
        </w:tabs>
      </w:pPr>
      <w:r>
        <w:tab/>
      </w:r>
    </w:p>
    <w:p w14:paraId="1B73FC94" w14:textId="77777777" w:rsidR="003919B9" w:rsidRDefault="003919B9" w:rsidP="00860103">
      <w:pPr>
        <w:tabs>
          <w:tab w:val="left" w:pos="8280"/>
        </w:tabs>
      </w:pPr>
    </w:p>
    <w:p w14:paraId="4BAD7C4D" w14:textId="77777777" w:rsidR="003919B9" w:rsidRDefault="003919B9" w:rsidP="00860103">
      <w:pPr>
        <w:tabs>
          <w:tab w:val="left" w:pos="8280"/>
        </w:tabs>
      </w:pPr>
    </w:p>
    <w:p w14:paraId="59867B33" w14:textId="77777777" w:rsidR="003919B9" w:rsidRDefault="003919B9" w:rsidP="00860103">
      <w:pPr>
        <w:tabs>
          <w:tab w:val="left" w:pos="8280"/>
        </w:tabs>
      </w:pPr>
    </w:p>
    <w:p w14:paraId="17313C94" w14:textId="77777777" w:rsidR="003919B9" w:rsidRDefault="003919B9" w:rsidP="00860103">
      <w:pPr>
        <w:tabs>
          <w:tab w:val="left" w:pos="8280"/>
        </w:tabs>
      </w:pPr>
    </w:p>
    <w:p w14:paraId="56EDC691" w14:textId="77777777" w:rsidR="003919B9" w:rsidRDefault="003919B9" w:rsidP="00860103">
      <w:pPr>
        <w:tabs>
          <w:tab w:val="left" w:pos="8280"/>
        </w:tabs>
      </w:pPr>
    </w:p>
    <w:p w14:paraId="7AE7897B" w14:textId="77777777" w:rsidR="003919B9" w:rsidRDefault="003919B9" w:rsidP="00860103">
      <w:pPr>
        <w:tabs>
          <w:tab w:val="left" w:pos="8280"/>
        </w:tabs>
      </w:pPr>
    </w:p>
    <w:p w14:paraId="1F92279A" w14:textId="77777777" w:rsidR="000E59CB" w:rsidRDefault="000E59CB" w:rsidP="00860103">
      <w:pPr>
        <w:tabs>
          <w:tab w:val="left" w:pos="8280"/>
        </w:tabs>
      </w:pPr>
    </w:p>
    <w:p w14:paraId="4505F26C" w14:textId="77777777" w:rsidR="004731B8" w:rsidRDefault="004731B8" w:rsidP="00860103">
      <w:pPr>
        <w:tabs>
          <w:tab w:val="left" w:pos="8280"/>
        </w:tabs>
      </w:pPr>
    </w:p>
    <w:p w14:paraId="1031EAE9" w14:textId="2691FD19" w:rsidR="00527617" w:rsidRPr="004F28EE" w:rsidRDefault="00C45350" w:rsidP="00860103">
      <w:pPr>
        <w:jc w:val="center"/>
        <w:rPr>
          <w:b/>
          <w:lang w:val="en-CA"/>
        </w:rPr>
      </w:pPr>
      <w:r>
        <w:rPr>
          <w:b/>
          <w:lang w:val="en-CA"/>
        </w:rPr>
        <w:t xml:space="preserve">PROJECT PROPOSAL: </w:t>
      </w:r>
      <w:bookmarkStart w:id="0" w:name="_GoBack"/>
      <w:bookmarkEnd w:id="0"/>
      <w:r w:rsidR="00527617" w:rsidRPr="004F28EE">
        <w:rPr>
          <w:b/>
          <w:lang w:val="en-CA"/>
        </w:rPr>
        <w:t>PAKISTAN</w:t>
      </w:r>
    </w:p>
    <w:p w14:paraId="660D9FAB" w14:textId="77777777" w:rsidR="00527617" w:rsidRPr="004F28EE" w:rsidRDefault="00527617" w:rsidP="00860103">
      <w:pPr>
        <w:rPr>
          <w:lang w:val="en-CA"/>
        </w:rPr>
      </w:pPr>
    </w:p>
    <w:p w14:paraId="33B357B6" w14:textId="77777777" w:rsidR="00527617" w:rsidRPr="004F28EE" w:rsidRDefault="00527617" w:rsidP="00860103">
      <w:pPr>
        <w:rPr>
          <w:lang w:val="en-CA"/>
        </w:rPr>
      </w:pPr>
    </w:p>
    <w:p w14:paraId="0238ACE0" w14:textId="77777777" w:rsidR="00527617" w:rsidRPr="004F28EE" w:rsidRDefault="00527617" w:rsidP="00860103">
      <w:pPr>
        <w:ind w:firstLine="720"/>
        <w:rPr>
          <w:lang w:val="en-CA"/>
        </w:rPr>
      </w:pPr>
      <w:r w:rsidRPr="004F28EE">
        <w:rPr>
          <w:lang w:val="en-CA"/>
        </w:rPr>
        <w:t xml:space="preserve">This document consists of the comments and recommendation of the Secretariat on the following project proposal: </w:t>
      </w:r>
    </w:p>
    <w:p w14:paraId="534CB2FD" w14:textId="77777777" w:rsidR="00527617" w:rsidRPr="004F28EE" w:rsidRDefault="00527617" w:rsidP="00860103">
      <w:pPr>
        <w:rPr>
          <w:lang w:val="en-CA"/>
        </w:rPr>
      </w:pPr>
    </w:p>
    <w:p w14:paraId="407B74CC" w14:textId="77777777" w:rsidR="00527617" w:rsidRPr="004F28EE" w:rsidRDefault="00527617" w:rsidP="00860103">
      <w:pPr>
        <w:rPr>
          <w:u w:val="single"/>
          <w:lang w:val="en-CA"/>
        </w:rPr>
      </w:pPr>
      <w:r w:rsidRPr="004F28EE">
        <w:rPr>
          <w:u w:val="single"/>
          <w:lang w:val="en-CA"/>
        </w:rPr>
        <w:t>Foam</w:t>
      </w:r>
    </w:p>
    <w:p w14:paraId="5B3C7B44" w14:textId="77777777" w:rsidR="00527617" w:rsidRPr="004F28EE" w:rsidRDefault="00527617" w:rsidP="00860103">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8"/>
        <w:gridCol w:w="2402"/>
      </w:tblGrid>
      <w:tr w:rsidR="00527617" w:rsidRPr="004F28EE" w14:paraId="69D46B61" w14:textId="77777777" w:rsidTr="00A37ACB">
        <w:tc>
          <w:tcPr>
            <w:tcW w:w="7128" w:type="dxa"/>
            <w:hideMark/>
          </w:tcPr>
          <w:p w14:paraId="3A51D2A5" w14:textId="3BA9E84A" w:rsidR="00527617" w:rsidRPr="004F28EE" w:rsidRDefault="00527617" w:rsidP="00860103">
            <w:pPr>
              <w:rPr>
                <w:lang w:val="en-CA"/>
              </w:rPr>
            </w:pPr>
            <w:r w:rsidRPr="004F28EE">
              <w:rPr>
                <w:lang w:val="en-CA"/>
              </w:rPr>
              <w:t>•</w:t>
            </w:r>
            <w:r w:rsidRPr="004F28EE">
              <w:rPr>
                <w:lang w:val="en-CA"/>
              </w:rPr>
              <w:tab/>
              <w:t xml:space="preserve">HCFC phase-out in extruded polystyrene (XPS) foam </w:t>
            </w:r>
            <w:r w:rsidR="00860103">
              <w:rPr>
                <w:lang w:val="en-CA"/>
              </w:rPr>
              <w:t>sector</w:t>
            </w:r>
          </w:p>
        </w:tc>
        <w:tc>
          <w:tcPr>
            <w:tcW w:w="2448" w:type="dxa"/>
            <w:hideMark/>
          </w:tcPr>
          <w:p w14:paraId="700ACFD7" w14:textId="77777777" w:rsidR="00527617" w:rsidRPr="004F28EE" w:rsidRDefault="00527617" w:rsidP="00860103">
            <w:pPr>
              <w:jc w:val="right"/>
              <w:rPr>
                <w:lang w:val="en-CA"/>
              </w:rPr>
            </w:pPr>
            <w:r w:rsidRPr="004F28EE">
              <w:rPr>
                <w:lang w:val="en-CA"/>
              </w:rPr>
              <w:t>UNIDO</w:t>
            </w:r>
          </w:p>
        </w:tc>
      </w:tr>
    </w:tbl>
    <w:p w14:paraId="1528673F" w14:textId="77777777" w:rsidR="00052C5C" w:rsidRDefault="00052C5C" w:rsidP="00860103">
      <w:pPr>
        <w:tabs>
          <w:tab w:val="left" w:pos="8280"/>
        </w:tabs>
      </w:pPr>
    </w:p>
    <w:p w14:paraId="4A0D8ACB" w14:textId="77777777" w:rsidR="00052C5C" w:rsidRDefault="00052C5C" w:rsidP="00860103">
      <w:pPr>
        <w:tabs>
          <w:tab w:val="left" w:pos="8280"/>
        </w:tabs>
      </w:pPr>
    </w:p>
    <w:p w14:paraId="73075A18" w14:textId="77777777" w:rsidR="00842104" w:rsidRDefault="00842104" w:rsidP="00860103">
      <w:pPr>
        <w:tabs>
          <w:tab w:val="left" w:pos="8280"/>
        </w:tabs>
      </w:pPr>
    </w:p>
    <w:p w14:paraId="27F90708" w14:textId="77777777" w:rsidR="00842104" w:rsidRDefault="00842104" w:rsidP="00860103">
      <w:pPr>
        <w:tabs>
          <w:tab w:val="left" w:pos="8280"/>
        </w:tabs>
      </w:pPr>
    </w:p>
    <w:p w14:paraId="48754E63" w14:textId="77777777" w:rsidR="00842104" w:rsidRDefault="00842104" w:rsidP="00860103">
      <w:pPr>
        <w:tabs>
          <w:tab w:val="left" w:pos="8280"/>
        </w:tabs>
      </w:pPr>
    </w:p>
    <w:p w14:paraId="7C35363B" w14:textId="77777777" w:rsidR="00842104" w:rsidRDefault="00842104" w:rsidP="00860103">
      <w:pPr>
        <w:tabs>
          <w:tab w:val="left" w:pos="8280"/>
        </w:tabs>
      </w:pPr>
    </w:p>
    <w:p w14:paraId="2F278EC3" w14:textId="77777777" w:rsidR="00842104" w:rsidRDefault="00842104" w:rsidP="00860103">
      <w:pPr>
        <w:tabs>
          <w:tab w:val="left" w:pos="8280"/>
        </w:tabs>
      </w:pPr>
    </w:p>
    <w:p w14:paraId="1ED881DB" w14:textId="77777777" w:rsidR="00842104" w:rsidRDefault="00842104" w:rsidP="00860103">
      <w:pPr>
        <w:tabs>
          <w:tab w:val="left" w:pos="8280"/>
        </w:tabs>
      </w:pPr>
    </w:p>
    <w:p w14:paraId="2571A133" w14:textId="77777777" w:rsidR="00842104" w:rsidRDefault="00842104" w:rsidP="00860103">
      <w:pPr>
        <w:tabs>
          <w:tab w:val="left" w:pos="8280"/>
        </w:tabs>
      </w:pPr>
    </w:p>
    <w:p w14:paraId="09609152" w14:textId="77777777" w:rsidR="00842104" w:rsidRDefault="00842104" w:rsidP="00860103">
      <w:pPr>
        <w:tabs>
          <w:tab w:val="left" w:pos="8280"/>
        </w:tabs>
      </w:pPr>
    </w:p>
    <w:p w14:paraId="544595B3" w14:textId="77777777" w:rsidR="00842104" w:rsidRDefault="00842104" w:rsidP="00860103">
      <w:pPr>
        <w:tabs>
          <w:tab w:val="left" w:pos="8280"/>
        </w:tabs>
      </w:pPr>
    </w:p>
    <w:p w14:paraId="3DADD8D1" w14:textId="77777777" w:rsidR="00842104" w:rsidRDefault="00842104" w:rsidP="00860103">
      <w:pPr>
        <w:tabs>
          <w:tab w:val="left" w:pos="8280"/>
        </w:tabs>
      </w:pPr>
    </w:p>
    <w:p w14:paraId="09FA1FC9" w14:textId="77777777" w:rsidR="00842104" w:rsidRDefault="00842104" w:rsidP="00860103">
      <w:pPr>
        <w:tabs>
          <w:tab w:val="left" w:pos="8280"/>
        </w:tabs>
      </w:pPr>
    </w:p>
    <w:p w14:paraId="6A7DC228" w14:textId="77777777" w:rsidR="00842104" w:rsidRDefault="00842104" w:rsidP="00860103">
      <w:pPr>
        <w:tabs>
          <w:tab w:val="left" w:pos="8280"/>
        </w:tabs>
      </w:pPr>
    </w:p>
    <w:p w14:paraId="6EE0C14F" w14:textId="77777777" w:rsidR="00842104" w:rsidRDefault="00842104" w:rsidP="00860103">
      <w:pPr>
        <w:tabs>
          <w:tab w:val="left" w:pos="8280"/>
        </w:tabs>
      </w:pPr>
    </w:p>
    <w:p w14:paraId="501BDB24" w14:textId="77777777" w:rsidR="00842104" w:rsidRDefault="00842104" w:rsidP="00860103">
      <w:pPr>
        <w:tabs>
          <w:tab w:val="left" w:pos="8280"/>
        </w:tabs>
      </w:pPr>
    </w:p>
    <w:p w14:paraId="7212739D" w14:textId="77777777" w:rsidR="00842104" w:rsidRDefault="00842104" w:rsidP="00860103">
      <w:pPr>
        <w:tabs>
          <w:tab w:val="left" w:pos="8280"/>
        </w:tabs>
      </w:pPr>
    </w:p>
    <w:p w14:paraId="2A7E7B92" w14:textId="77777777" w:rsidR="00842104" w:rsidRDefault="00842104" w:rsidP="00860103">
      <w:pPr>
        <w:tabs>
          <w:tab w:val="left" w:pos="8280"/>
        </w:tabs>
      </w:pPr>
    </w:p>
    <w:p w14:paraId="4E2DDEE5" w14:textId="77777777" w:rsidR="00842104" w:rsidRDefault="00842104" w:rsidP="00860103">
      <w:pPr>
        <w:tabs>
          <w:tab w:val="left" w:pos="8280"/>
        </w:tabs>
      </w:pPr>
    </w:p>
    <w:p w14:paraId="6D7524BE" w14:textId="77777777" w:rsidR="00842104" w:rsidRDefault="00842104" w:rsidP="00860103">
      <w:pPr>
        <w:tabs>
          <w:tab w:val="left" w:pos="8280"/>
        </w:tabs>
      </w:pPr>
    </w:p>
    <w:p w14:paraId="7C63AF0B" w14:textId="77777777" w:rsidR="00842104" w:rsidRDefault="00842104" w:rsidP="00860103">
      <w:pPr>
        <w:tabs>
          <w:tab w:val="left" w:pos="8280"/>
        </w:tabs>
      </w:pPr>
    </w:p>
    <w:p w14:paraId="2AEF1DA6" w14:textId="77777777" w:rsidR="00842104" w:rsidRDefault="00842104" w:rsidP="00860103">
      <w:pPr>
        <w:tabs>
          <w:tab w:val="left" w:pos="8280"/>
        </w:tabs>
      </w:pPr>
    </w:p>
    <w:p w14:paraId="74FC9B12" w14:textId="77777777" w:rsidR="00842104" w:rsidRDefault="00842104" w:rsidP="00860103">
      <w:pPr>
        <w:tabs>
          <w:tab w:val="left" w:pos="8280"/>
        </w:tabs>
      </w:pPr>
    </w:p>
    <w:p w14:paraId="04925C5A" w14:textId="4548429D" w:rsidR="00527617" w:rsidRPr="00842104" w:rsidRDefault="00842104" w:rsidP="00860103">
      <w:pPr>
        <w:tabs>
          <w:tab w:val="left" w:pos="8280"/>
        </w:tabs>
        <w:rPr>
          <w:sz w:val="20"/>
          <w:szCs w:val="20"/>
        </w:rPr>
      </w:pPr>
      <w:r w:rsidRPr="00842104">
        <w:rPr>
          <w:sz w:val="20"/>
          <w:szCs w:val="20"/>
        </w:rPr>
        <w:t>*Reissued for technical reasons</w:t>
      </w:r>
      <w:r>
        <w:rPr>
          <w:sz w:val="20"/>
          <w:szCs w:val="20"/>
        </w:rPr>
        <w:t xml:space="preserve"> on 28 November 2019</w:t>
      </w:r>
      <w:r w:rsidR="00527617" w:rsidRPr="00842104">
        <w:rPr>
          <w:sz w:val="20"/>
          <w:szCs w:val="20"/>
        </w:rPr>
        <w:br w:type="page"/>
      </w:r>
    </w:p>
    <w:p w14:paraId="7DED8A8F" w14:textId="77777777" w:rsidR="00527617" w:rsidRPr="004F28EE" w:rsidRDefault="00527617" w:rsidP="00860103">
      <w:pPr>
        <w:pStyle w:val="Decision"/>
        <w:jc w:val="center"/>
      </w:pPr>
      <w:r w:rsidRPr="004F28EE">
        <w:lastRenderedPageBreak/>
        <w:t>PROJECT EVALUATION SHEET – NON-MULTI-YEAR PROJECT</w:t>
      </w:r>
    </w:p>
    <w:p w14:paraId="1CE9940D" w14:textId="77777777" w:rsidR="00527617" w:rsidRPr="004F28EE" w:rsidRDefault="00527617" w:rsidP="00860103">
      <w:pPr>
        <w:pStyle w:val="Decision"/>
        <w:jc w:val="center"/>
      </w:pPr>
    </w:p>
    <w:p w14:paraId="47E17331" w14:textId="77777777" w:rsidR="00527617" w:rsidRPr="004F28EE" w:rsidRDefault="00527617" w:rsidP="00860103">
      <w:pPr>
        <w:jc w:val="center"/>
        <w:rPr>
          <w:b/>
          <w:szCs w:val="24"/>
        </w:rPr>
      </w:pPr>
      <w:r w:rsidRPr="004F28EE">
        <w:rPr>
          <w:b/>
          <w:szCs w:val="24"/>
        </w:rPr>
        <w:t>PAKISTAN</w:t>
      </w:r>
    </w:p>
    <w:p w14:paraId="2F0CE8AE" w14:textId="77777777" w:rsidR="00527617" w:rsidRPr="004F28EE" w:rsidRDefault="00527617" w:rsidP="00860103">
      <w:pPr>
        <w:rPr>
          <w:sz w:val="20"/>
        </w:rPr>
      </w:pPr>
    </w:p>
    <w:p w14:paraId="1D4738CC" w14:textId="77777777" w:rsidR="00527617" w:rsidRPr="004F28EE" w:rsidRDefault="00527617" w:rsidP="00860103">
      <w:pPr>
        <w:tabs>
          <w:tab w:val="left" w:pos="5580"/>
        </w:tabs>
        <w:ind w:right="-540"/>
        <w:rPr>
          <w:b/>
          <w:sz w:val="20"/>
        </w:rPr>
      </w:pPr>
      <w:r w:rsidRPr="004F28EE">
        <w:rPr>
          <w:b/>
          <w:caps/>
          <w:sz w:val="20"/>
        </w:rPr>
        <w:t>Project title(S)</w:t>
      </w:r>
      <w:r w:rsidRPr="004F28EE">
        <w:rPr>
          <w:b/>
          <w:sz w:val="20"/>
        </w:rPr>
        <w:tab/>
      </w:r>
      <w:r w:rsidRPr="004F28EE">
        <w:rPr>
          <w:b/>
          <w:caps/>
          <w:sz w:val="20"/>
        </w:rPr>
        <w:t>Bilateral/implementing agency</w:t>
      </w:r>
    </w:p>
    <w:tbl>
      <w:tblPr>
        <w:tblStyle w:val="TableGrid"/>
        <w:tblpPr w:leftFromText="180" w:rightFromText="180" w:vertAnchor="text" w:horzAnchor="margin" w:tblpXSpec="center" w:tblpY="62"/>
        <w:tblW w:w="5000" w:type="pct"/>
        <w:tblBorders>
          <w:insideH w:val="none" w:sz="0" w:space="0" w:color="auto"/>
          <w:insideV w:val="none" w:sz="0" w:space="0" w:color="auto"/>
        </w:tblBorders>
        <w:tblLook w:val="01E0" w:firstRow="1" w:lastRow="1" w:firstColumn="1" w:lastColumn="1" w:noHBand="0" w:noVBand="0"/>
      </w:tblPr>
      <w:tblGrid>
        <w:gridCol w:w="467"/>
        <w:gridCol w:w="6575"/>
        <w:gridCol w:w="2308"/>
      </w:tblGrid>
      <w:tr w:rsidR="00527617" w:rsidRPr="004F28EE" w14:paraId="5958E9C2" w14:textId="77777777" w:rsidTr="00A37ACB">
        <w:trPr>
          <w:trHeight w:val="251"/>
        </w:trPr>
        <w:tc>
          <w:tcPr>
            <w:tcW w:w="250" w:type="pct"/>
            <w:tcBorders>
              <w:top w:val="single" w:sz="4" w:space="0" w:color="auto"/>
              <w:left w:val="single" w:sz="4" w:space="0" w:color="auto"/>
              <w:bottom w:val="single" w:sz="4" w:space="0" w:color="auto"/>
              <w:right w:val="nil"/>
            </w:tcBorders>
            <w:hideMark/>
          </w:tcPr>
          <w:p w14:paraId="505ABEED" w14:textId="77777777" w:rsidR="00527617" w:rsidRPr="004F28EE" w:rsidRDefault="00527617" w:rsidP="00860103">
            <w:pPr>
              <w:tabs>
                <w:tab w:val="left" w:pos="383"/>
              </w:tabs>
              <w:rPr>
                <w:sz w:val="20"/>
                <w:szCs w:val="20"/>
              </w:rPr>
            </w:pPr>
            <w:r w:rsidRPr="004F28EE">
              <w:rPr>
                <w:sz w:val="20"/>
                <w:szCs w:val="20"/>
              </w:rPr>
              <w:t>(a)</w:t>
            </w:r>
          </w:p>
        </w:tc>
        <w:tc>
          <w:tcPr>
            <w:tcW w:w="3516" w:type="pct"/>
            <w:tcBorders>
              <w:top w:val="single" w:sz="4" w:space="0" w:color="auto"/>
              <w:left w:val="nil"/>
              <w:bottom w:val="single" w:sz="4" w:space="0" w:color="auto"/>
              <w:right w:val="single" w:sz="4" w:space="0" w:color="auto"/>
            </w:tcBorders>
            <w:hideMark/>
          </w:tcPr>
          <w:p w14:paraId="445B7B9D" w14:textId="77777777" w:rsidR="00527617" w:rsidRPr="004F28EE" w:rsidRDefault="00527617" w:rsidP="00860103">
            <w:pPr>
              <w:tabs>
                <w:tab w:val="left" w:pos="383"/>
              </w:tabs>
              <w:jc w:val="left"/>
              <w:rPr>
                <w:sz w:val="20"/>
                <w:szCs w:val="20"/>
              </w:rPr>
            </w:pPr>
            <w:r w:rsidRPr="004F28EE">
              <w:rPr>
                <w:sz w:val="20"/>
                <w:szCs w:val="20"/>
              </w:rPr>
              <w:t>HCFC phase-out in extruded polystyrene (XPS) foam board manufacturing at Symbol Industries, Lahore</w:t>
            </w:r>
          </w:p>
        </w:tc>
        <w:tc>
          <w:tcPr>
            <w:tcW w:w="1235" w:type="pct"/>
            <w:tcBorders>
              <w:top w:val="single" w:sz="4" w:space="0" w:color="auto"/>
              <w:left w:val="single" w:sz="4" w:space="0" w:color="auto"/>
              <w:bottom w:val="single" w:sz="4" w:space="0" w:color="auto"/>
              <w:right w:val="single" w:sz="4" w:space="0" w:color="auto"/>
            </w:tcBorders>
            <w:hideMark/>
          </w:tcPr>
          <w:p w14:paraId="04A216FF" w14:textId="77777777" w:rsidR="00527617" w:rsidRPr="004F28EE" w:rsidRDefault="00527617" w:rsidP="00860103">
            <w:pPr>
              <w:jc w:val="right"/>
              <w:rPr>
                <w:sz w:val="20"/>
                <w:szCs w:val="20"/>
              </w:rPr>
            </w:pPr>
            <w:r w:rsidRPr="004F28EE">
              <w:rPr>
                <w:sz w:val="20"/>
                <w:szCs w:val="20"/>
              </w:rPr>
              <w:t>UNIDO</w:t>
            </w:r>
          </w:p>
        </w:tc>
      </w:tr>
    </w:tbl>
    <w:p w14:paraId="430CAF5D" w14:textId="77777777" w:rsidR="00527617" w:rsidRPr="004F28EE" w:rsidRDefault="00527617" w:rsidP="00860103">
      <w:pPr>
        <w:rPr>
          <w:sz w:val="20"/>
        </w:rPr>
      </w:pPr>
    </w:p>
    <w:tbl>
      <w:tblPr>
        <w:tblStyle w:val="TableGrid"/>
        <w:tblW w:w="0" w:type="auto"/>
        <w:jc w:val="center"/>
        <w:tblLook w:val="01E0" w:firstRow="1" w:lastRow="1" w:firstColumn="1" w:lastColumn="1" w:noHBand="0" w:noVBand="0"/>
      </w:tblPr>
      <w:tblGrid>
        <w:gridCol w:w="5016"/>
        <w:gridCol w:w="4334"/>
      </w:tblGrid>
      <w:tr w:rsidR="00527617" w:rsidRPr="004F28EE" w14:paraId="333FFB7E" w14:textId="77777777" w:rsidTr="00A37ACB">
        <w:trPr>
          <w:jc w:val="center"/>
        </w:trPr>
        <w:tc>
          <w:tcPr>
            <w:tcW w:w="5094" w:type="dxa"/>
            <w:tcBorders>
              <w:top w:val="single" w:sz="4" w:space="0" w:color="auto"/>
              <w:left w:val="single" w:sz="4" w:space="0" w:color="auto"/>
              <w:bottom w:val="single" w:sz="4" w:space="0" w:color="auto"/>
              <w:right w:val="single" w:sz="4" w:space="0" w:color="auto"/>
            </w:tcBorders>
            <w:hideMark/>
          </w:tcPr>
          <w:p w14:paraId="58B04E3D" w14:textId="77777777" w:rsidR="00527617" w:rsidRPr="004F28EE" w:rsidRDefault="00527617" w:rsidP="00860103">
            <w:pPr>
              <w:rPr>
                <w:sz w:val="20"/>
              </w:rPr>
            </w:pPr>
            <w:r w:rsidRPr="004F28EE">
              <w:rPr>
                <w:b/>
                <w:caps/>
                <w:sz w:val="20"/>
              </w:rPr>
              <w:t>National co-ordinating agency</w:t>
            </w:r>
          </w:p>
        </w:tc>
        <w:tc>
          <w:tcPr>
            <w:tcW w:w="4410" w:type="dxa"/>
            <w:tcBorders>
              <w:top w:val="single" w:sz="4" w:space="0" w:color="auto"/>
              <w:left w:val="single" w:sz="4" w:space="0" w:color="auto"/>
              <w:bottom w:val="single" w:sz="4" w:space="0" w:color="auto"/>
              <w:right w:val="single" w:sz="4" w:space="0" w:color="auto"/>
            </w:tcBorders>
            <w:hideMark/>
          </w:tcPr>
          <w:p w14:paraId="7EB650A0" w14:textId="77777777" w:rsidR="00527617" w:rsidRPr="004F28EE" w:rsidRDefault="00527617" w:rsidP="00860103">
            <w:pPr>
              <w:jc w:val="right"/>
              <w:rPr>
                <w:sz w:val="20"/>
              </w:rPr>
            </w:pPr>
            <w:r w:rsidRPr="004F28EE">
              <w:rPr>
                <w:sz w:val="20"/>
              </w:rPr>
              <w:t>Ozone Office, Ministry of Climate Change</w:t>
            </w:r>
          </w:p>
        </w:tc>
      </w:tr>
    </w:tbl>
    <w:p w14:paraId="389FE3DF" w14:textId="77777777" w:rsidR="00527617" w:rsidRPr="004F28EE" w:rsidRDefault="00527617" w:rsidP="00860103">
      <w:pPr>
        <w:rPr>
          <w:caps/>
          <w:sz w:val="20"/>
        </w:rPr>
      </w:pPr>
    </w:p>
    <w:p w14:paraId="68F5A658" w14:textId="77777777" w:rsidR="00527617" w:rsidRPr="004F28EE" w:rsidRDefault="00527617" w:rsidP="00860103">
      <w:pPr>
        <w:rPr>
          <w:b/>
          <w:caps/>
          <w:sz w:val="20"/>
        </w:rPr>
      </w:pPr>
      <w:r w:rsidRPr="004F28EE">
        <w:rPr>
          <w:b/>
          <w:caps/>
          <w:sz w:val="20"/>
        </w:rPr>
        <w:t xml:space="preserve">LateSt reported consumption data for ODS addressed in project </w:t>
      </w:r>
    </w:p>
    <w:p w14:paraId="32FB70FC" w14:textId="1DACBF9C" w:rsidR="00527617" w:rsidRPr="004F28EE" w:rsidRDefault="00527617" w:rsidP="00860103">
      <w:pPr>
        <w:spacing w:before="60"/>
        <w:rPr>
          <w:b/>
          <w:caps/>
          <w:sz w:val="20"/>
        </w:rPr>
      </w:pPr>
      <w:r w:rsidRPr="004F28EE">
        <w:rPr>
          <w:b/>
          <w:caps/>
          <w:sz w:val="20"/>
        </w:rPr>
        <w:t xml:space="preserve">A: Article-7 data (ODP tonnes, </w:t>
      </w:r>
      <w:r w:rsidR="00E917C1">
        <w:rPr>
          <w:b/>
          <w:caps/>
          <w:sz w:val="20"/>
        </w:rPr>
        <w:t>2018, as of october 2019</w:t>
      </w:r>
      <w:r w:rsidRPr="004F28EE">
        <w:rPr>
          <w:b/>
          <w:caps/>
          <w:sz w:val="20"/>
        </w:rPr>
        <w:t>)</w:t>
      </w:r>
    </w:p>
    <w:tbl>
      <w:tblPr>
        <w:tblStyle w:val="TableGrid"/>
        <w:tblpPr w:leftFromText="180" w:rightFromText="180" w:vertAnchor="text" w:horzAnchor="margin" w:tblpXSpec="center" w:tblpY="90"/>
        <w:tblW w:w="9468" w:type="dxa"/>
        <w:tblLook w:val="01E0" w:firstRow="1" w:lastRow="1" w:firstColumn="1" w:lastColumn="1" w:noHBand="0" w:noVBand="0"/>
      </w:tblPr>
      <w:tblGrid>
        <w:gridCol w:w="8208"/>
        <w:gridCol w:w="1260"/>
      </w:tblGrid>
      <w:tr w:rsidR="00527617" w:rsidRPr="00A37ACB" w14:paraId="1975EEDA" w14:textId="77777777" w:rsidTr="00A37ACB">
        <w:tc>
          <w:tcPr>
            <w:tcW w:w="8208" w:type="dxa"/>
            <w:tcBorders>
              <w:top w:val="single" w:sz="4" w:space="0" w:color="auto"/>
              <w:left w:val="single" w:sz="4" w:space="0" w:color="auto"/>
              <w:bottom w:val="single" w:sz="4" w:space="0" w:color="auto"/>
              <w:right w:val="single" w:sz="4" w:space="0" w:color="auto"/>
            </w:tcBorders>
            <w:hideMark/>
          </w:tcPr>
          <w:p w14:paraId="732A466A" w14:textId="77777777" w:rsidR="00527617" w:rsidRPr="00A37ACB" w:rsidRDefault="00527617" w:rsidP="00860103">
            <w:pPr>
              <w:jc w:val="left"/>
              <w:rPr>
                <w:sz w:val="20"/>
              </w:rPr>
            </w:pPr>
            <w:r w:rsidRPr="00A37ACB">
              <w:rPr>
                <w:sz w:val="20"/>
              </w:rPr>
              <w:t>HCFCs</w:t>
            </w:r>
          </w:p>
        </w:tc>
        <w:tc>
          <w:tcPr>
            <w:tcW w:w="1260" w:type="dxa"/>
            <w:tcBorders>
              <w:top w:val="single" w:sz="4" w:space="0" w:color="auto"/>
              <w:left w:val="single" w:sz="4" w:space="0" w:color="auto"/>
              <w:bottom w:val="single" w:sz="4" w:space="0" w:color="auto"/>
              <w:right w:val="single" w:sz="4" w:space="0" w:color="auto"/>
            </w:tcBorders>
          </w:tcPr>
          <w:p w14:paraId="37DC4CAA" w14:textId="499B6865" w:rsidR="00527617" w:rsidRPr="00A37ACB" w:rsidRDefault="00D51D10" w:rsidP="00860103">
            <w:pPr>
              <w:jc w:val="right"/>
              <w:rPr>
                <w:sz w:val="20"/>
              </w:rPr>
            </w:pPr>
            <w:r w:rsidRPr="00A37ACB">
              <w:rPr>
                <w:sz w:val="20"/>
              </w:rPr>
              <w:t>190.19</w:t>
            </w:r>
          </w:p>
        </w:tc>
      </w:tr>
    </w:tbl>
    <w:p w14:paraId="5C58D38C" w14:textId="07F91A6F" w:rsidR="00527617" w:rsidRPr="00A37ACB" w:rsidRDefault="00527617" w:rsidP="00860103">
      <w:pPr>
        <w:spacing w:before="120" w:after="60"/>
        <w:rPr>
          <w:b/>
          <w:caps/>
          <w:sz w:val="20"/>
        </w:rPr>
      </w:pPr>
      <w:r w:rsidRPr="00A37ACB">
        <w:rPr>
          <w:b/>
          <w:sz w:val="20"/>
        </w:rPr>
        <w:t xml:space="preserve">B: COUNTRY PROGRAMME SECTORAL DATA </w:t>
      </w:r>
      <w:r w:rsidRPr="00A37ACB">
        <w:rPr>
          <w:b/>
          <w:caps/>
          <w:sz w:val="20"/>
        </w:rPr>
        <w:t xml:space="preserve">(ODP tonnes, </w:t>
      </w:r>
      <w:r w:rsidR="00E917C1" w:rsidRPr="00A37ACB">
        <w:rPr>
          <w:b/>
          <w:caps/>
          <w:sz w:val="20"/>
        </w:rPr>
        <w:t>2018, as of november 2019</w:t>
      </w:r>
      <w:r w:rsidRPr="00A37ACB">
        <w:rPr>
          <w:b/>
          <w:caps/>
          <w:sz w:val="20"/>
        </w:rPr>
        <w:t>)</w:t>
      </w:r>
    </w:p>
    <w:tbl>
      <w:tblPr>
        <w:tblStyle w:val="TableGrid"/>
        <w:tblW w:w="9348" w:type="dxa"/>
        <w:jc w:val="center"/>
        <w:tblLayout w:type="fixed"/>
        <w:tblLook w:val="01E0" w:firstRow="1" w:lastRow="1" w:firstColumn="1" w:lastColumn="1" w:noHBand="0" w:noVBand="0"/>
      </w:tblPr>
      <w:tblGrid>
        <w:gridCol w:w="8148"/>
        <w:gridCol w:w="1200"/>
      </w:tblGrid>
      <w:tr w:rsidR="00527617" w:rsidRPr="00A37ACB" w14:paraId="325B0FEB" w14:textId="77777777" w:rsidTr="00860103">
        <w:trPr>
          <w:jc w:val="center"/>
        </w:trPr>
        <w:tc>
          <w:tcPr>
            <w:tcW w:w="8148" w:type="dxa"/>
            <w:tcBorders>
              <w:top w:val="single" w:sz="4" w:space="0" w:color="auto"/>
              <w:left w:val="single" w:sz="4" w:space="0" w:color="auto"/>
              <w:bottom w:val="single" w:sz="4" w:space="0" w:color="auto"/>
              <w:right w:val="single" w:sz="4" w:space="0" w:color="auto"/>
            </w:tcBorders>
            <w:hideMark/>
          </w:tcPr>
          <w:p w14:paraId="56B87E18" w14:textId="77777777" w:rsidR="00527617" w:rsidRPr="00A37ACB" w:rsidRDefault="00527617" w:rsidP="00860103">
            <w:pPr>
              <w:rPr>
                <w:sz w:val="20"/>
              </w:rPr>
            </w:pPr>
            <w:r w:rsidRPr="00A37ACB">
              <w:rPr>
                <w:sz w:val="20"/>
              </w:rPr>
              <w:t>HCFC-22</w:t>
            </w:r>
          </w:p>
        </w:tc>
        <w:tc>
          <w:tcPr>
            <w:tcW w:w="1200" w:type="dxa"/>
            <w:tcBorders>
              <w:top w:val="single" w:sz="4" w:space="0" w:color="auto"/>
              <w:left w:val="single" w:sz="4" w:space="0" w:color="auto"/>
              <w:bottom w:val="single" w:sz="4" w:space="0" w:color="auto"/>
              <w:right w:val="single" w:sz="4" w:space="0" w:color="auto"/>
            </w:tcBorders>
          </w:tcPr>
          <w:p w14:paraId="7ECA4F8F" w14:textId="0062BC30" w:rsidR="00527617" w:rsidRPr="00A37ACB" w:rsidRDefault="00D51D10" w:rsidP="00860103">
            <w:pPr>
              <w:jc w:val="right"/>
              <w:rPr>
                <w:sz w:val="20"/>
                <w:szCs w:val="20"/>
              </w:rPr>
            </w:pPr>
            <w:r w:rsidRPr="00A37ACB">
              <w:rPr>
                <w:sz w:val="20"/>
                <w:szCs w:val="20"/>
              </w:rPr>
              <w:t>154.35</w:t>
            </w:r>
          </w:p>
        </w:tc>
      </w:tr>
      <w:tr w:rsidR="00527617" w:rsidRPr="00A37ACB" w14:paraId="22B6B49E" w14:textId="77777777" w:rsidTr="00860103">
        <w:trPr>
          <w:jc w:val="center"/>
        </w:trPr>
        <w:tc>
          <w:tcPr>
            <w:tcW w:w="8148" w:type="dxa"/>
            <w:tcBorders>
              <w:top w:val="single" w:sz="4" w:space="0" w:color="auto"/>
              <w:left w:val="single" w:sz="4" w:space="0" w:color="auto"/>
              <w:bottom w:val="single" w:sz="4" w:space="0" w:color="auto"/>
              <w:right w:val="single" w:sz="4" w:space="0" w:color="auto"/>
            </w:tcBorders>
            <w:hideMark/>
          </w:tcPr>
          <w:p w14:paraId="6A7E84A8" w14:textId="77777777" w:rsidR="00527617" w:rsidRPr="00A37ACB" w:rsidRDefault="00527617" w:rsidP="00860103">
            <w:pPr>
              <w:rPr>
                <w:sz w:val="20"/>
              </w:rPr>
            </w:pPr>
            <w:r w:rsidRPr="00A37ACB">
              <w:rPr>
                <w:sz w:val="20"/>
              </w:rPr>
              <w:t>HCFC-141b</w:t>
            </w:r>
          </w:p>
        </w:tc>
        <w:tc>
          <w:tcPr>
            <w:tcW w:w="1200" w:type="dxa"/>
            <w:tcBorders>
              <w:top w:val="single" w:sz="4" w:space="0" w:color="auto"/>
              <w:left w:val="single" w:sz="4" w:space="0" w:color="auto"/>
              <w:bottom w:val="single" w:sz="4" w:space="0" w:color="auto"/>
              <w:right w:val="single" w:sz="4" w:space="0" w:color="auto"/>
            </w:tcBorders>
          </w:tcPr>
          <w:p w14:paraId="12B41C84" w14:textId="59B62B59" w:rsidR="00527617" w:rsidRPr="00A37ACB" w:rsidRDefault="00D51D10" w:rsidP="00860103">
            <w:pPr>
              <w:jc w:val="right"/>
              <w:rPr>
                <w:sz w:val="20"/>
                <w:szCs w:val="20"/>
              </w:rPr>
            </w:pPr>
            <w:r w:rsidRPr="00A37ACB">
              <w:rPr>
                <w:sz w:val="20"/>
                <w:szCs w:val="20"/>
              </w:rPr>
              <w:t>32.85</w:t>
            </w:r>
          </w:p>
        </w:tc>
      </w:tr>
      <w:tr w:rsidR="00527617" w:rsidRPr="00A37ACB" w14:paraId="22AD9470" w14:textId="77777777" w:rsidTr="00860103">
        <w:trPr>
          <w:jc w:val="center"/>
        </w:trPr>
        <w:tc>
          <w:tcPr>
            <w:tcW w:w="8148" w:type="dxa"/>
            <w:tcBorders>
              <w:top w:val="single" w:sz="4" w:space="0" w:color="auto"/>
              <w:left w:val="single" w:sz="4" w:space="0" w:color="auto"/>
              <w:bottom w:val="single" w:sz="4" w:space="0" w:color="auto"/>
              <w:right w:val="single" w:sz="4" w:space="0" w:color="auto"/>
            </w:tcBorders>
            <w:hideMark/>
          </w:tcPr>
          <w:p w14:paraId="563BE1DF" w14:textId="77777777" w:rsidR="00527617" w:rsidRPr="00A37ACB" w:rsidRDefault="00527617" w:rsidP="00860103">
            <w:pPr>
              <w:rPr>
                <w:sz w:val="20"/>
              </w:rPr>
            </w:pPr>
            <w:r w:rsidRPr="00A37ACB">
              <w:rPr>
                <w:sz w:val="20"/>
              </w:rPr>
              <w:t>HCFC-142b</w:t>
            </w:r>
          </w:p>
        </w:tc>
        <w:tc>
          <w:tcPr>
            <w:tcW w:w="1200" w:type="dxa"/>
            <w:tcBorders>
              <w:top w:val="single" w:sz="4" w:space="0" w:color="auto"/>
              <w:left w:val="single" w:sz="4" w:space="0" w:color="auto"/>
              <w:bottom w:val="single" w:sz="4" w:space="0" w:color="auto"/>
              <w:right w:val="single" w:sz="4" w:space="0" w:color="auto"/>
            </w:tcBorders>
          </w:tcPr>
          <w:p w14:paraId="525504FF" w14:textId="73BD3FF1" w:rsidR="00527617" w:rsidRPr="00A37ACB" w:rsidRDefault="00D51D10" w:rsidP="00860103">
            <w:pPr>
              <w:jc w:val="right"/>
              <w:rPr>
                <w:sz w:val="20"/>
                <w:szCs w:val="20"/>
              </w:rPr>
            </w:pPr>
            <w:r w:rsidRPr="00A37ACB">
              <w:rPr>
                <w:sz w:val="20"/>
                <w:szCs w:val="20"/>
              </w:rPr>
              <w:t>2.99</w:t>
            </w:r>
          </w:p>
        </w:tc>
      </w:tr>
    </w:tbl>
    <w:p w14:paraId="065A4F26" w14:textId="77777777" w:rsidR="00527617" w:rsidRPr="00A37ACB" w:rsidRDefault="00527617" w:rsidP="00860103">
      <w:pPr>
        <w:rPr>
          <w:sz w:val="20"/>
        </w:rPr>
      </w:pPr>
    </w:p>
    <w:tbl>
      <w:tblPr>
        <w:tblStyle w:val="TableGrid"/>
        <w:tblW w:w="0" w:type="auto"/>
        <w:jc w:val="center"/>
        <w:tblLook w:val="01E0" w:firstRow="1" w:lastRow="1" w:firstColumn="1" w:lastColumn="1" w:noHBand="0" w:noVBand="0"/>
      </w:tblPr>
      <w:tblGrid>
        <w:gridCol w:w="7396"/>
        <w:gridCol w:w="1954"/>
      </w:tblGrid>
      <w:tr w:rsidR="00527617" w:rsidRPr="00A37ACB" w14:paraId="1D74AEEC" w14:textId="77777777" w:rsidTr="00A37ACB">
        <w:trPr>
          <w:jc w:val="center"/>
        </w:trPr>
        <w:tc>
          <w:tcPr>
            <w:tcW w:w="7488" w:type="dxa"/>
            <w:tcBorders>
              <w:top w:val="single" w:sz="4" w:space="0" w:color="auto"/>
              <w:left w:val="single" w:sz="4" w:space="0" w:color="auto"/>
              <w:bottom w:val="single" w:sz="4" w:space="0" w:color="auto"/>
              <w:right w:val="single" w:sz="4" w:space="0" w:color="auto"/>
            </w:tcBorders>
            <w:hideMark/>
          </w:tcPr>
          <w:p w14:paraId="519B1B18" w14:textId="77777777" w:rsidR="00527617" w:rsidRPr="00A37ACB" w:rsidRDefault="00527617" w:rsidP="00860103">
            <w:pPr>
              <w:rPr>
                <w:b/>
                <w:sz w:val="20"/>
              </w:rPr>
            </w:pPr>
            <w:r w:rsidRPr="00A37ACB">
              <w:rPr>
                <w:b/>
                <w:sz w:val="20"/>
              </w:rPr>
              <w:t>HCFC consumption remaining eligible for funding (ODP tonnes)</w:t>
            </w:r>
          </w:p>
        </w:tc>
        <w:tc>
          <w:tcPr>
            <w:tcW w:w="1980" w:type="dxa"/>
            <w:tcBorders>
              <w:top w:val="single" w:sz="4" w:space="0" w:color="auto"/>
              <w:left w:val="single" w:sz="4" w:space="0" w:color="auto"/>
              <w:bottom w:val="single" w:sz="4" w:space="0" w:color="auto"/>
              <w:right w:val="single" w:sz="4" w:space="0" w:color="auto"/>
            </w:tcBorders>
          </w:tcPr>
          <w:p w14:paraId="466B4CF8" w14:textId="77777777" w:rsidR="00527617" w:rsidRPr="00A37ACB" w:rsidRDefault="00527617" w:rsidP="00860103">
            <w:pPr>
              <w:jc w:val="right"/>
              <w:rPr>
                <w:sz w:val="20"/>
                <w:szCs w:val="20"/>
              </w:rPr>
            </w:pPr>
          </w:p>
        </w:tc>
      </w:tr>
    </w:tbl>
    <w:p w14:paraId="20674BA2" w14:textId="77777777" w:rsidR="00527617" w:rsidRPr="00A37ACB" w:rsidRDefault="00527617" w:rsidP="00860103">
      <w:pPr>
        <w:rPr>
          <w:sz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85"/>
        <w:gridCol w:w="450"/>
        <w:gridCol w:w="2569"/>
        <w:gridCol w:w="2146"/>
      </w:tblGrid>
      <w:tr w:rsidR="00527617" w:rsidRPr="00A37ACB" w14:paraId="0189F57B" w14:textId="77777777" w:rsidTr="00A37ACB">
        <w:trPr>
          <w:trHeight w:val="248"/>
        </w:trPr>
        <w:tc>
          <w:tcPr>
            <w:tcW w:w="4248" w:type="dxa"/>
            <w:vMerge w:val="restart"/>
            <w:tcBorders>
              <w:top w:val="single" w:sz="4" w:space="0" w:color="auto"/>
              <w:left w:val="single" w:sz="4" w:space="0" w:color="auto"/>
              <w:bottom w:val="single" w:sz="4" w:space="0" w:color="auto"/>
              <w:right w:val="single" w:sz="4" w:space="0" w:color="auto"/>
            </w:tcBorders>
            <w:hideMark/>
          </w:tcPr>
          <w:p w14:paraId="35CD4CA9" w14:textId="77777777" w:rsidR="00527617" w:rsidRPr="00A37ACB" w:rsidRDefault="00527617" w:rsidP="00860103">
            <w:pPr>
              <w:jc w:val="left"/>
              <w:rPr>
                <w:i/>
                <w:sz w:val="20"/>
              </w:rPr>
            </w:pPr>
            <w:r w:rsidRPr="00A37ACB">
              <w:rPr>
                <w:b/>
                <w:caps/>
                <w:sz w:val="20"/>
              </w:rPr>
              <w:t>Current year Business Plan ALLOCATIONS</w:t>
            </w:r>
          </w:p>
        </w:tc>
        <w:tc>
          <w:tcPr>
            <w:tcW w:w="450" w:type="dxa"/>
            <w:tcBorders>
              <w:top w:val="single" w:sz="4" w:space="0" w:color="auto"/>
              <w:left w:val="single" w:sz="4" w:space="0" w:color="auto"/>
              <w:bottom w:val="single" w:sz="4" w:space="0" w:color="auto"/>
              <w:right w:val="single" w:sz="4" w:space="0" w:color="auto"/>
            </w:tcBorders>
          </w:tcPr>
          <w:p w14:paraId="2002BBD3" w14:textId="77777777" w:rsidR="00527617" w:rsidRPr="00A37ACB" w:rsidRDefault="00527617" w:rsidP="00860103">
            <w:pPr>
              <w:rPr>
                <w:i/>
                <w:sz w:val="20"/>
              </w:rPr>
            </w:pPr>
          </w:p>
        </w:tc>
        <w:tc>
          <w:tcPr>
            <w:tcW w:w="2610" w:type="dxa"/>
            <w:tcBorders>
              <w:top w:val="single" w:sz="4" w:space="0" w:color="auto"/>
              <w:left w:val="single" w:sz="4" w:space="0" w:color="auto"/>
              <w:bottom w:val="single" w:sz="4" w:space="0" w:color="auto"/>
              <w:right w:val="single" w:sz="4" w:space="0" w:color="auto"/>
            </w:tcBorders>
            <w:hideMark/>
          </w:tcPr>
          <w:p w14:paraId="23EC4B9F" w14:textId="258B3A9E" w:rsidR="00527617" w:rsidRPr="00A37ACB" w:rsidRDefault="00527617" w:rsidP="00860103">
            <w:pPr>
              <w:jc w:val="center"/>
              <w:rPr>
                <w:b/>
                <w:i/>
                <w:sz w:val="20"/>
              </w:rPr>
            </w:pPr>
            <w:r w:rsidRPr="00A37ACB">
              <w:rPr>
                <w:b/>
                <w:sz w:val="20"/>
              </w:rPr>
              <w:t xml:space="preserve">Funding </w:t>
            </w:r>
            <w:r w:rsidR="002503E5">
              <w:rPr>
                <w:b/>
                <w:sz w:val="20"/>
              </w:rPr>
              <w:t>US $</w:t>
            </w:r>
          </w:p>
        </w:tc>
        <w:tc>
          <w:tcPr>
            <w:tcW w:w="2160" w:type="dxa"/>
            <w:tcBorders>
              <w:top w:val="single" w:sz="4" w:space="0" w:color="auto"/>
              <w:left w:val="single" w:sz="4" w:space="0" w:color="auto"/>
              <w:bottom w:val="single" w:sz="4" w:space="0" w:color="auto"/>
              <w:right w:val="single" w:sz="4" w:space="0" w:color="auto"/>
            </w:tcBorders>
            <w:hideMark/>
          </w:tcPr>
          <w:p w14:paraId="3B1DCE8E" w14:textId="77777777" w:rsidR="00527617" w:rsidRPr="00A37ACB" w:rsidRDefault="00527617" w:rsidP="00860103">
            <w:pPr>
              <w:jc w:val="center"/>
              <w:rPr>
                <w:b/>
                <w:i/>
                <w:sz w:val="20"/>
              </w:rPr>
            </w:pPr>
            <w:r w:rsidRPr="00A37ACB">
              <w:rPr>
                <w:b/>
                <w:sz w:val="20"/>
              </w:rPr>
              <w:t>Phase-out ODP tonnes</w:t>
            </w:r>
          </w:p>
        </w:tc>
      </w:tr>
      <w:tr w:rsidR="00527617" w:rsidRPr="00A37ACB" w14:paraId="39B73380" w14:textId="77777777" w:rsidTr="00A37ACB">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B25A2" w14:textId="77777777" w:rsidR="00527617" w:rsidRPr="00A37ACB" w:rsidRDefault="00527617" w:rsidP="00860103">
            <w:pPr>
              <w:rPr>
                <w:i/>
                <w:sz w:val="20"/>
              </w:rPr>
            </w:pPr>
          </w:p>
        </w:tc>
        <w:tc>
          <w:tcPr>
            <w:tcW w:w="450" w:type="dxa"/>
            <w:tcBorders>
              <w:top w:val="single" w:sz="4" w:space="0" w:color="auto"/>
              <w:left w:val="single" w:sz="4" w:space="0" w:color="auto"/>
              <w:bottom w:val="single" w:sz="4" w:space="0" w:color="auto"/>
              <w:right w:val="single" w:sz="4" w:space="0" w:color="auto"/>
            </w:tcBorders>
            <w:hideMark/>
          </w:tcPr>
          <w:p w14:paraId="6EFF894C" w14:textId="77777777" w:rsidR="00527617" w:rsidRPr="00A37ACB" w:rsidRDefault="00527617" w:rsidP="00860103">
            <w:pPr>
              <w:rPr>
                <w:sz w:val="20"/>
              </w:rPr>
            </w:pPr>
            <w:r w:rsidRPr="00A37ACB">
              <w:rPr>
                <w:sz w:val="20"/>
              </w:rPr>
              <w:t>(a)</w:t>
            </w:r>
          </w:p>
        </w:tc>
        <w:tc>
          <w:tcPr>
            <w:tcW w:w="2610" w:type="dxa"/>
            <w:tcBorders>
              <w:top w:val="single" w:sz="4" w:space="0" w:color="auto"/>
              <w:left w:val="single" w:sz="4" w:space="0" w:color="auto"/>
              <w:bottom w:val="single" w:sz="4" w:space="0" w:color="auto"/>
              <w:right w:val="single" w:sz="4" w:space="0" w:color="auto"/>
            </w:tcBorders>
            <w:hideMark/>
          </w:tcPr>
          <w:p w14:paraId="5C431EF5" w14:textId="77777777" w:rsidR="00527617" w:rsidRPr="00A37ACB" w:rsidRDefault="00527617" w:rsidP="00860103">
            <w:pPr>
              <w:jc w:val="right"/>
              <w:rPr>
                <w:sz w:val="20"/>
              </w:rPr>
            </w:pPr>
            <w:r w:rsidRPr="00A37ACB">
              <w:rPr>
                <w:sz w:val="20"/>
              </w:rPr>
              <w:t>n/a</w:t>
            </w:r>
          </w:p>
        </w:tc>
        <w:tc>
          <w:tcPr>
            <w:tcW w:w="2160" w:type="dxa"/>
            <w:tcBorders>
              <w:top w:val="single" w:sz="4" w:space="0" w:color="auto"/>
              <w:left w:val="single" w:sz="4" w:space="0" w:color="auto"/>
              <w:bottom w:val="single" w:sz="4" w:space="0" w:color="auto"/>
              <w:right w:val="single" w:sz="4" w:space="0" w:color="auto"/>
            </w:tcBorders>
            <w:hideMark/>
          </w:tcPr>
          <w:p w14:paraId="16078648" w14:textId="77777777" w:rsidR="00527617" w:rsidRPr="00A37ACB" w:rsidRDefault="00527617" w:rsidP="00860103">
            <w:pPr>
              <w:jc w:val="right"/>
              <w:rPr>
                <w:sz w:val="20"/>
              </w:rPr>
            </w:pPr>
            <w:r w:rsidRPr="00A37ACB">
              <w:rPr>
                <w:sz w:val="20"/>
              </w:rPr>
              <w:t>n/a</w:t>
            </w:r>
          </w:p>
        </w:tc>
      </w:tr>
    </w:tbl>
    <w:p w14:paraId="443F89F2" w14:textId="77777777" w:rsidR="00527617" w:rsidRPr="00A37ACB" w:rsidRDefault="00527617" w:rsidP="00860103">
      <w:pPr>
        <w:rPr>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4986"/>
        <w:gridCol w:w="3092"/>
      </w:tblGrid>
      <w:tr w:rsidR="00527617" w:rsidRPr="00A37ACB" w14:paraId="1EA571B4"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549BD796" w14:textId="77777777" w:rsidR="00527617" w:rsidRPr="00A37ACB"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sz w:val="20"/>
              </w:rPr>
            </w:pPr>
            <w:r w:rsidRPr="00A37ACB">
              <w:rPr>
                <w:b/>
                <w:sz w:val="20"/>
              </w:rPr>
              <w:t>PROJECT TITLE:</w:t>
            </w:r>
          </w:p>
        </w:tc>
        <w:tc>
          <w:tcPr>
            <w:tcW w:w="3091" w:type="dxa"/>
            <w:tcBorders>
              <w:top w:val="single" w:sz="4" w:space="0" w:color="auto"/>
              <w:left w:val="single" w:sz="4" w:space="0" w:color="auto"/>
              <w:bottom w:val="single" w:sz="4" w:space="0" w:color="auto"/>
              <w:right w:val="single" w:sz="4" w:space="0" w:color="auto"/>
            </w:tcBorders>
          </w:tcPr>
          <w:p w14:paraId="79AA8B0D" w14:textId="77777777" w:rsidR="00527617" w:rsidRPr="00A37ACB"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sz w:val="20"/>
              </w:rPr>
            </w:pPr>
          </w:p>
        </w:tc>
      </w:tr>
      <w:tr w:rsidR="00527617" w:rsidRPr="00A37ACB" w14:paraId="28DBAC9F" w14:textId="77777777" w:rsidTr="00A37ACB">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4C07C328" w14:textId="40614AA1" w:rsidR="00527617" w:rsidRPr="00A37ACB"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rPr>
            </w:pPr>
            <w:r w:rsidRPr="00A37ACB">
              <w:rPr>
                <w:sz w:val="20"/>
              </w:rPr>
              <w:t xml:space="preserve">ODS use at enterprise (ODP tonnes) (average </w:t>
            </w:r>
            <w:r w:rsidR="00D51D10" w:rsidRPr="00A37ACB">
              <w:rPr>
                <w:sz w:val="20"/>
              </w:rPr>
              <w:t>2016</w:t>
            </w:r>
            <w:r w:rsidRPr="00A37ACB">
              <w:rPr>
                <w:sz w:val="20"/>
              </w:rPr>
              <w:t>-201</w:t>
            </w:r>
            <w:r w:rsidR="00A40951" w:rsidRPr="00A37ACB">
              <w:rPr>
                <w:sz w:val="20"/>
              </w:rPr>
              <w:t>8</w:t>
            </w:r>
            <w:r w:rsidRPr="00A37ACB">
              <w:rPr>
                <w:sz w:val="20"/>
              </w:rPr>
              <w:t xml:space="preserve">): </w:t>
            </w:r>
          </w:p>
        </w:tc>
        <w:tc>
          <w:tcPr>
            <w:tcW w:w="3091" w:type="dxa"/>
            <w:tcBorders>
              <w:top w:val="single" w:sz="4" w:space="0" w:color="auto"/>
              <w:left w:val="single" w:sz="4" w:space="0" w:color="auto"/>
              <w:bottom w:val="single" w:sz="4" w:space="0" w:color="auto"/>
              <w:right w:val="single" w:sz="4" w:space="0" w:color="auto"/>
            </w:tcBorders>
            <w:hideMark/>
          </w:tcPr>
          <w:p w14:paraId="60D6BB48" w14:textId="308727B0" w:rsidR="00527617" w:rsidRPr="00A37ACB" w:rsidRDefault="00A40951"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A37ACB">
              <w:rPr>
                <w:sz w:val="20"/>
              </w:rPr>
              <w:t>3.</w:t>
            </w:r>
            <w:r w:rsidR="00D51D10" w:rsidRPr="00A37ACB">
              <w:rPr>
                <w:sz w:val="20"/>
              </w:rPr>
              <w:t>68</w:t>
            </w:r>
          </w:p>
        </w:tc>
      </w:tr>
      <w:tr w:rsidR="00527617" w:rsidRPr="004F28EE" w14:paraId="316E77EE"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0E7A2615" w14:textId="1D5EE3C0" w:rsidR="00527617" w:rsidRPr="00A37ACB"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rPr>
            </w:pPr>
            <w:r w:rsidRPr="00A37ACB">
              <w:rPr>
                <w:sz w:val="20"/>
              </w:rPr>
              <w:t>ODS to be phased out (ODP tonnes) (</w:t>
            </w:r>
            <w:r w:rsidR="00A40951" w:rsidRPr="00A37ACB">
              <w:rPr>
                <w:sz w:val="20"/>
              </w:rPr>
              <w:t>based on 201</w:t>
            </w:r>
            <w:r w:rsidR="00D51D10" w:rsidRPr="00A37ACB">
              <w:rPr>
                <w:sz w:val="20"/>
              </w:rPr>
              <w:t>8</w:t>
            </w:r>
            <w:r w:rsidR="00A40951" w:rsidRPr="00A37ACB">
              <w:rPr>
                <w:sz w:val="20"/>
              </w:rPr>
              <w:t xml:space="preserve"> figures</w:t>
            </w:r>
            <w:r w:rsidRPr="00A37ACB">
              <w:rPr>
                <w:sz w:val="20"/>
              </w:rPr>
              <w:t>):</w:t>
            </w:r>
          </w:p>
        </w:tc>
        <w:tc>
          <w:tcPr>
            <w:tcW w:w="3091" w:type="dxa"/>
            <w:tcBorders>
              <w:top w:val="single" w:sz="4" w:space="0" w:color="auto"/>
              <w:left w:val="single" w:sz="4" w:space="0" w:color="auto"/>
              <w:bottom w:val="single" w:sz="4" w:space="0" w:color="auto"/>
              <w:right w:val="single" w:sz="4" w:space="0" w:color="auto"/>
            </w:tcBorders>
            <w:hideMark/>
          </w:tcPr>
          <w:p w14:paraId="7F13B0B1" w14:textId="3C8288C5" w:rsidR="00527617" w:rsidRPr="00A37ACB" w:rsidRDefault="00A40951"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A37ACB">
              <w:rPr>
                <w:sz w:val="20"/>
              </w:rPr>
              <w:t>4.</w:t>
            </w:r>
            <w:r w:rsidR="00D51D10" w:rsidRPr="00A37ACB">
              <w:rPr>
                <w:sz w:val="20"/>
              </w:rPr>
              <w:t>6</w:t>
            </w:r>
            <w:r w:rsidR="004A5F35" w:rsidRPr="00A37ACB">
              <w:rPr>
                <w:sz w:val="20"/>
              </w:rPr>
              <w:t>8</w:t>
            </w:r>
          </w:p>
        </w:tc>
      </w:tr>
      <w:tr w:rsidR="00527617" w:rsidRPr="004F28EE" w14:paraId="6D741BE7"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75FBA23A"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rPr>
            </w:pPr>
            <w:r w:rsidRPr="004F28EE">
              <w:rPr>
                <w:sz w:val="20"/>
              </w:rPr>
              <w:t>ODS to be phased in (ODP tonnes):</w:t>
            </w:r>
          </w:p>
        </w:tc>
        <w:tc>
          <w:tcPr>
            <w:tcW w:w="3091" w:type="dxa"/>
            <w:tcBorders>
              <w:top w:val="single" w:sz="4" w:space="0" w:color="auto"/>
              <w:left w:val="single" w:sz="4" w:space="0" w:color="auto"/>
              <w:bottom w:val="single" w:sz="4" w:space="0" w:color="auto"/>
              <w:right w:val="single" w:sz="4" w:space="0" w:color="auto"/>
            </w:tcBorders>
            <w:hideMark/>
          </w:tcPr>
          <w:p w14:paraId="518B70D2"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4F28EE">
              <w:rPr>
                <w:sz w:val="20"/>
              </w:rPr>
              <w:t>n/a</w:t>
            </w:r>
          </w:p>
        </w:tc>
      </w:tr>
      <w:tr w:rsidR="00527617" w:rsidRPr="004F28EE" w14:paraId="56DF93BD" w14:textId="77777777" w:rsidTr="00A37ACB">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1A5F512D"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rPr>
            </w:pPr>
            <w:r w:rsidRPr="004F28EE">
              <w:rPr>
                <w:sz w:val="20"/>
              </w:rPr>
              <w:t>Project duration (months):</w:t>
            </w:r>
          </w:p>
        </w:tc>
        <w:tc>
          <w:tcPr>
            <w:tcW w:w="3091" w:type="dxa"/>
            <w:tcBorders>
              <w:top w:val="single" w:sz="4" w:space="0" w:color="auto"/>
              <w:left w:val="single" w:sz="4" w:space="0" w:color="auto"/>
              <w:bottom w:val="single" w:sz="4" w:space="0" w:color="auto"/>
              <w:right w:val="single" w:sz="4" w:space="0" w:color="auto"/>
            </w:tcBorders>
            <w:hideMark/>
          </w:tcPr>
          <w:p w14:paraId="55B9E052" w14:textId="77777777" w:rsidR="00527617" w:rsidRPr="004F28EE" w:rsidRDefault="00696509" w:rsidP="00860103">
            <w:pPr>
              <w:jc w:val="right"/>
              <w:rPr>
                <w:sz w:val="20"/>
              </w:rPr>
            </w:pPr>
            <w:r>
              <w:rPr>
                <w:sz w:val="20"/>
              </w:rPr>
              <w:t>30</w:t>
            </w:r>
          </w:p>
        </w:tc>
      </w:tr>
      <w:tr w:rsidR="00527617" w:rsidRPr="004F28EE" w14:paraId="762AF156" w14:textId="77777777" w:rsidTr="00A37ACB">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5A338D5B" w14:textId="69CD35C4"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rPr>
            </w:pPr>
            <w:r w:rsidRPr="004F28EE">
              <w:rPr>
                <w:sz w:val="20"/>
              </w:rPr>
              <w:t>Initial amount requested (</w:t>
            </w:r>
            <w:r w:rsidR="002503E5">
              <w:rPr>
                <w:sz w:val="20"/>
              </w:rPr>
              <w:t>US $</w:t>
            </w:r>
            <w:r w:rsidRPr="004F28EE">
              <w:rPr>
                <w:sz w:val="20"/>
              </w:rPr>
              <w:t>):</w:t>
            </w:r>
          </w:p>
        </w:tc>
        <w:tc>
          <w:tcPr>
            <w:tcW w:w="3091" w:type="dxa"/>
            <w:tcBorders>
              <w:top w:val="single" w:sz="4" w:space="0" w:color="auto"/>
              <w:left w:val="single" w:sz="4" w:space="0" w:color="auto"/>
              <w:bottom w:val="single" w:sz="4" w:space="0" w:color="auto"/>
              <w:right w:val="single" w:sz="4" w:space="0" w:color="auto"/>
            </w:tcBorders>
          </w:tcPr>
          <w:p w14:paraId="06C2B1C8" w14:textId="77777777" w:rsidR="00527617" w:rsidRPr="004F28EE" w:rsidRDefault="00AE1A36"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787,750</w:t>
            </w:r>
          </w:p>
        </w:tc>
      </w:tr>
      <w:tr w:rsidR="00527617" w:rsidRPr="004F28EE" w14:paraId="4FB1D3EB"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68796C79" w14:textId="5EDADE79"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rPr>
            </w:pPr>
            <w:r w:rsidRPr="004F28EE">
              <w:rPr>
                <w:sz w:val="20"/>
              </w:rPr>
              <w:t>Final project costs (</w:t>
            </w:r>
            <w:r w:rsidR="002503E5">
              <w:rPr>
                <w:sz w:val="20"/>
              </w:rPr>
              <w:t>US $</w:t>
            </w:r>
            <w:r w:rsidRPr="004F28EE">
              <w:rPr>
                <w:sz w:val="20"/>
              </w:rPr>
              <w:t>):</w:t>
            </w:r>
          </w:p>
        </w:tc>
        <w:tc>
          <w:tcPr>
            <w:tcW w:w="3091" w:type="dxa"/>
            <w:tcBorders>
              <w:top w:val="single" w:sz="4" w:space="0" w:color="auto"/>
              <w:left w:val="single" w:sz="4" w:space="0" w:color="auto"/>
              <w:bottom w:val="single" w:sz="4" w:space="0" w:color="auto"/>
              <w:right w:val="single" w:sz="4" w:space="0" w:color="auto"/>
            </w:tcBorders>
          </w:tcPr>
          <w:p w14:paraId="15433E18"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p>
        </w:tc>
      </w:tr>
      <w:tr w:rsidR="00527617" w:rsidRPr="004F28EE" w14:paraId="63C66101" w14:textId="77777777" w:rsidTr="00A37ACB">
        <w:trPr>
          <w:trHeight w:val="239"/>
          <w:jc w:val="center"/>
        </w:trPr>
        <w:tc>
          <w:tcPr>
            <w:tcW w:w="1390" w:type="dxa"/>
            <w:tcBorders>
              <w:top w:val="single" w:sz="4" w:space="0" w:color="auto"/>
              <w:left w:val="single" w:sz="4" w:space="0" w:color="auto"/>
              <w:bottom w:val="single" w:sz="4" w:space="0" w:color="auto"/>
              <w:right w:val="nil"/>
            </w:tcBorders>
          </w:tcPr>
          <w:p w14:paraId="741BB6DC"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
        </w:tc>
        <w:tc>
          <w:tcPr>
            <w:tcW w:w="4985" w:type="dxa"/>
            <w:tcBorders>
              <w:top w:val="single" w:sz="4" w:space="0" w:color="auto"/>
              <w:left w:val="nil"/>
              <w:bottom w:val="single" w:sz="4" w:space="0" w:color="auto"/>
              <w:right w:val="single" w:sz="4" w:space="0" w:color="auto"/>
            </w:tcBorders>
            <w:hideMark/>
          </w:tcPr>
          <w:p w14:paraId="6643039D" w14:textId="77777777" w:rsidR="00527617" w:rsidRPr="004F28EE" w:rsidRDefault="00527617" w:rsidP="00860103">
            <w:pPr>
              <w:tabs>
                <w:tab w:val="left" w:pos="-717"/>
                <w:tab w:val="left" w:pos="5042"/>
                <w:tab w:val="left" w:pos="5762"/>
                <w:tab w:val="left" w:pos="6482"/>
                <w:tab w:val="left" w:pos="7202"/>
                <w:tab w:val="left" w:pos="7922"/>
              </w:tabs>
              <w:ind w:right="-108"/>
              <w:jc w:val="left"/>
              <w:rPr>
                <w:sz w:val="20"/>
              </w:rPr>
            </w:pPr>
            <w:r w:rsidRPr="004F28EE">
              <w:rPr>
                <w:sz w:val="20"/>
              </w:rPr>
              <w:t>Incremental capital cost:</w:t>
            </w:r>
          </w:p>
        </w:tc>
        <w:tc>
          <w:tcPr>
            <w:tcW w:w="3091" w:type="dxa"/>
            <w:tcBorders>
              <w:top w:val="single" w:sz="4" w:space="0" w:color="auto"/>
              <w:left w:val="single" w:sz="4" w:space="0" w:color="auto"/>
              <w:bottom w:val="single" w:sz="4" w:space="0" w:color="auto"/>
              <w:right w:val="single" w:sz="4" w:space="0" w:color="auto"/>
            </w:tcBorders>
          </w:tcPr>
          <w:p w14:paraId="33EE9B3E" w14:textId="40837A46" w:rsidR="00527617" w:rsidRPr="004F28EE" w:rsidRDefault="00860103"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420,000</w:t>
            </w:r>
          </w:p>
        </w:tc>
      </w:tr>
      <w:tr w:rsidR="00527617" w:rsidRPr="004F28EE" w14:paraId="67F4CB38" w14:textId="77777777" w:rsidTr="00A37ACB">
        <w:trPr>
          <w:trHeight w:val="250"/>
          <w:jc w:val="center"/>
        </w:trPr>
        <w:tc>
          <w:tcPr>
            <w:tcW w:w="1390" w:type="dxa"/>
            <w:tcBorders>
              <w:top w:val="single" w:sz="4" w:space="0" w:color="auto"/>
              <w:left w:val="single" w:sz="4" w:space="0" w:color="auto"/>
              <w:bottom w:val="single" w:sz="4" w:space="0" w:color="auto"/>
              <w:right w:val="nil"/>
            </w:tcBorders>
          </w:tcPr>
          <w:p w14:paraId="4C844824"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
        </w:tc>
        <w:tc>
          <w:tcPr>
            <w:tcW w:w="4985" w:type="dxa"/>
            <w:tcBorders>
              <w:top w:val="single" w:sz="4" w:space="0" w:color="auto"/>
              <w:left w:val="nil"/>
              <w:bottom w:val="single" w:sz="4" w:space="0" w:color="auto"/>
              <w:right w:val="single" w:sz="4" w:space="0" w:color="auto"/>
            </w:tcBorders>
            <w:hideMark/>
          </w:tcPr>
          <w:p w14:paraId="09D072AF" w14:textId="77777777" w:rsidR="00527617" w:rsidRPr="004F28EE" w:rsidRDefault="00527617" w:rsidP="00860103">
            <w:pPr>
              <w:tabs>
                <w:tab w:val="left" w:pos="-717"/>
                <w:tab w:val="left" w:pos="5042"/>
                <w:tab w:val="left" w:pos="5762"/>
                <w:tab w:val="left" w:pos="6482"/>
                <w:tab w:val="left" w:pos="7202"/>
                <w:tab w:val="left" w:pos="7922"/>
              </w:tabs>
              <w:ind w:right="2052"/>
              <w:jc w:val="left"/>
              <w:rPr>
                <w:sz w:val="20"/>
              </w:rPr>
            </w:pPr>
            <w:r w:rsidRPr="004F28EE">
              <w:rPr>
                <w:sz w:val="20"/>
              </w:rPr>
              <w:t>Contingency (10 %):</w:t>
            </w:r>
          </w:p>
        </w:tc>
        <w:tc>
          <w:tcPr>
            <w:tcW w:w="3091" w:type="dxa"/>
            <w:tcBorders>
              <w:top w:val="single" w:sz="4" w:space="0" w:color="auto"/>
              <w:left w:val="single" w:sz="4" w:space="0" w:color="auto"/>
              <w:bottom w:val="single" w:sz="4" w:space="0" w:color="auto"/>
              <w:right w:val="single" w:sz="4" w:space="0" w:color="auto"/>
            </w:tcBorders>
          </w:tcPr>
          <w:p w14:paraId="1CCC62BE" w14:textId="1486D516" w:rsidR="00527617" w:rsidRPr="004F28EE" w:rsidRDefault="000145BA"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46,600</w:t>
            </w:r>
          </w:p>
        </w:tc>
      </w:tr>
      <w:tr w:rsidR="00527617" w:rsidRPr="004F28EE" w14:paraId="2C9CDD72" w14:textId="77777777" w:rsidTr="00A37ACB">
        <w:trPr>
          <w:trHeight w:val="239"/>
          <w:jc w:val="center"/>
        </w:trPr>
        <w:tc>
          <w:tcPr>
            <w:tcW w:w="1390" w:type="dxa"/>
            <w:tcBorders>
              <w:top w:val="single" w:sz="4" w:space="0" w:color="auto"/>
              <w:left w:val="single" w:sz="4" w:space="0" w:color="auto"/>
              <w:bottom w:val="single" w:sz="4" w:space="0" w:color="auto"/>
              <w:right w:val="nil"/>
            </w:tcBorders>
          </w:tcPr>
          <w:p w14:paraId="35250606"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
        </w:tc>
        <w:tc>
          <w:tcPr>
            <w:tcW w:w="4985" w:type="dxa"/>
            <w:tcBorders>
              <w:top w:val="single" w:sz="4" w:space="0" w:color="auto"/>
              <w:left w:val="nil"/>
              <w:bottom w:val="single" w:sz="4" w:space="0" w:color="auto"/>
              <w:right w:val="single" w:sz="4" w:space="0" w:color="auto"/>
            </w:tcBorders>
            <w:hideMark/>
          </w:tcPr>
          <w:p w14:paraId="6864F67C" w14:textId="77777777" w:rsidR="00527617" w:rsidRPr="004F28EE" w:rsidRDefault="00527617" w:rsidP="00860103">
            <w:pPr>
              <w:tabs>
                <w:tab w:val="left" w:pos="-717"/>
                <w:tab w:val="left" w:pos="5042"/>
                <w:tab w:val="left" w:pos="5762"/>
                <w:tab w:val="left" w:pos="6482"/>
                <w:tab w:val="left" w:pos="7202"/>
                <w:tab w:val="left" w:pos="7922"/>
              </w:tabs>
              <w:ind w:right="1422"/>
              <w:jc w:val="left"/>
              <w:rPr>
                <w:sz w:val="20"/>
              </w:rPr>
            </w:pPr>
            <w:r w:rsidRPr="004F28EE">
              <w:rPr>
                <w:sz w:val="20"/>
              </w:rPr>
              <w:t>Incremental operating cost:</w:t>
            </w:r>
          </w:p>
        </w:tc>
        <w:tc>
          <w:tcPr>
            <w:tcW w:w="3091" w:type="dxa"/>
            <w:tcBorders>
              <w:top w:val="single" w:sz="4" w:space="0" w:color="auto"/>
              <w:left w:val="single" w:sz="4" w:space="0" w:color="auto"/>
              <w:bottom w:val="single" w:sz="4" w:space="0" w:color="auto"/>
              <w:right w:val="single" w:sz="4" w:space="0" w:color="auto"/>
            </w:tcBorders>
          </w:tcPr>
          <w:p w14:paraId="0450D8E1" w14:textId="70FEAC87" w:rsidR="00527617" w:rsidRPr="004F28EE" w:rsidRDefault="00D51D10"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107,338</w:t>
            </w:r>
          </w:p>
        </w:tc>
      </w:tr>
      <w:tr w:rsidR="00527617" w:rsidRPr="004F28EE" w14:paraId="57D42830" w14:textId="77777777" w:rsidTr="00A37ACB">
        <w:trPr>
          <w:trHeight w:val="250"/>
          <w:jc w:val="center"/>
        </w:trPr>
        <w:tc>
          <w:tcPr>
            <w:tcW w:w="1390" w:type="dxa"/>
            <w:tcBorders>
              <w:top w:val="single" w:sz="4" w:space="0" w:color="auto"/>
              <w:left w:val="single" w:sz="4" w:space="0" w:color="auto"/>
              <w:bottom w:val="single" w:sz="4" w:space="0" w:color="auto"/>
              <w:right w:val="nil"/>
            </w:tcBorders>
          </w:tcPr>
          <w:p w14:paraId="18E8309D"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p>
        </w:tc>
        <w:tc>
          <w:tcPr>
            <w:tcW w:w="4985" w:type="dxa"/>
            <w:tcBorders>
              <w:top w:val="single" w:sz="4" w:space="0" w:color="auto"/>
              <w:left w:val="nil"/>
              <w:bottom w:val="single" w:sz="4" w:space="0" w:color="auto"/>
              <w:right w:val="single" w:sz="4" w:space="0" w:color="auto"/>
            </w:tcBorders>
            <w:hideMark/>
          </w:tcPr>
          <w:p w14:paraId="1E9DB47B" w14:textId="77777777" w:rsidR="00527617" w:rsidRPr="004F28EE" w:rsidRDefault="00527617" w:rsidP="00860103">
            <w:pPr>
              <w:tabs>
                <w:tab w:val="left" w:pos="-717"/>
                <w:tab w:val="left" w:pos="5042"/>
                <w:tab w:val="left" w:pos="5762"/>
                <w:tab w:val="left" w:pos="6482"/>
                <w:tab w:val="left" w:pos="7202"/>
                <w:tab w:val="left" w:pos="7922"/>
              </w:tabs>
              <w:ind w:right="2052"/>
              <w:jc w:val="left"/>
              <w:rPr>
                <w:sz w:val="20"/>
              </w:rPr>
            </w:pPr>
            <w:r w:rsidRPr="004F28EE">
              <w:rPr>
                <w:sz w:val="20"/>
              </w:rPr>
              <w:t xml:space="preserve">Total project cost: </w:t>
            </w:r>
          </w:p>
        </w:tc>
        <w:tc>
          <w:tcPr>
            <w:tcW w:w="3091" w:type="dxa"/>
            <w:tcBorders>
              <w:top w:val="single" w:sz="4" w:space="0" w:color="auto"/>
              <w:left w:val="single" w:sz="4" w:space="0" w:color="auto"/>
              <w:bottom w:val="single" w:sz="4" w:space="0" w:color="auto"/>
              <w:right w:val="single" w:sz="4" w:space="0" w:color="auto"/>
            </w:tcBorders>
          </w:tcPr>
          <w:p w14:paraId="23218410" w14:textId="05A1A163" w:rsidR="00527617" w:rsidRPr="004F28EE" w:rsidRDefault="000145BA"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619,938</w:t>
            </w:r>
          </w:p>
        </w:tc>
      </w:tr>
      <w:tr w:rsidR="00527617" w:rsidRPr="004F28EE" w14:paraId="43B5C6D7" w14:textId="77777777" w:rsidTr="00A37ACB">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01169321"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r w:rsidRPr="004F28EE">
              <w:rPr>
                <w:sz w:val="20"/>
              </w:rPr>
              <w:t>Local ownership (%):</w:t>
            </w:r>
          </w:p>
        </w:tc>
        <w:tc>
          <w:tcPr>
            <w:tcW w:w="3091" w:type="dxa"/>
            <w:tcBorders>
              <w:top w:val="single" w:sz="4" w:space="0" w:color="auto"/>
              <w:left w:val="single" w:sz="4" w:space="0" w:color="auto"/>
              <w:bottom w:val="single" w:sz="4" w:space="0" w:color="auto"/>
              <w:right w:val="single" w:sz="4" w:space="0" w:color="auto"/>
            </w:tcBorders>
            <w:hideMark/>
          </w:tcPr>
          <w:p w14:paraId="5A171CB9" w14:textId="77777777" w:rsidR="00527617" w:rsidRPr="004F28EE" w:rsidRDefault="00527617" w:rsidP="00860103">
            <w:pPr>
              <w:pStyle w:val="Footer1"/>
              <w:jc w:val="right"/>
              <w:rPr>
                <w:lang w:val="en-GB"/>
              </w:rPr>
            </w:pPr>
            <w:r w:rsidRPr="004F28EE">
              <w:rPr>
                <w:lang w:val="en-GB"/>
              </w:rPr>
              <w:t>100%</w:t>
            </w:r>
          </w:p>
        </w:tc>
      </w:tr>
      <w:tr w:rsidR="00527617" w:rsidRPr="004F28EE" w14:paraId="6BF53531" w14:textId="77777777" w:rsidTr="00A37ACB">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2F99FF0C"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r w:rsidRPr="004F28EE">
              <w:rPr>
                <w:sz w:val="20"/>
              </w:rPr>
              <w:t>Export component (%):</w:t>
            </w:r>
          </w:p>
        </w:tc>
        <w:tc>
          <w:tcPr>
            <w:tcW w:w="3091" w:type="dxa"/>
            <w:tcBorders>
              <w:top w:val="single" w:sz="4" w:space="0" w:color="auto"/>
              <w:left w:val="single" w:sz="4" w:space="0" w:color="auto"/>
              <w:bottom w:val="single" w:sz="4" w:space="0" w:color="auto"/>
              <w:right w:val="single" w:sz="4" w:space="0" w:color="auto"/>
            </w:tcBorders>
            <w:hideMark/>
          </w:tcPr>
          <w:p w14:paraId="41DA3A23" w14:textId="3C95C919"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4F28EE">
              <w:rPr>
                <w:sz w:val="20"/>
              </w:rPr>
              <w:t>2%</w:t>
            </w:r>
          </w:p>
        </w:tc>
      </w:tr>
      <w:tr w:rsidR="00527617" w:rsidRPr="004F28EE" w14:paraId="0A947D2C"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390688E5" w14:textId="410DE501"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r w:rsidRPr="004F28EE">
              <w:rPr>
                <w:sz w:val="20"/>
              </w:rPr>
              <w:t>Requested grant (</w:t>
            </w:r>
            <w:r w:rsidR="002503E5">
              <w:rPr>
                <w:sz w:val="20"/>
              </w:rPr>
              <w:t>US $</w:t>
            </w:r>
            <w:r w:rsidRPr="004F28EE">
              <w:rPr>
                <w:sz w:val="20"/>
              </w:rPr>
              <w:t>):</w:t>
            </w:r>
          </w:p>
        </w:tc>
        <w:tc>
          <w:tcPr>
            <w:tcW w:w="3091" w:type="dxa"/>
            <w:tcBorders>
              <w:top w:val="single" w:sz="4" w:space="0" w:color="auto"/>
              <w:left w:val="single" w:sz="4" w:space="0" w:color="auto"/>
              <w:bottom w:val="single" w:sz="4" w:space="0" w:color="auto"/>
              <w:right w:val="single" w:sz="4" w:space="0" w:color="auto"/>
            </w:tcBorders>
            <w:hideMark/>
          </w:tcPr>
          <w:p w14:paraId="4ABE88D7" w14:textId="2C00537B" w:rsidR="00527617" w:rsidRPr="004F28EE" w:rsidRDefault="00FF5685"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FF5685">
              <w:rPr>
                <w:sz w:val="20"/>
              </w:rPr>
              <w:t>619,938</w:t>
            </w:r>
          </w:p>
        </w:tc>
      </w:tr>
      <w:tr w:rsidR="00527617" w:rsidRPr="004F28EE" w14:paraId="72A0260B" w14:textId="77777777" w:rsidTr="00A37ACB">
        <w:trPr>
          <w:trHeight w:val="250"/>
          <w:jc w:val="center"/>
        </w:trPr>
        <w:tc>
          <w:tcPr>
            <w:tcW w:w="637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2A505" w14:textId="0C6B993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sz w:val="20"/>
              </w:rPr>
            </w:pPr>
            <w:r w:rsidRPr="004F28EE">
              <w:rPr>
                <w:sz w:val="20"/>
              </w:rPr>
              <w:t>Cost-effectiveness (</w:t>
            </w:r>
            <w:r w:rsidR="002503E5">
              <w:rPr>
                <w:sz w:val="20"/>
              </w:rPr>
              <w:t>US $</w:t>
            </w:r>
            <w:r w:rsidRPr="004F28EE">
              <w:rPr>
                <w:sz w:val="20"/>
              </w:rPr>
              <w:t>/kg):</w:t>
            </w:r>
          </w:p>
        </w:tc>
        <w:tc>
          <w:tcPr>
            <w:tcW w:w="3091" w:type="dxa"/>
            <w:tcBorders>
              <w:top w:val="single" w:sz="4" w:space="0" w:color="auto"/>
              <w:left w:val="single" w:sz="4" w:space="0" w:color="auto"/>
              <w:bottom w:val="single" w:sz="4" w:space="0" w:color="auto"/>
              <w:right w:val="single" w:sz="4" w:space="0" w:color="auto"/>
            </w:tcBorders>
          </w:tcPr>
          <w:p w14:paraId="7DD1BF2D" w14:textId="7CFDE176" w:rsidR="00527617" w:rsidRPr="004F28EE" w:rsidRDefault="00071641"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 xml:space="preserve">Actual: </w:t>
            </w:r>
            <w:r w:rsidR="00FF5685">
              <w:rPr>
                <w:sz w:val="20"/>
              </w:rPr>
              <w:t>8.09</w:t>
            </w:r>
          </w:p>
        </w:tc>
      </w:tr>
      <w:tr w:rsidR="00527617" w:rsidRPr="004F28EE" w14:paraId="24E72149" w14:textId="77777777" w:rsidTr="00A37ACB">
        <w:trPr>
          <w:trHeight w:val="250"/>
          <w:jc w:val="center"/>
        </w:trPr>
        <w:tc>
          <w:tcPr>
            <w:tcW w:w="11360" w:type="dxa"/>
            <w:gridSpan w:val="2"/>
            <w:vMerge/>
            <w:tcBorders>
              <w:top w:val="single" w:sz="4" w:space="0" w:color="auto"/>
              <w:left w:val="single" w:sz="4" w:space="0" w:color="auto"/>
              <w:bottom w:val="single" w:sz="4" w:space="0" w:color="auto"/>
              <w:right w:val="single" w:sz="4" w:space="0" w:color="auto"/>
            </w:tcBorders>
            <w:vAlign w:val="center"/>
            <w:hideMark/>
          </w:tcPr>
          <w:p w14:paraId="04E06837" w14:textId="77777777" w:rsidR="00527617" w:rsidRPr="004F28EE" w:rsidRDefault="00527617" w:rsidP="00860103">
            <w:pPr>
              <w:jc w:val="left"/>
              <w:rPr>
                <w:sz w:val="20"/>
              </w:rPr>
            </w:pPr>
          </w:p>
        </w:tc>
        <w:tc>
          <w:tcPr>
            <w:tcW w:w="3091" w:type="dxa"/>
            <w:tcBorders>
              <w:top w:val="single" w:sz="4" w:space="0" w:color="auto"/>
              <w:left w:val="single" w:sz="4" w:space="0" w:color="auto"/>
              <w:bottom w:val="single" w:sz="4" w:space="0" w:color="auto"/>
              <w:right w:val="single" w:sz="4" w:space="0" w:color="auto"/>
            </w:tcBorders>
          </w:tcPr>
          <w:p w14:paraId="300AAEF8" w14:textId="77777777" w:rsidR="00527617" w:rsidRPr="004F28EE" w:rsidRDefault="00071641"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Threshold: 10.27</w:t>
            </w:r>
          </w:p>
        </w:tc>
      </w:tr>
      <w:tr w:rsidR="00527617" w:rsidRPr="004F28EE" w14:paraId="6ADE028E" w14:textId="77777777" w:rsidTr="00AE1A36">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51F4A20B" w14:textId="64DBE914"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r w:rsidRPr="004F28EE">
              <w:rPr>
                <w:sz w:val="20"/>
              </w:rPr>
              <w:t>Implementing agency support cost (</w:t>
            </w:r>
            <w:r w:rsidR="002503E5">
              <w:rPr>
                <w:sz w:val="20"/>
              </w:rPr>
              <w:t>US $</w:t>
            </w:r>
            <w:r w:rsidRPr="004F28EE">
              <w:rPr>
                <w:sz w:val="20"/>
              </w:rPr>
              <w:t>):</w:t>
            </w:r>
          </w:p>
        </w:tc>
        <w:tc>
          <w:tcPr>
            <w:tcW w:w="3091" w:type="dxa"/>
            <w:tcBorders>
              <w:top w:val="single" w:sz="4" w:space="0" w:color="auto"/>
              <w:left w:val="single" w:sz="4" w:space="0" w:color="auto"/>
              <w:bottom w:val="single" w:sz="4" w:space="0" w:color="auto"/>
              <w:right w:val="single" w:sz="4" w:space="0" w:color="auto"/>
            </w:tcBorders>
          </w:tcPr>
          <w:p w14:paraId="30F96680" w14:textId="21CC7CB3" w:rsidR="00527617" w:rsidRPr="004F28EE" w:rsidRDefault="00FF5685"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43,396</w:t>
            </w:r>
          </w:p>
        </w:tc>
      </w:tr>
      <w:tr w:rsidR="00527617" w:rsidRPr="004F28EE" w14:paraId="04FFAD84" w14:textId="77777777" w:rsidTr="00AE1A36">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6214FB6B" w14:textId="30F91278"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r w:rsidRPr="004F28EE">
              <w:rPr>
                <w:sz w:val="20"/>
              </w:rPr>
              <w:t>Total cost of project to Multilateral Fund (</w:t>
            </w:r>
            <w:r w:rsidR="002503E5">
              <w:rPr>
                <w:sz w:val="20"/>
              </w:rPr>
              <w:t>US $</w:t>
            </w:r>
            <w:r w:rsidRPr="004F28EE">
              <w:rPr>
                <w:sz w:val="20"/>
              </w:rPr>
              <w:t>):</w:t>
            </w:r>
          </w:p>
        </w:tc>
        <w:tc>
          <w:tcPr>
            <w:tcW w:w="3091" w:type="dxa"/>
            <w:tcBorders>
              <w:top w:val="single" w:sz="4" w:space="0" w:color="auto"/>
              <w:left w:val="single" w:sz="4" w:space="0" w:color="auto"/>
              <w:bottom w:val="single" w:sz="4" w:space="0" w:color="auto"/>
              <w:right w:val="single" w:sz="4" w:space="0" w:color="auto"/>
            </w:tcBorders>
          </w:tcPr>
          <w:p w14:paraId="59FE1F32" w14:textId="20CFAD57" w:rsidR="00527617" w:rsidRPr="004F28EE" w:rsidRDefault="00FF5685"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663,334</w:t>
            </w:r>
          </w:p>
        </w:tc>
      </w:tr>
      <w:tr w:rsidR="00527617" w:rsidRPr="004F28EE" w14:paraId="1CB86CB5" w14:textId="77777777" w:rsidTr="00A37ACB">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5FB04717"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r w:rsidRPr="004F28EE">
              <w:rPr>
                <w:sz w:val="20"/>
              </w:rPr>
              <w:t>Status of counterpart funding (Y/N):</w:t>
            </w:r>
          </w:p>
        </w:tc>
        <w:tc>
          <w:tcPr>
            <w:tcW w:w="3091" w:type="dxa"/>
            <w:tcBorders>
              <w:top w:val="single" w:sz="4" w:space="0" w:color="auto"/>
              <w:left w:val="single" w:sz="4" w:space="0" w:color="auto"/>
              <w:bottom w:val="single" w:sz="4" w:space="0" w:color="auto"/>
              <w:right w:val="single" w:sz="4" w:space="0" w:color="auto"/>
            </w:tcBorders>
            <w:hideMark/>
          </w:tcPr>
          <w:p w14:paraId="08A428A8" w14:textId="013ED1A7" w:rsidR="00527617" w:rsidRPr="004F28EE" w:rsidRDefault="00773C32"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Pr>
                <w:sz w:val="20"/>
              </w:rPr>
              <w:t>Y</w:t>
            </w:r>
          </w:p>
        </w:tc>
      </w:tr>
      <w:tr w:rsidR="00527617" w:rsidRPr="004F28EE" w14:paraId="6B44617E" w14:textId="77777777" w:rsidTr="00A37ACB">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hideMark/>
          </w:tcPr>
          <w:p w14:paraId="6A2F0DA7"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0"/>
              </w:rPr>
            </w:pPr>
            <w:r w:rsidRPr="004F28EE">
              <w:rPr>
                <w:sz w:val="20"/>
              </w:rPr>
              <w:t>Project monitoring milestones included (Y/N):</w:t>
            </w:r>
          </w:p>
        </w:tc>
        <w:tc>
          <w:tcPr>
            <w:tcW w:w="3091" w:type="dxa"/>
            <w:tcBorders>
              <w:top w:val="single" w:sz="4" w:space="0" w:color="auto"/>
              <w:left w:val="single" w:sz="4" w:space="0" w:color="auto"/>
              <w:bottom w:val="single" w:sz="4" w:space="0" w:color="auto"/>
              <w:right w:val="single" w:sz="4" w:space="0" w:color="auto"/>
            </w:tcBorders>
            <w:hideMark/>
          </w:tcPr>
          <w:p w14:paraId="2A2BBED3"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4F28EE">
              <w:rPr>
                <w:sz w:val="20"/>
              </w:rPr>
              <w:t>Y</w:t>
            </w:r>
          </w:p>
        </w:tc>
      </w:tr>
    </w:tbl>
    <w:p w14:paraId="395D0B7F" w14:textId="77777777" w:rsidR="00527617" w:rsidRPr="004F28EE" w:rsidRDefault="00527617" w:rsidP="00860103">
      <w:pPr>
        <w:rPr>
          <w:sz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3083"/>
      </w:tblGrid>
      <w:tr w:rsidR="00527617" w:rsidRPr="004F28EE" w14:paraId="0A051BA8" w14:textId="77777777" w:rsidTr="00773C32">
        <w:trPr>
          <w:trHeight w:val="296"/>
          <w:jc w:val="center"/>
        </w:trPr>
        <w:tc>
          <w:tcPr>
            <w:tcW w:w="6385" w:type="dxa"/>
            <w:tcBorders>
              <w:top w:val="single" w:sz="4" w:space="0" w:color="auto"/>
              <w:left w:val="single" w:sz="4" w:space="0" w:color="auto"/>
              <w:bottom w:val="single" w:sz="4" w:space="0" w:color="auto"/>
              <w:right w:val="single" w:sz="4" w:space="0" w:color="auto"/>
            </w:tcBorders>
            <w:hideMark/>
          </w:tcPr>
          <w:p w14:paraId="418ED031"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sz w:val="20"/>
              </w:rPr>
            </w:pPr>
            <w:r w:rsidRPr="004F28EE">
              <w:rPr>
                <w:b/>
                <w:sz w:val="20"/>
              </w:rPr>
              <w:t>SECRETARIAT’S RECOMMENDATION</w:t>
            </w:r>
          </w:p>
        </w:tc>
        <w:tc>
          <w:tcPr>
            <w:tcW w:w="3083" w:type="dxa"/>
            <w:tcBorders>
              <w:top w:val="single" w:sz="4" w:space="0" w:color="auto"/>
              <w:left w:val="single" w:sz="4" w:space="0" w:color="auto"/>
              <w:bottom w:val="single" w:sz="4" w:space="0" w:color="auto"/>
              <w:right w:val="single" w:sz="4" w:space="0" w:color="auto"/>
            </w:tcBorders>
            <w:hideMark/>
          </w:tcPr>
          <w:p w14:paraId="1ED5C577" w14:textId="77777777" w:rsidR="00527617" w:rsidRPr="004F28EE" w:rsidRDefault="00527617" w:rsidP="00860103">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sz w:val="20"/>
              </w:rPr>
            </w:pPr>
            <w:r w:rsidRPr="004F28EE">
              <w:rPr>
                <w:sz w:val="20"/>
              </w:rPr>
              <w:t>For individual consideration</w:t>
            </w:r>
          </w:p>
        </w:tc>
      </w:tr>
    </w:tbl>
    <w:p w14:paraId="064B496A" w14:textId="77777777" w:rsidR="00527617" w:rsidRPr="004F28EE" w:rsidRDefault="00527617" w:rsidP="00860103">
      <w:pPr>
        <w:pStyle w:val="StyleHeader4Para4Left0Firstline0"/>
        <w:numPr>
          <w:ilvl w:val="0"/>
          <w:numId w:val="0"/>
        </w:numPr>
      </w:pPr>
      <w:r w:rsidRPr="004F28EE">
        <w:br w:type="page"/>
      </w:r>
    </w:p>
    <w:p w14:paraId="114C0987" w14:textId="77777777" w:rsidR="00527617" w:rsidRPr="000F4B92" w:rsidRDefault="00527617" w:rsidP="005B20A0">
      <w:pPr>
        <w:widowControl w:val="0"/>
        <w:tabs>
          <w:tab w:val="left" w:pos="2880"/>
          <w:tab w:val="left" w:pos="5760"/>
        </w:tabs>
        <w:spacing w:after="240"/>
        <w:jc w:val="center"/>
        <w:rPr>
          <w:b/>
        </w:rPr>
      </w:pPr>
      <w:r w:rsidRPr="000F4B92">
        <w:rPr>
          <w:b/>
        </w:rPr>
        <w:lastRenderedPageBreak/>
        <w:t>PROJECT DESCRIPTION</w:t>
      </w:r>
    </w:p>
    <w:p w14:paraId="2D16455A" w14:textId="77777777" w:rsidR="00527617" w:rsidRPr="000F4B92" w:rsidRDefault="00527617" w:rsidP="005B20A0">
      <w:pPr>
        <w:widowControl w:val="0"/>
        <w:tabs>
          <w:tab w:val="left" w:pos="2880"/>
          <w:tab w:val="left" w:pos="5760"/>
        </w:tabs>
        <w:spacing w:after="240"/>
        <w:rPr>
          <w:u w:val="single"/>
        </w:rPr>
      </w:pPr>
      <w:r w:rsidRPr="000F4B92">
        <w:rPr>
          <w:u w:val="single"/>
        </w:rPr>
        <w:t>Background</w:t>
      </w:r>
    </w:p>
    <w:p w14:paraId="5DE8EF98" w14:textId="3532C173" w:rsidR="00D34755" w:rsidRDefault="0032605F" w:rsidP="005B20A0">
      <w:pPr>
        <w:pStyle w:val="Heading1"/>
        <w:rPr>
          <w:lang w:val="en-CA"/>
        </w:rPr>
      </w:pPr>
      <w:r>
        <w:rPr>
          <w:lang w:val="en-CA"/>
        </w:rPr>
        <w:t>At its 76</w:t>
      </w:r>
      <w:r w:rsidRPr="0032605F">
        <w:rPr>
          <w:vertAlign w:val="superscript"/>
          <w:lang w:val="en-CA"/>
        </w:rPr>
        <w:t>th</w:t>
      </w:r>
      <w:r>
        <w:rPr>
          <w:lang w:val="en-CA"/>
        </w:rPr>
        <w:t xml:space="preserve"> meeting, the Executive Committee approved</w:t>
      </w:r>
      <w:r w:rsidRPr="0032605F">
        <w:rPr>
          <w:lang w:val="en-CA"/>
        </w:rPr>
        <w:t>, in princi</w:t>
      </w:r>
      <w:r w:rsidR="00F63D11">
        <w:rPr>
          <w:lang w:val="en-CA"/>
        </w:rPr>
        <w:t>ple, stage II of the HCFC phase</w:t>
      </w:r>
      <w:r w:rsidR="00F63D11">
        <w:rPr>
          <w:lang w:val="en-CA"/>
        </w:rPr>
        <w:noBreakHyphen/>
      </w:r>
      <w:r w:rsidRPr="0032605F">
        <w:rPr>
          <w:lang w:val="en-CA"/>
        </w:rPr>
        <w:t>out management plan (HPMP) for Pakistan</w:t>
      </w:r>
      <w:r w:rsidR="00D34755">
        <w:rPr>
          <w:rStyle w:val="FootnoteReference"/>
          <w:lang w:val="en-CA"/>
        </w:rPr>
        <w:footnoteReference w:id="1"/>
      </w:r>
      <w:r w:rsidRPr="0032605F">
        <w:rPr>
          <w:lang w:val="en-CA"/>
        </w:rPr>
        <w:t xml:space="preserve"> for the period 2016 to 2020 to reduce HCFC consumption</w:t>
      </w:r>
      <w:r w:rsidR="005B20A0">
        <w:rPr>
          <w:lang w:val="en-CA"/>
        </w:rPr>
        <w:t xml:space="preserve"> by 50 </w:t>
      </w:r>
      <w:r w:rsidR="00D34755">
        <w:rPr>
          <w:lang w:val="en-CA"/>
        </w:rPr>
        <w:t xml:space="preserve">per cent of its baseline. In approving the HPMP the </w:t>
      </w:r>
      <w:r w:rsidR="00AE1688" w:rsidRPr="00AE1688">
        <w:rPr>
          <w:lang w:val="en-CA"/>
        </w:rPr>
        <w:t>Committee</w:t>
      </w:r>
      <w:r w:rsidR="00B82721">
        <w:rPr>
          <w:lang w:val="en-CA"/>
        </w:rPr>
        <w:t>,</w:t>
      </w:r>
      <w:r w:rsidR="00AE1688" w:rsidRPr="00AE1688">
        <w:rPr>
          <w:lang w:val="en-CA"/>
        </w:rPr>
        <w:t xml:space="preserve"> </w:t>
      </w:r>
      <w:r w:rsidR="00D34755">
        <w:rPr>
          <w:i/>
          <w:lang w:val="en-CA"/>
        </w:rPr>
        <w:t>inter alia</w:t>
      </w:r>
      <w:r w:rsidR="00B82721">
        <w:rPr>
          <w:i/>
          <w:lang w:val="en-CA"/>
        </w:rPr>
        <w:t>,</w:t>
      </w:r>
      <w:r w:rsidR="00D34755">
        <w:rPr>
          <w:i/>
          <w:lang w:val="en-CA"/>
        </w:rPr>
        <w:t xml:space="preserve"> </w:t>
      </w:r>
      <w:r w:rsidR="00AE1688" w:rsidRPr="00AE1688">
        <w:rPr>
          <w:lang w:val="en-CA"/>
        </w:rPr>
        <w:t>note</w:t>
      </w:r>
      <w:r w:rsidR="00D34755">
        <w:rPr>
          <w:lang w:val="en-CA"/>
        </w:rPr>
        <w:t>d</w:t>
      </w:r>
      <w:r w:rsidR="00AE1688" w:rsidRPr="00AE1688">
        <w:rPr>
          <w:lang w:val="en-CA"/>
        </w:rPr>
        <w:t xml:space="preserve"> that during the implementation of stage II, the Government could submit an investment project to phase out the use of HCFC-142b in the </w:t>
      </w:r>
      <w:r w:rsidR="00776CFD">
        <w:rPr>
          <w:lang w:val="en-CA"/>
        </w:rPr>
        <w:t>extruded polystyrene (</w:t>
      </w:r>
      <w:r w:rsidR="00AE1688" w:rsidRPr="00AE1688">
        <w:rPr>
          <w:lang w:val="en-CA"/>
        </w:rPr>
        <w:t>XPS</w:t>
      </w:r>
      <w:r w:rsidR="00776CFD">
        <w:rPr>
          <w:lang w:val="en-CA"/>
        </w:rPr>
        <w:t>)</w:t>
      </w:r>
      <w:r w:rsidR="00AE1688" w:rsidRPr="00AE1688">
        <w:rPr>
          <w:lang w:val="en-CA"/>
        </w:rPr>
        <w:t xml:space="preserve"> foam manufacturing sector on the condition that the country’s baseline consumption was revised to include HCFC-142b and approved by the Meeting of the Parties</w:t>
      </w:r>
      <w:r w:rsidR="00D34755">
        <w:rPr>
          <w:lang w:val="en-CA"/>
        </w:rPr>
        <w:t xml:space="preserve"> (</w:t>
      </w:r>
      <w:r w:rsidR="00071641" w:rsidRPr="009075EC">
        <w:rPr>
          <w:lang w:val="en-CA"/>
        </w:rPr>
        <w:t>decision 76/39(f)</w:t>
      </w:r>
      <w:r w:rsidR="00D34755">
        <w:rPr>
          <w:lang w:val="en-CA"/>
        </w:rPr>
        <w:t>).</w:t>
      </w:r>
    </w:p>
    <w:p w14:paraId="3D26A953" w14:textId="5510751B" w:rsidR="00F17736" w:rsidRPr="00F17736" w:rsidRDefault="00D34755" w:rsidP="005B20A0">
      <w:pPr>
        <w:pStyle w:val="Heading1"/>
      </w:pPr>
      <w:r>
        <w:t>At their Twent</w:t>
      </w:r>
      <w:r w:rsidR="003E661A">
        <w:t>y</w:t>
      </w:r>
      <w:r>
        <w:t>-Nin</w:t>
      </w:r>
      <w:r w:rsidR="003E661A">
        <w:t>th</w:t>
      </w:r>
      <w:r>
        <w:t xml:space="preserve"> Meeting,</w:t>
      </w:r>
      <w:r>
        <w:rPr>
          <w:rStyle w:val="FootnoteReference"/>
        </w:rPr>
        <w:footnoteReference w:id="2"/>
      </w:r>
      <w:r>
        <w:t xml:space="preserve"> the Parties to the Montreal Protocol approved the request by Pakistan to revise its consumption data for HCFC for the baseline years 2009 and 2010 (d</w:t>
      </w:r>
      <w:r w:rsidRPr="00993963">
        <w:t>ecision XXIX/16</w:t>
      </w:r>
      <w:r>
        <w:t xml:space="preserve">). The revised baseline included consumption of HCFC-142b. </w:t>
      </w:r>
      <w:r w:rsidR="00F17736">
        <w:t>Subsequently, at the 83</w:t>
      </w:r>
      <w:r w:rsidR="00F17736" w:rsidRPr="00F17736">
        <w:rPr>
          <w:vertAlign w:val="superscript"/>
        </w:rPr>
        <w:t>rd</w:t>
      </w:r>
      <w:r w:rsidR="00F17736">
        <w:t xml:space="preserve"> meeting, </w:t>
      </w:r>
      <w:r w:rsidRPr="00993963">
        <w:t xml:space="preserve">the </w:t>
      </w:r>
      <w:r w:rsidR="00F17736">
        <w:t>Executive Committee noted t</w:t>
      </w:r>
      <w:r w:rsidR="00F17736" w:rsidRPr="00D657A4">
        <w:rPr>
          <w:lang w:val="en-CA"/>
        </w:rPr>
        <w:t xml:space="preserve">hat the Agreement </w:t>
      </w:r>
      <w:r w:rsidR="00F17736" w:rsidRPr="0015033A">
        <w:rPr>
          <w:lang w:val="en-CA"/>
        </w:rPr>
        <w:t>between the Government of Pakistan and the Executive Committee</w:t>
      </w:r>
      <w:r w:rsidR="00F17736">
        <w:rPr>
          <w:lang w:val="en-CA"/>
        </w:rPr>
        <w:t xml:space="preserve"> </w:t>
      </w:r>
      <w:r w:rsidR="00F17736" w:rsidRPr="00D657A4">
        <w:rPr>
          <w:lang w:val="en-CA"/>
        </w:rPr>
        <w:t xml:space="preserve">had </w:t>
      </w:r>
      <w:r w:rsidR="00F17736">
        <w:rPr>
          <w:lang w:val="en-CA"/>
        </w:rPr>
        <w:t xml:space="preserve">been </w:t>
      </w:r>
      <w:r w:rsidR="00F17736" w:rsidRPr="00D657A4">
        <w:rPr>
          <w:lang w:val="en-CA"/>
        </w:rPr>
        <w:t>updated</w:t>
      </w:r>
      <w:r w:rsidR="00F17736">
        <w:rPr>
          <w:lang w:val="en-CA"/>
        </w:rPr>
        <w:t xml:space="preserve"> </w:t>
      </w:r>
      <w:r w:rsidR="00F17736" w:rsidRPr="00D657A4">
        <w:rPr>
          <w:lang w:val="en-CA"/>
        </w:rPr>
        <w:t>to reflect the country’s baseline of 248.11 ODP tonnes as reported under Article 7 of the Montreal Protocol</w:t>
      </w:r>
      <w:r w:rsidR="00F17736">
        <w:rPr>
          <w:lang w:val="en-CA"/>
        </w:rPr>
        <w:t xml:space="preserve"> (decision 83/58(</w:t>
      </w:r>
      <w:r w:rsidR="003E661A">
        <w:rPr>
          <w:lang w:val="en-CA"/>
        </w:rPr>
        <w:t>a)</w:t>
      </w:r>
      <w:r w:rsidR="00F17736">
        <w:rPr>
          <w:lang w:val="en-CA"/>
        </w:rPr>
        <w:t>(ii)).</w:t>
      </w:r>
    </w:p>
    <w:p w14:paraId="7F950F1A" w14:textId="46EB4C7C" w:rsidR="009D47AB" w:rsidRDefault="009D47AB" w:rsidP="005B20A0">
      <w:pPr>
        <w:pStyle w:val="Heading1"/>
        <w:rPr>
          <w:lang w:val="en-CA"/>
        </w:rPr>
      </w:pPr>
      <w:r>
        <w:rPr>
          <w:lang w:val="en-CA"/>
        </w:rPr>
        <w:t xml:space="preserve">In line with </w:t>
      </w:r>
      <w:r w:rsidRPr="009D47AB">
        <w:rPr>
          <w:lang w:val="en-CA"/>
        </w:rPr>
        <w:t>decision 76/39(f)</w:t>
      </w:r>
      <w:r>
        <w:rPr>
          <w:lang w:val="en-CA"/>
        </w:rPr>
        <w:t xml:space="preserve">, </w:t>
      </w:r>
      <w:r w:rsidR="00071641" w:rsidRPr="009075EC">
        <w:rPr>
          <w:lang w:val="en-CA"/>
        </w:rPr>
        <w:t>UNIDO</w:t>
      </w:r>
      <w:r w:rsidR="00657C4E" w:rsidRPr="009075EC">
        <w:rPr>
          <w:lang w:val="en-CA"/>
        </w:rPr>
        <w:t>,</w:t>
      </w:r>
      <w:r w:rsidR="00071641" w:rsidRPr="009075EC">
        <w:rPr>
          <w:lang w:val="en-CA"/>
        </w:rPr>
        <w:t xml:space="preserve"> </w:t>
      </w:r>
      <w:r w:rsidR="00657C4E" w:rsidRPr="009075EC">
        <w:rPr>
          <w:lang w:val="en-CA"/>
        </w:rPr>
        <w:t xml:space="preserve">as the lead implementing agency, </w:t>
      </w:r>
      <w:r w:rsidR="00071641" w:rsidRPr="009075EC">
        <w:rPr>
          <w:lang w:val="en-CA"/>
        </w:rPr>
        <w:t xml:space="preserve">submitted </w:t>
      </w:r>
      <w:r>
        <w:rPr>
          <w:lang w:val="en-CA"/>
        </w:rPr>
        <w:t xml:space="preserve">a </w:t>
      </w:r>
      <w:r w:rsidR="00071641" w:rsidRPr="009075EC">
        <w:rPr>
          <w:lang w:val="en-CA"/>
        </w:rPr>
        <w:t xml:space="preserve">project </w:t>
      </w:r>
      <w:r>
        <w:rPr>
          <w:lang w:val="en-CA"/>
        </w:rPr>
        <w:t xml:space="preserve">proposal for the </w:t>
      </w:r>
      <w:r w:rsidRPr="009D47AB">
        <w:rPr>
          <w:lang w:val="en-CA"/>
        </w:rPr>
        <w:t>HCFC phase-out in extruded polystyrene (XPS) foam board manufacturing at Symbol Industries, Lahore</w:t>
      </w:r>
      <w:r>
        <w:rPr>
          <w:lang w:val="en-CA"/>
        </w:rPr>
        <w:t xml:space="preserve"> at the 81</w:t>
      </w:r>
      <w:r w:rsidRPr="009D47AB">
        <w:rPr>
          <w:vertAlign w:val="superscript"/>
          <w:lang w:val="en-CA"/>
        </w:rPr>
        <w:t>st</w:t>
      </w:r>
      <w:r>
        <w:rPr>
          <w:lang w:val="en-CA"/>
        </w:rPr>
        <w:t xml:space="preserve"> meeting, at a total cost of </w:t>
      </w:r>
      <w:r w:rsidR="002503E5">
        <w:rPr>
          <w:lang w:val="en-CA"/>
        </w:rPr>
        <w:t>US $</w:t>
      </w:r>
      <w:r w:rsidR="001D29AA">
        <w:rPr>
          <w:lang w:val="en-CA"/>
        </w:rPr>
        <w:t>1,007,756</w:t>
      </w:r>
      <w:r>
        <w:rPr>
          <w:lang w:val="en-CA"/>
        </w:rPr>
        <w:t xml:space="preserve"> (excluding agency support costs). </w:t>
      </w:r>
      <w:r w:rsidR="001200EB">
        <w:rPr>
          <w:lang w:val="en-CA"/>
        </w:rPr>
        <w:t xml:space="preserve">The project proposed to phase-out </w:t>
      </w:r>
      <w:r w:rsidR="001D29AA">
        <w:t>2.73</w:t>
      </w:r>
      <w:r w:rsidR="00B82721">
        <w:t xml:space="preserve"> </w:t>
      </w:r>
      <w:r w:rsidR="00B82721" w:rsidRPr="00C51F0A">
        <w:t xml:space="preserve">ODP tonnes of HCFC-22 and </w:t>
      </w:r>
      <w:r w:rsidR="001D29AA">
        <w:t>4.84</w:t>
      </w:r>
      <w:r w:rsidR="00B82721">
        <w:t xml:space="preserve"> </w:t>
      </w:r>
      <w:r w:rsidR="00B82721" w:rsidRPr="00C51F0A">
        <w:t>ODP tonnes of HCFC-1412b</w:t>
      </w:r>
      <w:r w:rsidR="00B82721">
        <w:t xml:space="preserve"> </w:t>
      </w:r>
      <w:r w:rsidR="001200EB">
        <w:rPr>
          <w:lang w:val="en-CA"/>
        </w:rPr>
        <w:t xml:space="preserve">and to convert the enterprise to </w:t>
      </w:r>
      <w:r w:rsidR="00B82721" w:rsidRPr="004F28EE">
        <w:t>CO</w:t>
      </w:r>
      <w:r w:rsidR="00B82721" w:rsidRPr="001200EB">
        <w:rPr>
          <w:vertAlign w:val="subscript"/>
        </w:rPr>
        <w:t>2</w:t>
      </w:r>
      <w:r w:rsidR="00B82721">
        <w:rPr>
          <w:vertAlign w:val="subscript"/>
        </w:rPr>
        <w:t xml:space="preserve">, </w:t>
      </w:r>
      <w:r w:rsidR="00B82721" w:rsidRPr="001200EB">
        <w:rPr>
          <w:lang w:val="en-CA"/>
        </w:rPr>
        <w:t>dimethyl ether (DME), and HFOs</w:t>
      </w:r>
      <w:r w:rsidR="001200EB">
        <w:rPr>
          <w:lang w:val="en-CA"/>
        </w:rPr>
        <w:t xml:space="preserve">. </w:t>
      </w:r>
      <w:r>
        <w:rPr>
          <w:lang w:val="en-CA"/>
        </w:rPr>
        <w:t xml:space="preserve">Subsequent to the project review process, UNIDO requested that the project be withdrawn. </w:t>
      </w:r>
    </w:p>
    <w:p w14:paraId="2EFDA347" w14:textId="2806DA20" w:rsidR="00071641" w:rsidRPr="001200EB" w:rsidRDefault="001200EB" w:rsidP="005B20A0">
      <w:pPr>
        <w:pStyle w:val="Heading1"/>
        <w:rPr>
          <w:lang w:val="en-CA"/>
        </w:rPr>
      </w:pPr>
      <w:r w:rsidRPr="001200EB">
        <w:rPr>
          <w:lang w:val="en-CA"/>
        </w:rPr>
        <w:t>At the 83</w:t>
      </w:r>
      <w:r w:rsidRPr="001200EB">
        <w:rPr>
          <w:vertAlign w:val="superscript"/>
          <w:lang w:val="en-CA"/>
        </w:rPr>
        <w:t>rd</w:t>
      </w:r>
      <w:r w:rsidRPr="001200EB">
        <w:rPr>
          <w:lang w:val="en-CA"/>
        </w:rPr>
        <w:t xml:space="preserve"> meeting, UNIDO resubmitted the project proposal at a total cost of </w:t>
      </w:r>
      <w:r w:rsidR="002503E5">
        <w:rPr>
          <w:lang w:val="en-CA"/>
        </w:rPr>
        <w:t>US $</w:t>
      </w:r>
      <w:r w:rsidRPr="001200EB">
        <w:rPr>
          <w:lang w:val="en-CA"/>
        </w:rPr>
        <w:t>871,527 (excluding agency support costs). The project propose</w:t>
      </w:r>
      <w:r w:rsidR="00C51F0A">
        <w:rPr>
          <w:lang w:val="en-CA"/>
        </w:rPr>
        <w:t>d</w:t>
      </w:r>
      <w:r w:rsidRPr="001200EB">
        <w:rPr>
          <w:lang w:val="en-CA"/>
        </w:rPr>
        <w:t xml:space="preserve"> to phase-out </w:t>
      </w:r>
      <w:r w:rsidR="00B82721">
        <w:t xml:space="preserve">1.69 </w:t>
      </w:r>
      <w:r w:rsidR="00B82721" w:rsidRPr="00C51F0A">
        <w:t xml:space="preserve">ODP tonnes of HCFC-22 and </w:t>
      </w:r>
      <w:r w:rsidR="00B82721">
        <w:t xml:space="preserve">2.99 </w:t>
      </w:r>
      <w:r w:rsidR="00B82721" w:rsidRPr="00C51F0A">
        <w:t>ODP tonnes of HCFC-1412b</w:t>
      </w:r>
      <w:r w:rsidRPr="001200EB">
        <w:rPr>
          <w:lang w:val="en-CA"/>
        </w:rPr>
        <w:t xml:space="preserve"> and to convert the enterprise to </w:t>
      </w:r>
      <w:r w:rsidR="00B82721" w:rsidRPr="004F28EE">
        <w:t>CO</w:t>
      </w:r>
      <w:r w:rsidR="00B82721" w:rsidRPr="001200EB">
        <w:rPr>
          <w:vertAlign w:val="subscript"/>
        </w:rPr>
        <w:t>2</w:t>
      </w:r>
      <w:r w:rsidR="00B82721">
        <w:rPr>
          <w:vertAlign w:val="subscript"/>
        </w:rPr>
        <w:t xml:space="preserve">, </w:t>
      </w:r>
      <w:r w:rsidRPr="001200EB">
        <w:rPr>
          <w:lang w:val="en-CA"/>
        </w:rPr>
        <w:t xml:space="preserve">dimethyl ether (DME), and HFOs. technologies. </w:t>
      </w:r>
      <w:r>
        <w:rPr>
          <w:lang w:val="en-CA"/>
        </w:rPr>
        <w:t xml:space="preserve">As </w:t>
      </w:r>
      <w:r w:rsidR="00071641" w:rsidRPr="001200EB">
        <w:rPr>
          <w:lang w:val="en-CA"/>
        </w:rPr>
        <w:t xml:space="preserve">an agreement on the overall eligible cost of the project </w:t>
      </w:r>
      <w:r>
        <w:rPr>
          <w:lang w:val="en-CA"/>
        </w:rPr>
        <w:t xml:space="preserve">could not be reached, </w:t>
      </w:r>
      <w:r w:rsidR="00071641" w:rsidRPr="001200EB">
        <w:rPr>
          <w:lang w:val="en-CA"/>
        </w:rPr>
        <w:t xml:space="preserve">UNIDO was requested to resubmit the </w:t>
      </w:r>
      <w:r>
        <w:rPr>
          <w:lang w:val="en-CA"/>
        </w:rPr>
        <w:t xml:space="preserve">project </w:t>
      </w:r>
      <w:r w:rsidR="00071641" w:rsidRPr="001200EB">
        <w:rPr>
          <w:lang w:val="en-CA"/>
        </w:rPr>
        <w:t>proposal to the 84</w:t>
      </w:r>
      <w:r w:rsidR="00071641" w:rsidRPr="001200EB">
        <w:rPr>
          <w:vertAlign w:val="superscript"/>
          <w:lang w:val="en-CA"/>
        </w:rPr>
        <w:t>th</w:t>
      </w:r>
      <w:r w:rsidR="00071641" w:rsidRPr="001200EB">
        <w:rPr>
          <w:lang w:val="en-CA"/>
        </w:rPr>
        <w:t xml:space="preserve"> meeting</w:t>
      </w:r>
      <w:r w:rsidR="0038322F">
        <w:rPr>
          <w:lang w:val="en-CA"/>
        </w:rPr>
        <w:t xml:space="preserve">, noting that </w:t>
      </w:r>
      <w:r w:rsidR="00071641" w:rsidRPr="001200EB">
        <w:rPr>
          <w:lang w:val="en-CA"/>
        </w:rPr>
        <w:t xml:space="preserve">deferring the submission of </w:t>
      </w:r>
      <w:r w:rsidR="0038322F">
        <w:rPr>
          <w:lang w:val="en-CA"/>
        </w:rPr>
        <w:t xml:space="preserve">the </w:t>
      </w:r>
      <w:r w:rsidR="00071641" w:rsidRPr="001200EB">
        <w:rPr>
          <w:lang w:val="en-CA"/>
        </w:rPr>
        <w:t>project to a future meeting would not affect the compliance of Pakistan, as the Government had already agreed to reduce HCFC consumption by 50 per</w:t>
      </w:r>
      <w:r w:rsidR="006547CD" w:rsidRPr="001200EB">
        <w:rPr>
          <w:lang w:val="en-CA"/>
        </w:rPr>
        <w:t> </w:t>
      </w:r>
      <w:r w:rsidR="00071641" w:rsidRPr="001200EB">
        <w:rPr>
          <w:lang w:val="en-CA"/>
        </w:rPr>
        <w:t>cent of its baseline by 2020 through the activities that were included in stages I and II of the HPMP</w:t>
      </w:r>
      <w:r w:rsidR="0038322F">
        <w:rPr>
          <w:lang w:val="en-CA"/>
        </w:rPr>
        <w:t>,</w:t>
      </w:r>
      <w:r w:rsidR="00071641" w:rsidRPr="001200EB">
        <w:rPr>
          <w:lang w:val="en-CA"/>
        </w:rPr>
        <w:t xml:space="preserve"> </w:t>
      </w:r>
      <w:r w:rsidR="006C131D" w:rsidRPr="001200EB">
        <w:rPr>
          <w:lang w:val="en-CA"/>
        </w:rPr>
        <w:t>which</w:t>
      </w:r>
      <w:r w:rsidR="00071641" w:rsidRPr="001200EB">
        <w:rPr>
          <w:lang w:val="en-CA"/>
        </w:rPr>
        <w:t xml:space="preserve"> did not include the conversion of the </w:t>
      </w:r>
      <w:r w:rsidR="0038322F">
        <w:rPr>
          <w:lang w:val="en-CA"/>
        </w:rPr>
        <w:t xml:space="preserve">XPS foam </w:t>
      </w:r>
      <w:r w:rsidR="006C131D" w:rsidRPr="001200EB">
        <w:rPr>
          <w:lang w:val="en-CA"/>
        </w:rPr>
        <w:t>enterprise</w:t>
      </w:r>
      <w:r w:rsidR="0038322F">
        <w:rPr>
          <w:lang w:val="en-CA"/>
        </w:rPr>
        <w:t>.</w:t>
      </w:r>
    </w:p>
    <w:p w14:paraId="6FE04E3A" w14:textId="6B303FEA" w:rsidR="00FB1EFC" w:rsidRPr="00FB1EFC" w:rsidRDefault="006C131D" w:rsidP="005B20A0">
      <w:pPr>
        <w:pStyle w:val="Heading1"/>
      </w:pPr>
      <w:r w:rsidRPr="006C131D">
        <w:t xml:space="preserve">On behalf of the Government of Pakistan, UNIDO has resubmitted </w:t>
      </w:r>
      <w:r w:rsidR="00C51F0A">
        <w:t>to the 84</w:t>
      </w:r>
      <w:r w:rsidR="00C51F0A" w:rsidRPr="00C51F0A">
        <w:rPr>
          <w:vertAlign w:val="superscript"/>
        </w:rPr>
        <w:t>th</w:t>
      </w:r>
      <w:r w:rsidR="00C51F0A">
        <w:t xml:space="preserve"> meeting </w:t>
      </w:r>
      <w:r>
        <w:t>the</w:t>
      </w:r>
      <w:r w:rsidRPr="006C131D">
        <w:t xml:space="preserve"> </w:t>
      </w:r>
      <w:r w:rsidR="00C51F0A" w:rsidRPr="00C51F0A">
        <w:t xml:space="preserve">project proposed to phase-out </w:t>
      </w:r>
      <w:r w:rsidR="00C51F0A">
        <w:t xml:space="preserve">1.69 </w:t>
      </w:r>
      <w:r w:rsidR="00C51F0A" w:rsidRPr="00C51F0A">
        <w:t xml:space="preserve">ODP tonnes of HCFC-22 and </w:t>
      </w:r>
      <w:r w:rsidR="00C51F0A">
        <w:t xml:space="preserve">2.99 </w:t>
      </w:r>
      <w:r w:rsidR="00C51F0A" w:rsidRPr="00C51F0A">
        <w:t>ODP tonnes of HCFC-1412b</w:t>
      </w:r>
      <w:r w:rsidR="005B20A0">
        <w:t xml:space="preserve"> (representing </w:t>
      </w:r>
      <w:r w:rsidR="00477A39">
        <w:t>the consumption in 2018)</w:t>
      </w:r>
      <w:r w:rsidR="001D29AA">
        <w:t xml:space="preserve"> for Symbol Industries</w:t>
      </w:r>
      <w:r w:rsidRPr="00C51F0A">
        <w:t>,</w:t>
      </w:r>
      <w:r w:rsidRPr="006C131D">
        <w:t xml:space="preserve"> at a total cost of </w:t>
      </w:r>
      <w:r w:rsidR="002503E5">
        <w:t>US $</w:t>
      </w:r>
      <w:r w:rsidRPr="006C131D">
        <w:t>787,750, plus age</w:t>
      </w:r>
      <w:r w:rsidR="00CC0314">
        <w:t xml:space="preserve">ncy support costs of </w:t>
      </w:r>
      <w:r w:rsidR="002503E5">
        <w:t>US $</w:t>
      </w:r>
      <w:r w:rsidR="00CC0314">
        <w:t xml:space="preserve">59,081. </w:t>
      </w:r>
      <w:r w:rsidR="00C51F0A">
        <w:t>I</w:t>
      </w:r>
      <w:r w:rsidR="00FB1EFC" w:rsidRPr="00FB1EFC">
        <w:t>mplement</w:t>
      </w:r>
      <w:r w:rsidR="00C51F0A">
        <w:t xml:space="preserve">ation of the </w:t>
      </w:r>
      <w:r w:rsidR="00FB1EFC" w:rsidRPr="00FB1EFC">
        <w:t xml:space="preserve">project </w:t>
      </w:r>
      <w:r w:rsidR="00C51F0A">
        <w:t>wi</w:t>
      </w:r>
      <w:r w:rsidR="003E661A">
        <w:t>ll result in the complete phase-</w:t>
      </w:r>
      <w:r w:rsidR="005B20A0">
        <w:t>out of HCFC</w:t>
      </w:r>
      <w:r w:rsidR="005B20A0">
        <w:noBreakHyphen/>
      </w:r>
      <w:r w:rsidR="002C06DE">
        <w:t>22 and HCFC</w:t>
      </w:r>
      <w:r w:rsidR="002C06DE">
        <w:noBreakHyphen/>
      </w:r>
      <w:r w:rsidR="00C51F0A">
        <w:t xml:space="preserve">142b used </w:t>
      </w:r>
      <w:r w:rsidR="00FB1EFC" w:rsidRPr="00FB1EFC">
        <w:t xml:space="preserve">in the XPS foam sector </w:t>
      </w:r>
      <w:r w:rsidR="00C51F0A">
        <w:t xml:space="preserve">eligible for funding; </w:t>
      </w:r>
      <w:r w:rsidR="00FB1EFC" w:rsidRPr="00FB1EFC">
        <w:t xml:space="preserve">the Government </w:t>
      </w:r>
      <w:r w:rsidR="00C51F0A">
        <w:t xml:space="preserve">of Pakistan </w:t>
      </w:r>
      <w:r w:rsidR="00FB1EFC" w:rsidRPr="00FB1EFC">
        <w:t xml:space="preserve">commits not to issue any import quota for HCFC-142b </w:t>
      </w:r>
      <w:r w:rsidR="00FB1EFC">
        <w:t>once the project is completed</w:t>
      </w:r>
      <w:r w:rsidR="00FB1EFC" w:rsidRPr="00FB1EFC">
        <w:t>.</w:t>
      </w:r>
    </w:p>
    <w:p w14:paraId="75052AB3" w14:textId="77777777" w:rsidR="0038322F" w:rsidRPr="000F4B92" w:rsidRDefault="0038322F" w:rsidP="005B20A0">
      <w:pPr>
        <w:spacing w:after="240"/>
        <w:rPr>
          <w:u w:val="single"/>
        </w:rPr>
      </w:pPr>
      <w:r w:rsidRPr="000F4B92">
        <w:rPr>
          <w:u w:val="single"/>
        </w:rPr>
        <w:t>Project description</w:t>
      </w:r>
    </w:p>
    <w:p w14:paraId="3111DF77" w14:textId="695230BC" w:rsidR="00BF3499" w:rsidRDefault="00576D29" w:rsidP="005B20A0">
      <w:pPr>
        <w:pStyle w:val="Heading1"/>
      </w:pPr>
      <w:r>
        <w:t>Symbol Industries</w:t>
      </w:r>
      <w:r w:rsidR="00BF3499">
        <w:t>,</w:t>
      </w:r>
      <w:r>
        <w:t xml:space="preserve"> </w:t>
      </w:r>
      <w:r w:rsidR="00BF3499">
        <w:t xml:space="preserve">the only enterprise </w:t>
      </w:r>
      <w:r w:rsidR="00BF3499" w:rsidRPr="004F28EE">
        <w:t>manufactur</w:t>
      </w:r>
      <w:r w:rsidR="00BF3499">
        <w:t>ing</w:t>
      </w:r>
      <w:r w:rsidR="00BF3499" w:rsidRPr="004F28EE">
        <w:t xml:space="preserve"> XPS foam in Pakistan</w:t>
      </w:r>
      <w:r w:rsidR="00BF3499">
        <w:t xml:space="preserve">, </w:t>
      </w:r>
      <w:r>
        <w:t xml:space="preserve">is </w:t>
      </w:r>
      <w:r w:rsidR="00527617" w:rsidRPr="001C317D">
        <w:t xml:space="preserve">locally owned </w:t>
      </w:r>
      <w:r w:rsidR="00BF3499">
        <w:t xml:space="preserve">and </w:t>
      </w:r>
      <w:r w:rsidR="00527617" w:rsidRPr="001C317D">
        <w:t xml:space="preserve">has been manufacturing XPS foam boards of various thickness since 2005. </w:t>
      </w:r>
      <w:r w:rsidR="00A07E1E" w:rsidRPr="001C317D">
        <w:t>The manufacturing plant</w:t>
      </w:r>
      <w:r w:rsidR="00BF3499">
        <w:t xml:space="preserve"> is located in Lahore; it </w:t>
      </w:r>
      <w:r w:rsidR="00A07E1E" w:rsidRPr="001C317D">
        <w:t>has a</w:t>
      </w:r>
      <w:r w:rsidR="00BF3499">
        <w:t>n</w:t>
      </w:r>
      <w:r w:rsidR="00A07E1E" w:rsidRPr="001C317D">
        <w:t xml:space="preserve"> </w:t>
      </w:r>
      <w:r w:rsidR="00837314" w:rsidRPr="001C317D">
        <w:t xml:space="preserve">annual production capacity of </w:t>
      </w:r>
      <w:r w:rsidR="005862CE">
        <w:t xml:space="preserve">approximately </w:t>
      </w:r>
      <w:r w:rsidR="00837314" w:rsidRPr="001C317D">
        <w:t xml:space="preserve">1,728 </w:t>
      </w:r>
      <w:proofErr w:type="spellStart"/>
      <w:r w:rsidR="00837314" w:rsidRPr="001C317D">
        <w:t>mt</w:t>
      </w:r>
      <w:proofErr w:type="spellEnd"/>
      <w:r w:rsidR="00837314" w:rsidRPr="001C317D">
        <w:rPr>
          <w:rStyle w:val="FootnoteReference"/>
        </w:rPr>
        <w:footnoteReference w:id="3"/>
      </w:r>
      <w:r w:rsidR="00837314" w:rsidRPr="001C317D">
        <w:t xml:space="preserve"> </w:t>
      </w:r>
      <w:r w:rsidR="00BF3499">
        <w:t xml:space="preserve">with </w:t>
      </w:r>
      <w:r w:rsidR="00837314" w:rsidRPr="001C317D">
        <w:t xml:space="preserve">an </w:t>
      </w:r>
      <w:r w:rsidR="00AE1A36" w:rsidRPr="001C317D">
        <w:t xml:space="preserve">average </w:t>
      </w:r>
      <w:r w:rsidR="000F1042" w:rsidRPr="001C317D">
        <w:t xml:space="preserve">annual production </w:t>
      </w:r>
      <w:r w:rsidR="00BF3499">
        <w:t xml:space="preserve">of </w:t>
      </w:r>
      <w:r w:rsidR="005862CE">
        <w:t xml:space="preserve">approximately </w:t>
      </w:r>
      <w:r w:rsidRPr="00576D29">
        <w:rPr>
          <w:color w:val="000000" w:themeColor="text1"/>
        </w:rPr>
        <w:t>575</w:t>
      </w:r>
      <w:r w:rsidR="00AE1A36" w:rsidRPr="00576D29">
        <w:rPr>
          <w:color w:val="000000" w:themeColor="text1"/>
        </w:rPr>
        <w:t> </w:t>
      </w:r>
      <w:proofErr w:type="spellStart"/>
      <w:r w:rsidR="000F1042" w:rsidRPr="00576D29">
        <w:t>mt</w:t>
      </w:r>
      <w:proofErr w:type="spellEnd"/>
      <w:r w:rsidR="00BF3499">
        <w:t xml:space="preserve"> over the 2016</w:t>
      </w:r>
      <w:r w:rsidR="00BF3499" w:rsidRPr="001C317D">
        <w:t>-2018</w:t>
      </w:r>
      <w:r w:rsidR="00BF3499">
        <w:t xml:space="preserve"> period</w:t>
      </w:r>
      <w:r w:rsidR="000F1042" w:rsidRPr="00576D29">
        <w:t>.</w:t>
      </w:r>
      <w:r w:rsidR="000F1042" w:rsidRPr="001C317D">
        <w:t xml:space="preserve"> </w:t>
      </w:r>
    </w:p>
    <w:p w14:paraId="5A621C8A" w14:textId="34262F82" w:rsidR="009819AB" w:rsidRPr="000145BA" w:rsidRDefault="00527617" w:rsidP="005B20A0">
      <w:pPr>
        <w:pStyle w:val="Heading1"/>
        <w:widowControl w:val="0"/>
      </w:pPr>
      <w:r w:rsidRPr="001C317D">
        <w:lastRenderedPageBreak/>
        <w:t>The produ</w:t>
      </w:r>
      <w:r w:rsidR="00837314" w:rsidRPr="001C317D">
        <w:t>ction process is fully automated</w:t>
      </w:r>
      <w:r w:rsidRPr="001C317D">
        <w:t xml:space="preserve"> from the dosing of </w:t>
      </w:r>
      <w:r w:rsidR="002C06DE">
        <w:t>the raw materials (polystyrene, </w:t>
      </w:r>
      <w:r w:rsidRPr="001C317D">
        <w:t xml:space="preserve">additives and blowing agent). </w:t>
      </w:r>
      <w:r w:rsidR="009819AB" w:rsidRPr="000145BA">
        <w:t xml:space="preserve">The </w:t>
      </w:r>
      <w:r w:rsidR="002503E5">
        <w:t xml:space="preserve">HCFC </w:t>
      </w:r>
      <w:r w:rsidR="009819AB" w:rsidRPr="000145BA">
        <w:t>consumption by the enterprise</w:t>
      </w:r>
      <w:r w:rsidR="002503E5">
        <w:t xml:space="preserve">, based on a </w:t>
      </w:r>
      <w:r w:rsidR="002C06DE">
        <w:t>60:40 </w:t>
      </w:r>
      <w:proofErr w:type="gramStart"/>
      <w:r w:rsidR="002503E5" w:rsidRPr="004F28EE">
        <w:t>ratio</w:t>
      </w:r>
      <w:proofErr w:type="gramEnd"/>
      <w:r w:rsidR="002C06DE">
        <w:t xml:space="preserve"> </w:t>
      </w:r>
      <w:r w:rsidR="00F63D11">
        <w:t>of HCFC</w:t>
      </w:r>
      <w:r w:rsidR="00F63D11">
        <w:noBreakHyphen/>
      </w:r>
      <w:r w:rsidR="002503E5">
        <w:t>142b:</w:t>
      </w:r>
      <w:r w:rsidR="00F63D11">
        <w:t xml:space="preserve"> </w:t>
      </w:r>
      <w:r w:rsidR="002503E5" w:rsidRPr="004F28EE">
        <w:t>HCFC-22</w:t>
      </w:r>
      <w:r w:rsidR="002503E5">
        <w:t>,</w:t>
      </w:r>
      <w:r w:rsidR="009819AB" w:rsidRPr="000145BA">
        <w:t xml:space="preserve"> is presented in Table 1</w:t>
      </w:r>
      <w:r w:rsidR="009819AB" w:rsidRPr="004F28EE">
        <w:t xml:space="preserve">. </w:t>
      </w:r>
      <w:r w:rsidR="009819AB">
        <w:t xml:space="preserve"> </w:t>
      </w:r>
    </w:p>
    <w:p w14:paraId="00EDCB5B" w14:textId="4C7FA685" w:rsidR="009819AB" w:rsidRPr="002503E5" w:rsidRDefault="009819AB" w:rsidP="009819AB">
      <w:pPr>
        <w:keepNext/>
        <w:rPr>
          <w:b/>
          <w:sz w:val="21"/>
          <w:szCs w:val="21"/>
        </w:rPr>
      </w:pPr>
      <w:r w:rsidRPr="002503E5">
        <w:rPr>
          <w:b/>
          <w:sz w:val="21"/>
          <w:szCs w:val="21"/>
        </w:rPr>
        <w:t xml:space="preserve">Table 1. Consumption of </w:t>
      </w:r>
      <w:r w:rsidR="002503E5" w:rsidRPr="002503E5">
        <w:rPr>
          <w:b/>
          <w:sz w:val="21"/>
          <w:szCs w:val="21"/>
        </w:rPr>
        <w:t xml:space="preserve">HCFCs </w:t>
      </w:r>
      <w:r w:rsidRPr="002503E5">
        <w:rPr>
          <w:b/>
          <w:sz w:val="21"/>
          <w:szCs w:val="21"/>
        </w:rPr>
        <w:t xml:space="preserve">by Symbol Industries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35"/>
        <w:gridCol w:w="1335"/>
        <w:gridCol w:w="1335"/>
        <w:gridCol w:w="1335"/>
        <w:gridCol w:w="1335"/>
        <w:gridCol w:w="1339"/>
      </w:tblGrid>
      <w:tr w:rsidR="002503E5" w:rsidRPr="00BB2676" w14:paraId="7A8B429A" w14:textId="77777777" w:rsidTr="002503E5">
        <w:trPr>
          <w:tblHeader/>
        </w:trPr>
        <w:tc>
          <w:tcPr>
            <w:tcW w:w="714" w:type="pct"/>
            <w:vMerge w:val="restart"/>
            <w:shd w:val="clear" w:color="auto" w:fill="auto"/>
            <w:noWrap/>
            <w:vAlign w:val="center"/>
            <w:hideMark/>
          </w:tcPr>
          <w:p w14:paraId="3D9F00C8" w14:textId="77777777" w:rsidR="002503E5" w:rsidRPr="009819AB" w:rsidRDefault="002503E5" w:rsidP="002503E5">
            <w:pPr>
              <w:jc w:val="left"/>
              <w:rPr>
                <w:b/>
                <w:color w:val="000000"/>
                <w:sz w:val="21"/>
                <w:szCs w:val="21"/>
                <w:lang w:val="en-CA" w:eastAsia="en-CA"/>
              </w:rPr>
            </w:pPr>
            <w:r w:rsidRPr="009819AB">
              <w:rPr>
                <w:b/>
                <w:color w:val="000000"/>
                <w:sz w:val="21"/>
                <w:szCs w:val="21"/>
                <w:lang w:val="en-CA" w:eastAsia="en-CA"/>
              </w:rPr>
              <w:t>Year</w:t>
            </w:r>
          </w:p>
        </w:tc>
        <w:tc>
          <w:tcPr>
            <w:tcW w:w="1428" w:type="pct"/>
            <w:gridSpan w:val="2"/>
            <w:shd w:val="clear" w:color="auto" w:fill="auto"/>
            <w:noWrap/>
            <w:vAlign w:val="bottom"/>
            <w:hideMark/>
          </w:tcPr>
          <w:p w14:paraId="17EDBE45" w14:textId="77777777" w:rsidR="002503E5" w:rsidRPr="009819AB" w:rsidRDefault="002503E5" w:rsidP="002503E5">
            <w:pPr>
              <w:jc w:val="center"/>
              <w:rPr>
                <w:b/>
                <w:color w:val="000000"/>
                <w:sz w:val="21"/>
                <w:szCs w:val="21"/>
                <w:lang w:val="en-CA" w:eastAsia="en-CA"/>
              </w:rPr>
            </w:pPr>
            <w:r w:rsidRPr="009819AB">
              <w:rPr>
                <w:b/>
                <w:color w:val="000000"/>
                <w:sz w:val="21"/>
                <w:szCs w:val="21"/>
                <w:lang w:val="en-CA" w:eastAsia="en-CA"/>
              </w:rPr>
              <w:t xml:space="preserve">HCFC-142b </w:t>
            </w:r>
          </w:p>
        </w:tc>
        <w:tc>
          <w:tcPr>
            <w:tcW w:w="1428" w:type="pct"/>
            <w:gridSpan w:val="2"/>
            <w:shd w:val="clear" w:color="auto" w:fill="auto"/>
            <w:noWrap/>
            <w:vAlign w:val="bottom"/>
            <w:hideMark/>
          </w:tcPr>
          <w:p w14:paraId="16A91232" w14:textId="77777777" w:rsidR="002503E5" w:rsidRPr="009819AB" w:rsidRDefault="002503E5" w:rsidP="002503E5">
            <w:pPr>
              <w:jc w:val="center"/>
              <w:rPr>
                <w:b/>
                <w:color w:val="000000"/>
                <w:sz w:val="21"/>
                <w:szCs w:val="21"/>
                <w:lang w:val="en-CA" w:eastAsia="en-CA"/>
              </w:rPr>
            </w:pPr>
            <w:r w:rsidRPr="009819AB">
              <w:rPr>
                <w:b/>
                <w:color w:val="000000"/>
                <w:sz w:val="21"/>
                <w:szCs w:val="21"/>
                <w:lang w:val="en-CA" w:eastAsia="en-CA"/>
              </w:rPr>
              <w:t>HCFC-22</w:t>
            </w:r>
          </w:p>
        </w:tc>
        <w:tc>
          <w:tcPr>
            <w:tcW w:w="1430" w:type="pct"/>
            <w:gridSpan w:val="2"/>
            <w:shd w:val="clear" w:color="auto" w:fill="auto"/>
            <w:noWrap/>
            <w:vAlign w:val="bottom"/>
            <w:hideMark/>
          </w:tcPr>
          <w:p w14:paraId="6F2BB352" w14:textId="77777777" w:rsidR="002503E5" w:rsidRPr="009819AB" w:rsidRDefault="002503E5" w:rsidP="002503E5">
            <w:pPr>
              <w:jc w:val="center"/>
              <w:rPr>
                <w:b/>
                <w:color w:val="000000"/>
                <w:sz w:val="21"/>
                <w:szCs w:val="21"/>
                <w:lang w:val="en-CA" w:eastAsia="en-CA"/>
              </w:rPr>
            </w:pPr>
            <w:r w:rsidRPr="009819AB">
              <w:rPr>
                <w:b/>
                <w:color w:val="000000"/>
                <w:sz w:val="21"/>
                <w:szCs w:val="21"/>
                <w:lang w:val="en-CA" w:eastAsia="en-CA"/>
              </w:rPr>
              <w:t xml:space="preserve">Total </w:t>
            </w:r>
          </w:p>
        </w:tc>
      </w:tr>
      <w:tr w:rsidR="002503E5" w:rsidRPr="00BB2676" w14:paraId="76C5180F" w14:textId="77777777" w:rsidTr="002503E5">
        <w:tc>
          <w:tcPr>
            <w:tcW w:w="714" w:type="pct"/>
            <w:vMerge/>
            <w:shd w:val="clear" w:color="auto" w:fill="auto"/>
            <w:noWrap/>
            <w:vAlign w:val="bottom"/>
          </w:tcPr>
          <w:p w14:paraId="4B870ADA" w14:textId="77777777" w:rsidR="002503E5" w:rsidRPr="009819AB" w:rsidRDefault="002503E5" w:rsidP="002503E5">
            <w:pPr>
              <w:jc w:val="center"/>
              <w:rPr>
                <w:color w:val="000000"/>
                <w:sz w:val="21"/>
                <w:szCs w:val="21"/>
                <w:lang w:val="en-CA" w:eastAsia="en-CA"/>
              </w:rPr>
            </w:pPr>
          </w:p>
        </w:tc>
        <w:tc>
          <w:tcPr>
            <w:tcW w:w="714" w:type="pct"/>
            <w:shd w:val="clear" w:color="auto" w:fill="auto"/>
            <w:noWrap/>
            <w:vAlign w:val="center"/>
          </w:tcPr>
          <w:p w14:paraId="16B81F3F" w14:textId="77777777" w:rsidR="002503E5" w:rsidRPr="002503E5" w:rsidRDefault="002503E5" w:rsidP="002503E5">
            <w:pPr>
              <w:jc w:val="center"/>
              <w:rPr>
                <w:b/>
                <w:color w:val="000000"/>
                <w:sz w:val="21"/>
                <w:szCs w:val="21"/>
                <w:lang w:val="en-CA" w:eastAsia="en-CA"/>
              </w:rPr>
            </w:pPr>
            <w:proofErr w:type="spellStart"/>
            <w:r w:rsidRPr="002503E5">
              <w:rPr>
                <w:b/>
                <w:color w:val="000000"/>
                <w:sz w:val="21"/>
                <w:szCs w:val="21"/>
                <w:lang w:val="en-CA" w:eastAsia="en-CA"/>
              </w:rPr>
              <w:t>mt</w:t>
            </w:r>
            <w:proofErr w:type="spellEnd"/>
          </w:p>
        </w:tc>
        <w:tc>
          <w:tcPr>
            <w:tcW w:w="714" w:type="pct"/>
            <w:shd w:val="clear" w:color="auto" w:fill="auto"/>
            <w:vAlign w:val="center"/>
          </w:tcPr>
          <w:p w14:paraId="30936364" w14:textId="77777777" w:rsidR="002503E5" w:rsidRPr="002503E5" w:rsidRDefault="002503E5" w:rsidP="002503E5">
            <w:pPr>
              <w:jc w:val="center"/>
              <w:rPr>
                <w:b/>
                <w:color w:val="000000"/>
                <w:sz w:val="21"/>
                <w:szCs w:val="21"/>
                <w:lang w:val="en-CA" w:eastAsia="en-CA"/>
              </w:rPr>
            </w:pPr>
            <w:r w:rsidRPr="002503E5">
              <w:rPr>
                <w:b/>
                <w:color w:val="000000"/>
                <w:sz w:val="21"/>
                <w:szCs w:val="21"/>
                <w:lang w:val="en-CA" w:eastAsia="en-CA"/>
              </w:rPr>
              <w:t>ODP tonnes</w:t>
            </w:r>
          </w:p>
        </w:tc>
        <w:tc>
          <w:tcPr>
            <w:tcW w:w="714" w:type="pct"/>
            <w:shd w:val="clear" w:color="auto" w:fill="auto"/>
            <w:noWrap/>
            <w:vAlign w:val="center"/>
          </w:tcPr>
          <w:p w14:paraId="2158D350" w14:textId="5BCEEAD8" w:rsidR="002503E5" w:rsidRPr="002503E5" w:rsidRDefault="002503E5" w:rsidP="002503E5">
            <w:pPr>
              <w:jc w:val="center"/>
              <w:rPr>
                <w:b/>
                <w:color w:val="000000"/>
                <w:sz w:val="21"/>
                <w:szCs w:val="21"/>
                <w:lang w:val="en-CA" w:eastAsia="en-CA"/>
              </w:rPr>
            </w:pPr>
            <w:r w:rsidRPr="002503E5">
              <w:rPr>
                <w:b/>
                <w:color w:val="000000"/>
                <w:sz w:val="21"/>
                <w:szCs w:val="21"/>
                <w:lang w:val="en-CA" w:eastAsia="en-CA"/>
              </w:rPr>
              <w:t>Mt</w:t>
            </w:r>
          </w:p>
        </w:tc>
        <w:tc>
          <w:tcPr>
            <w:tcW w:w="714" w:type="pct"/>
            <w:shd w:val="clear" w:color="auto" w:fill="auto"/>
            <w:vAlign w:val="center"/>
          </w:tcPr>
          <w:p w14:paraId="67AF71B0" w14:textId="77777777" w:rsidR="002503E5" w:rsidRPr="002503E5" w:rsidRDefault="002503E5" w:rsidP="002503E5">
            <w:pPr>
              <w:jc w:val="center"/>
              <w:rPr>
                <w:b/>
                <w:color w:val="000000"/>
                <w:sz w:val="21"/>
                <w:szCs w:val="21"/>
                <w:lang w:val="en-CA" w:eastAsia="en-CA"/>
              </w:rPr>
            </w:pPr>
            <w:r w:rsidRPr="002503E5">
              <w:rPr>
                <w:b/>
                <w:color w:val="000000"/>
                <w:sz w:val="21"/>
                <w:szCs w:val="21"/>
                <w:lang w:val="en-CA" w:eastAsia="en-CA"/>
              </w:rPr>
              <w:t>ODP tonnes</w:t>
            </w:r>
          </w:p>
        </w:tc>
        <w:tc>
          <w:tcPr>
            <w:tcW w:w="714" w:type="pct"/>
            <w:shd w:val="clear" w:color="auto" w:fill="auto"/>
            <w:noWrap/>
            <w:vAlign w:val="center"/>
          </w:tcPr>
          <w:p w14:paraId="50A94DAB" w14:textId="77777777" w:rsidR="002503E5" w:rsidRPr="002503E5" w:rsidRDefault="002503E5" w:rsidP="002503E5">
            <w:pPr>
              <w:jc w:val="center"/>
              <w:rPr>
                <w:b/>
                <w:color w:val="000000"/>
                <w:sz w:val="21"/>
                <w:szCs w:val="21"/>
                <w:lang w:val="en-CA" w:eastAsia="en-CA"/>
              </w:rPr>
            </w:pPr>
            <w:proofErr w:type="spellStart"/>
            <w:r w:rsidRPr="002503E5">
              <w:rPr>
                <w:b/>
                <w:color w:val="000000"/>
                <w:sz w:val="21"/>
                <w:szCs w:val="21"/>
                <w:lang w:val="en-CA" w:eastAsia="en-CA"/>
              </w:rPr>
              <w:t>mt</w:t>
            </w:r>
            <w:proofErr w:type="spellEnd"/>
          </w:p>
        </w:tc>
        <w:tc>
          <w:tcPr>
            <w:tcW w:w="716" w:type="pct"/>
            <w:shd w:val="clear" w:color="auto" w:fill="auto"/>
            <w:vAlign w:val="center"/>
          </w:tcPr>
          <w:p w14:paraId="0A158612" w14:textId="77777777" w:rsidR="002503E5" w:rsidRPr="002503E5" w:rsidRDefault="002503E5" w:rsidP="002503E5">
            <w:pPr>
              <w:jc w:val="center"/>
              <w:rPr>
                <w:b/>
                <w:color w:val="000000"/>
                <w:sz w:val="21"/>
                <w:szCs w:val="21"/>
                <w:lang w:val="en-CA" w:eastAsia="en-CA"/>
              </w:rPr>
            </w:pPr>
            <w:r w:rsidRPr="002503E5">
              <w:rPr>
                <w:b/>
                <w:color w:val="000000"/>
                <w:sz w:val="21"/>
                <w:szCs w:val="21"/>
                <w:lang w:val="en-CA" w:eastAsia="en-CA"/>
              </w:rPr>
              <w:t>ODP tonnes</w:t>
            </w:r>
          </w:p>
        </w:tc>
      </w:tr>
      <w:tr w:rsidR="009819AB" w:rsidRPr="00BB2676" w14:paraId="0FF86876" w14:textId="77777777" w:rsidTr="002503E5">
        <w:tc>
          <w:tcPr>
            <w:tcW w:w="714" w:type="pct"/>
            <w:shd w:val="clear" w:color="auto" w:fill="auto"/>
            <w:noWrap/>
            <w:vAlign w:val="center"/>
            <w:hideMark/>
          </w:tcPr>
          <w:p w14:paraId="0238E825" w14:textId="77777777" w:rsidR="009819AB" w:rsidRPr="009819AB" w:rsidRDefault="009819AB" w:rsidP="002503E5">
            <w:pPr>
              <w:jc w:val="left"/>
              <w:rPr>
                <w:color w:val="000000"/>
                <w:sz w:val="21"/>
                <w:szCs w:val="21"/>
                <w:lang w:val="en-CA" w:eastAsia="en-CA"/>
              </w:rPr>
            </w:pPr>
            <w:r w:rsidRPr="009819AB">
              <w:rPr>
                <w:color w:val="000000"/>
                <w:sz w:val="21"/>
                <w:szCs w:val="21"/>
                <w:lang w:val="en-CA" w:eastAsia="en-CA"/>
              </w:rPr>
              <w:t>2016</w:t>
            </w:r>
          </w:p>
        </w:tc>
        <w:tc>
          <w:tcPr>
            <w:tcW w:w="714" w:type="pct"/>
            <w:shd w:val="clear" w:color="auto" w:fill="auto"/>
            <w:noWrap/>
            <w:tcMar>
              <w:left w:w="115" w:type="dxa"/>
              <w:right w:w="288" w:type="dxa"/>
            </w:tcMar>
            <w:vAlign w:val="bottom"/>
            <w:hideMark/>
          </w:tcPr>
          <w:p w14:paraId="5C2E8E1C"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16.50</w:t>
            </w:r>
          </w:p>
        </w:tc>
        <w:tc>
          <w:tcPr>
            <w:tcW w:w="714" w:type="pct"/>
            <w:shd w:val="clear" w:color="auto" w:fill="auto"/>
            <w:tcMar>
              <w:left w:w="115" w:type="dxa"/>
              <w:right w:w="288" w:type="dxa"/>
            </w:tcMar>
            <w:vAlign w:val="bottom"/>
          </w:tcPr>
          <w:p w14:paraId="010EAAA2"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1.07</w:t>
            </w:r>
          </w:p>
        </w:tc>
        <w:tc>
          <w:tcPr>
            <w:tcW w:w="714" w:type="pct"/>
            <w:shd w:val="clear" w:color="auto" w:fill="auto"/>
            <w:noWrap/>
            <w:tcMar>
              <w:left w:w="115" w:type="dxa"/>
              <w:right w:w="288" w:type="dxa"/>
            </w:tcMar>
            <w:vAlign w:val="bottom"/>
            <w:hideMark/>
          </w:tcPr>
          <w:p w14:paraId="2AB4C6E5"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11.00</w:t>
            </w:r>
          </w:p>
        </w:tc>
        <w:tc>
          <w:tcPr>
            <w:tcW w:w="714" w:type="pct"/>
            <w:shd w:val="clear" w:color="auto" w:fill="auto"/>
            <w:tcMar>
              <w:left w:w="115" w:type="dxa"/>
              <w:right w:w="288" w:type="dxa"/>
            </w:tcMar>
            <w:vAlign w:val="bottom"/>
          </w:tcPr>
          <w:p w14:paraId="743F01F3"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0.61</w:t>
            </w:r>
          </w:p>
        </w:tc>
        <w:tc>
          <w:tcPr>
            <w:tcW w:w="714" w:type="pct"/>
            <w:shd w:val="clear" w:color="auto" w:fill="auto"/>
            <w:noWrap/>
            <w:tcMar>
              <w:left w:w="115" w:type="dxa"/>
              <w:right w:w="288" w:type="dxa"/>
            </w:tcMar>
            <w:vAlign w:val="bottom"/>
            <w:hideMark/>
          </w:tcPr>
          <w:p w14:paraId="303ACCEA"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27.50</w:t>
            </w:r>
          </w:p>
        </w:tc>
        <w:tc>
          <w:tcPr>
            <w:tcW w:w="716" w:type="pct"/>
            <w:shd w:val="clear" w:color="auto" w:fill="auto"/>
            <w:tcMar>
              <w:left w:w="115" w:type="dxa"/>
              <w:right w:w="288" w:type="dxa"/>
            </w:tcMar>
            <w:vAlign w:val="bottom"/>
          </w:tcPr>
          <w:p w14:paraId="5AD3F204"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1.68</w:t>
            </w:r>
          </w:p>
        </w:tc>
      </w:tr>
      <w:tr w:rsidR="009819AB" w:rsidRPr="00BB2676" w14:paraId="7F2B4C45" w14:textId="77777777" w:rsidTr="002503E5">
        <w:tc>
          <w:tcPr>
            <w:tcW w:w="714" w:type="pct"/>
            <w:shd w:val="clear" w:color="auto" w:fill="auto"/>
            <w:noWrap/>
            <w:vAlign w:val="center"/>
            <w:hideMark/>
          </w:tcPr>
          <w:p w14:paraId="47CC24A6" w14:textId="77777777" w:rsidR="009819AB" w:rsidRPr="009819AB" w:rsidRDefault="009819AB" w:rsidP="002503E5">
            <w:pPr>
              <w:jc w:val="left"/>
              <w:rPr>
                <w:color w:val="000000"/>
                <w:sz w:val="21"/>
                <w:szCs w:val="21"/>
                <w:lang w:val="en-CA" w:eastAsia="en-CA"/>
              </w:rPr>
            </w:pPr>
            <w:r w:rsidRPr="009819AB">
              <w:rPr>
                <w:color w:val="000000"/>
                <w:sz w:val="21"/>
                <w:szCs w:val="21"/>
                <w:lang w:val="en-CA" w:eastAsia="en-CA"/>
              </w:rPr>
              <w:t>2017</w:t>
            </w:r>
          </w:p>
        </w:tc>
        <w:tc>
          <w:tcPr>
            <w:tcW w:w="714" w:type="pct"/>
            <w:shd w:val="clear" w:color="auto" w:fill="auto"/>
            <w:noWrap/>
            <w:tcMar>
              <w:left w:w="115" w:type="dxa"/>
              <w:right w:w="288" w:type="dxa"/>
            </w:tcMar>
            <w:vAlign w:val="bottom"/>
            <w:hideMark/>
          </w:tcPr>
          <w:p w14:paraId="7DA6CD77"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46.02</w:t>
            </w:r>
          </w:p>
        </w:tc>
        <w:tc>
          <w:tcPr>
            <w:tcW w:w="714" w:type="pct"/>
            <w:shd w:val="clear" w:color="auto" w:fill="auto"/>
            <w:tcMar>
              <w:left w:w="115" w:type="dxa"/>
              <w:right w:w="288" w:type="dxa"/>
            </w:tcMar>
            <w:vAlign w:val="bottom"/>
          </w:tcPr>
          <w:p w14:paraId="03255448"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2.99</w:t>
            </w:r>
          </w:p>
        </w:tc>
        <w:tc>
          <w:tcPr>
            <w:tcW w:w="714" w:type="pct"/>
            <w:shd w:val="clear" w:color="auto" w:fill="auto"/>
            <w:noWrap/>
            <w:tcMar>
              <w:left w:w="115" w:type="dxa"/>
              <w:right w:w="288" w:type="dxa"/>
            </w:tcMar>
            <w:vAlign w:val="bottom"/>
            <w:hideMark/>
          </w:tcPr>
          <w:p w14:paraId="4A1EFFFC"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30.68</w:t>
            </w:r>
          </w:p>
        </w:tc>
        <w:tc>
          <w:tcPr>
            <w:tcW w:w="714" w:type="pct"/>
            <w:shd w:val="clear" w:color="auto" w:fill="auto"/>
            <w:tcMar>
              <w:left w:w="115" w:type="dxa"/>
              <w:right w:w="288" w:type="dxa"/>
            </w:tcMar>
            <w:vAlign w:val="bottom"/>
          </w:tcPr>
          <w:p w14:paraId="224F3860"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1.69</w:t>
            </w:r>
          </w:p>
        </w:tc>
        <w:tc>
          <w:tcPr>
            <w:tcW w:w="714" w:type="pct"/>
            <w:shd w:val="clear" w:color="auto" w:fill="auto"/>
            <w:noWrap/>
            <w:tcMar>
              <w:left w:w="115" w:type="dxa"/>
              <w:right w:w="288" w:type="dxa"/>
            </w:tcMar>
            <w:vAlign w:val="bottom"/>
            <w:hideMark/>
          </w:tcPr>
          <w:p w14:paraId="54326C7A"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76.70</w:t>
            </w:r>
          </w:p>
        </w:tc>
        <w:tc>
          <w:tcPr>
            <w:tcW w:w="716" w:type="pct"/>
            <w:shd w:val="clear" w:color="auto" w:fill="auto"/>
            <w:tcMar>
              <w:left w:w="115" w:type="dxa"/>
              <w:right w:w="288" w:type="dxa"/>
            </w:tcMar>
            <w:vAlign w:val="bottom"/>
          </w:tcPr>
          <w:p w14:paraId="2D78679A"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4.68</w:t>
            </w:r>
          </w:p>
        </w:tc>
      </w:tr>
      <w:tr w:rsidR="009819AB" w:rsidRPr="00BB2676" w14:paraId="46930AC0" w14:textId="77777777" w:rsidTr="002503E5">
        <w:tc>
          <w:tcPr>
            <w:tcW w:w="714" w:type="pct"/>
            <w:shd w:val="clear" w:color="auto" w:fill="auto"/>
            <w:noWrap/>
            <w:vAlign w:val="center"/>
            <w:hideMark/>
          </w:tcPr>
          <w:p w14:paraId="3B19DE4A" w14:textId="77777777" w:rsidR="009819AB" w:rsidRPr="009819AB" w:rsidRDefault="009819AB" w:rsidP="002503E5">
            <w:pPr>
              <w:jc w:val="left"/>
              <w:rPr>
                <w:color w:val="000000"/>
                <w:sz w:val="21"/>
                <w:szCs w:val="21"/>
                <w:lang w:val="en-CA" w:eastAsia="en-CA"/>
              </w:rPr>
            </w:pPr>
            <w:r w:rsidRPr="009819AB">
              <w:rPr>
                <w:color w:val="000000"/>
                <w:sz w:val="21"/>
                <w:szCs w:val="21"/>
                <w:lang w:val="en-CA" w:eastAsia="en-CA"/>
              </w:rPr>
              <w:t>2018</w:t>
            </w:r>
          </w:p>
        </w:tc>
        <w:tc>
          <w:tcPr>
            <w:tcW w:w="714" w:type="pct"/>
            <w:shd w:val="clear" w:color="auto" w:fill="auto"/>
            <w:noWrap/>
            <w:tcMar>
              <w:left w:w="115" w:type="dxa"/>
              <w:right w:w="288" w:type="dxa"/>
            </w:tcMar>
            <w:vAlign w:val="bottom"/>
            <w:hideMark/>
          </w:tcPr>
          <w:p w14:paraId="6A719406"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46.00</w:t>
            </w:r>
          </w:p>
        </w:tc>
        <w:tc>
          <w:tcPr>
            <w:tcW w:w="714" w:type="pct"/>
            <w:shd w:val="clear" w:color="auto" w:fill="auto"/>
            <w:tcMar>
              <w:left w:w="115" w:type="dxa"/>
              <w:right w:w="288" w:type="dxa"/>
            </w:tcMar>
            <w:vAlign w:val="bottom"/>
          </w:tcPr>
          <w:p w14:paraId="22488D89"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2.99</w:t>
            </w:r>
          </w:p>
        </w:tc>
        <w:tc>
          <w:tcPr>
            <w:tcW w:w="714" w:type="pct"/>
            <w:shd w:val="clear" w:color="auto" w:fill="auto"/>
            <w:noWrap/>
            <w:tcMar>
              <w:left w:w="115" w:type="dxa"/>
              <w:right w:w="288" w:type="dxa"/>
            </w:tcMar>
            <w:vAlign w:val="bottom"/>
            <w:hideMark/>
          </w:tcPr>
          <w:p w14:paraId="546A9510"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30.67</w:t>
            </w:r>
          </w:p>
        </w:tc>
        <w:tc>
          <w:tcPr>
            <w:tcW w:w="714" w:type="pct"/>
            <w:shd w:val="clear" w:color="auto" w:fill="auto"/>
            <w:tcMar>
              <w:left w:w="115" w:type="dxa"/>
              <w:right w:w="288" w:type="dxa"/>
            </w:tcMar>
            <w:vAlign w:val="bottom"/>
          </w:tcPr>
          <w:p w14:paraId="17E56DEB"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1.69</w:t>
            </w:r>
          </w:p>
        </w:tc>
        <w:tc>
          <w:tcPr>
            <w:tcW w:w="714" w:type="pct"/>
            <w:shd w:val="clear" w:color="auto" w:fill="auto"/>
            <w:noWrap/>
            <w:tcMar>
              <w:left w:w="115" w:type="dxa"/>
              <w:right w:w="288" w:type="dxa"/>
            </w:tcMar>
            <w:vAlign w:val="bottom"/>
            <w:hideMark/>
          </w:tcPr>
          <w:p w14:paraId="57B68173"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76.67</w:t>
            </w:r>
          </w:p>
        </w:tc>
        <w:tc>
          <w:tcPr>
            <w:tcW w:w="716" w:type="pct"/>
            <w:shd w:val="clear" w:color="auto" w:fill="auto"/>
            <w:tcMar>
              <w:left w:w="115" w:type="dxa"/>
              <w:right w:w="288" w:type="dxa"/>
            </w:tcMar>
            <w:vAlign w:val="bottom"/>
          </w:tcPr>
          <w:p w14:paraId="0F90F1A5" w14:textId="77777777" w:rsidR="009819AB" w:rsidRPr="009819AB" w:rsidRDefault="009819AB" w:rsidP="002503E5">
            <w:pPr>
              <w:jc w:val="right"/>
              <w:rPr>
                <w:color w:val="000000"/>
                <w:sz w:val="21"/>
                <w:szCs w:val="21"/>
                <w:lang w:val="en-CA" w:eastAsia="en-CA"/>
              </w:rPr>
            </w:pPr>
            <w:r w:rsidRPr="009819AB">
              <w:rPr>
                <w:color w:val="000000"/>
                <w:sz w:val="21"/>
                <w:szCs w:val="21"/>
                <w:lang w:val="en-CA" w:eastAsia="en-CA"/>
              </w:rPr>
              <w:t>4.68</w:t>
            </w:r>
          </w:p>
        </w:tc>
      </w:tr>
      <w:tr w:rsidR="009819AB" w:rsidRPr="00BB2676" w14:paraId="171339A6" w14:textId="77777777" w:rsidTr="002503E5">
        <w:tc>
          <w:tcPr>
            <w:tcW w:w="714" w:type="pct"/>
            <w:shd w:val="clear" w:color="auto" w:fill="auto"/>
            <w:noWrap/>
            <w:vAlign w:val="center"/>
            <w:hideMark/>
          </w:tcPr>
          <w:p w14:paraId="1210505A" w14:textId="77777777" w:rsidR="009819AB" w:rsidRPr="009819AB" w:rsidRDefault="009819AB" w:rsidP="002503E5">
            <w:pPr>
              <w:jc w:val="left"/>
              <w:rPr>
                <w:b/>
                <w:color w:val="000000"/>
                <w:sz w:val="21"/>
                <w:szCs w:val="21"/>
                <w:lang w:val="en-CA" w:eastAsia="en-CA"/>
              </w:rPr>
            </w:pPr>
            <w:r w:rsidRPr="009819AB">
              <w:rPr>
                <w:b/>
                <w:color w:val="000000"/>
                <w:sz w:val="21"/>
                <w:szCs w:val="21"/>
                <w:lang w:val="en-CA" w:eastAsia="en-CA"/>
              </w:rPr>
              <w:t>Total</w:t>
            </w:r>
          </w:p>
        </w:tc>
        <w:tc>
          <w:tcPr>
            <w:tcW w:w="714" w:type="pct"/>
            <w:shd w:val="clear" w:color="auto" w:fill="auto"/>
            <w:noWrap/>
            <w:tcMar>
              <w:left w:w="115" w:type="dxa"/>
              <w:right w:w="288" w:type="dxa"/>
            </w:tcMar>
            <w:vAlign w:val="bottom"/>
            <w:hideMark/>
          </w:tcPr>
          <w:p w14:paraId="16E7560E"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108.52</w:t>
            </w:r>
          </w:p>
        </w:tc>
        <w:tc>
          <w:tcPr>
            <w:tcW w:w="714" w:type="pct"/>
            <w:shd w:val="clear" w:color="auto" w:fill="auto"/>
            <w:tcMar>
              <w:left w:w="115" w:type="dxa"/>
              <w:right w:w="288" w:type="dxa"/>
            </w:tcMar>
            <w:vAlign w:val="bottom"/>
          </w:tcPr>
          <w:p w14:paraId="43DD03E5"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7.08</w:t>
            </w:r>
          </w:p>
        </w:tc>
        <w:tc>
          <w:tcPr>
            <w:tcW w:w="714" w:type="pct"/>
            <w:shd w:val="clear" w:color="auto" w:fill="auto"/>
            <w:noWrap/>
            <w:tcMar>
              <w:left w:w="115" w:type="dxa"/>
              <w:right w:w="288" w:type="dxa"/>
            </w:tcMar>
            <w:vAlign w:val="bottom"/>
            <w:hideMark/>
          </w:tcPr>
          <w:p w14:paraId="10EB337F"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72.35</w:t>
            </w:r>
          </w:p>
        </w:tc>
        <w:tc>
          <w:tcPr>
            <w:tcW w:w="714" w:type="pct"/>
            <w:shd w:val="clear" w:color="auto" w:fill="auto"/>
            <w:tcMar>
              <w:left w:w="115" w:type="dxa"/>
              <w:right w:w="288" w:type="dxa"/>
            </w:tcMar>
            <w:vAlign w:val="bottom"/>
          </w:tcPr>
          <w:p w14:paraId="2A2357AB"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3.98</w:t>
            </w:r>
          </w:p>
        </w:tc>
        <w:tc>
          <w:tcPr>
            <w:tcW w:w="714" w:type="pct"/>
            <w:shd w:val="clear" w:color="auto" w:fill="auto"/>
            <w:noWrap/>
            <w:tcMar>
              <w:left w:w="115" w:type="dxa"/>
              <w:right w:w="288" w:type="dxa"/>
            </w:tcMar>
            <w:vAlign w:val="bottom"/>
            <w:hideMark/>
          </w:tcPr>
          <w:p w14:paraId="28E70E5E"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180.87</w:t>
            </w:r>
          </w:p>
        </w:tc>
        <w:tc>
          <w:tcPr>
            <w:tcW w:w="716" w:type="pct"/>
            <w:shd w:val="clear" w:color="auto" w:fill="auto"/>
            <w:tcMar>
              <w:left w:w="115" w:type="dxa"/>
              <w:right w:w="288" w:type="dxa"/>
            </w:tcMar>
            <w:vAlign w:val="bottom"/>
          </w:tcPr>
          <w:p w14:paraId="431EFE6B"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11.03</w:t>
            </w:r>
          </w:p>
        </w:tc>
      </w:tr>
      <w:tr w:rsidR="009819AB" w:rsidRPr="00BB2676" w14:paraId="4EB9CD32" w14:textId="77777777" w:rsidTr="002503E5">
        <w:tc>
          <w:tcPr>
            <w:tcW w:w="714" w:type="pct"/>
            <w:shd w:val="clear" w:color="auto" w:fill="auto"/>
            <w:noWrap/>
            <w:vAlign w:val="center"/>
            <w:hideMark/>
          </w:tcPr>
          <w:p w14:paraId="5797428F" w14:textId="77777777" w:rsidR="009819AB" w:rsidRPr="009819AB" w:rsidRDefault="009819AB" w:rsidP="002503E5">
            <w:pPr>
              <w:jc w:val="left"/>
              <w:rPr>
                <w:b/>
                <w:color w:val="000000"/>
                <w:sz w:val="21"/>
                <w:szCs w:val="21"/>
                <w:lang w:val="en-CA" w:eastAsia="en-CA"/>
              </w:rPr>
            </w:pPr>
            <w:r w:rsidRPr="009819AB">
              <w:rPr>
                <w:b/>
                <w:color w:val="000000"/>
                <w:sz w:val="21"/>
                <w:szCs w:val="21"/>
                <w:lang w:val="en-CA" w:eastAsia="en-CA"/>
              </w:rPr>
              <w:t>Average</w:t>
            </w:r>
          </w:p>
        </w:tc>
        <w:tc>
          <w:tcPr>
            <w:tcW w:w="714" w:type="pct"/>
            <w:shd w:val="clear" w:color="auto" w:fill="auto"/>
            <w:noWrap/>
            <w:tcMar>
              <w:left w:w="115" w:type="dxa"/>
              <w:right w:w="288" w:type="dxa"/>
            </w:tcMar>
            <w:vAlign w:val="bottom"/>
            <w:hideMark/>
          </w:tcPr>
          <w:p w14:paraId="60E15D0F"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36.17</w:t>
            </w:r>
          </w:p>
        </w:tc>
        <w:tc>
          <w:tcPr>
            <w:tcW w:w="714" w:type="pct"/>
            <w:shd w:val="clear" w:color="auto" w:fill="auto"/>
            <w:tcMar>
              <w:left w:w="115" w:type="dxa"/>
              <w:right w:w="288" w:type="dxa"/>
            </w:tcMar>
            <w:vAlign w:val="bottom"/>
          </w:tcPr>
          <w:p w14:paraId="40BC04FB"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2.35</w:t>
            </w:r>
          </w:p>
        </w:tc>
        <w:tc>
          <w:tcPr>
            <w:tcW w:w="714" w:type="pct"/>
            <w:shd w:val="clear" w:color="auto" w:fill="auto"/>
            <w:noWrap/>
            <w:tcMar>
              <w:left w:w="115" w:type="dxa"/>
              <w:right w:w="288" w:type="dxa"/>
            </w:tcMar>
            <w:vAlign w:val="bottom"/>
            <w:hideMark/>
          </w:tcPr>
          <w:p w14:paraId="0817E6AE"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24.12</w:t>
            </w:r>
          </w:p>
        </w:tc>
        <w:tc>
          <w:tcPr>
            <w:tcW w:w="714" w:type="pct"/>
            <w:shd w:val="clear" w:color="auto" w:fill="auto"/>
            <w:tcMar>
              <w:left w:w="115" w:type="dxa"/>
              <w:right w:w="288" w:type="dxa"/>
            </w:tcMar>
            <w:vAlign w:val="bottom"/>
          </w:tcPr>
          <w:p w14:paraId="17F95E5B"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1.33</w:t>
            </w:r>
          </w:p>
        </w:tc>
        <w:tc>
          <w:tcPr>
            <w:tcW w:w="714" w:type="pct"/>
            <w:shd w:val="clear" w:color="auto" w:fill="auto"/>
            <w:noWrap/>
            <w:tcMar>
              <w:left w:w="115" w:type="dxa"/>
              <w:right w:w="288" w:type="dxa"/>
            </w:tcMar>
            <w:vAlign w:val="bottom"/>
            <w:hideMark/>
          </w:tcPr>
          <w:p w14:paraId="54A584ED"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60.29</w:t>
            </w:r>
          </w:p>
        </w:tc>
        <w:tc>
          <w:tcPr>
            <w:tcW w:w="716" w:type="pct"/>
            <w:shd w:val="clear" w:color="auto" w:fill="auto"/>
            <w:tcMar>
              <w:left w:w="115" w:type="dxa"/>
              <w:right w:w="288" w:type="dxa"/>
            </w:tcMar>
            <w:vAlign w:val="bottom"/>
          </w:tcPr>
          <w:p w14:paraId="6CE956F4" w14:textId="77777777" w:rsidR="009819AB" w:rsidRPr="009819AB" w:rsidRDefault="009819AB" w:rsidP="002503E5">
            <w:pPr>
              <w:jc w:val="right"/>
              <w:rPr>
                <w:b/>
                <w:color w:val="000000"/>
                <w:sz w:val="21"/>
                <w:szCs w:val="21"/>
                <w:lang w:val="en-CA" w:eastAsia="en-CA"/>
              </w:rPr>
            </w:pPr>
            <w:r w:rsidRPr="009819AB">
              <w:rPr>
                <w:b/>
                <w:color w:val="000000"/>
                <w:sz w:val="21"/>
                <w:szCs w:val="21"/>
                <w:lang w:val="en-CA" w:eastAsia="en-CA"/>
              </w:rPr>
              <w:t>3.68</w:t>
            </w:r>
          </w:p>
        </w:tc>
      </w:tr>
    </w:tbl>
    <w:p w14:paraId="0F12911B" w14:textId="77777777" w:rsidR="00C51F0A" w:rsidRPr="00C51F0A" w:rsidRDefault="00C51F0A" w:rsidP="005B20A0">
      <w:pPr>
        <w:spacing w:after="240"/>
      </w:pPr>
    </w:p>
    <w:p w14:paraId="7C8D0C85" w14:textId="5877184F" w:rsidR="002503E5" w:rsidRDefault="00C51F0A" w:rsidP="005B20A0">
      <w:pPr>
        <w:pStyle w:val="Heading1"/>
      </w:pPr>
      <w:r w:rsidRPr="00FB1EFC">
        <w:t>The selected technology is CO</w:t>
      </w:r>
      <w:r w:rsidRPr="00FB1EFC">
        <w:rPr>
          <w:vertAlign w:val="subscript"/>
        </w:rPr>
        <w:t>2</w:t>
      </w:r>
      <w:r w:rsidRPr="00FB1EFC">
        <w:t xml:space="preserve"> as the main foaming agent with DME</w:t>
      </w:r>
      <w:r w:rsidR="002503E5">
        <w:t xml:space="preserve"> </w:t>
      </w:r>
      <w:r w:rsidRPr="00FB1EFC">
        <w:t xml:space="preserve">as </w:t>
      </w:r>
      <w:r w:rsidR="002503E5">
        <w:t xml:space="preserve">a </w:t>
      </w:r>
      <w:r w:rsidRPr="00FB1EFC">
        <w:t xml:space="preserve">solvent, and </w:t>
      </w:r>
      <w:r w:rsidR="003E661A">
        <w:t>HFO</w:t>
      </w:r>
      <w:r w:rsidR="003E661A">
        <w:noBreakHyphen/>
      </w:r>
      <w:r w:rsidRPr="00FB1EFC">
        <w:t>1234ze. As DME is moderately flammable, safety measurements are required</w:t>
      </w:r>
      <w:r w:rsidR="002503E5">
        <w:t>.</w:t>
      </w:r>
      <w:r>
        <w:t xml:space="preserve"> </w:t>
      </w:r>
    </w:p>
    <w:p w14:paraId="65366004" w14:textId="04258051" w:rsidR="00685A82" w:rsidRDefault="002503E5" w:rsidP="005B20A0">
      <w:pPr>
        <w:pStyle w:val="Heading1"/>
      </w:pPr>
      <w:r>
        <w:t xml:space="preserve">The total capital cost for the conversion of Symbol Industries has been estimated at US $1,229,800; however, the Government of Pakistan is requesting US $680,412 from the Multilateral Fund, </w:t>
      </w:r>
      <w:r w:rsidR="001162F7">
        <w:t xml:space="preserve">and </w:t>
      </w:r>
      <w:r>
        <w:t xml:space="preserve">the balance of US $539,388 will be co-financed by the enterprise. </w:t>
      </w:r>
      <w:r w:rsidR="00682A9A">
        <w:t xml:space="preserve">The funding requested </w:t>
      </w:r>
      <w:r w:rsidR="001162F7">
        <w:t xml:space="preserve">includes </w:t>
      </w:r>
      <w:r w:rsidR="00685A82">
        <w:t xml:space="preserve">the retrofit of the main and primary twin screw extruder to operate with </w:t>
      </w:r>
      <w:r>
        <w:t xml:space="preserve">the alternative </w:t>
      </w:r>
      <w:r w:rsidR="00685A82">
        <w:t>technology (</w:t>
      </w:r>
      <w:r>
        <w:t>US $</w:t>
      </w:r>
      <w:r w:rsidR="00E47CCA">
        <w:t>200</w:t>
      </w:r>
      <w:r w:rsidR="00685A82">
        <w:t>,000); new secondary single screw extruder (</w:t>
      </w:r>
      <w:r>
        <w:t>US $</w:t>
      </w:r>
      <w:r w:rsidR="00160302">
        <w:t>150</w:t>
      </w:r>
      <w:r w:rsidR="00685A82">
        <w:t xml:space="preserve">,000); storage tanks </w:t>
      </w:r>
      <w:r>
        <w:t xml:space="preserve">for </w:t>
      </w:r>
      <w:r w:rsidRPr="004F28EE">
        <w:t>CO</w:t>
      </w:r>
      <w:r w:rsidRPr="001162F7">
        <w:rPr>
          <w:vertAlign w:val="subscript"/>
        </w:rPr>
        <w:t>2</w:t>
      </w:r>
      <w:r>
        <w:t xml:space="preserve">, DME, and HFO </w:t>
      </w:r>
      <w:r w:rsidR="00685A82">
        <w:t>including piping and metering systems (</w:t>
      </w:r>
      <w:r>
        <w:t>US $</w:t>
      </w:r>
      <w:r w:rsidR="00160302">
        <w:t>165,950</w:t>
      </w:r>
      <w:r w:rsidR="00685A82">
        <w:t>)</w:t>
      </w:r>
      <w:r w:rsidR="00D51D10">
        <w:t>;</w:t>
      </w:r>
      <w:r w:rsidR="00685A82">
        <w:t xml:space="preserve"> other fixtures (slot die, board calibration, hydr</w:t>
      </w:r>
      <w:r w:rsidR="00944C4D">
        <w:t>aulic screen, static mixer) (</w:t>
      </w:r>
      <w:r>
        <w:t>US $</w:t>
      </w:r>
      <w:r w:rsidR="00160302">
        <w:t>76</w:t>
      </w:r>
      <w:r w:rsidR="00685A82">
        <w:t>,000); safety elements (</w:t>
      </w:r>
      <w:r>
        <w:t>US $</w:t>
      </w:r>
      <w:r w:rsidR="00160302">
        <w:t>12,000</w:t>
      </w:r>
      <w:r w:rsidR="00685A82">
        <w:t>); safety audit (</w:t>
      </w:r>
      <w:r>
        <w:t>US $</w:t>
      </w:r>
      <w:r w:rsidR="00160302">
        <w:t>14,606</w:t>
      </w:r>
      <w:r w:rsidR="00685A82">
        <w:t>)</w:t>
      </w:r>
      <w:r w:rsidR="00D51D10">
        <w:t>;</w:t>
      </w:r>
      <w:r w:rsidR="00685A82">
        <w:t xml:space="preserve"> and contingencies (</w:t>
      </w:r>
      <w:r>
        <w:t>US $</w:t>
      </w:r>
      <w:r w:rsidR="00160302">
        <w:t>61,856</w:t>
      </w:r>
      <w:r w:rsidR="00685A82">
        <w:t xml:space="preserve">). Incremental operating costs (IOCs) have been estimated at </w:t>
      </w:r>
      <w:r>
        <w:t>US $</w:t>
      </w:r>
      <w:r w:rsidR="00685A82">
        <w:t>107,338 for a one-year period</w:t>
      </w:r>
      <w:r w:rsidR="001162F7">
        <w:t>,</w:t>
      </w:r>
      <w:r w:rsidR="00146CDC" w:rsidRPr="00AB7C09">
        <w:rPr>
          <w:rStyle w:val="FootnoteReference"/>
        </w:rPr>
        <w:footnoteReference w:id="4"/>
      </w:r>
      <w:r w:rsidR="001162F7">
        <w:t xml:space="preserve"> </w:t>
      </w:r>
      <w:r w:rsidR="00685A82">
        <w:t xml:space="preserve">bringing the total project cost </w:t>
      </w:r>
      <w:r w:rsidR="005040E6">
        <w:t xml:space="preserve">to </w:t>
      </w:r>
      <w:r>
        <w:t>US $</w:t>
      </w:r>
      <w:r w:rsidR="004A5F35">
        <w:t>787,750</w:t>
      </w:r>
      <w:r w:rsidR="005040E6">
        <w:t>.</w:t>
      </w:r>
    </w:p>
    <w:p w14:paraId="618FD4BA" w14:textId="68DF3ECD" w:rsidR="00685A82" w:rsidRPr="000145BA" w:rsidRDefault="00685A82" w:rsidP="005B20A0">
      <w:pPr>
        <w:pStyle w:val="Heading1"/>
      </w:pPr>
      <w:r>
        <w:t>The project duration is 30 m</w:t>
      </w:r>
      <w:r w:rsidR="003E661A">
        <w:t>onths. No import quota for HCFC-</w:t>
      </w:r>
      <w:r>
        <w:t xml:space="preserve">142b will be issued </w:t>
      </w:r>
      <w:r w:rsidR="005040E6">
        <w:t xml:space="preserve">after the completion of the </w:t>
      </w:r>
      <w:r w:rsidR="005040E6" w:rsidRPr="000145BA">
        <w:t xml:space="preserve">project, and no later than </w:t>
      </w:r>
      <w:r w:rsidR="00477A39">
        <w:t xml:space="preserve">1 </w:t>
      </w:r>
      <w:r w:rsidR="005040E6" w:rsidRPr="000145BA">
        <w:t>January 202</w:t>
      </w:r>
      <w:r w:rsidR="00BE74FF">
        <w:t>3</w:t>
      </w:r>
      <w:r w:rsidR="005040E6" w:rsidRPr="000145BA">
        <w:t>.</w:t>
      </w:r>
    </w:p>
    <w:p w14:paraId="29EB6A38" w14:textId="4C861A55" w:rsidR="00527617" w:rsidRPr="000F4B92" w:rsidRDefault="00527617" w:rsidP="005B20A0">
      <w:pPr>
        <w:keepNext/>
        <w:tabs>
          <w:tab w:val="left" w:pos="2880"/>
          <w:tab w:val="left" w:pos="5760"/>
        </w:tabs>
        <w:spacing w:after="240"/>
        <w:jc w:val="center"/>
        <w:rPr>
          <w:b/>
        </w:rPr>
      </w:pPr>
      <w:r w:rsidRPr="000F4B92">
        <w:rPr>
          <w:b/>
        </w:rPr>
        <w:t>SECRETARIAT’S COMMENTS AND RECOMMENDATION</w:t>
      </w:r>
    </w:p>
    <w:p w14:paraId="4756BC36" w14:textId="67EC1A45" w:rsidR="00527617" w:rsidRDefault="00527617" w:rsidP="005B20A0">
      <w:pPr>
        <w:keepNext/>
        <w:tabs>
          <w:tab w:val="left" w:pos="720"/>
        </w:tabs>
        <w:spacing w:after="240"/>
        <w:outlineLvl w:val="0"/>
        <w:rPr>
          <w:b/>
        </w:rPr>
      </w:pPr>
      <w:r w:rsidRPr="000F4B92">
        <w:rPr>
          <w:b/>
        </w:rPr>
        <w:t>COMMENTS</w:t>
      </w:r>
    </w:p>
    <w:p w14:paraId="22085E77" w14:textId="498D34AB" w:rsidR="0019400F" w:rsidRPr="00280E0D" w:rsidRDefault="0019400F" w:rsidP="005B20A0">
      <w:pPr>
        <w:pStyle w:val="Heading1"/>
      </w:pPr>
      <w:r>
        <w:t>UNIDO reiterated the commitment by the Government of Pakistan to issue a ban for new</w:t>
      </w:r>
      <w:r w:rsidRPr="00280E0D">
        <w:t xml:space="preserve"> manufacturing of XPS foam </w:t>
      </w:r>
      <w:r>
        <w:t xml:space="preserve">based on </w:t>
      </w:r>
      <w:r w:rsidRPr="00280E0D">
        <w:t>HCFCs</w:t>
      </w:r>
      <w:r>
        <w:t>,</w:t>
      </w:r>
      <w:r w:rsidRPr="00280E0D">
        <w:t xml:space="preserve"> and </w:t>
      </w:r>
      <w:r>
        <w:t xml:space="preserve">a ban on </w:t>
      </w:r>
      <w:r w:rsidRPr="00280E0D">
        <w:t xml:space="preserve">imports of HCFC-142b once the conversion </w:t>
      </w:r>
      <w:r>
        <w:t xml:space="preserve">of Symbol Industries </w:t>
      </w:r>
      <w:r w:rsidRPr="00280E0D">
        <w:t>is completed.</w:t>
      </w:r>
    </w:p>
    <w:p w14:paraId="5C8CD533" w14:textId="77777777" w:rsidR="00527617" w:rsidRPr="000F4B92" w:rsidRDefault="00527617" w:rsidP="005B20A0">
      <w:pPr>
        <w:keepNext/>
        <w:tabs>
          <w:tab w:val="left" w:pos="2880"/>
          <w:tab w:val="left" w:pos="5760"/>
        </w:tabs>
        <w:spacing w:after="240"/>
        <w:jc w:val="left"/>
        <w:rPr>
          <w:u w:val="single"/>
        </w:rPr>
      </w:pPr>
      <w:r w:rsidRPr="000F4B92">
        <w:rPr>
          <w:u w:val="single"/>
        </w:rPr>
        <w:t>Technology</w:t>
      </w:r>
    </w:p>
    <w:p w14:paraId="21DBE55D" w14:textId="7D9AF7D1" w:rsidR="00527617" w:rsidRDefault="00477A39" w:rsidP="005B20A0">
      <w:pPr>
        <w:pStyle w:val="Heading1"/>
      </w:pPr>
      <w:r>
        <w:t xml:space="preserve">Noting </w:t>
      </w:r>
      <w:r w:rsidR="004A5F35">
        <w:t xml:space="preserve">the challenges with </w:t>
      </w:r>
      <w:r>
        <w:t xml:space="preserve">the supply of </w:t>
      </w:r>
      <w:r w:rsidRPr="004A5F35">
        <w:t>HFO</w:t>
      </w:r>
      <w:r w:rsidR="00034B2A">
        <w:t>-</w:t>
      </w:r>
      <w:r w:rsidRPr="004A5F35">
        <w:t xml:space="preserve">1234ze </w:t>
      </w:r>
      <w:r>
        <w:t>in sufficient quantities in the local market</w:t>
      </w:r>
      <w:r w:rsidR="004A5F35">
        <w:t xml:space="preserve">, </w:t>
      </w:r>
      <w:r w:rsidR="0019400F" w:rsidRPr="004A5F35">
        <w:t>in line with decisions 74/20(a) and 77/35(a)(v)</w:t>
      </w:r>
      <w:r w:rsidR="0019400F">
        <w:t xml:space="preserve"> </w:t>
      </w:r>
      <w:r w:rsidR="004A5F35">
        <w:t xml:space="preserve">UNIDO </w:t>
      </w:r>
      <w:r w:rsidR="00034B2A">
        <w:t xml:space="preserve">provided a letter from </w:t>
      </w:r>
      <w:r w:rsidR="00BE74FF">
        <w:t>an international</w:t>
      </w:r>
      <w:r w:rsidR="00034B2A">
        <w:t xml:space="preserve"> supplier </w:t>
      </w:r>
      <w:r w:rsidR="0019400F">
        <w:t xml:space="preserve">that has </w:t>
      </w:r>
      <w:r w:rsidR="00034B2A">
        <w:t xml:space="preserve">all the chemicals required for the conversion of the XPS foam enterprise, and would be provided as required </w:t>
      </w:r>
      <w:r w:rsidR="0019400F">
        <w:t xml:space="preserve">following </w:t>
      </w:r>
      <w:r w:rsidR="00034B2A">
        <w:t xml:space="preserve">procurement procedures. UNIDO had also indicated that no </w:t>
      </w:r>
      <w:r w:rsidR="003E661A">
        <w:t>high-</w:t>
      </w:r>
      <w:r w:rsidR="0019400F">
        <w:t xml:space="preserve">GWP </w:t>
      </w:r>
      <w:r w:rsidR="00034B2A">
        <w:t xml:space="preserve">HFCs will be used </w:t>
      </w:r>
      <w:r w:rsidR="0019400F">
        <w:t xml:space="preserve">in the event that </w:t>
      </w:r>
      <w:r w:rsidR="00034B2A">
        <w:t>HFOs would not be available</w:t>
      </w:r>
      <w:r w:rsidR="0019400F">
        <w:t>.</w:t>
      </w:r>
    </w:p>
    <w:p w14:paraId="0BFAE07A" w14:textId="77777777" w:rsidR="00527617" w:rsidRPr="000145BA" w:rsidRDefault="00527617" w:rsidP="005B20A0">
      <w:pPr>
        <w:widowControl w:val="0"/>
        <w:tabs>
          <w:tab w:val="left" w:pos="2880"/>
          <w:tab w:val="left" w:pos="5760"/>
        </w:tabs>
        <w:spacing w:after="240"/>
        <w:jc w:val="left"/>
        <w:rPr>
          <w:u w:val="single"/>
        </w:rPr>
      </w:pPr>
      <w:r w:rsidRPr="000145BA">
        <w:rPr>
          <w:u w:val="single"/>
        </w:rPr>
        <w:t>Incremental cost</w:t>
      </w:r>
    </w:p>
    <w:p w14:paraId="32826AEF" w14:textId="5C369A0B" w:rsidR="00527617" w:rsidRPr="00AB7C09" w:rsidRDefault="00280E0D" w:rsidP="005B20A0">
      <w:pPr>
        <w:pStyle w:val="Heading1"/>
      </w:pPr>
      <w:r w:rsidRPr="000145BA">
        <w:t>The discussions on incremental capital cost</w:t>
      </w:r>
      <w:r w:rsidR="002377EF">
        <w:t xml:space="preserve">s (ICCs) related to </w:t>
      </w:r>
      <w:r w:rsidR="00E47CCA" w:rsidRPr="000145BA">
        <w:t>retrofitting</w:t>
      </w:r>
      <w:r w:rsidR="002377EF">
        <w:t xml:space="preserve"> the existing extruders rather than requesting new extruders; the proposed </w:t>
      </w:r>
      <w:r w:rsidR="00BC3104" w:rsidRPr="000145BA">
        <w:t xml:space="preserve">modifications </w:t>
      </w:r>
      <w:r w:rsidR="00E47CCA" w:rsidRPr="000145BA">
        <w:t>necessary</w:t>
      </w:r>
      <w:r w:rsidR="00BC3104" w:rsidRPr="000145BA">
        <w:t xml:space="preserve"> for safety inc</w:t>
      </w:r>
      <w:r w:rsidR="00E47CCA" w:rsidRPr="000145BA">
        <w:t xml:space="preserve">luding the addition of a secondary single </w:t>
      </w:r>
      <w:r w:rsidR="00BC3104" w:rsidRPr="000145BA">
        <w:t>screw</w:t>
      </w:r>
      <w:r w:rsidR="00E47CCA" w:rsidRPr="000145BA">
        <w:t xml:space="preserve"> extruder</w:t>
      </w:r>
      <w:r w:rsidR="002377EF">
        <w:t xml:space="preserve">; the request </w:t>
      </w:r>
      <w:r w:rsidR="00682A9A" w:rsidRPr="000145BA">
        <w:t>for plant safety modifications</w:t>
      </w:r>
      <w:r w:rsidR="00146CDC">
        <w:t xml:space="preserve"> which appeared not to be sufficient given the flammability of DME;</w:t>
      </w:r>
      <w:r w:rsidR="00682A9A" w:rsidRPr="000145BA">
        <w:t xml:space="preserve"> </w:t>
      </w:r>
      <w:r w:rsidR="00146CDC">
        <w:t xml:space="preserve">and the extensive </w:t>
      </w:r>
      <w:r w:rsidR="00682A9A" w:rsidRPr="000145BA">
        <w:t>technical assistance and production trials</w:t>
      </w:r>
      <w:r w:rsidR="00146CDC">
        <w:t xml:space="preserve"> that </w:t>
      </w:r>
      <w:r w:rsidR="00146CDC">
        <w:lastRenderedPageBreak/>
        <w:t>would be required</w:t>
      </w:r>
      <w:r w:rsidR="002377EF">
        <w:t xml:space="preserve">. </w:t>
      </w:r>
      <w:r w:rsidR="00146CDC">
        <w:t xml:space="preserve">As a result of the </w:t>
      </w:r>
      <w:r w:rsidR="00E47CCA" w:rsidRPr="000145BA">
        <w:t xml:space="preserve">discussions, </w:t>
      </w:r>
      <w:r w:rsidR="00146CDC">
        <w:t xml:space="preserve">agreement was reached as follows: </w:t>
      </w:r>
      <w:r w:rsidR="00E47CCA" w:rsidRPr="00AB7C09">
        <w:t xml:space="preserve">the cost of equipment (i.e., extruders, </w:t>
      </w:r>
      <w:r w:rsidR="00146CDC">
        <w:t xml:space="preserve">storage </w:t>
      </w:r>
      <w:r w:rsidR="00E47CCA" w:rsidRPr="00AB7C09">
        <w:t>tanks</w:t>
      </w:r>
      <w:r w:rsidR="00146CDC">
        <w:t xml:space="preserve"> for the new chemicals</w:t>
      </w:r>
      <w:r w:rsidR="00E47CCA" w:rsidRPr="00AB7C09">
        <w:t xml:space="preserve">, piping and metering systems, and other fixtures) were adjusted from </w:t>
      </w:r>
      <w:r w:rsidR="002503E5">
        <w:t>US $</w:t>
      </w:r>
      <w:r w:rsidR="00E47CCA" w:rsidRPr="00AB7C09">
        <w:t xml:space="preserve">591,950 to </w:t>
      </w:r>
      <w:r w:rsidR="002503E5">
        <w:t>US $</w:t>
      </w:r>
      <w:r w:rsidR="00E47CCA" w:rsidRPr="00AB7C09">
        <w:t xml:space="preserve">365,000; </w:t>
      </w:r>
      <w:r w:rsidR="00682A9A" w:rsidRPr="00AB7C09">
        <w:t xml:space="preserve">plant safety modifications were increased from </w:t>
      </w:r>
      <w:r w:rsidR="002503E5">
        <w:t>US $</w:t>
      </w:r>
      <w:r w:rsidR="00682A9A" w:rsidRPr="00AB7C09">
        <w:t xml:space="preserve">12,000 to </w:t>
      </w:r>
      <w:r w:rsidR="002503E5">
        <w:t>US $</w:t>
      </w:r>
      <w:r w:rsidR="00682A9A" w:rsidRPr="00AB7C09">
        <w:t>51,000</w:t>
      </w:r>
      <w:r w:rsidR="00146CDC">
        <w:t xml:space="preserve">; </w:t>
      </w:r>
      <w:r w:rsidR="00682A9A" w:rsidRPr="00AB7C09">
        <w:t xml:space="preserve">technical assistance and trials including a safety review were increased from </w:t>
      </w:r>
      <w:r w:rsidR="002503E5">
        <w:t>US $</w:t>
      </w:r>
      <w:r w:rsidR="00682A9A" w:rsidRPr="00AB7C09">
        <w:t xml:space="preserve">14,606 to </w:t>
      </w:r>
      <w:r w:rsidR="002503E5">
        <w:t>US $</w:t>
      </w:r>
      <w:r w:rsidR="00682A9A" w:rsidRPr="00AB7C09">
        <w:t>50,000</w:t>
      </w:r>
      <w:r w:rsidR="00AB7C09" w:rsidRPr="00AB7C09">
        <w:t xml:space="preserve">; and contingency costs from </w:t>
      </w:r>
      <w:r w:rsidR="002503E5">
        <w:t>US $</w:t>
      </w:r>
      <w:r w:rsidR="00AB7C09" w:rsidRPr="00AB7C09">
        <w:t xml:space="preserve">61,856 to </w:t>
      </w:r>
      <w:r w:rsidR="002503E5">
        <w:t>US $</w:t>
      </w:r>
      <w:r w:rsidR="00AB7C09" w:rsidRPr="00AB7C09">
        <w:t>46,600</w:t>
      </w:r>
      <w:r w:rsidR="00682A9A" w:rsidRPr="00AB7C09">
        <w:t xml:space="preserve">. </w:t>
      </w:r>
      <w:r w:rsidR="00AB7C09" w:rsidRPr="00AB7C09">
        <w:t>IOC</w:t>
      </w:r>
      <w:r w:rsidR="00B97F53">
        <w:t>s</w:t>
      </w:r>
      <w:r w:rsidR="00AB7C09" w:rsidRPr="00AB7C09">
        <w:t xml:space="preserve"> was agreed </w:t>
      </w:r>
      <w:r w:rsidR="00682A9A" w:rsidRPr="00AB7C09">
        <w:t xml:space="preserve">at </w:t>
      </w:r>
      <w:r w:rsidR="0092405D">
        <w:t>the level requested (</w:t>
      </w:r>
      <w:r w:rsidR="002503E5">
        <w:t>US $</w:t>
      </w:r>
      <w:r w:rsidR="00682A9A" w:rsidRPr="00AB7C09">
        <w:t>107,338</w:t>
      </w:r>
      <w:r w:rsidR="0092405D">
        <w:t>).</w:t>
      </w:r>
    </w:p>
    <w:p w14:paraId="4FB72CE9" w14:textId="02E459AE" w:rsidR="00527617" w:rsidRDefault="00527617" w:rsidP="005B20A0">
      <w:pPr>
        <w:pStyle w:val="Heading1"/>
      </w:pPr>
      <w:r w:rsidRPr="004F28EE">
        <w:t>Based on the above, the total cost of the project as agreed amount</w:t>
      </w:r>
      <w:r w:rsidR="00AB7C09">
        <w:t>ed</w:t>
      </w:r>
      <w:r w:rsidRPr="004F28EE">
        <w:t xml:space="preserve"> to </w:t>
      </w:r>
      <w:r w:rsidR="002503E5">
        <w:t>US $</w:t>
      </w:r>
      <w:r w:rsidR="00280E0D">
        <w:t>619,938</w:t>
      </w:r>
      <w:r w:rsidR="002C06DE">
        <w:t xml:space="preserve"> (i.e., </w:t>
      </w:r>
      <w:r w:rsidR="003F58AA">
        <w:t>US $512,600 ICC</w:t>
      </w:r>
      <w:r w:rsidR="00B97F53">
        <w:t>s</w:t>
      </w:r>
      <w:r w:rsidR="003F58AA">
        <w:t xml:space="preserve"> plus US $</w:t>
      </w:r>
      <w:r w:rsidR="003F58AA" w:rsidRPr="003F58AA">
        <w:t>107,338</w:t>
      </w:r>
      <w:r w:rsidRPr="004F28EE">
        <w:t xml:space="preserve"> </w:t>
      </w:r>
      <w:r w:rsidR="003F58AA">
        <w:t>IOC</w:t>
      </w:r>
      <w:r w:rsidR="00B97F53">
        <w:t>s</w:t>
      </w:r>
      <w:r w:rsidR="003F58AA">
        <w:t xml:space="preserve">), </w:t>
      </w:r>
      <w:r w:rsidRPr="004F28EE">
        <w:t>with a cost</w:t>
      </w:r>
      <w:r w:rsidRPr="004F28EE">
        <w:noBreakHyphen/>
        <w:t xml:space="preserve">effectiveness of </w:t>
      </w:r>
      <w:r w:rsidR="002503E5">
        <w:t>US $</w:t>
      </w:r>
      <w:r w:rsidR="00280E0D">
        <w:t>8.09/</w:t>
      </w:r>
      <w:r w:rsidRPr="004F28EE">
        <w:t>kg</w:t>
      </w:r>
      <w:r w:rsidR="003F58AA">
        <w:t xml:space="preserve">. </w:t>
      </w:r>
      <w:r w:rsidR="00042CAE">
        <w:t>UNIDO </w:t>
      </w:r>
      <w:r w:rsidR="003F58AA">
        <w:t xml:space="preserve">confirmed that Symbol Industries had committed to </w:t>
      </w:r>
      <w:r w:rsidR="00AB7C09">
        <w:t xml:space="preserve">provide </w:t>
      </w:r>
      <w:r w:rsidR="003F58AA">
        <w:t xml:space="preserve">all </w:t>
      </w:r>
      <w:r w:rsidR="00AB7C09">
        <w:t>required co-financing</w:t>
      </w:r>
      <w:r w:rsidR="003F58AA">
        <w:t xml:space="preserve"> to complete the conversion in time</w:t>
      </w:r>
      <w:r w:rsidR="00AB7C09">
        <w:t>.</w:t>
      </w:r>
    </w:p>
    <w:p w14:paraId="10F482DD" w14:textId="68C1A57E" w:rsidR="003F58AA" w:rsidRPr="003F58AA" w:rsidRDefault="003F58AA" w:rsidP="005B20A0">
      <w:pPr>
        <w:spacing w:after="240"/>
        <w:rPr>
          <w:u w:val="single"/>
        </w:rPr>
      </w:pPr>
      <w:r w:rsidRPr="003F58AA">
        <w:rPr>
          <w:u w:val="single"/>
        </w:rPr>
        <w:t>Revision of the Agreement</w:t>
      </w:r>
    </w:p>
    <w:p w14:paraId="7E0239F6" w14:textId="2D9B068B" w:rsidR="003F58AA" w:rsidRPr="003F58AA" w:rsidRDefault="003F58AA" w:rsidP="005B20A0">
      <w:pPr>
        <w:pStyle w:val="Heading1"/>
      </w:pPr>
      <w:r>
        <w:t xml:space="preserve">Noting that the Executive Committee allowed the Government of Pakistan to submit the project proposal for the phase-out of HCFCs by Symbol Industries during implementation of stage II of the HPMP, a request for the revision of Agreement between the Government and the Executive Committee to include the approval of the project proposal will be submitted when the </w:t>
      </w:r>
      <w:r w:rsidR="00B97F53">
        <w:t xml:space="preserve">third </w:t>
      </w:r>
      <w:r>
        <w:t>funding tranche will be submitted.</w:t>
      </w:r>
    </w:p>
    <w:p w14:paraId="4142CB20" w14:textId="77777777" w:rsidR="00527617" w:rsidRPr="000F4B92" w:rsidRDefault="00527617" w:rsidP="005B20A0">
      <w:pPr>
        <w:widowControl w:val="0"/>
        <w:tabs>
          <w:tab w:val="left" w:pos="2880"/>
          <w:tab w:val="left" w:pos="5760"/>
        </w:tabs>
        <w:spacing w:after="240"/>
        <w:jc w:val="left"/>
        <w:rPr>
          <w:u w:val="single"/>
        </w:rPr>
      </w:pPr>
      <w:r w:rsidRPr="000F4B92">
        <w:rPr>
          <w:u w:val="single"/>
        </w:rPr>
        <w:t>Impact on climate</w:t>
      </w:r>
    </w:p>
    <w:p w14:paraId="3A77545B" w14:textId="5AE6FF12" w:rsidR="00527617" w:rsidRPr="004F28EE" w:rsidRDefault="00527617" w:rsidP="005B20A0">
      <w:pPr>
        <w:pStyle w:val="Heading1"/>
      </w:pPr>
      <w:r w:rsidRPr="004F28EE">
        <w:t xml:space="preserve">The conversion of </w:t>
      </w:r>
      <w:r w:rsidR="000145BA">
        <w:t xml:space="preserve">Symbol </w:t>
      </w:r>
      <w:r w:rsidR="003F58AA">
        <w:t xml:space="preserve">Industries </w:t>
      </w:r>
      <w:r w:rsidR="000145BA">
        <w:t>for manufacturing</w:t>
      </w:r>
      <w:r w:rsidRPr="004F28EE">
        <w:t xml:space="preserve"> XPS foam in Pakistan would avoid the emission into the atmosphere of </w:t>
      </w:r>
      <w:r w:rsidR="000145BA">
        <w:t>161</w:t>
      </w:r>
      <w:r w:rsidR="006F2629">
        <w:t>,</w:t>
      </w:r>
      <w:r w:rsidR="000145BA">
        <w:t>31</w:t>
      </w:r>
      <w:r w:rsidR="006F2629">
        <w:t>3</w:t>
      </w:r>
      <w:r w:rsidRPr="004F28EE">
        <w:t xml:space="preserve"> tonnes of CO</w:t>
      </w:r>
      <w:r w:rsidRPr="004F28EE">
        <w:rPr>
          <w:vertAlign w:val="subscript"/>
        </w:rPr>
        <w:t>2</w:t>
      </w:r>
      <w:r w:rsidRPr="004F28EE">
        <w:t xml:space="preserve"> equivalent per year, as shown in Table </w:t>
      </w:r>
      <w:r w:rsidR="003F58AA">
        <w:t>2</w:t>
      </w:r>
      <w:r w:rsidRPr="004F28EE">
        <w:t>.</w:t>
      </w:r>
    </w:p>
    <w:p w14:paraId="0EEBF6B6" w14:textId="35D70885" w:rsidR="00527617" w:rsidRPr="00BB2676" w:rsidRDefault="00527617" w:rsidP="00860103">
      <w:pPr>
        <w:rPr>
          <w:b/>
        </w:rPr>
      </w:pPr>
      <w:r w:rsidRPr="00BB2676">
        <w:rPr>
          <w:b/>
        </w:rPr>
        <w:t xml:space="preserve">Table </w:t>
      </w:r>
      <w:r w:rsidR="003F58AA">
        <w:rPr>
          <w:b/>
        </w:rPr>
        <w:t>2</w:t>
      </w:r>
      <w:r w:rsidRPr="00BB2676">
        <w:rPr>
          <w:b/>
        </w:rPr>
        <w:t>. Impact on the climate of the XPS foam projects</w:t>
      </w:r>
    </w:p>
    <w:tbl>
      <w:tblPr>
        <w:tblStyle w:val="TableGrid"/>
        <w:tblW w:w="9355" w:type="dxa"/>
        <w:tblLook w:val="04A0" w:firstRow="1" w:lastRow="0" w:firstColumn="1" w:lastColumn="0" w:noHBand="0" w:noVBand="1"/>
      </w:tblPr>
      <w:tblGrid>
        <w:gridCol w:w="2965"/>
        <w:gridCol w:w="2130"/>
        <w:gridCol w:w="2130"/>
        <w:gridCol w:w="2130"/>
      </w:tblGrid>
      <w:tr w:rsidR="00527617" w:rsidRPr="00944C4D" w14:paraId="0A8226A9" w14:textId="77777777" w:rsidTr="006F2629">
        <w:tc>
          <w:tcPr>
            <w:tcW w:w="2965" w:type="dxa"/>
            <w:tcBorders>
              <w:top w:val="single" w:sz="4" w:space="0" w:color="auto"/>
              <w:left w:val="single" w:sz="4" w:space="0" w:color="auto"/>
              <w:bottom w:val="single" w:sz="4" w:space="0" w:color="auto"/>
              <w:right w:val="single" w:sz="4" w:space="0" w:color="auto"/>
            </w:tcBorders>
            <w:hideMark/>
          </w:tcPr>
          <w:p w14:paraId="0D645AD1" w14:textId="77777777" w:rsidR="00527617" w:rsidRPr="00574FB9" w:rsidRDefault="00527617" w:rsidP="006F2629">
            <w:pPr>
              <w:jc w:val="left"/>
              <w:rPr>
                <w:b/>
                <w:sz w:val="21"/>
                <w:szCs w:val="21"/>
              </w:rPr>
            </w:pPr>
            <w:r w:rsidRPr="00574FB9">
              <w:rPr>
                <w:b/>
                <w:sz w:val="21"/>
                <w:szCs w:val="21"/>
              </w:rPr>
              <w:t>Substance</w:t>
            </w:r>
          </w:p>
        </w:tc>
        <w:tc>
          <w:tcPr>
            <w:tcW w:w="2130" w:type="dxa"/>
            <w:tcBorders>
              <w:top w:val="single" w:sz="4" w:space="0" w:color="auto"/>
              <w:left w:val="single" w:sz="4" w:space="0" w:color="auto"/>
              <w:bottom w:val="single" w:sz="4" w:space="0" w:color="auto"/>
              <w:right w:val="single" w:sz="4" w:space="0" w:color="auto"/>
            </w:tcBorders>
            <w:hideMark/>
          </w:tcPr>
          <w:p w14:paraId="5DFCCE54" w14:textId="77777777" w:rsidR="00527617" w:rsidRPr="00574FB9" w:rsidRDefault="00527617" w:rsidP="00860103">
            <w:pPr>
              <w:jc w:val="center"/>
              <w:rPr>
                <w:b/>
                <w:sz w:val="21"/>
                <w:szCs w:val="21"/>
              </w:rPr>
            </w:pPr>
            <w:r w:rsidRPr="00574FB9">
              <w:rPr>
                <w:b/>
                <w:sz w:val="21"/>
                <w:szCs w:val="21"/>
              </w:rPr>
              <w:t>GWP</w:t>
            </w:r>
          </w:p>
        </w:tc>
        <w:tc>
          <w:tcPr>
            <w:tcW w:w="2130" w:type="dxa"/>
            <w:tcBorders>
              <w:top w:val="single" w:sz="4" w:space="0" w:color="auto"/>
              <w:left w:val="single" w:sz="4" w:space="0" w:color="auto"/>
              <w:bottom w:val="single" w:sz="4" w:space="0" w:color="auto"/>
              <w:right w:val="single" w:sz="4" w:space="0" w:color="auto"/>
            </w:tcBorders>
            <w:hideMark/>
          </w:tcPr>
          <w:p w14:paraId="46845484" w14:textId="77777777" w:rsidR="00527617" w:rsidRPr="00574FB9" w:rsidRDefault="00527617" w:rsidP="00860103">
            <w:pPr>
              <w:jc w:val="center"/>
              <w:rPr>
                <w:b/>
                <w:sz w:val="21"/>
                <w:szCs w:val="21"/>
              </w:rPr>
            </w:pPr>
            <w:r w:rsidRPr="00574FB9">
              <w:rPr>
                <w:b/>
                <w:sz w:val="21"/>
                <w:szCs w:val="21"/>
              </w:rPr>
              <w:t>Tonnes/year</w:t>
            </w:r>
          </w:p>
        </w:tc>
        <w:tc>
          <w:tcPr>
            <w:tcW w:w="2130" w:type="dxa"/>
            <w:tcBorders>
              <w:top w:val="single" w:sz="4" w:space="0" w:color="auto"/>
              <w:left w:val="single" w:sz="4" w:space="0" w:color="auto"/>
              <w:bottom w:val="single" w:sz="4" w:space="0" w:color="auto"/>
              <w:right w:val="single" w:sz="4" w:space="0" w:color="auto"/>
            </w:tcBorders>
            <w:hideMark/>
          </w:tcPr>
          <w:p w14:paraId="5DAB2A49" w14:textId="77777777" w:rsidR="00527617" w:rsidRPr="00574FB9" w:rsidRDefault="00527617" w:rsidP="00860103">
            <w:pPr>
              <w:jc w:val="center"/>
              <w:rPr>
                <w:b/>
                <w:sz w:val="21"/>
                <w:szCs w:val="21"/>
              </w:rPr>
            </w:pPr>
            <w:r w:rsidRPr="00574FB9">
              <w:rPr>
                <w:b/>
                <w:sz w:val="21"/>
                <w:szCs w:val="21"/>
              </w:rPr>
              <w:t>CO</w:t>
            </w:r>
            <w:r w:rsidRPr="00574FB9">
              <w:rPr>
                <w:b/>
                <w:sz w:val="21"/>
                <w:szCs w:val="21"/>
                <w:vertAlign w:val="subscript"/>
              </w:rPr>
              <w:t>2</w:t>
            </w:r>
            <w:r w:rsidRPr="00574FB9">
              <w:rPr>
                <w:b/>
                <w:sz w:val="21"/>
                <w:szCs w:val="21"/>
              </w:rPr>
              <w:t>-eq (tonnes/year)</w:t>
            </w:r>
          </w:p>
        </w:tc>
      </w:tr>
      <w:tr w:rsidR="00527617" w:rsidRPr="00944C4D" w14:paraId="1F92B257" w14:textId="77777777" w:rsidTr="006F2629">
        <w:tc>
          <w:tcPr>
            <w:tcW w:w="2965" w:type="dxa"/>
            <w:tcBorders>
              <w:top w:val="single" w:sz="4" w:space="0" w:color="auto"/>
              <w:left w:val="single" w:sz="4" w:space="0" w:color="auto"/>
              <w:bottom w:val="single" w:sz="4" w:space="0" w:color="auto"/>
              <w:right w:val="single" w:sz="4" w:space="0" w:color="auto"/>
            </w:tcBorders>
            <w:hideMark/>
          </w:tcPr>
          <w:p w14:paraId="3E11E9B3" w14:textId="77777777" w:rsidR="00527617" w:rsidRPr="00574FB9" w:rsidRDefault="00527617" w:rsidP="00860103">
            <w:pPr>
              <w:rPr>
                <w:b/>
                <w:sz w:val="21"/>
                <w:szCs w:val="21"/>
              </w:rPr>
            </w:pPr>
            <w:r w:rsidRPr="00574FB9">
              <w:rPr>
                <w:b/>
                <w:sz w:val="21"/>
                <w:szCs w:val="21"/>
              </w:rPr>
              <w:t>Before conversion</w:t>
            </w:r>
          </w:p>
        </w:tc>
        <w:tc>
          <w:tcPr>
            <w:tcW w:w="2130" w:type="dxa"/>
            <w:tcBorders>
              <w:top w:val="single" w:sz="4" w:space="0" w:color="auto"/>
              <w:left w:val="single" w:sz="4" w:space="0" w:color="auto"/>
              <w:bottom w:val="single" w:sz="4" w:space="0" w:color="auto"/>
              <w:right w:val="single" w:sz="4" w:space="0" w:color="auto"/>
            </w:tcBorders>
          </w:tcPr>
          <w:p w14:paraId="503F5CBB" w14:textId="77777777" w:rsidR="00527617" w:rsidRPr="00574FB9" w:rsidRDefault="00527617" w:rsidP="00860103">
            <w:pPr>
              <w:rPr>
                <w:sz w:val="21"/>
                <w:szCs w:val="21"/>
              </w:rPr>
            </w:pPr>
          </w:p>
        </w:tc>
        <w:tc>
          <w:tcPr>
            <w:tcW w:w="2130" w:type="dxa"/>
            <w:tcBorders>
              <w:top w:val="single" w:sz="4" w:space="0" w:color="auto"/>
              <w:left w:val="single" w:sz="4" w:space="0" w:color="auto"/>
              <w:bottom w:val="single" w:sz="4" w:space="0" w:color="auto"/>
              <w:right w:val="single" w:sz="4" w:space="0" w:color="auto"/>
            </w:tcBorders>
          </w:tcPr>
          <w:p w14:paraId="29D55092" w14:textId="77777777" w:rsidR="00527617" w:rsidRPr="00574FB9" w:rsidRDefault="00527617" w:rsidP="00860103">
            <w:pPr>
              <w:rPr>
                <w:sz w:val="21"/>
                <w:szCs w:val="21"/>
              </w:rPr>
            </w:pPr>
          </w:p>
        </w:tc>
        <w:tc>
          <w:tcPr>
            <w:tcW w:w="2130" w:type="dxa"/>
            <w:tcBorders>
              <w:top w:val="single" w:sz="4" w:space="0" w:color="auto"/>
              <w:left w:val="single" w:sz="4" w:space="0" w:color="auto"/>
              <w:bottom w:val="single" w:sz="4" w:space="0" w:color="auto"/>
              <w:right w:val="single" w:sz="4" w:space="0" w:color="auto"/>
            </w:tcBorders>
          </w:tcPr>
          <w:p w14:paraId="7780B452" w14:textId="77777777" w:rsidR="00527617" w:rsidRPr="00574FB9" w:rsidRDefault="00527617" w:rsidP="00860103">
            <w:pPr>
              <w:rPr>
                <w:sz w:val="21"/>
                <w:szCs w:val="21"/>
              </w:rPr>
            </w:pPr>
          </w:p>
        </w:tc>
      </w:tr>
      <w:tr w:rsidR="00527617" w:rsidRPr="00944C4D" w14:paraId="7E5D9118" w14:textId="77777777" w:rsidTr="00F63D11">
        <w:tc>
          <w:tcPr>
            <w:tcW w:w="2965" w:type="dxa"/>
            <w:tcBorders>
              <w:top w:val="single" w:sz="4" w:space="0" w:color="auto"/>
              <w:left w:val="single" w:sz="4" w:space="0" w:color="auto"/>
              <w:bottom w:val="single" w:sz="4" w:space="0" w:color="auto"/>
              <w:right w:val="single" w:sz="4" w:space="0" w:color="auto"/>
            </w:tcBorders>
            <w:hideMark/>
          </w:tcPr>
          <w:p w14:paraId="59D07385" w14:textId="77777777" w:rsidR="00527617" w:rsidRPr="00574FB9" w:rsidRDefault="00527617" w:rsidP="00860103">
            <w:pPr>
              <w:rPr>
                <w:sz w:val="21"/>
                <w:szCs w:val="21"/>
              </w:rPr>
            </w:pPr>
            <w:r w:rsidRPr="00574FB9">
              <w:rPr>
                <w:sz w:val="21"/>
                <w:szCs w:val="21"/>
              </w:rPr>
              <w:t>HCFC-142b</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2CEC8CD6" w14:textId="46D5B9E7" w:rsidR="00527617" w:rsidRPr="00574FB9" w:rsidRDefault="000145BA" w:rsidP="00F63D11">
            <w:pPr>
              <w:jc w:val="right"/>
              <w:rPr>
                <w:sz w:val="21"/>
                <w:szCs w:val="21"/>
              </w:rPr>
            </w:pPr>
            <w:r w:rsidRPr="00574FB9">
              <w:rPr>
                <w:sz w:val="21"/>
                <w:szCs w:val="21"/>
              </w:rPr>
              <w:t>2,310</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09E3A737" w14:textId="32CE43B0" w:rsidR="00527617" w:rsidRPr="00574FB9" w:rsidRDefault="00AB7C09" w:rsidP="00F63D11">
            <w:pPr>
              <w:jc w:val="right"/>
              <w:rPr>
                <w:sz w:val="21"/>
                <w:szCs w:val="21"/>
              </w:rPr>
            </w:pPr>
            <w:r w:rsidRPr="00574FB9">
              <w:rPr>
                <w:sz w:val="21"/>
                <w:szCs w:val="21"/>
              </w:rPr>
              <w:t>46.00</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7D92A8AB" w14:textId="64698625" w:rsidR="00527617" w:rsidRPr="00574FB9" w:rsidRDefault="000145BA" w:rsidP="00F63D11">
            <w:pPr>
              <w:jc w:val="right"/>
              <w:rPr>
                <w:sz w:val="21"/>
                <w:szCs w:val="21"/>
              </w:rPr>
            </w:pPr>
            <w:r w:rsidRPr="00574FB9">
              <w:rPr>
                <w:sz w:val="21"/>
                <w:szCs w:val="21"/>
              </w:rPr>
              <w:t>106,260</w:t>
            </w:r>
          </w:p>
        </w:tc>
      </w:tr>
      <w:tr w:rsidR="00527617" w:rsidRPr="00944C4D" w14:paraId="7B2FE06B" w14:textId="77777777" w:rsidTr="00F63D11">
        <w:tc>
          <w:tcPr>
            <w:tcW w:w="2965" w:type="dxa"/>
            <w:tcBorders>
              <w:top w:val="single" w:sz="4" w:space="0" w:color="auto"/>
              <w:left w:val="single" w:sz="4" w:space="0" w:color="auto"/>
              <w:bottom w:val="single" w:sz="4" w:space="0" w:color="auto"/>
              <w:right w:val="single" w:sz="4" w:space="0" w:color="auto"/>
            </w:tcBorders>
            <w:hideMark/>
          </w:tcPr>
          <w:p w14:paraId="669431FD" w14:textId="77777777" w:rsidR="00527617" w:rsidRPr="00574FB9" w:rsidRDefault="00527617" w:rsidP="00860103">
            <w:pPr>
              <w:rPr>
                <w:sz w:val="21"/>
                <w:szCs w:val="21"/>
              </w:rPr>
            </w:pPr>
            <w:r w:rsidRPr="00574FB9">
              <w:rPr>
                <w:sz w:val="21"/>
                <w:szCs w:val="21"/>
              </w:rPr>
              <w:t>HCFC-22</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5E4EA2E1" w14:textId="4B47CDC5" w:rsidR="00527617" w:rsidRPr="00574FB9" w:rsidRDefault="00AB7C09" w:rsidP="00F63D11">
            <w:pPr>
              <w:jc w:val="right"/>
              <w:rPr>
                <w:sz w:val="21"/>
                <w:szCs w:val="21"/>
              </w:rPr>
            </w:pPr>
            <w:r w:rsidRPr="00574FB9">
              <w:rPr>
                <w:sz w:val="21"/>
                <w:szCs w:val="21"/>
              </w:rPr>
              <w:t>1,810</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09CB8821" w14:textId="641E0F49" w:rsidR="00527617" w:rsidRPr="00574FB9" w:rsidRDefault="00AB7C09" w:rsidP="00F63D11">
            <w:pPr>
              <w:jc w:val="right"/>
              <w:rPr>
                <w:sz w:val="21"/>
                <w:szCs w:val="21"/>
              </w:rPr>
            </w:pPr>
            <w:r w:rsidRPr="00574FB9">
              <w:rPr>
                <w:sz w:val="21"/>
                <w:szCs w:val="21"/>
              </w:rPr>
              <w:t>30.67</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60320D2A" w14:textId="725D3B1A" w:rsidR="00527617" w:rsidRPr="00574FB9" w:rsidRDefault="000145BA" w:rsidP="00F63D11">
            <w:pPr>
              <w:jc w:val="right"/>
              <w:rPr>
                <w:sz w:val="21"/>
                <w:szCs w:val="21"/>
              </w:rPr>
            </w:pPr>
            <w:r w:rsidRPr="00574FB9">
              <w:rPr>
                <w:sz w:val="21"/>
                <w:szCs w:val="21"/>
              </w:rPr>
              <w:t>55,512.7</w:t>
            </w:r>
          </w:p>
        </w:tc>
      </w:tr>
      <w:tr w:rsidR="00527617" w:rsidRPr="00944C4D" w14:paraId="13BCA237" w14:textId="77777777" w:rsidTr="00F63D11">
        <w:tc>
          <w:tcPr>
            <w:tcW w:w="2965" w:type="dxa"/>
            <w:tcBorders>
              <w:top w:val="single" w:sz="4" w:space="0" w:color="auto"/>
              <w:left w:val="single" w:sz="4" w:space="0" w:color="auto"/>
              <w:bottom w:val="single" w:sz="4" w:space="0" w:color="auto"/>
              <w:right w:val="single" w:sz="4" w:space="0" w:color="auto"/>
            </w:tcBorders>
            <w:hideMark/>
          </w:tcPr>
          <w:p w14:paraId="76C152BE" w14:textId="77777777" w:rsidR="00527617" w:rsidRPr="00574FB9" w:rsidRDefault="00527617" w:rsidP="00860103">
            <w:pPr>
              <w:rPr>
                <w:b/>
                <w:sz w:val="21"/>
                <w:szCs w:val="21"/>
              </w:rPr>
            </w:pPr>
            <w:r w:rsidRPr="00574FB9">
              <w:rPr>
                <w:b/>
                <w:sz w:val="21"/>
                <w:szCs w:val="21"/>
              </w:rPr>
              <w:t>After conversion</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7190362F" w14:textId="77777777" w:rsidR="00527617" w:rsidRPr="00574FB9" w:rsidRDefault="00527617" w:rsidP="00F63D11">
            <w:pPr>
              <w:jc w:val="right"/>
              <w:rPr>
                <w:sz w:val="21"/>
                <w:szCs w:val="21"/>
              </w:rPr>
            </w:pP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447BB052" w14:textId="77777777" w:rsidR="00527617" w:rsidRPr="00574FB9" w:rsidRDefault="00527617" w:rsidP="00F63D11">
            <w:pPr>
              <w:jc w:val="right"/>
              <w:rPr>
                <w:sz w:val="21"/>
                <w:szCs w:val="21"/>
              </w:rPr>
            </w:pP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58280E62" w14:textId="77777777" w:rsidR="00527617" w:rsidRPr="00574FB9" w:rsidRDefault="00527617" w:rsidP="00F63D11">
            <w:pPr>
              <w:jc w:val="right"/>
              <w:rPr>
                <w:sz w:val="21"/>
                <w:szCs w:val="21"/>
              </w:rPr>
            </w:pPr>
          </w:p>
        </w:tc>
      </w:tr>
      <w:tr w:rsidR="00527617" w:rsidRPr="00944C4D" w14:paraId="2EA83828" w14:textId="77777777" w:rsidTr="00F63D11">
        <w:tc>
          <w:tcPr>
            <w:tcW w:w="2965" w:type="dxa"/>
            <w:tcBorders>
              <w:top w:val="single" w:sz="4" w:space="0" w:color="auto"/>
              <w:left w:val="single" w:sz="4" w:space="0" w:color="auto"/>
              <w:bottom w:val="single" w:sz="4" w:space="0" w:color="auto"/>
              <w:right w:val="single" w:sz="4" w:space="0" w:color="auto"/>
            </w:tcBorders>
          </w:tcPr>
          <w:p w14:paraId="46A7DEF0" w14:textId="1B8F843F" w:rsidR="00527617" w:rsidRPr="00574FB9" w:rsidRDefault="00AB7C09" w:rsidP="00860103">
            <w:pPr>
              <w:rPr>
                <w:sz w:val="21"/>
                <w:szCs w:val="21"/>
              </w:rPr>
            </w:pPr>
            <w:r w:rsidRPr="00574FB9">
              <w:rPr>
                <w:sz w:val="21"/>
                <w:szCs w:val="21"/>
              </w:rPr>
              <w:t>HFO-1234ze</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3120778D" w14:textId="576C3EAF" w:rsidR="00527617" w:rsidRPr="00574FB9" w:rsidRDefault="000145BA" w:rsidP="00F63D11">
            <w:pPr>
              <w:jc w:val="right"/>
              <w:rPr>
                <w:sz w:val="21"/>
                <w:szCs w:val="21"/>
              </w:rPr>
            </w:pPr>
            <w:r w:rsidRPr="00574FB9">
              <w:rPr>
                <w:sz w:val="21"/>
                <w:szCs w:val="21"/>
              </w:rPr>
              <w:t>6</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4597384F" w14:textId="7A477CCE" w:rsidR="00527617" w:rsidRPr="00574FB9" w:rsidRDefault="000145BA" w:rsidP="00F63D11">
            <w:pPr>
              <w:jc w:val="right"/>
              <w:rPr>
                <w:sz w:val="21"/>
                <w:szCs w:val="21"/>
              </w:rPr>
            </w:pPr>
            <w:r w:rsidRPr="00574FB9">
              <w:rPr>
                <w:sz w:val="21"/>
                <w:szCs w:val="21"/>
              </w:rPr>
              <w:t>76.67</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5558119B" w14:textId="3399F0E0" w:rsidR="00527617" w:rsidRPr="00574FB9" w:rsidRDefault="000145BA" w:rsidP="00F63D11">
            <w:pPr>
              <w:jc w:val="right"/>
              <w:rPr>
                <w:sz w:val="21"/>
                <w:szCs w:val="21"/>
              </w:rPr>
            </w:pPr>
            <w:r w:rsidRPr="00574FB9">
              <w:rPr>
                <w:sz w:val="21"/>
                <w:szCs w:val="21"/>
              </w:rPr>
              <w:t>460.02</w:t>
            </w:r>
          </w:p>
        </w:tc>
      </w:tr>
      <w:tr w:rsidR="00527617" w:rsidRPr="00944C4D" w14:paraId="1CDCD06A" w14:textId="77777777" w:rsidTr="00F63D11">
        <w:tc>
          <w:tcPr>
            <w:tcW w:w="2965" w:type="dxa"/>
            <w:tcBorders>
              <w:top w:val="single" w:sz="4" w:space="0" w:color="auto"/>
              <w:left w:val="single" w:sz="4" w:space="0" w:color="auto"/>
              <w:bottom w:val="single" w:sz="4" w:space="0" w:color="auto"/>
              <w:right w:val="single" w:sz="4" w:space="0" w:color="auto"/>
            </w:tcBorders>
            <w:hideMark/>
          </w:tcPr>
          <w:p w14:paraId="067F3000" w14:textId="77777777" w:rsidR="00527617" w:rsidRPr="00574FB9" w:rsidRDefault="00527617" w:rsidP="00860103">
            <w:pPr>
              <w:rPr>
                <w:b/>
                <w:sz w:val="21"/>
                <w:szCs w:val="21"/>
              </w:rPr>
            </w:pPr>
            <w:r w:rsidRPr="00574FB9">
              <w:rPr>
                <w:b/>
                <w:sz w:val="21"/>
                <w:szCs w:val="21"/>
              </w:rPr>
              <w:t>Impact</w:t>
            </w: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58611ED4" w14:textId="77777777" w:rsidR="00527617" w:rsidRPr="00574FB9" w:rsidRDefault="00527617" w:rsidP="00F63D11">
            <w:pPr>
              <w:jc w:val="right"/>
              <w:rPr>
                <w:sz w:val="21"/>
                <w:szCs w:val="21"/>
              </w:rPr>
            </w:pP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20E89903" w14:textId="77777777" w:rsidR="00527617" w:rsidRPr="00574FB9" w:rsidRDefault="00527617" w:rsidP="00F63D11">
            <w:pPr>
              <w:jc w:val="right"/>
              <w:rPr>
                <w:sz w:val="21"/>
                <w:szCs w:val="21"/>
              </w:rPr>
            </w:pPr>
          </w:p>
        </w:tc>
        <w:tc>
          <w:tcPr>
            <w:tcW w:w="2130" w:type="dxa"/>
            <w:tcBorders>
              <w:top w:val="single" w:sz="4" w:space="0" w:color="auto"/>
              <w:left w:val="single" w:sz="4" w:space="0" w:color="auto"/>
              <w:bottom w:val="single" w:sz="4" w:space="0" w:color="auto"/>
              <w:right w:val="single" w:sz="4" w:space="0" w:color="auto"/>
            </w:tcBorders>
            <w:tcMar>
              <w:left w:w="115" w:type="dxa"/>
              <w:right w:w="432" w:type="dxa"/>
            </w:tcMar>
          </w:tcPr>
          <w:p w14:paraId="1642D472" w14:textId="564F5D00" w:rsidR="00527617" w:rsidRPr="00574FB9" w:rsidRDefault="000145BA" w:rsidP="00F63D11">
            <w:pPr>
              <w:jc w:val="right"/>
              <w:rPr>
                <w:sz w:val="21"/>
                <w:szCs w:val="21"/>
              </w:rPr>
            </w:pPr>
            <w:r w:rsidRPr="00574FB9">
              <w:rPr>
                <w:sz w:val="21"/>
                <w:szCs w:val="21"/>
              </w:rPr>
              <w:t>(161,312.68)</w:t>
            </w:r>
          </w:p>
        </w:tc>
      </w:tr>
    </w:tbl>
    <w:p w14:paraId="5E34326C" w14:textId="77777777" w:rsidR="00527617" w:rsidRPr="000F4B92" w:rsidRDefault="00527617" w:rsidP="00860103"/>
    <w:p w14:paraId="137F30C1" w14:textId="77777777" w:rsidR="00527617" w:rsidRPr="000F4B92" w:rsidRDefault="00527617" w:rsidP="005B20A0">
      <w:pPr>
        <w:spacing w:after="240"/>
        <w:rPr>
          <w:b/>
        </w:rPr>
      </w:pPr>
      <w:r w:rsidRPr="000F4B92">
        <w:rPr>
          <w:b/>
        </w:rPr>
        <w:t>RECOMMENDATION</w:t>
      </w:r>
    </w:p>
    <w:p w14:paraId="2D0EDB2F" w14:textId="77777777" w:rsidR="00527617" w:rsidRPr="004F28EE" w:rsidRDefault="00527617" w:rsidP="005B20A0">
      <w:pPr>
        <w:pStyle w:val="Heading1"/>
      </w:pPr>
      <w:r w:rsidRPr="004F28EE">
        <w:t>The Executive Committee may wish to consider:</w:t>
      </w:r>
    </w:p>
    <w:p w14:paraId="33CACA67" w14:textId="306661C3" w:rsidR="002B116B" w:rsidRDefault="002B116B" w:rsidP="005B20A0">
      <w:pPr>
        <w:pStyle w:val="Heading2"/>
      </w:pPr>
      <w:r>
        <w:t xml:space="preserve">Approving the </w:t>
      </w:r>
      <w:r w:rsidR="003D6B63">
        <w:t>project for the conversion of Symbol Industries from HCFC</w:t>
      </w:r>
      <w:r w:rsidR="00154E30">
        <w:t>-142b/</w:t>
      </w:r>
      <w:r w:rsidR="00944C4D">
        <w:t>HCFC</w:t>
      </w:r>
      <w:r w:rsidR="00944C4D">
        <w:noBreakHyphen/>
      </w:r>
      <w:r w:rsidR="003D6B63">
        <w:t>22 to HFO/</w:t>
      </w:r>
      <w:r w:rsidR="003D6B63" w:rsidRPr="004F28EE">
        <w:t>CO</w:t>
      </w:r>
      <w:r w:rsidR="003D6B63" w:rsidRPr="004F28EE">
        <w:rPr>
          <w:vertAlign w:val="subscript"/>
        </w:rPr>
        <w:t>2</w:t>
      </w:r>
      <w:r w:rsidR="003D6B63">
        <w:t xml:space="preserve">/DME used in the manufacture of XPS </w:t>
      </w:r>
      <w:r w:rsidR="00944C4D">
        <w:t xml:space="preserve">foam boards in the amount of </w:t>
      </w:r>
      <w:r w:rsidR="002503E5">
        <w:t>US $</w:t>
      </w:r>
      <w:r w:rsidR="003D6B63" w:rsidRPr="003D6B63">
        <w:t>619,938</w:t>
      </w:r>
      <w:r w:rsidR="003D6B63">
        <w:t xml:space="preserve"> plus support costs of </w:t>
      </w:r>
      <w:r w:rsidR="002503E5">
        <w:t>US $</w:t>
      </w:r>
      <w:r w:rsidR="00154E30">
        <w:t>43,396 for UNIDO;</w:t>
      </w:r>
    </w:p>
    <w:p w14:paraId="05C3966E" w14:textId="070C0B2A" w:rsidR="002B116B" w:rsidRDefault="002B116B" w:rsidP="005B20A0">
      <w:pPr>
        <w:pStyle w:val="Heading2"/>
      </w:pPr>
      <w:r>
        <w:t xml:space="preserve">Deducting </w:t>
      </w:r>
      <w:r w:rsidR="00BE74FF">
        <w:t>4.</w:t>
      </w:r>
      <w:r w:rsidR="00842104">
        <w:t>6</w:t>
      </w:r>
      <w:r w:rsidR="00BE74FF">
        <w:t>8 ODP tonnes (</w:t>
      </w:r>
      <w:r w:rsidR="00BE74FF" w:rsidRPr="00BE74FF">
        <w:t>1.69 ODP tonnes of HCFC-22 an</w:t>
      </w:r>
      <w:r w:rsidR="00042CAE">
        <w:t>d 2.99 ODP tonnes of </w:t>
      </w:r>
      <w:r w:rsidR="00BE74FF">
        <w:t>HCFC-142b)</w:t>
      </w:r>
      <w:r w:rsidR="006F2629" w:rsidRPr="006F2629">
        <w:t xml:space="preserve"> </w:t>
      </w:r>
      <w:r>
        <w:t xml:space="preserve">from the remaining HCFC consumption eligible for funding; </w:t>
      </w:r>
    </w:p>
    <w:p w14:paraId="3B6EB89A" w14:textId="77777777" w:rsidR="002B116B" w:rsidRPr="005B20A0" w:rsidRDefault="002B116B" w:rsidP="005B20A0">
      <w:pPr>
        <w:pStyle w:val="Heading2"/>
        <w:numPr>
          <w:ilvl w:val="1"/>
          <w:numId w:val="1"/>
        </w:numPr>
      </w:pPr>
      <w:r w:rsidRPr="005B20A0">
        <w:t>Noting:</w:t>
      </w:r>
    </w:p>
    <w:p w14:paraId="2F693F9F" w14:textId="2CE9BC7F" w:rsidR="00BE74FF" w:rsidRPr="005B20A0" w:rsidRDefault="00BE74FF" w:rsidP="005B20A0">
      <w:pPr>
        <w:pStyle w:val="Heading3"/>
        <w:numPr>
          <w:ilvl w:val="2"/>
          <w:numId w:val="1"/>
        </w:numPr>
      </w:pPr>
      <w:r w:rsidRPr="005B20A0">
        <w:t>That there will be no remaining consumption of HCFC-142b eligible for</w:t>
      </w:r>
      <w:r w:rsidR="005B20A0" w:rsidRPr="005B20A0">
        <w:t xml:space="preserve"> future funding</w:t>
      </w:r>
      <w:r w:rsidRPr="005B20A0">
        <w:t>;</w:t>
      </w:r>
      <w:r w:rsidR="005B20A0" w:rsidRPr="005B20A0">
        <w:t xml:space="preserve"> and</w:t>
      </w:r>
    </w:p>
    <w:p w14:paraId="7B520B84" w14:textId="58EA4BC2" w:rsidR="002B116B" w:rsidRPr="00BE74FF" w:rsidRDefault="002B116B" w:rsidP="005B20A0">
      <w:pPr>
        <w:pStyle w:val="Heading3"/>
        <w:numPr>
          <w:ilvl w:val="2"/>
          <w:numId w:val="1"/>
        </w:numPr>
      </w:pPr>
      <w:r w:rsidRPr="00BE74FF">
        <w:t xml:space="preserve">The commitment of the Government of </w:t>
      </w:r>
      <w:r w:rsidR="00B720F1" w:rsidRPr="00BE74FF">
        <w:t>Pakistan</w:t>
      </w:r>
      <w:r w:rsidRPr="00BE74FF">
        <w:t xml:space="preserve"> </w:t>
      </w:r>
      <w:r w:rsidR="006F2629" w:rsidRPr="00BE74FF">
        <w:t xml:space="preserve">to ban </w:t>
      </w:r>
      <w:r w:rsidRPr="00BE74FF">
        <w:t xml:space="preserve">import </w:t>
      </w:r>
      <w:r w:rsidR="006F2629" w:rsidRPr="00BE74FF">
        <w:t xml:space="preserve">of </w:t>
      </w:r>
      <w:r w:rsidRPr="00BE74FF">
        <w:t>HCFC-142b starting 1 January 20</w:t>
      </w:r>
      <w:r w:rsidR="00B720F1" w:rsidRPr="00BE74FF">
        <w:t>2</w:t>
      </w:r>
      <w:r w:rsidR="00BE74FF">
        <w:t>3</w:t>
      </w:r>
      <w:r w:rsidR="00BE74FF" w:rsidRPr="00BE74FF">
        <w:t xml:space="preserve"> and </w:t>
      </w:r>
      <w:r w:rsidR="006F2629" w:rsidRPr="00BE74FF">
        <w:t>ban manufacturing of XPS foam based on HCFCs</w:t>
      </w:r>
      <w:r w:rsidR="00BE74FF">
        <w:t xml:space="preserve"> once the conversion project is completed;</w:t>
      </w:r>
    </w:p>
    <w:p w14:paraId="31BC4A59" w14:textId="57EA4867" w:rsidR="00527617" w:rsidRPr="004F28EE" w:rsidRDefault="002B116B" w:rsidP="005B20A0">
      <w:pPr>
        <w:pStyle w:val="Heading3"/>
        <w:keepNext/>
        <w:keepLines/>
        <w:widowControl/>
      </w:pPr>
      <w:r>
        <w:lastRenderedPageBreak/>
        <w:t xml:space="preserve">That the </w:t>
      </w:r>
      <w:r w:rsidR="00154E30">
        <w:t xml:space="preserve">updated Agreement between the Government of Pakistan and the </w:t>
      </w:r>
      <w:r w:rsidR="006F2629">
        <w:t>E</w:t>
      </w:r>
      <w:r w:rsidR="00154E30">
        <w:t xml:space="preserve">xecutive Committee </w:t>
      </w:r>
      <w:r w:rsidR="006F2629">
        <w:t>for stage I</w:t>
      </w:r>
      <w:r w:rsidR="00B97F53">
        <w:t>I</w:t>
      </w:r>
      <w:r w:rsidR="006F2629">
        <w:t xml:space="preserve"> of the HCFC phase-out management plan (HPMP) would be revised to include the approval of the project proposal referred to in sub-paragraph (a) above, and the deduction of </w:t>
      </w:r>
      <w:r w:rsidR="006F2629" w:rsidRPr="006F2629">
        <w:t>HCFC</w:t>
      </w:r>
      <w:r w:rsidR="006F2629">
        <w:t xml:space="preserve"> tonnage referred to in sub-paragraph (b) above, and would be submitted together with the </w:t>
      </w:r>
      <w:r w:rsidR="00B97F53">
        <w:t xml:space="preserve">third </w:t>
      </w:r>
      <w:r w:rsidR="006F2629">
        <w:t xml:space="preserve">funding </w:t>
      </w:r>
      <w:r w:rsidR="00154E30">
        <w:t>tranche at the first meeting in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527617" w14:paraId="11468E68" w14:textId="77777777" w:rsidTr="00944C4D">
        <w:tc>
          <w:tcPr>
            <w:tcW w:w="1871" w:type="dxa"/>
          </w:tcPr>
          <w:p w14:paraId="425A7F70" w14:textId="77777777" w:rsidR="00527617" w:rsidRDefault="00527617" w:rsidP="00F63D11">
            <w:pPr>
              <w:spacing w:after="240" w:line="360" w:lineRule="auto"/>
            </w:pPr>
          </w:p>
        </w:tc>
        <w:tc>
          <w:tcPr>
            <w:tcW w:w="1872" w:type="dxa"/>
          </w:tcPr>
          <w:p w14:paraId="24D7D543" w14:textId="77777777" w:rsidR="00527617" w:rsidRDefault="00527617" w:rsidP="00F63D11">
            <w:pPr>
              <w:spacing w:after="240" w:line="360" w:lineRule="auto"/>
            </w:pPr>
          </w:p>
        </w:tc>
        <w:tc>
          <w:tcPr>
            <w:tcW w:w="1872" w:type="dxa"/>
            <w:tcBorders>
              <w:bottom w:val="single" w:sz="4" w:space="0" w:color="auto"/>
            </w:tcBorders>
          </w:tcPr>
          <w:p w14:paraId="071D428F" w14:textId="77777777" w:rsidR="00527617" w:rsidRDefault="00527617" w:rsidP="00F63D11">
            <w:pPr>
              <w:spacing w:after="240" w:line="360" w:lineRule="auto"/>
            </w:pPr>
          </w:p>
        </w:tc>
        <w:tc>
          <w:tcPr>
            <w:tcW w:w="1872" w:type="dxa"/>
          </w:tcPr>
          <w:p w14:paraId="088F2BEA" w14:textId="77777777" w:rsidR="00527617" w:rsidRDefault="00527617" w:rsidP="00F63D11">
            <w:pPr>
              <w:spacing w:after="240" w:line="360" w:lineRule="auto"/>
            </w:pPr>
          </w:p>
        </w:tc>
        <w:tc>
          <w:tcPr>
            <w:tcW w:w="1873" w:type="dxa"/>
          </w:tcPr>
          <w:p w14:paraId="779459D1" w14:textId="77777777" w:rsidR="00527617" w:rsidRDefault="00527617" w:rsidP="00F63D11">
            <w:pPr>
              <w:spacing w:after="240" w:line="360" w:lineRule="auto"/>
            </w:pPr>
          </w:p>
        </w:tc>
      </w:tr>
    </w:tbl>
    <w:p w14:paraId="5C4A157A" w14:textId="77777777" w:rsidR="00052C5C" w:rsidRPr="001C3C80" w:rsidRDefault="00052C5C" w:rsidP="00F63D11">
      <w:pPr>
        <w:tabs>
          <w:tab w:val="left" w:pos="8280"/>
        </w:tabs>
        <w:spacing w:after="240" w:line="360" w:lineRule="auto"/>
      </w:pPr>
    </w:p>
    <w:sectPr w:rsidR="00052C5C" w:rsidRPr="001C3C8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5C130" w14:textId="77777777" w:rsidR="002503E5" w:rsidRDefault="002503E5" w:rsidP="004A504B">
      <w:r>
        <w:separator/>
      </w:r>
    </w:p>
  </w:endnote>
  <w:endnote w:type="continuationSeparator" w:id="0">
    <w:p w14:paraId="289644E9" w14:textId="77777777" w:rsidR="002503E5" w:rsidRDefault="002503E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1637" w14:textId="5074B825" w:rsidR="002503E5" w:rsidRPr="0033525D" w:rsidRDefault="002503E5">
    <w:pPr>
      <w:jc w:val="center"/>
    </w:pPr>
    <w:r>
      <w:fldChar w:fldCharType="begin"/>
    </w:r>
    <w:r>
      <w:instrText xml:space="preserve"> PAGE </w:instrText>
    </w:r>
    <w:r>
      <w:fldChar w:fldCharType="separate"/>
    </w:r>
    <w:r w:rsidR="00C45350">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EBEF" w14:textId="3260F3CB" w:rsidR="002503E5" w:rsidRPr="0033525D" w:rsidRDefault="002503E5">
    <w:pPr>
      <w:jc w:val="center"/>
    </w:pPr>
    <w:r>
      <w:fldChar w:fldCharType="begin"/>
    </w:r>
    <w:r>
      <w:instrText xml:space="preserve"> PAGE </w:instrText>
    </w:r>
    <w:r>
      <w:fldChar w:fldCharType="separate"/>
    </w:r>
    <w:r w:rsidR="00C45350">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D526" w14:textId="77777777" w:rsidR="002503E5" w:rsidRDefault="002503E5"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3A8D5DE" w14:textId="77777777" w:rsidR="002503E5" w:rsidRDefault="002503E5"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0BEF6" w14:textId="77777777" w:rsidR="002503E5" w:rsidRDefault="002503E5" w:rsidP="004A504B">
      <w:r>
        <w:separator/>
      </w:r>
    </w:p>
  </w:footnote>
  <w:footnote w:type="continuationSeparator" w:id="0">
    <w:p w14:paraId="21469689" w14:textId="77777777" w:rsidR="002503E5" w:rsidRDefault="002503E5" w:rsidP="004A504B">
      <w:r>
        <w:continuationSeparator/>
      </w:r>
    </w:p>
  </w:footnote>
  <w:footnote w:id="1">
    <w:p w14:paraId="514794CC" w14:textId="03F8484E" w:rsidR="002503E5" w:rsidRPr="00D34755" w:rsidRDefault="002503E5">
      <w:pPr>
        <w:pStyle w:val="FootnoteText"/>
        <w:rPr>
          <w:lang w:val="en-US"/>
        </w:rPr>
      </w:pPr>
      <w:r>
        <w:rPr>
          <w:rStyle w:val="FootnoteReference"/>
        </w:rPr>
        <w:footnoteRef/>
      </w:r>
      <w:r>
        <w:t xml:space="preserve"> </w:t>
      </w:r>
      <w:r w:rsidRPr="00D34755">
        <w:t>UNEP/</w:t>
      </w:r>
      <w:proofErr w:type="spellStart"/>
      <w:r w:rsidRPr="00D34755">
        <w:t>OzL.Pro</w:t>
      </w:r>
      <w:proofErr w:type="spellEnd"/>
      <w:r w:rsidRPr="00D34755">
        <w:t>/</w:t>
      </w:r>
      <w:proofErr w:type="spellStart"/>
      <w:r w:rsidRPr="00D34755">
        <w:t>ExCom</w:t>
      </w:r>
      <w:proofErr w:type="spellEnd"/>
      <w:r w:rsidRPr="00D34755">
        <w:t>/76/42</w:t>
      </w:r>
    </w:p>
  </w:footnote>
  <w:footnote w:id="2">
    <w:p w14:paraId="18D8E95C" w14:textId="25A9EAED" w:rsidR="002503E5" w:rsidRPr="00D34755" w:rsidRDefault="002503E5">
      <w:pPr>
        <w:pStyle w:val="FootnoteText"/>
        <w:rPr>
          <w:lang w:val="en-US"/>
        </w:rPr>
      </w:pPr>
      <w:r>
        <w:rPr>
          <w:rStyle w:val="FootnoteReference"/>
        </w:rPr>
        <w:footnoteRef/>
      </w:r>
      <w:r>
        <w:t xml:space="preserve"> </w:t>
      </w:r>
      <w:r w:rsidRPr="00D34755">
        <w:t xml:space="preserve">Quito, </w:t>
      </w:r>
      <w:r>
        <w:t xml:space="preserve">Ecuador, </w:t>
      </w:r>
      <w:r w:rsidRPr="00D34755">
        <w:t>5–9 November 2018</w:t>
      </w:r>
      <w:r>
        <w:t>.</w:t>
      </w:r>
    </w:p>
  </w:footnote>
  <w:footnote w:id="3">
    <w:p w14:paraId="4497042D" w14:textId="6D90D127" w:rsidR="002503E5" w:rsidRPr="00837314" w:rsidRDefault="002503E5" w:rsidP="00837314">
      <w:pPr>
        <w:pStyle w:val="FootnoteText"/>
      </w:pPr>
      <w:r>
        <w:rPr>
          <w:rStyle w:val="FootnoteReference"/>
        </w:rPr>
        <w:footnoteRef/>
      </w:r>
      <w:r>
        <w:t xml:space="preserve"> B</w:t>
      </w:r>
      <w:r w:rsidRPr="00837314">
        <w:t>ased on 300</w:t>
      </w:r>
      <w:r>
        <w:t>-</w:t>
      </w:r>
      <w:r w:rsidRPr="00837314">
        <w:t>day 16 hour</w:t>
      </w:r>
      <w:r>
        <w:t>-</w:t>
      </w:r>
      <w:r w:rsidRPr="00837314">
        <w:t xml:space="preserve">day operation </w:t>
      </w:r>
      <w:r>
        <w:t xml:space="preserve">time at an </w:t>
      </w:r>
      <w:r w:rsidRPr="00837314">
        <w:t>average pr</w:t>
      </w:r>
      <w:r>
        <w:t>oduction capacity of 360 kg/h (the capacity ranges between 320 to 400 kg/hour depending of the thickness of the boards).</w:t>
      </w:r>
    </w:p>
  </w:footnote>
  <w:footnote w:id="4">
    <w:p w14:paraId="1AE5E558" w14:textId="6CD21E3B" w:rsidR="00146CDC" w:rsidRPr="00AB7C09" w:rsidRDefault="00146CDC" w:rsidP="00B108FC">
      <w:pPr>
        <w:pStyle w:val="FootnoteText"/>
        <w:rPr>
          <w:lang w:val="en-US"/>
        </w:rPr>
      </w:pPr>
      <w:r>
        <w:rPr>
          <w:rStyle w:val="FootnoteReference"/>
        </w:rPr>
        <w:footnoteRef/>
      </w:r>
      <w:r>
        <w:t xml:space="preserve"> </w:t>
      </w:r>
      <w:r w:rsidR="00B108FC">
        <w:t xml:space="preserve">Based on </w:t>
      </w:r>
      <w:r>
        <w:rPr>
          <w:lang w:val="en-US"/>
        </w:rPr>
        <w:t>US $</w:t>
      </w:r>
      <w:r w:rsidRPr="00AB7C09">
        <w:rPr>
          <w:lang w:val="en-US"/>
        </w:rPr>
        <w:t>1.40/m</w:t>
      </w:r>
      <w:r w:rsidR="00B108FC">
        <w:rPr>
          <w:lang w:val="en-US"/>
        </w:rPr>
        <w:t>etric</w:t>
      </w:r>
      <w:r w:rsidRPr="00AB7C09">
        <w:rPr>
          <w:lang w:val="en-US"/>
        </w:rPr>
        <w:t xml:space="preserve"> kilogram </w:t>
      </w:r>
      <w:r w:rsidR="00B108FC">
        <w:rPr>
          <w:lang w:val="en-US"/>
        </w:rPr>
        <w:t xml:space="preserve">of </w:t>
      </w:r>
      <w:r w:rsidRPr="00AB7C09">
        <w:rPr>
          <w:lang w:val="en-US"/>
        </w:rPr>
        <w:t xml:space="preserve">HCFC to be phased out </w:t>
      </w:r>
      <w:r w:rsidR="00B108FC">
        <w:rPr>
          <w:lang w:val="en-US"/>
        </w:rPr>
        <w:t>in line with decision 74/50(c)(</w:t>
      </w:r>
      <w:proofErr w:type="spellStart"/>
      <w:r w:rsidR="00B108FC">
        <w:rPr>
          <w:lang w:val="en-US"/>
        </w:rPr>
        <w:t>i</w:t>
      </w:r>
      <w:proofErr w:type="spellEnd"/>
      <w:r w:rsidR="00B108FC">
        <w:rPr>
          <w:lang w:val="en-US"/>
        </w:rPr>
        <w:t>)(v).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A3AA" w14:textId="4A0AEC38" w:rsidR="002503E5" w:rsidRPr="0033525D" w:rsidRDefault="00042CAE">
    <w:r>
      <w:fldChar w:fldCharType="begin"/>
    </w:r>
    <w:r>
      <w:instrText xml:space="preserve"> DOCPROPERTY "Document number"  \* MERGEFORMAT </w:instrText>
    </w:r>
    <w:r>
      <w:fldChar w:fldCharType="separate"/>
    </w:r>
    <w:r w:rsidR="000412D9">
      <w:t>UNEP/</w:t>
    </w:r>
    <w:proofErr w:type="spellStart"/>
    <w:r w:rsidR="000412D9">
      <w:t>OzL.Pro</w:t>
    </w:r>
    <w:proofErr w:type="spellEnd"/>
    <w:r w:rsidR="000412D9">
      <w:t>/</w:t>
    </w:r>
    <w:proofErr w:type="spellStart"/>
    <w:r w:rsidR="000412D9">
      <w:t>ExCom</w:t>
    </w:r>
    <w:proofErr w:type="spellEnd"/>
    <w:r w:rsidR="000412D9">
      <w:t>/84/57</w:t>
    </w:r>
    <w:r>
      <w:fldChar w:fldCharType="end"/>
    </w:r>
  </w:p>
  <w:p w14:paraId="009CB28A" w14:textId="77777777" w:rsidR="002503E5" w:rsidRPr="0033525D" w:rsidRDefault="002503E5"/>
  <w:p w14:paraId="1679FC53" w14:textId="77777777" w:rsidR="002503E5" w:rsidRPr="0033525D" w:rsidRDefault="002503E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8029" w14:textId="6235D312" w:rsidR="002503E5" w:rsidRPr="0033525D" w:rsidRDefault="00042CAE">
    <w:pPr>
      <w:jc w:val="right"/>
    </w:pPr>
    <w:r>
      <w:fldChar w:fldCharType="begin"/>
    </w:r>
    <w:r>
      <w:instrText xml:space="preserve"> DOCPROPERTY "Document number"  \* MERGEFORMAT </w:instrText>
    </w:r>
    <w:r>
      <w:fldChar w:fldCharType="separate"/>
    </w:r>
    <w:r w:rsidR="000412D9">
      <w:t>UNEP/</w:t>
    </w:r>
    <w:proofErr w:type="spellStart"/>
    <w:r w:rsidR="000412D9">
      <w:t>OzL.Pro</w:t>
    </w:r>
    <w:proofErr w:type="spellEnd"/>
    <w:r w:rsidR="000412D9">
      <w:t>/</w:t>
    </w:r>
    <w:proofErr w:type="spellStart"/>
    <w:r w:rsidR="000412D9">
      <w:t>ExCom</w:t>
    </w:r>
    <w:proofErr w:type="spellEnd"/>
    <w:r w:rsidR="000412D9">
      <w:t>/84/57</w:t>
    </w:r>
    <w:r>
      <w:fldChar w:fldCharType="end"/>
    </w:r>
  </w:p>
  <w:p w14:paraId="621EA878" w14:textId="77777777" w:rsidR="002503E5" w:rsidRPr="0033525D" w:rsidRDefault="002503E5"/>
  <w:p w14:paraId="4D31DBEF" w14:textId="77777777" w:rsidR="002503E5" w:rsidRPr="0033525D" w:rsidRDefault="002503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527617"/>
    <w:rsid w:val="00000FED"/>
    <w:rsid w:val="0000434E"/>
    <w:rsid w:val="000145BA"/>
    <w:rsid w:val="00017C3F"/>
    <w:rsid w:val="000211A9"/>
    <w:rsid w:val="00031260"/>
    <w:rsid w:val="0003340A"/>
    <w:rsid w:val="00034B2A"/>
    <w:rsid w:val="0003681A"/>
    <w:rsid w:val="000412D9"/>
    <w:rsid w:val="00042CAE"/>
    <w:rsid w:val="00045009"/>
    <w:rsid w:val="00052C5C"/>
    <w:rsid w:val="00061EC2"/>
    <w:rsid w:val="00071641"/>
    <w:rsid w:val="00080ED0"/>
    <w:rsid w:val="00085B8F"/>
    <w:rsid w:val="00090481"/>
    <w:rsid w:val="00092009"/>
    <w:rsid w:val="000A6C26"/>
    <w:rsid w:val="000D52A4"/>
    <w:rsid w:val="000E07BC"/>
    <w:rsid w:val="000E59CB"/>
    <w:rsid w:val="000F1042"/>
    <w:rsid w:val="000F1CD4"/>
    <w:rsid w:val="000F2C01"/>
    <w:rsid w:val="000F3580"/>
    <w:rsid w:val="000F4103"/>
    <w:rsid w:val="000F70A7"/>
    <w:rsid w:val="00113CCA"/>
    <w:rsid w:val="001162F7"/>
    <w:rsid w:val="001200EB"/>
    <w:rsid w:val="00122F25"/>
    <w:rsid w:val="00135980"/>
    <w:rsid w:val="00146CDC"/>
    <w:rsid w:val="00154E30"/>
    <w:rsid w:val="00160302"/>
    <w:rsid w:val="00164719"/>
    <w:rsid w:val="00166FC4"/>
    <w:rsid w:val="001677AC"/>
    <w:rsid w:val="001804EA"/>
    <w:rsid w:val="00190A61"/>
    <w:rsid w:val="0019400F"/>
    <w:rsid w:val="001A3342"/>
    <w:rsid w:val="001A3E3D"/>
    <w:rsid w:val="001A7049"/>
    <w:rsid w:val="001B1D88"/>
    <w:rsid w:val="001B1E40"/>
    <w:rsid w:val="001B6487"/>
    <w:rsid w:val="001C317D"/>
    <w:rsid w:val="001C3C80"/>
    <w:rsid w:val="001C764E"/>
    <w:rsid w:val="001D29AA"/>
    <w:rsid w:val="001E1052"/>
    <w:rsid w:val="001E21B1"/>
    <w:rsid w:val="001E2F93"/>
    <w:rsid w:val="001E61E5"/>
    <w:rsid w:val="001F2159"/>
    <w:rsid w:val="001F5D08"/>
    <w:rsid w:val="00213B82"/>
    <w:rsid w:val="00214863"/>
    <w:rsid w:val="002156B4"/>
    <w:rsid w:val="002377EF"/>
    <w:rsid w:val="002503E5"/>
    <w:rsid w:val="00253222"/>
    <w:rsid w:val="00262847"/>
    <w:rsid w:val="00264ACF"/>
    <w:rsid w:val="00280E0D"/>
    <w:rsid w:val="00281BB2"/>
    <w:rsid w:val="002B08D9"/>
    <w:rsid w:val="002B116B"/>
    <w:rsid w:val="002B72E9"/>
    <w:rsid w:val="002C06DE"/>
    <w:rsid w:val="002C2042"/>
    <w:rsid w:val="002C7998"/>
    <w:rsid w:val="002E51EE"/>
    <w:rsid w:val="002F1E53"/>
    <w:rsid w:val="002F263D"/>
    <w:rsid w:val="002F2CAA"/>
    <w:rsid w:val="0030052C"/>
    <w:rsid w:val="0032546F"/>
    <w:rsid w:val="0032605F"/>
    <w:rsid w:val="003306E1"/>
    <w:rsid w:val="003320E4"/>
    <w:rsid w:val="003326AB"/>
    <w:rsid w:val="0033525D"/>
    <w:rsid w:val="003414F3"/>
    <w:rsid w:val="00346674"/>
    <w:rsid w:val="003512CB"/>
    <w:rsid w:val="0035613E"/>
    <w:rsid w:val="00363EE9"/>
    <w:rsid w:val="0036427C"/>
    <w:rsid w:val="00366505"/>
    <w:rsid w:val="00376128"/>
    <w:rsid w:val="0037742E"/>
    <w:rsid w:val="00377D56"/>
    <w:rsid w:val="0038245A"/>
    <w:rsid w:val="0038322F"/>
    <w:rsid w:val="003840E6"/>
    <w:rsid w:val="00385613"/>
    <w:rsid w:val="00385CFC"/>
    <w:rsid w:val="003919B9"/>
    <w:rsid w:val="0039337A"/>
    <w:rsid w:val="003A3189"/>
    <w:rsid w:val="003A3CA7"/>
    <w:rsid w:val="003B33BD"/>
    <w:rsid w:val="003B569D"/>
    <w:rsid w:val="003B5BC6"/>
    <w:rsid w:val="003C0C29"/>
    <w:rsid w:val="003C3C0E"/>
    <w:rsid w:val="003D4FAC"/>
    <w:rsid w:val="003D6B63"/>
    <w:rsid w:val="003E661A"/>
    <w:rsid w:val="003E7906"/>
    <w:rsid w:val="003F099D"/>
    <w:rsid w:val="003F3C50"/>
    <w:rsid w:val="003F58AA"/>
    <w:rsid w:val="003F5FBE"/>
    <w:rsid w:val="00406A6A"/>
    <w:rsid w:val="00406B22"/>
    <w:rsid w:val="00410031"/>
    <w:rsid w:val="004174B4"/>
    <w:rsid w:val="004328A7"/>
    <w:rsid w:val="00434C74"/>
    <w:rsid w:val="00456EB4"/>
    <w:rsid w:val="00465B70"/>
    <w:rsid w:val="004718F3"/>
    <w:rsid w:val="004731B8"/>
    <w:rsid w:val="00475040"/>
    <w:rsid w:val="00477A39"/>
    <w:rsid w:val="00493D40"/>
    <w:rsid w:val="004967B6"/>
    <w:rsid w:val="004A504B"/>
    <w:rsid w:val="004A5F35"/>
    <w:rsid w:val="004A6911"/>
    <w:rsid w:val="004B54E0"/>
    <w:rsid w:val="004B7384"/>
    <w:rsid w:val="004C4269"/>
    <w:rsid w:val="004D6236"/>
    <w:rsid w:val="004D7F90"/>
    <w:rsid w:val="004E4DBB"/>
    <w:rsid w:val="004E4E41"/>
    <w:rsid w:val="004E7F9C"/>
    <w:rsid w:val="004F18A7"/>
    <w:rsid w:val="004F3493"/>
    <w:rsid w:val="004F5143"/>
    <w:rsid w:val="004F52EF"/>
    <w:rsid w:val="00502E39"/>
    <w:rsid w:val="005040E6"/>
    <w:rsid w:val="00512B09"/>
    <w:rsid w:val="00515B2F"/>
    <w:rsid w:val="0052609E"/>
    <w:rsid w:val="00527617"/>
    <w:rsid w:val="00533796"/>
    <w:rsid w:val="00555D75"/>
    <w:rsid w:val="00560DF0"/>
    <w:rsid w:val="0056759C"/>
    <w:rsid w:val="00574FB9"/>
    <w:rsid w:val="00576D29"/>
    <w:rsid w:val="005862CE"/>
    <w:rsid w:val="0059513E"/>
    <w:rsid w:val="0059593F"/>
    <w:rsid w:val="005A4390"/>
    <w:rsid w:val="005B20A0"/>
    <w:rsid w:val="005B48FF"/>
    <w:rsid w:val="005F27C2"/>
    <w:rsid w:val="00604C15"/>
    <w:rsid w:val="00611C35"/>
    <w:rsid w:val="00614BE0"/>
    <w:rsid w:val="006158D5"/>
    <w:rsid w:val="00625D83"/>
    <w:rsid w:val="006547CD"/>
    <w:rsid w:val="00657C4E"/>
    <w:rsid w:val="006623E7"/>
    <w:rsid w:val="00662B80"/>
    <w:rsid w:val="00670F6C"/>
    <w:rsid w:val="00672964"/>
    <w:rsid w:val="00675795"/>
    <w:rsid w:val="00682A9A"/>
    <w:rsid w:val="006852C7"/>
    <w:rsid w:val="006852CE"/>
    <w:rsid w:val="00685A82"/>
    <w:rsid w:val="006958EF"/>
    <w:rsid w:val="00696509"/>
    <w:rsid w:val="006B65C1"/>
    <w:rsid w:val="006C131D"/>
    <w:rsid w:val="006C1727"/>
    <w:rsid w:val="006C32FD"/>
    <w:rsid w:val="006C39CE"/>
    <w:rsid w:val="006D0FCC"/>
    <w:rsid w:val="006D1D2D"/>
    <w:rsid w:val="006D54FC"/>
    <w:rsid w:val="006E1FC3"/>
    <w:rsid w:val="006F2629"/>
    <w:rsid w:val="0070616B"/>
    <w:rsid w:val="00706FDA"/>
    <w:rsid w:val="00711F9A"/>
    <w:rsid w:val="00713810"/>
    <w:rsid w:val="0072698A"/>
    <w:rsid w:val="007303A5"/>
    <w:rsid w:val="00730B3E"/>
    <w:rsid w:val="0073420B"/>
    <w:rsid w:val="0074760E"/>
    <w:rsid w:val="00754ABA"/>
    <w:rsid w:val="00773C32"/>
    <w:rsid w:val="00776CFD"/>
    <w:rsid w:val="00793C51"/>
    <w:rsid w:val="007A1546"/>
    <w:rsid w:val="007A228C"/>
    <w:rsid w:val="007A368E"/>
    <w:rsid w:val="007A5868"/>
    <w:rsid w:val="007B04CE"/>
    <w:rsid w:val="007B6871"/>
    <w:rsid w:val="007B7A2F"/>
    <w:rsid w:val="007C227C"/>
    <w:rsid w:val="007C3D33"/>
    <w:rsid w:val="007D294A"/>
    <w:rsid w:val="007D38F6"/>
    <w:rsid w:val="007D47D2"/>
    <w:rsid w:val="007D6EC0"/>
    <w:rsid w:val="007D7E1D"/>
    <w:rsid w:val="00831979"/>
    <w:rsid w:val="00837314"/>
    <w:rsid w:val="00842104"/>
    <w:rsid w:val="00851352"/>
    <w:rsid w:val="00860103"/>
    <w:rsid w:val="00863230"/>
    <w:rsid w:val="00863EBB"/>
    <w:rsid w:val="008717D8"/>
    <w:rsid w:val="0087215C"/>
    <w:rsid w:val="00880E35"/>
    <w:rsid w:val="008875FE"/>
    <w:rsid w:val="00887F8E"/>
    <w:rsid w:val="00896234"/>
    <w:rsid w:val="00897E43"/>
    <w:rsid w:val="008B6719"/>
    <w:rsid w:val="008C5738"/>
    <w:rsid w:val="008C7EAD"/>
    <w:rsid w:val="008D0CFE"/>
    <w:rsid w:val="008D3375"/>
    <w:rsid w:val="008D54C2"/>
    <w:rsid w:val="008D6152"/>
    <w:rsid w:val="008F0F81"/>
    <w:rsid w:val="008F27BF"/>
    <w:rsid w:val="00903C86"/>
    <w:rsid w:val="009075EC"/>
    <w:rsid w:val="009142EC"/>
    <w:rsid w:val="009154C3"/>
    <w:rsid w:val="00923540"/>
    <w:rsid w:val="0092405D"/>
    <w:rsid w:val="00926767"/>
    <w:rsid w:val="009361D5"/>
    <w:rsid w:val="009428A4"/>
    <w:rsid w:val="00944C4D"/>
    <w:rsid w:val="009659F4"/>
    <w:rsid w:val="009709B0"/>
    <w:rsid w:val="00970D60"/>
    <w:rsid w:val="009819AB"/>
    <w:rsid w:val="00993963"/>
    <w:rsid w:val="009960E5"/>
    <w:rsid w:val="009A7ADC"/>
    <w:rsid w:val="009C0083"/>
    <w:rsid w:val="009C19B7"/>
    <w:rsid w:val="009D47AB"/>
    <w:rsid w:val="009D7C51"/>
    <w:rsid w:val="009E196C"/>
    <w:rsid w:val="009F36BF"/>
    <w:rsid w:val="00A07E1E"/>
    <w:rsid w:val="00A111B6"/>
    <w:rsid w:val="00A2547B"/>
    <w:rsid w:val="00A26D27"/>
    <w:rsid w:val="00A376EE"/>
    <w:rsid w:val="00A37ACB"/>
    <w:rsid w:val="00A40951"/>
    <w:rsid w:val="00A42A99"/>
    <w:rsid w:val="00A434D4"/>
    <w:rsid w:val="00A5151A"/>
    <w:rsid w:val="00A56465"/>
    <w:rsid w:val="00A57E0A"/>
    <w:rsid w:val="00A823F6"/>
    <w:rsid w:val="00A93BBA"/>
    <w:rsid w:val="00AA0A89"/>
    <w:rsid w:val="00AA6429"/>
    <w:rsid w:val="00AB7C09"/>
    <w:rsid w:val="00AC01AA"/>
    <w:rsid w:val="00AC1CDE"/>
    <w:rsid w:val="00AC4F72"/>
    <w:rsid w:val="00AC563B"/>
    <w:rsid w:val="00AE1688"/>
    <w:rsid w:val="00AE1A36"/>
    <w:rsid w:val="00AE367D"/>
    <w:rsid w:val="00AE77AA"/>
    <w:rsid w:val="00AF741A"/>
    <w:rsid w:val="00B01ADB"/>
    <w:rsid w:val="00B04161"/>
    <w:rsid w:val="00B056F9"/>
    <w:rsid w:val="00B108FC"/>
    <w:rsid w:val="00B11E3D"/>
    <w:rsid w:val="00B17E82"/>
    <w:rsid w:val="00B4575A"/>
    <w:rsid w:val="00B575BA"/>
    <w:rsid w:val="00B720F1"/>
    <w:rsid w:val="00B76429"/>
    <w:rsid w:val="00B82721"/>
    <w:rsid w:val="00B91E9D"/>
    <w:rsid w:val="00B956D4"/>
    <w:rsid w:val="00B97446"/>
    <w:rsid w:val="00B97F53"/>
    <w:rsid w:val="00BA7432"/>
    <w:rsid w:val="00BB2676"/>
    <w:rsid w:val="00BC1AA0"/>
    <w:rsid w:val="00BC2495"/>
    <w:rsid w:val="00BC3104"/>
    <w:rsid w:val="00BC7EB9"/>
    <w:rsid w:val="00BD2643"/>
    <w:rsid w:val="00BD56B1"/>
    <w:rsid w:val="00BD6558"/>
    <w:rsid w:val="00BE74FF"/>
    <w:rsid w:val="00BF3022"/>
    <w:rsid w:val="00BF3214"/>
    <w:rsid w:val="00BF3499"/>
    <w:rsid w:val="00BF5573"/>
    <w:rsid w:val="00C104A8"/>
    <w:rsid w:val="00C1288D"/>
    <w:rsid w:val="00C15867"/>
    <w:rsid w:val="00C2296D"/>
    <w:rsid w:val="00C23155"/>
    <w:rsid w:val="00C40C41"/>
    <w:rsid w:val="00C45350"/>
    <w:rsid w:val="00C45885"/>
    <w:rsid w:val="00C50F22"/>
    <w:rsid w:val="00C51F0A"/>
    <w:rsid w:val="00C55303"/>
    <w:rsid w:val="00C57971"/>
    <w:rsid w:val="00C65BD7"/>
    <w:rsid w:val="00C76BA4"/>
    <w:rsid w:val="00C838E5"/>
    <w:rsid w:val="00C83A48"/>
    <w:rsid w:val="00C85865"/>
    <w:rsid w:val="00C85E85"/>
    <w:rsid w:val="00C90CED"/>
    <w:rsid w:val="00C91106"/>
    <w:rsid w:val="00C977C5"/>
    <w:rsid w:val="00CA02E3"/>
    <w:rsid w:val="00CA2EAE"/>
    <w:rsid w:val="00CA4AC1"/>
    <w:rsid w:val="00CB0316"/>
    <w:rsid w:val="00CB0B11"/>
    <w:rsid w:val="00CB5354"/>
    <w:rsid w:val="00CC0314"/>
    <w:rsid w:val="00CC299E"/>
    <w:rsid w:val="00CC6236"/>
    <w:rsid w:val="00CC6A14"/>
    <w:rsid w:val="00CC70A3"/>
    <w:rsid w:val="00CD4442"/>
    <w:rsid w:val="00CD53C3"/>
    <w:rsid w:val="00CD574E"/>
    <w:rsid w:val="00CE4C22"/>
    <w:rsid w:val="00CF41EC"/>
    <w:rsid w:val="00CF5D04"/>
    <w:rsid w:val="00D04DE4"/>
    <w:rsid w:val="00D0546C"/>
    <w:rsid w:val="00D063F1"/>
    <w:rsid w:val="00D13CD0"/>
    <w:rsid w:val="00D14F22"/>
    <w:rsid w:val="00D22563"/>
    <w:rsid w:val="00D34755"/>
    <w:rsid w:val="00D4741C"/>
    <w:rsid w:val="00D50FFC"/>
    <w:rsid w:val="00D51B89"/>
    <w:rsid w:val="00D51D10"/>
    <w:rsid w:val="00D57918"/>
    <w:rsid w:val="00D62899"/>
    <w:rsid w:val="00D66982"/>
    <w:rsid w:val="00D73DC6"/>
    <w:rsid w:val="00D74C1A"/>
    <w:rsid w:val="00D754C1"/>
    <w:rsid w:val="00D77393"/>
    <w:rsid w:val="00D77A35"/>
    <w:rsid w:val="00D81B3E"/>
    <w:rsid w:val="00D90C70"/>
    <w:rsid w:val="00D90E49"/>
    <w:rsid w:val="00D93DD0"/>
    <w:rsid w:val="00D96ADE"/>
    <w:rsid w:val="00DA0CE2"/>
    <w:rsid w:val="00DC6A10"/>
    <w:rsid w:val="00DD5D71"/>
    <w:rsid w:val="00DE657E"/>
    <w:rsid w:val="00DF4704"/>
    <w:rsid w:val="00E024AA"/>
    <w:rsid w:val="00E1254D"/>
    <w:rsid w:val="00E250F1"/>
    <w:rsid w:val="00E30349"/>
    <w:rsid w:val="00E3550D"/>
    <w:rsid w:val="00E41335"/>
    <w:rsid w:val="00E47CCA"/>
    <w:rsid w:val="00E614E0"/>
    <w:rsid w:val="00E73F7F"/>
    <w:rsid w:val="00E85409"/>
    <w:rsid w:val="00E917C1"/>
    <w:rsid w:val="00E94200"/>
    <w:rsid w:val="00EA429F"/>
    <w:rsid w:val="00EA4F9E"/>
    <w:rsid w:val="00EA63CA"/>
    <w:rsid w:val="00EA6D3B"/>
    <w:rsid w:val="00EB00AD"/>
    <w:rsid w:val="00EB136C"/>
    <w:rsid w:val="00EB480E"/>
    <w:rsid w:val="00EB5EC6"/>
    <w:rsid w:val="00EB7FC9"/>
    <w:rsid w:val="00ED27E8"/>
    <w:rsid w:val="00ED7137"/>
    <w:rsid w:val="00EE66BA"/>
    <w:rsid w:val="00F07A58"/>
    <w:rsid w:val="00F17736"/>
    <w:rsid w:val="00F21088"/>
    <w:rsid w:val="00F268BE"/>
    <w:rsid w:val="00F26E2B"/>
    <w:rsid w:val="00F3238E"/>
    <w:rsid w:val="00F327E7"/>
    <w:rsid w:val="00F35746"/>
    <w:rsid w:val="00F447C7"/>
    <w:rsid w:val="00F5211B"/>
    <w:rsid w:val="00F554A9"/>
    <w:rsid w:val="00F63D11"/>
    <w:rsid w:val="00F716FD"/>
    <w:rsid w:val="00F80355"/>
    <w:rsid w:val="00F87C43"/>
    <w:rsid w:val="00FA1DCC"/>
    <w:rsid w:val="00FB0C81"/>
    <w:rsid w:val="00FB1EFC"/>
    <w:rsid w:val="00FC2200"/>
    <w:rsid w:val="00FC2540"/>
    <w:rsid w:val="00FF0204"/>
    <w:rsid w:val="00FF3AED"/>
    <w:rsid w:val="00FF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390"/>
  <w15:docId w15:val="{DB49856E-DF63-4534-ACC1-0A4EFCB1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uiPriority w:val="9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27617"/>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527617"/>
    <w:rPr>
      <w:sz w:val="22"/>
      <w:szCs w:val="22"/>
      <w:lang w:val="en-GB"/>
    </w:rPr>
  </w:style>
  <w:style w:type="paragraph" w:customStyle="1" w:styleId="Footer1">
    <w:name w:val="Footer1"/>
    <w:basedOn w:val="Normal"/>
    <w:rsid w:val="00527617"/>
    <w:pPr>
      <w:widowControl w:val="0"/>
      <w:tabs>
        <w:tab w:val="center" w:pos="4320"/>
        <w:tab w:val="right" w:pos="8640"/>
        <w:tab w:val="left" w:pos="9000"/>
      </w:tabs>
      <w:snapToGrid w:val="0"/>
      <w:jc w:val="left"/>
    </w:pPr>
    <w:rPr>
      <w:sz w:val="20"/>
      <w:szCs w:val="20"/>
      <w:lang w:val="en-US"/>
    </w:rPr>
  </w:style>
  <w:style w:type="paragraph" w:styleId="FootnoteText">
    <w:name w:val="footnote text"/>
    <w:basedOn w:val="Normal"/>
    <w:link w:val="FootnoteTextChar"/>
    <w:uiPriority w:val="99"/>
    <w:semiHidden/>
    <w:unhideWhenUsed/>
    <w:rsid w:val="00071641"/>
    <w:rPr>
      <w:sz w:val="20"/>
      <w:szCs w:val="20"/>
    </w:rPr>
  </w:style>
  <w:style w:type="character" w:customStyle="1" w:styleId="FootnoteTextChar">
    <w:name w:val="Footnote Text Char"/>
    <w:basedOn w:val="DefaultParagraphFont"/>
    <w:link w:val="FootnoteText"/>
    <w:uiPriority w:val="99"/>
    <w:semiHidden/>
    <w:rsid w:val="00071641"/>
    <w:rPr>
      <w:lang w:val="en-GB"/>
    </w:rPr>
  </w:style>
  <w:style w:type="character" w:styleId="FootnoteReference">
    <w:name w:val="footnote reference"/>
    <w:basedOn w:val="DefaultParagraphFont"/>
    <w:uiPriority w:val="99"/>
    <w:semiHidden/>
    <w:unhideWhenUsed/>
    <w:rsid w:val="00071641"/>
    <w:rPr>
      <w:vertAlign w:val="superscript"/>
    </w:rPr>
  </w:style>
  <w:style w:type="paragraph" w:styleId="ListParagraph">
    <w:name w:val="List Paragraph"/>
    <w:basedOn w:val="Normal"/>
    <w:uiPriority w:val="34"/>
    <w:qFormat/>
    <w:rsid w:val="00CA0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6140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Nanette\84th%20meeting\MISC\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UNEP/OzL.Pro/ExCom/84/57</Document_x0020_Number>
    <DocumentType xmlns="64e33b30-101d-41de-b951-961aab25ea29">Pre-session</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8F78-B5F0-4D9F-9ADE-EED802BDF40A}"/>
</file>

<file path=customXml/itemProps2.xml><?xml version="1.0" encoding="utf-8"?>
<ds:datastoreItem xmlns:ds="http://schemas.openxmlformats.org/officeDocument/2006/customXml" ds:itemID="{2A459BF4-7690-408D-BCE7-982E50DE2493}"/>
</file>

<file path=customXml/itemProps3.xml><?xml version="1.0" encoding="utf-8"?>
<ds:datastoreItem xmlns:ds="http://schemas.openxmlformats.org/officeDocument/2006/customXml" ds:itemID="{15774B4D-A5DD-4907-88FC-6F0B7A13AA29}"/>
</file>

<file path=customXml/itemProps4.xml><?xml version="1.0" encoding="utf-8"?>
<ds:datastoreItem xmlns:ds="http://schemas.openxmlformats.org/officeDocument/2006/customXml" ds:itemID="{FAE5F3DF-C2BF-4031-9696-1CD3DF2AF026}"/>
</file>

<file path=docProps/app.xml><?xml version="1.0" encoding="utf-8"?>
<Properties xmlns="http://schemas.openxmlformats.org/officeDocument/2006/extended-properties" xmlns:vt="http://schemas.openxmlformats.org/officeDocument/2006/docPropsVTypes">
  <Template>Eec84G</Template>
  <TotalTime>1</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Project proposal: Pakistan</vt:lpstr>
    </vt:vector>
  </TitlesOfParts>
  <Company>UNMFS</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Pakistan (re-issued)</dc:title>
  <dc:creator>Nanette Guerin</dc:creator>
  <cp:lastModifiedBy>Saša CVIJETIĆ</cp:lastModifiedBy>
  <cp:revision>4</cp:revision>
  <cp:lastPrinted>2019-11-28T16:35:00Z</cp:lastPrinted>
  <dcterms:created xsi:type="dcterms:W3CDTF">2019-11-28T17:01:00Z</dcterms:created>
  <dcterms:modified xsi:type="dcterms:W3CDTF">2019-11-28T17:13:00Z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UNEP/OzL.Pro/ExCom/84/57</vt:lpwstr>
  </property>
  <property fmtid="{D5CDD505-2E9C-101B-9397-08002B2CF9AE}" pid="3" name="Revision date">
    <vt:lpwstr>11/14/2019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